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Caso Zambrano Vélez y otros Vs. Ecuador</w:t>
        <w:br/>
        <w:br/>
        <w:br/>
        <w:br/>
        <w:br/>
        <w:br/>
        <w:t xml:space="preserve">                       Sentencia de 4 de julio de 2007</w:t>
        <w:br/>
        <w:t xml:space="preserve">                       (Fondo, Reparaciones y Costas)</w:t>
        <w:br/>
        <w:br/>
        <w:br/>
        <w:br/>
        <w:br/>
        <w:br/>
        <w:br/>
        <w:br/>
        <w:t>En el caso Zambrano Vélez y Otros,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Jueza; y</w:t>
        <w:br/>
        <w:t xml:space="preserve">      Rhadys Abreu Blondet, Jueza;</w:t>
        <w:br/>
        <w:br/>
        <w:br/>
        <w:t xml:space="preserve">      presentes, además,</w:t>
        <w:br/>
        <w:br/>
        <w:br/>
        <w:t xml:space="preserve">      Pablo Saavedra Alessandri, Secretario; y</w:t>
        <w:br/>
        <w:t xml:space="preserve">      Emilia Segares Rodríguez, Secretaria adjunta;</w:t>
        <w:br/>
        <w:br/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24 de julio de 2006, en los términos de los artículos 50  y  61  de</w:t>
        <w:br/>
        <w:t>la Convención Americana, la Comisión Interamericana de Derechos Humanos  (en</w:t>
        <w:br/>
        <w:t>adelante “la Comisión” o  “la  Comisión  Interamericana”)  sometió  ante  la</w:t>
        <w:br/>
        <w:t>Corte una demanda contra el Estado del Ecuador (en adelante  “el  Estado”  o</w:t>
        <w:br/>
        <w:t>“Ecuador”), la cual se originó en la denuncia número 11.579,  presentada  en</w:t>
        <w:br/>
        <w:t>la Secretaría de la Comisión el 8 de  noviembre  de  1994  por  la  Comisión</w:t>
        <w:br/>
        <w:t>Ecuménica de Derechos Humanos (en adelante “CEDHU”). El  28  de  febrero  de</w:t>
        <w:br/>
        <w:t>2006 la Comisión aprobó el Informe de admisibilidad y fondo No. 8/06 en  los</w:t>
        <w:br/>
        <w:t>términos del artículo 50 de la Convención,  el  cual  contiene  determinadas</w:t>
        <w:br/>
        <w:t>recomendaciones hechas al Estado[1]. El 18 de  julio  de  2006  la  Comisión</w:t>
        <w:br/>
        <w:t>decidió someter el presente caso a la jurisdicción de la Corte[2],  ante  la</w:t>
        <w:br/>
        <w:t>falta de respuesta del Estado.</w:t>
        <w:br/>
        <w:br/>
        <w:t>2.    La demanda se refiere a la  alegada  ejecución  extrajudicial  de  los</w:t>
        <w:br/>
        <w:t>señores Wilmer Zambrano Vélez, Segundo Olmedo Caicedo Cobeña y  José  Miguel</w:t>
        <w:br/>
        <w:t>Caicedo Cobeña, supuestamente cometida el 6 de marzo de 1993  en  Guayaquil,</w:t>
        <w:br/>
        <w:t>Ecuador, y la subsiguiente presunta falta de investigación  de  los  hechos.</w:t>
        <w:br/>
        <w:t>La Comisión señala que “los señores Wilmer Zambrano  Vélez,  Segundo  Olmedo</w:t>
        <w:br/>
        <w:t>Caicedo y José Miguel Caicedo [supuestamente] fueron ejecutados durante  [un</w:t>
        <w:br/>
        <w:t>operativo de  las  Fuerzas  Armadas  y  la  Policía  Nacional  de  Ecuador],</w:t>
        <w:br/>
        <w:t>realizado en el marco de una suspensión  de  garantías  no  ajustada  a  los</w:t>
        <w:br/>
        <w:t>parámetros pertinentes”.  Asimismo, la Comisión  alega  que  “más  de  trece</w:t>
        <w:br/>
        <w:t>años [después de ocurridos] los  hechos,  el  Estado  no  ha  efectuado  una</w:t>
        <w:br/>
        <w:t>investigación seria ni ha  identificado  a  los  responsables  materiales  e</w:t>
        <w:br/>
        <w:t>intelectuales de las ejecuciones de las [presuntas] víctimas, razón  por  la</w:t>
        <w:br/>
        <w:t>cual [… éstos] se encuentran impunes”.</w:t>
        <w:br/>
        <w:br/>
        <w:br/>
        <w:t>3.    La Comisión solicitó a la Corte que concluya y declare que  el  Estado</w:t>
        <w:br/>
        <w:t>es responsable por la violación de “sus  obligaciones  contempladas  en  los</w:t>
        <w:br/>
        <w:t>artículos 27 (suspensión de garantías), 4 (derecho a la vida), 8 (derecho  a</w:t>
        <w:br/>
        <w:t>las garantías judiciales) y 25 (derecho a  la  protección  judicial)  de  la</w:t>
        <w:br/>
        <w:t>Convención Americana, en concordancia con los artículos 1.1 [(Obligación  de</w:t>
        <w:br/>
        <w:t>respetar los derechos)] y 2 [(deber  de  adoptar  disposiciones  de  derecho</w:t>
        <w:br/>
        <w:t>interno) de la misma]”.  Como  consecuencia  de  lo  anterior,  la  Comisión</w:t>
        <w:br/>
        <w:t>solicitó  a  la  Corte  que  ordene  al  Estado  determinadas   medidas   de</w:t>
        <w:br/>
        <w:t>reparación.</w:t>
        <w:br/>
        <w:br/>
        <w:t>4.    El 16 de octubre de 2006 los representantes de los familiares  de  las</w:t>
        <w:br/>
        <w:t>presuntas víctimas, CEDHU (en adelante “los  representantes”),  presentaron,</w:t>
        <w:br/>
        <w:t>en los términos del artículo 23 del Reglamento, su escrito  de  solicitudes,</w:t>
        <w:br/>
        <w:t>argumentos y pruebas (en adelante “escrito de  solicitudes  y  argumentos”).</w:t>
        <w:br/>
        <w:t>Con base en los fundamentos de hecho  mencionados  por  la  Comisión  en  su</w:t>
        <w:br/>
        <w:t>demanda, los representantes solicitaron a la Corte que  concluya  y  declare</w:t>
        <w:br/>
        <w:t>que el Estado es responsable internacionalmente  por  la  violación  de  los</w:t>
        <w:br/>
        <w:t>mismos artículos alegados por la Comisión, en perjuicio  de  las   presuntas</w:t>
        <w:br/>
        <w:t>víctimas señaladas y sus familiares. En virtud de  ello,  solicitaron  a  la</w:t>
        <w:br/>
        <w:t>Corte que ordene al Estado  la  adopción  de  las  determinadas  medidas  de</w:t>
        <w:br/>
        <w:t>reparación.</w:t>
        <w:br/>
        <w:br/>
        <w:t>5.    El 15 de diciembre  de  2006  el  Estado[3]  presentó  su  escrito  de</w:t>
        <w:br/>
        <w:t>contestación de la demanda y  observaciones  al  escrito  de  solicitudes  y</w:t>
        <w:br/>
        <w:t>argumentos (en adelante “contestación de la demanda”), en el cual alegó  que</w:t>
        <w:br/>
        <w:t>no es responsable por  las  violaciones  alegadas  y  que  no  se  le  puede</w:t>
        <w:br/>
        <w:t>atribuir responsabilidad internacional por un acto cometido “por  un  agente</w:t>
        <w:br/>
        <w:t>del Estado haciendo uso de su legítima defensa”.  El  Estado  alegó  que  la</w:t>
        <w:br/>
        <w:t>muerte de esas personas ocurrió en un  enfrentamiento  con  miembros  de  la</w:t>
        <w:br/>
        <w:t>fuerza pública durante dicho operativo,  llevado  a  cabo  como  una  medida</w:t>
        <w:br/>
        <w:t>legal y necesaria en  el  marco  de  un  estado  de  emergencia  debidamente</w:t>
        <w:br/>
        <w:t>declarado, en una época de alta delincuencia y  de  conformación  de  grupos</w:t>
        <w:br/>
        <w:t>terroristas. Además,  señaló  que  sí  hubo  una  investigación  policial  y</w:t>
        <w:br/>
        <w:t>militar al respecto, aunque manifestó que no se ha  iniciado  proceso  penal</w:t>
        <w:br/>
        <w:t>alguno, por lo que no le es imputable la alegada violación a  las  garantías</w:t>
        <w:br/>
        <w:t>judiciales y protección judicial. Sin embargo, al  inicio  de  la  audiencia</w:t>
        <w:br/>
        <w:t>pública celebrada en el presente caso y en sus alegatos finales,  el  Estado</w:t>
        <w:br/>
        <w:t>efectuó un allanamiento parcial  en  los  términos  expuestos  más  adelante</w:t>
        <w:br/>
        <w:t>(infra párrs. 8 a 31).</w:t>
        <w:br/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>6.    La Corte  es  competente  para  conocer  del  presente  caso,  en  los</w:t>
        <w:br/>
        <w:t>términos de los artículos 62.3 y 63.1 de la  Convención  Americana,  ya  que</w:t>
        <w:br/>
        <w:t>Ecuador es Estado Parte en la Convención desde el 28 de diciembre de 1977  y</w:t>
        <w:br/>
        <w:t>reconoció la jurisdicción contenciosa de la Corte el 24 de julio de 1984.</w:t>
        <w:br/>
        <w:br/>
        <w:br/>
        <w:br/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7.    El 18 de agosto de 2006 la Secretaría de la  Corte  (en  adelante  “la</w:t>
        <w:br/>
        <w:t>Secretaría”), previo examen  preliminar  de  la  demanda  realizado  por  el</w:t>
        <w:br/>
        <w:t>Presidente de la Corte (en adelante “el Presidente”) y  según  lo  dispuesto</w:t>
        <w:br/>
        <w:t>en el artículo 35.1 del  Reglamento,  la  notificó  al  Estado[4]  y  a  los</w:t>
        <w:br/>
        <w:t>representantes.  Durante el proceso ante la Corte, el  Presidente  ordenó[5]</w:t>
        <w:br/>
        <w:t>recibir,  a  través  de  declaraciones  rendidas  ante   fedatario   público</w:t>
        <w:br/>
        <w:t>(affidávit) el dictamen  de  un  perito  ofrecido  por  los  representantes,</w:t>
        <w:br/>
        <w:t>respecto  del  cual   las   partes   tuvieron   oportunidad   de   presentar</w:t>
        <w:br/>
        <w:t>observaciones. Además, en consideración de las  circunstancias  particulares</w:t>
        <w:br/>
        <w:t>del caso,  el  Presidente  convocó  a  la  Comisión  Interamericana,  a  los</w:t>
        <w:br/>
        <w:t>representantes y al Estado,  a  una  audiencia  pública  para  escuchar  sus</w:t>
        <w:br/>
        <w:t>alegatos finales orales sobre el  fondo  y  las  eventuales  reparaciones  y</w:t>
        <w:br/>
        <w:t>costas en el presente caso, así  como  las  declaraciones  testimoniales  de</w:t>
        <w:br/>
        <w:t>tres familiares de  las  presuntas  víctimas.  Esta  audiencia  pública  fue</w:t>
        <w:br/>
        <w:t>celebrada el 15 de mayo de 2007, durante el XXX  Período  Extraordinario  de</w:t>
        <w:br/>
        <w:t>Sesiones de la Corte, en Ciudad de Guatemala, Guatemala, en la  sede  de  la</w:t>
        <w:br/>
        <w:t>Corte de Constitucionalidad de ese país[6]. Además la Secretaría,  siguiendo</w:t>
        <w:br/>
        <w:t>instrucciones del Presidente y con base en el artículo 45.2 del  Reglamento,</w:t>
        <w:br/>
        <w:t>requirió  a  las  partes   que   presentaran   determinada   información   y</w:t>
        <w:br/>
        <w:t>documentación a efectos de ser considerada como prueba para mejor  resolver,</w:t>
        <w:br/>
        <w:t>la cual fue presentada únicamente por  los  representantes.  Finalmente,  en</w:t>
        <w:br/>
        <w:t>junio de 2007 la Comisión, los representantes y el  Estado  presentaron  sus</w:t>
        <w:br/>
        <w:t>escritos de alegatos finales, en los cuales hicieron  precisiones  sobre  el</w:t>
        <w:br/>
        <w:t>allanamiento parcial del Estado, las alegadas violaciones a la Convención  y</w:t>
        <w:br/>
        <w:t>las eventuales reparaciones y costas.</w:t>
        <w:br/>
        <w:br/>
        <w:br/>
        <w:br/>
        <w:t xml:space="preserve">                                     IV</w:t>
        <w:br/>
        <w:t xml:space="preserve">                  Reconocimiento parcial de responsabilidad</w:t>
        <w:br/>
        <w:br/>
        <w:t>8.    Al inicio de la audiencia pública celebrada en este caso (supra  párr.</w:t>
        <w:br/>
        <w:t>7), el Agente del Estado efectuó un allanamiento parcial, en los  siguientes</w:t>
        <w:br/>
        <w:t>términos:</w:t>
        <w:br/>
        <w:br/>
        <w:br/>
        <w:t xml:space="preserve">      […] el Estado ecuatoriano  expresa  su  buena  fe  y  la  voluntad  de</w:t>
        <w:br/>
        <w:t xml:space="preserve">      respetar y garantizar  los  derechos  humanos.  Reafirma  su  especial</w:t>
        <w:br/>
        <w:t xml:space="preserve">      interés   de   contribuir   en   la   construcción   de    precedentes</w:t>
        <w:br/>
        <w:t xml:space="preserve">      jurisprudenciales que amplíen el estándar de protección que  establece</w:t>
        <w:br/>
        <w:t xml:space="preserve">      la Convención Americana [sobre] Derechos Humanos. Esta es la  posición</w:t>
        <w:br/>
        <w:t xml:space="preserve">      y la visión que […] sostiene y mantiene en esta coyuntura y para  esta</w:t>
        <w:br/>
        <w:t xml:space="preserve">      circunstancia, con la intención de modificar la concepción tradicional</w:t>
        <w:br/>
        <w:t xml:space="preserve">      de un Estado represor en regimenes de excepción, que a nuestra  manera</w:t>
        <w:br/>
        <w:t xml:space="preserve">      de ver tiende  a  ser  un  escenario  propicio  para  eventuales  usos</w:t>
        <w:br/>
        <w:t xml:space="preserve">      desproporcionados de la fuerza y de abusos de poder.  Creemos  que  el</w:t>
        <w:br/>
        <w:t xml:space="preserve">      sostenimiento del orden público de ninguna manera puede contraponerse,</w:t>
        <w:br/>
        <w:t xml:space="preserve">      ni  sobreponerse  ni  superponerse  a  la  vigencia  de  los  derechos</w:t>
        <w:br/>
        <w:t xml:space="preserve">      fundamentales  en  la  sociedad  ecuatoriana  y  en  general  en   las</w:t>
        <w:br/>
        <w:t xml:space="preserve">      colectividades humanas.</w:t>
        <w:br/>
        <w:br/>
        <w:br/>
        <w:t xml:space="preserve">      En este contexto me permito presentar a nombre del Estado  ecuatoriano</w:t>
        <w:br/>
        <w:t xml:space="preserve">      un allanamiento parcial reconociendo la responsabilidad  internacional</w:t>
        <w:br/>
        <w:t xml:space="preserve">      derivada de las  violaciones  a  los  artículos  8,  25  y  27  de  la</w:t>
        <w:br/>
        <w:t xml:space="preserve">      Convención Americana sobre Derechos Humanos.</w:t>
        <w:br/>
        <w:br/>
        <w:br/>
        <w:t xml:space="preserve">      Hago salvedad del artículo 4 de la misma, en cuanto  consideramos  […]</w:t>
        <w:br/>
        <w:t xml:space="preserve">      que el Estado ecuatoriano no ha incurrido en  indebida  protección  al</w:t>
        <w:br/>
        <w:t xml:space="preserve">      derecho a la vida. Creemos que el caso que aquí se ventila, […] es  un</w:t>
        <w:br/>
        <w:t xml:space="preserve">      caso que se encuentra aún en conocimiento judicial y que, si  bien  en</w:t>
        <w:br/>
        <w:t xml:space="preserve">      el ámbito de la judicatura ecuatoriana nos hemos  encontrado  con  una</w:t>
        <w:br/>
        <w:t xml:space="preserve">      relativa falta de celeridad en la investigación, sin embargo no se  ha</w:t>
        <w:br/>
        <w:t xml:space="preserve">      llegado a establecer con claridad responsabilidades. Ese es el  motivo</w:t>
        <w:br/>
        <w:t xml:space="preserve">      por el cual exceptuamos el artículo 4 de la Convención.</w:t>
        <w:br/>
        <w:br/>
        <w:t>9.    El Estado  reiteró  estas  manifestaciones  en  sus  alegatos  finales</w:t>
        <w:br/>
        <w:t>escritos.</w:t>
        <w:br/>
        <w:br/>
        <w:t>10.    Al  respecto,  la  Comisión  manifestó  que  “habiendo   [hecho   ese</w:t>
        <w:br/>
        <w:t>reconocimiento,]  la  cuestión  y  las  probanzas  quedan  reducidas  en  lo</w:t>
        <w:br/>
        <w:t>relativo al artículo 4; [que] no [tiene] objeción alguna  que  formular;  [y</w:t>
        <w:br/>
        <w:t>que] acepta ese allanamiento en la inteligencia de que es parcial  y  total:</w:t>
        <w:br/>
        <w:t>parcial en el sentido de que involucra casi todos los artículos invocados  y</w:t>
        <w:br/>
        <w:t>alegados por la Comisión, pero total en el sentido de que  ninguno  de  esos</w:t>
        <w:br/>
        <w:t>allanamientos está condicionado”.  En  sus  alegatos  finales  escritos,  la</w:t>
        <w:br/>
        <w:t>Comisión  expresó  que  “valora  positivamente   el   allanamiento   parcial</w:t>
        <w:br/>
        <w:t>efectuado por el Estado” y que este acto permite “concluir que ha cesado  la</w:t>
        <w:br/>
        <w:t>controversia en cuanto al uso inadecuado de la  facultad  de  suspensión  de</w:t>
        <w:br/>
        <w:t>garantías en el estado de emergencia decretado el 3 de septiembre de 1992  y</w:t>
        <w:br/>
        <w:t>en cuanto a la falta de esclarecimiento de los hechos y la ausencia  de  una</w:t>
        <w:br/>
        <w:t>investigación completa, imparcial  y  efectiva”.  Además,  […]  la  Comisión</w:t>
        <w:br/>
        <w:t>destaca “la importancia de dicha manifestación y  considera  que  constituye</w:t>
        <w:br/>
        <w:t>un paso positivo hacia la reivindicación de la memoria  y  dignidad  de  las</w:t>
        <w:br/>
        <w:t>víctimas y la mitigación de los daños causados a sus  familiares,  así  como</w:t>
        <w:br/>
        <w:t>al impulso de esfuerzos  encaminados  a  la  no  repetición  de  situaciones</w:t>
        <w:br/>
        <w:t>similares”. Por último,  la  Comisión  observó  “que  el  reconocimiento  no</w:t>
        <w:br/>
        <w:t>comprende la responsabilidad estatal por la violación del derecho a la  vida</w:t>
        <w:br/>
        <w:t>en  perjuicio  de  las  [presuntas]  víctimas,  el  incumplimiento   de   su</w:t>
        <w:br/>
        <w:t>obligación de respetar los derechos y el deber de adoptar  disposiciones  de</w:t>
        <w:br/>
        <w:t>derecho  interno,  ni  se  refiere  a  las  reparaciones   debidas   a   sus</w:t>
        <w:br/>
        <w:t>familiares”.</w:t>
        <w:br/>
        <w:br/>
        <w:t>11.    Por  su  parte,  el  representante  expresó   que   “acepta[ban]   el</w:t>
        <w:br/>
        <w:t>allanamiento parcial que ha efectuado el Estado y solicita[ban a  la  Corte]</w:t>
        <w:br/>
        <w:t>que [lo] tomara en cuenta en todo su contenido […] y [se]  le  [diera]  todo</w:t>
        <w:br/>
        <w:t>el valor legal en el desarrollo de [esa]  audiencia  y  del  caso”.  En  sus</w:t>
        <w:br/>
        <w:t>alegatos finales  escritos,  el  representante  solicitó  a  la  Corte  que,</w:t>
        <w:br/>
        <w:t>“considerando el allanamiento efectuado por el Estado […]   expresamente  se</w:t>
        <w:br/>
        <w:t>pronuncie sobre el uso excesivo de la fuerza por agentes  de  seguridad  del</w:t>
        <w:br/>
        <w:t>Estado, sobre la  utilización  de  las  fuerzas  armadas  para  combatir  la</w:t>
        <w:br/>
        <w:t>delincuencia  o  protestas  sociales  y  sobre  el  juzgamiento  en   fueros</w:t>
        <w:br/>
        <w:t>–policial o militar- de las violaciones a derechos  humanos”.  Asimismo,  el</w:t>
        <w:br/>
        <w:t>representante consideró que de lo expresado  por  el  Estado  se  desprendía</w:t>
        <w:br/>
        <w:t>también  su  allanamiento  respecto  del  alegado  incumplimiento   de   los</w:t>
        <w:br/>
        <w:t>artículos 1.1 y 2 de la Convención, este  último  “por  no  suprimir  de  su</w:t>
        <w:br/>
        <w:t>legislación las disposiciones que atribuyen a los tribunales militares o  de</w:t>
        <w:br/>
        <w:t>policía competencia para investigar violaciones a derechos humanos y por  no</w:t>
        <w:br/>
        <w:t>reformar la legislación en torno a la aplicación  de  la  ley  de  seguridad</w:t>
        <w:br/>
        <w:t>durante la  intervención  de  las  fueras  armadas  en  el  orden  interno”.</w:t>
        <w:br/>
        <w:t>Finalmente, solicitó a la Corte que, siguiendo su jurisprudencia, “abra  una</w:t>
        <w:br/>
        <w:t>sección, en la cual resuma las  declaraciones  de  los  testigos  y  peritos</w:t>
        <w:br/>
        <w:t>rendidas en este caso,  establezca  los  hechos  del  presente  caso  […]  y</w:t>
        <w:br/>
        <w:t>precise cómo ocurrió [la] violación” de los artículos a los que se allanó.</w:t>
        <w:br/>
        <w:br/>
        <w:t>12.   En los términos  de  los  artículos  53.2  y  55  del  Reglamento,  en</w:t>
        <w:br/>
        <w:t>ejercicio de sus poderes inherentes de tutela judicial internacional de  los</w:t>
        <w:br/>
        <w:t>derechos  humanos,  la  Corte  podrá  determinar  si  un  reconocimiento  de</w:t>
        <w:br/>
        <w:t>responsabilidad internacional efectuado por un Estado demandado  ofrece  una</w:t>
        <w:br/>
        <w:t>base suficiente, en los términos de la Convención Americana, para  continuar</w:t>
        <w:br/>
        <w:t>o no con el conocimiento del fondo y  la  determinación  de  las  eventuales</w:t>
        <w:br/>
        <w:t>reparaciones  y  costas.   Para  estos  efectos,  el  Tribunal  analiza   la</w:t>
        <w:br/>
        <w:t>situación planteada en  cada  caso  concreto[7].  Por  ende,  se  procede  a</w:t>
        <w:br/>
        <w:t>precisar  los  términos   y   alcances   del   reconocimiento   parcial   de</w:t>
        <w:br/>
        <w:t>responsabilidad internacional efectuado por el Estado y la extensión  de  la</w:t>
        <w:br/>
        <w:t>controversia subsistente.</w:t>
        <w:br/>
        <w:br/>
        <w:t xml:space="preserve">                                      *</w:t>
        <w:br/>
        <w:t xml:space="preserve">                                  *       *</w:t>
        <w:br/>
        <w:br/>
        <w:t>13.   En la demanda la Comisión concluyó que el Estado  es  responsable  por</w:t>
        <w:br/>
        <w:t>la  violación  de  “sus  obligaciones  contempladas  en”  los  artículos  27</w:t>
        <w:br/>
        <w:t>(Suspensión de Garantías), 4 (Derecho a la Vida), 8  (Garantías  Judiciales)</w:t>
        <w:br/>
        <w:t>y 25 (Protección Judicial) de  la  Convención  Americana,  “en  concordancia</w:t>
        <w:br/>
        <w:t>con” los artículos 1.1 y 2 de  la  misma.  Los  representantes  alegaron  la</w:t>
        <w:br/>
        <w:t>violación de esas mismas normas, aunque con algunos argumentos diferentes.</w:t>
        <w:br/>
        <w:br/>
        <w:t>14.   El Estado se allanó a la alegada violación de los artículos  27,  8  y</w:t>
        <w:br/>
        <w:t>25  de la Convención  Americana  (supra  párr.  8).  No  obstante,  no  hizo</w:t>
        <w:br/>
        <w:t>referencia al alegado incumplimiento de las obligaciones contenidas  en  los</w:t>
        <w:br/>
        <w:t>artículos 1.1 y 2 de la Convención en relación con dichas disposiciones,  ni</w:t>
        <w:br/>
        <w:t>especificó si su allanamiento se refería  también  a  los  alegatos  de  los</w:t>
        <w:br/>
        <w:t>representantes. En  su  contestación  a  la  demanda,  el  Estado  no  había</w:t>
        <w:br/>
        <w:t>presentado alegatos en relación con estas disposiciones.</w:t>
        <w:br/>
        <w:br/>
        <w:t>15.   Por  otra  parte,  este  Tribunal  observa  que,  si  bien  el  Estado</w:t>
        <w:br/>
        <w:t>reconoció que fueron agentes estatales quienes privaron de  su  vida  a  los</w:t>
        <w:br/>
        <w:t>señores  Zambrano  Vélez,  Caicedo  Cobeña  y  Caicedo  Cobeña  durante   el</w:t>
        <w:br/>
        <w:t>operativo realizado el 6 de marzo de  1993  en  el  barrio  Batallón  de  la</w:t>
        <w:br/>
        <w:t>Ciudad de Guayaquil (infra párr.  73),  aquél  excluyó  expresamente  de  su</w:t>
        <w:br/>
        <w:t>allanamiento la alegada violación del artículo 4 (Derecho a la Vida)  de  la</w:t>
        <w:br/>
        <w:t>Convención.</w:t>
        <w:br/>
        <w:br/>
        <w:t>16.   En consecuencia, la Corte considera  que  ha  cesado  la  controversia</w:t>
        <w:br/>
        <w:t>respecto de la responsabilidad internacional por el  incumplimiento  de  las</w:t>
        <w:br/>
        <w:t>obligaciones consagradas en el  artículo  27  de  la  Convención  y  por  la</w:t>
        <w:br/>
        <w:t>violación de los artículos 8.1 y 25  de  la  misma,  sin  perjuicio  de  las</w:t>
        <w:br/>
        <w:t>precisiones que se harán en los capítulos respectivos. A su  vez,  la  Corte</w:t>
        <w:br/>
        <w:t>considera que se mantiene la controversia respecto de la  alegada  violación</w:t>
        <w:br/>
        <w:t>del artículo 4 y el alegado incumplimiento de los artículos 1.1 y  2  de  la</w:t>
        <w:br/>
        <w:t>Convención y de los hechos correspondientes.</w:t>
        <w:br/>
        <w:br/>
        <w:t xml:space="preserve">                                      *</w:t>
        <w:br/>
        <w:t xml:space="preserve">                                  *      *</w:t>
        <w:br/>
        <w:br/>
        <w:t>17.   A su vez, la Corte observa que al efectuar dicho allanamiento  parcial</w:t>
        <w:br/>
        <w:t>el Estado no realizó una específica confesión de los  hechos  del  caso.  En</w:t>
        <w:br/>
        <w:t>estos términos, entendiendo que la demanda constituye el marco  fáctico  del</w:t>
        <w:br/>
        <w:t>proceso[8] y que  el  Estado  sólo  contradijo  específicamente  los  hechos</w:t>
        <w:br/>
        <w:t>relacionados con las circunstancias en que se produjo la muerte de las  tres</w:t>
        <w:br/>
        <w:t>presuntas víctimas, este Tribunal considera que, al haberse allanado  a  las</w:t>
        <w:br/>
        <w:t>alegadas violaciones a los mencionados artículos, implícitamente también  ha</w:t>
        <w:br/>
        <w:t>reconocido los hechos que según la demanda configuraron esas violaciones.</w:t>
        <w:br/>
        <w:br/>
        <w:t>18.   Además, la Corte toma en cuenta que, de conformidad  con  el  artículo</w:t>
        <w:br/>
        <w:t>38.2 del Reglamento del  Tribunal,  en  su  escrito  de  contestación  a  la</w:t>
        <w:br/>
        <w:t>demanda y observaciones al escrito de solicitudes y  argumentos,  el  Estado</w:t>
        <w:br/>
        <w:t>demandado deberá declarar “si acepta los hechos y las pretensiones o si  los</w:t>
        <w:br/>
        <w:t>contradice”, y “la Corte podrá considerar  como  aceptados  aquellos  hechos</w:t>
        <w:br/>
        <w:t>que no hayan sido expresamente negados y las pretensiones que no hayan  sido</w:t>
        <w:br/>
        <w:t>expresamente controvertidas”.</w:t>
        <w:br/>
        <w:br/>
        <w:t>19.   De tal manera, el Tribunal considera que  ha  cesado  la  controversia</w:t>
        <w:br/>
        <w:t>sobre los hechos referidos en  los  acápites  del  capítulo  de  la  demanda</w:t>
        <w:br/>
        <w:t>denominado “Fundamentos de Derecho” correspondientes  a  las  violaciones  a</w:t>
        <w:br/>
        <w:t>los artículos 8, 25 y 27 de la Convención, los  cuales  serán  especificados</w:t>
        <w:br/>
        <w:t>en los respectivos capítulos  de  esta  Sentencia.  Por  ende,  subsiste  la</w:t>
        <w:br/>
        <w:t>controversia en relación con los demás hechos a que se refiere  el  presente</w:t>
        <w:br/>
        <w:t>caso.</w:t>
        <w:br/>
        <w:br/>
        <w:t>20.   La Corte hace notar  que  dos  de  los  familiares  de  las  presuntas</w:t>
        <w:br/>
        <w:t>víctimas hicieron referencia a algunos hechos no contenidos en  la  demanda,</w:t>
        <w:br/>
        <w:t>específicamente la aplicación de electricidad y supuestos  maltratos  a  que</w:t>
        <w:br/>
        <w:t>habrían sido sujetos las presuntas víctimas antes  de  ser  privadas  de  su</w:t>
        <w:br/>
        <w:t>vida; algunos maltratos a los que habrían sido sometidos los  familiares  de</w:t>
        <w:br/>
        <w:t>las presuntas víctimas, así como la detención a que la señora Silvia  Alicia</w:t>
        <w:br/>
        <w:t>Macías Acosta, compañera del señor Segundo  Olmedo  Caicedo  Cobeña,  habría</w:t>
        <w:br/>
        <w:t>sido sometida a  partir  del  día  de  los  hechos  y  durante  los  8  días</w:t>
        <w:br/>
        <w:t>siguientes. Esos supuestos hechos podrían ser analizados a  la  luz  de  los</w:t>
        <w:br/>
        <w:t>artículos  5  y  7  de  la  Convención.  No  obstante,  en  su  Informe   de</w:t>
        <w:br/>
        <w:t>admisibilidad y fondo la Comisión  concluyó  expresamente  que  “[…]  en  el</w:t>
        <w:br/>
        <w:t>curso  de[l…]  proceso  [ante  ésta]  no  ha[bía]n  sido   demostradas   las</w:t>
        <w:br/>
        <w:t>violaciones a [los derechos  a  la  integridad  personal  y  a  la  libertad</w:t>
        <w:br/>
        <w:t>personal,] [… por lo que] el Estado no ha controvertido lo dispuesto en  los</w:t>
        <w:br/>
        <w:t>artículos 5 y 7 de la Convención”. Las consideraciones de la  Comisión  para</w:t>
        <w:br/>
        <w:t>llegar a estas conclusiones son, inter alia, las siguientes:</w:t>
        <w:br/>
        <w:br/>
        <w:t xml:space="preserve">      […] la Comisión no considera demostrado que, previamente a su  muerte,</w:t>
        <w:br/>
        <w:t xml:space="preserve">      las tres personas a que se refiere este asunto hubiesen sido objeto de</w:t>
        <w:br/>
        <w:t xml:space="preserve">      malos tratos o que se hubiese lesionado su dignidad.</w:t>
        <w:br/>
        <w:br/>
        <w:br/>
        <w:t xml:space="preserve">      […] la Comisión observa que la prueba existente hasta el momento de la</w:t>
        <w:br/>
        <w:t xml:space="preserve">      elaboración de [ese] informe resulta insuficiente  para  concluir  que</w:t>
        <w:br/>
        <w:t xml:space="preserve">      previamente a su  ejecución  los  peticionarios  se  encontraban  bajo</w:t>
        <w:br/>
        <w:t xml:space="preserve">      custodia “formal” de los agentes del Estado.</w:t>
        <w:br/>
        <w:br/>
        <w:t>21.   La Corte observa que  las  circunstancias  en  que  la  señora  Macías</w:t>
        <w:br/>
        <w:t>Acosta habría sido detenida el 6 de marzo de 1993 y los supuestos  maltratos</w:t>
        <w:br/>
        <w:t>a los que habrían sido sometidos los familiares al momento  de  los  hechos,</w:t>
        <w:br/>
        <w:t>no forman parte del objeto de la controversia en el presente caso.  Respecto</w:t>
        <w:br/>
        <w:t>de los  supuestos  maltratos  a  que  habrían  sido  sujetos  las  presuntas</w:t>
        <w:br/>
        <w:t>víctimas antes de ser privadas de su vida, la Corte no  encuentra  elementos</w:t>
        <w:br/>
        <w:t>para modificar en este caso lo ya resuelto por  la  Comisión  Interamericana</w:t>
        <w:br/>
        <w:t>en su Informe de Admisibilidad y Fondo[9]. Por estas razones,  la  Corte  no</w:t>
        <w:br/>
        <w:t>entrará a analizar esos supuestos hechos.</w:t>
        <w:br/>
        <w:br/>
        <w:t xml:space="preserve">                                      *</w:t>
        <w:br/>
        <w:t xml:space="preserve">                                  *       *</w:t>
        <w:br/>
        <w:br/>
        <w:t>22.   Al efectuar su allanamiento parcial, el  Estado  no  lo  condicionó  a</w:t>
        <w:br/>
        <w:t>determinado número de personas ni especificó en perjuicio  de  quién  habían</w:t>
        <w:br/>
        <w:t>sido cometidas las violaciones a la Convención reconocidas.</w:t>
        <w:br/>
        <w:br/>
        <w:t>23.   Respecto del artículo 27  de  la  Convención,  la  Comisión  alegó  la</w:t>
        <w:br/>
        <w:t>violación de esa disposición en términos generales, sin determinar  víctimas</w:t>
        <w:br/>
        <w:t>específicas al respecto. En cuanto a los artículos 8 y 25 de la  Convención,</w:t>
        <w:br/>
        <w:t>si bien la Comisión solicita a  la  Corte  que  declare  que  el  Estado  es</w:t>
        <w:br/>
        <w:t>responsable por la violación de esas disposiciones,  aquélla  no  especificó</w:t>
        <w:br/>
        <w:t>claramente en su demanda en perjuicio  de  quiénes  habrían  sido  cometidas</w:t>
        <w:br/>
        <w:t>esas violaciones, aunque ciertamente de su argumentación  se  desprende  que</w:t>
        <w:br/>
        <w:t>sería en perjuicio de los familiares de las presuntas víctimas.</w:t>
        <w:br/>
        <w:br/>
        <w:br/>
        <w:t>24.   En cuanto al referido allanamiento por la violación de  los  artículos</w:t>
        <w:br/>
        <w:t>8 y 25  de  la  Convención,  es  preciso  indicar  que  cuando  expresó  tal</w:t>
        <w:br/>
        <w:t>allanamiento el Estado conocía que la Comisión presentó  en  su  demanda  un</w:t>
        <w:br/>
        <w:t>listado de beneficiarios de 24  personas  como  familiares  de  los  señores</w:t>
        <w:br/>
        <w:t>Zambrano Vélez, Caicedo Cobeña y Caicedo  Cobeña[10].  Asimismo,  el  Estado</w:t>
        <w:br/>
        <w:t>conocía que los representantes, en su escrito de solicitudes  y  argumentos,</w:t>
        <w:br/>
        <w:t>coincidieron en su lista de familiares con los comprendidos en la demanda.</w:t>
        <w:br/>
        <w:br/>
        <w:t>25.   A su vez, el Estado tuvo conocimiento de que, con posterioridad  a  la</w:t>
        <w:br/>
        <w:t>interposición de la demanda y a la resolución del  Presidente  (supra  párr.</w:t>
        <w:br/>
        <w:t>7), pero antes de la audiencia pública, la Comisión remitió una  declaración</w:t>
        <w:br/>
        <w:t>rendida ante notario público por la señora Jessica Marlene Baque  Rodríguez.</w:t>
        <w:br/>
        <w:t>La Comisión señaló que, luego de “corroborar la existencia de familiares  de</w:t>
        <w:br/>
        <w:t>las víctimas que no fueron incluidos inicialmente”, remitía  la  declaración</w:t>
        <w:br/>
        <w:t>de la señora Baque, quien era “hija de crianza  del  señor  Wilmer  Zambrano</w:t>
        <w:br/>
        <w:t>Vélez” y fue testigo  presencial  de  los  hechos  del  caso,  “en  aras  de</w:t>
        <w:br/>
        <w:t>proporcionar[…  a  la]   Corte   mayores   elementos   probatorios   en   la</w:t>
        <w:br/>
        <w:t>determinación  de  la  verdad  de  lo  sucedido”   y   “para   los   efectos</w:t>
        <w:br/>
        <w:t>pertinentes”.  En razón de que la  misma  no  había  sido  ordenada  por  el</w:t>
        <w:br/>
        <w:t>Presidente, siguiendo sus instrucciones se informó a  los  representantes  y</w:t>
        <w:br/>
        <w:t>al Estado que podían presentar las observaciones que estimaren  pertinentes.</w:t>
        <w:br/>
        <w:t>Los representantes solicitaron que se aceptara dicha declaración,  con  base</w:t>
        <w:br/>
        <w:t>en  los  mismos  argumentos  de  la  Comisión.   El   Estado   no   presentó</w:t>
        <w:br/>
        <w:t>observaciones.  Por  otro  lado,  antes  de  la   audiencia   pública,   los</w:t>
        <w:br/>
        <w:t>representantes comunicaron a la Corte que Christian Eduardo Zambrano  Ruales</w:t>
        <w:br/>
        <w:t>era hijo del señor Wilmer Zambrano Vélez. En sus alegatos finales  escritos,</w:t>
        <w:br/>
        <w:t>los representantes incluyeron en la lista de  familiares  de  las  presuntas</w:t>
        <w:br/>
        <w:t>víctimas a la señora Jessica Marlene Baque  Rodríguez,  así  como  al  señor</w:t>
        <w:br/>
        <w:t>Christian Eduardo Zambrano Ruales, y aportaron la partida de  nacimiento  de</w:t>
        <w:br/>
        <w:t>este último.</w:t>
        <w:br/>
        <w:br/>
        <w:t>26.   De conformidad con el  artículo  33.1  del  Reglamento  de  la  Corte,</w:t>
        <w:br/>
        <w:t>corresponde  a  la  Comisión  identificar  con  precisión  a  las  presuntas</w:t>
        <w:br/>
        <w:t>víctimas en un caso. La señora Jessica Marlene Baque Rodríguez  y  el  señor</w:t>
        <w:br/>
        <w:t>Christian Eduardo Zambrano Ruales no fueron identificados como  víctimas  en</w:t>
        <w:br/>
        <w:t>la demanda de la Comisión. Sin embargo, el Tribunal nota que  el  Estado  no</w:t>
        <w:br/>
        <w:t>controvirtió la calidad de víctimas  de  los  familiares  nombrados  por  la</w:t>
        <w:br/>
        <w:t>Comisión y los representantes, ni controvirtió los  vínculos  de  parentesco</w:t>
        <w:br/>
        <w:t>de esos familiares, así como tampoco  realizó  objeciones  con  respecto  al</w:t>
        <w:br/>
        <w:t>vínculo afectivo que hubieren tenido dichos  familiares  con  las  víctimas.</w:t>
        <w:br/>
        <w:t>Además,  tratándose  de  un   caso   en   que   el   Estado   reconoció   su</w:t>
        <w:br/>
        <w:t>responsabilidad, la Corte  no  encuentra  necesario  entrar  a  realizar  un</w:t>
        <w:br/>
        <w:t>análisis de la prueba al respecto, ya que con base en  la  posición  de  las</w:t>
        <w:br/>
        <w:t>partes presume que efectivamente los referidos familiares nombrados  por  la</w:t>
        <w:br/>
        <w:t>Comisión y los representantes tienen la condición y los  vínculos  afectivos</w:t>
        <w:br/>
        <w:t>alegados[11].</w:t>
        <w:br/>
        <w:br/>
        <w:t xml:space="preserve">                                      *</w:t>
        <w:br/>
        <w:t xml:space="preserve">                                  *      *</w:t>
        <w:br/>
        <w:br/>
        <w:t>27.   La Corte observa que al momento de efectuar su allanamiento el  Estado</w:t>
        <w:br/>
        <w:t>no hizo referencia alguna a las pretensiones sobre reparaciones  presentadas</w:t>
        <w:br/>
        <w:t>por la Comisión Interamericana y por los representantes. No obstante, en  la</w:t>
        <w:br/>
        <w:t>referida audiencia pública el Estado expresó que:</w:t>
        <w:br/>
        <w:br/>
        <w:br/>
        <w:t xml:space="preserve">      Existe un quebrantamiento al Derecho a  la  verdad  [..  el  cual]  se</w:t>
        <w:br/>
        <w:t xml:space="preserve">      encuentra subsumido en [los] artículo[s]  8  y  25  de  la  Convención</w:t>
        <w:br/>
        <w:t xml:space="preserve">      Americana  […].  El  Estado  ecuatoriano  demuestra  su  buena  fe  de</w:t>
        <w:br/>
        <w:t xml:space="preserve">      reconocer y de tutelar ese  derecho  a  la  verdad  a  través  de  una</w:t>
        <w:br/>
        <w:t xml:space="preserve">      Comisión de la Verdad que ha sido constituida por el Poder  Ejecutivo,</w:t>
        <w:br/>
        <w:t xml:space="preserve">      por el Presidente de la República, y que  investigará  a  cabalidad  y</w:t>
        <w:br/>
        <w:t xml:space="preserve">      recabará toda la prueba documental, pericial y  testimonial  que  haga</w:t>
        <w:br/>
        <w:t xml:space="preserve">      mérito para que se inicie un  proceso  penal  con  el  respeto  a  las</w:t>
        <w:br/>
        <w:t xml:space="preserve">      debidas garantías judiciales y sobre todo para asegurar el  derecho  a</w:t>
        <w:br/>
        <w:t xml:space="preserve">      la verdad de las presuntas víctimas.</w:t>
        <w:br/>
        <w:br/>
        <w:br/>
        <w:t xml:space="preserve">      […]  El  régimen  de  excepción  va  a  ser  debidamente  regulado   y</w:t>
        <w:br/>
        <w:t xml:space="preserve">      estrictamente monitoreado por los asambleístas que van a participar en</w:t>
        <w:br/>
        <w:t xml:space="preserve">      la próxima Asamblea Constituyente  que  está  por  conformarse  en  el</w:t>
        <w:br/>
        <w:t xml:space="preserve">      Ecuador. Ese ha sido un compromiso asumido por el  Gobierno  Nacional,</w:t>
        <w:br/>
        <w:t xml:space="preserve">      por la Procuraduría General del Estado, que  va  a  presentar  algunos</w:t>
        <w:br/>
        <w:t xml:space="preserve">      proyectos de ley y proyectos de normas constitucionales que restrinjan</w:t>
        <w:br/>
        <w:t xml:space="preserve">      el uso indiscriminado que en ciertas ocasiones se puede dar del estado</w:t>
        <w:br/>
        <w:t xml:space="preserve">      de excepción […].</w:t>
        <w:br/>
        <w:br/>
        <w:br/>
        <w:t xml:space="preserve">      El Estado reitera su voluntad de cumplir con las eventuales medidas de</w:t>
        <w:br/>
        <w:t xml:space="preserve">      reparación que la Corte Interamericana pueda fijar.</w:t>
        <w:br/>
        <w:br/>
        <w:t>28.   Estas  manifestaciones  fueron  reiteradas  en  sus  alegatos  finales</w:t>
        <w:br/>
        <w:t>escritos, en los cuales el Estado agregó, inter alia, que:</w:t>
        <w:br/>
        <w:br/>
        <w:t xml:space="preserve">      [l]as muertes inintencionales y accidentales que generaron  este  caso</w:t>
        <w:br/>
        <w:t xml:space="preserve">      merecen ser esclarecidas, como de seguro lo serán mediante la Comisión</w:t>
        <w:br/>
        <w:t xml:space="preserve">      de la Verdad  y  consecuentemente,  la  Justicia  interna.  El  Estado</w:t>
        <w:br/>
        <w:t xml:space="preserve">      ecuatoriano  asume  la  responsabilidad  de  investigar  y   sancionar</w:t>
        <w:br/>
        <w:t xml:space="preserve">      responsables una vez que se  establezca  la  veracidad  sobre  lo  que</w:t>
        <w:br/>
        <w:t xml:space="preserve">      acaeció el día de los hechos toda vez  que  el  Congreso  Nacional  se</w:t>
        <w:br/>
        <w:t xml:space="preserve">      encuentra debatiendo una ley de repetición de  responsabilidades,  que</w:t>
        <w:br/>
        <w:t xml:space="preserve">      se pretende convertir en un proyecto de ejecución  de  sentencias  del</w:t>
        <w:br/>
        <w:t xml:space="preserve">      Sistema Interamericano y de repetición por parte del Estado contra los</w:t>
        <w:br/>
        <w:t xml:space="preserve">      agentes responsables si así apareciere de los méritos del proceso.</w:t>
        <w:br/>
        <w:br/>
        <w:br/>
        <w:t xml:space="preserve">      […]</w:t>
        <w:br/>
        <w:br/>
        <w:br/>
        <w:t xml:space="preserve">      Además el Estado se compromete a través de la Procuraduría  General  a</w:t>
        <w:br/>
        <w:t xml:space="preserve">      ejecutar un proceso de prevención,  capacitación  y  difusión  de  una</w:t>
        <w:br/>
        <w:t xml:space="preserve">      política pública educativa en Derechos Humanos para el sector público,</w:t>
        <w:br/>
        <w:t xml:space="preserve">      procedimiento que se encuentra en proceso de implementación  a  través</w:t>
        <w:br/>
        <w:t xml:space="preserve">      de un “Manual de Procedimiento para el Sector Público” que tendrá  una</w:t>
        <w:br/>
        <w:t xml:space="preserve">      difusión nacional  y  en  la  que  intervienen  organizaciones  de  la</w:t>
        <w:br/>
        <w:t xml:space="preserve">      sociedad civil, instituciones académicas y  por  supuesto,  el  Estado</w:t>
        <w:br/>
        <w:t xml:space="preserve">      ecuatoriano […].</w:t>
        <w:br/>
        <w:br/>
        <w:br/>
        <w:t>29.   Sin perjuicio de los efectos que estas manifestaciones  puedan  tener,</w:t>
        <w:br/>
        <w:t>que serán determinados en el capítulo correspondiente, la Corte  estima  que</w:t>
        <w:br/>
        <w:t>subsiste la controversia respecto de las pretensiones sobre  reparaciones  y</w:t>
        <w:br/>
        <w:t>costas.</w:t>
        <w:br/>
        <w:br/>
        <w:t xml:space="preserve">                                      *</w:t>
        <w:br/>
        <w:t xml:space="preserve">                                   *     *</w:t>
        <w:br/>
        <w:br/>
        <w:t>30.   La Corte considera que el reconocimiento  parcial  de  responsabilidad</w:t>
        <w:br/>
        <w:t>efectuado por el Estado constituye una contribución positiva  al  desarrollo</w:t>
        <w:br/>
        <w:t>de este proceso, al buen despacho de la  jurisdicción  interamericana  sobre</w:t>
        <w:br/>
        <w:t>derechos humanos, en general, a la vigencia de los principios  que  inspiran</w:t>
        <w:br/>
        <w:t>la Convención Americana y a la conducta de los Estados en esta  materia[12].</w:t>
        <w:br/>
        <w:br/>
        <w:br/>
        <w:t>31.   Teniendo en cuenta las atribuciones que le incumben de  velar  por  la</w:t>
        <w:br/>
        <w:t>mejor protección de los derechos humanos y el  contexto  en  que  ocurrieron</w:t>
        <w:br/>
        <w:t>los hechos del presente  caso,  el  Tribunal  estima  necesario  dictar  una</w:t>
        <w:br/>
        <w:t>sentencia en la cual se determinen los hechos y  los  elementos  pertinentes</w:t>
        <w:br/>
        <w:t>del fondo del asunto, así como las correspondientes consecuencias,  lo  cual</w:t>
        <w:br/>
        <w:t>constituye una forma de  reparación  para  los  familiares  de  los  señores</w:t>
        <w:br/>
        <w:t>Wilmer Zambrano Vélez, Segundo Olmedo Caicedo Cobeña y José  Miguel  Caicedo</w:t>
        <w:br/>
        <w:t>Cobeña, una contribución a la preservación  de  la  memoria  histórica  y  a</w:t>
        <w:br/>
        <w:t>evitar que se repitan hechos similares, y a satisfacer, en suma,  los  fines</w:t>
        <w:br/>
        <w:t>de  la  jurisdicción  interamericana  sobre  derechos  humanos[13].  De  tal</w:t>
        <w:br/>
        <w:t>manera,  sin  perjuicio  de  los  alcances  del  reconocimiento  parcial  de</w:t>
        <w:br/>
        <w:t>responsabilidad efectuado por  el  Estado,  la  Corte  considera  pertinente</w:t>
        <w:br/>
        <w:t>valorar los hechos del presente caso,  tanto  los  reconocidos  por  Ecuador</w:t>
        <w:br/>
        <w:t>(supra párrs. 17 a 21) como los demás incluidos en la  demanda.  Además,  la</w:t>
        <w:br/>
        <w:t>Corte estima necesario hacer algunas precisiones respecto de  la  manera  en</w:t>
        <w:br/>
        <w:t>que  las  violaciones  ocurridas  se  han  manifestado  en  el  contexto   y</w:t>
        <w:br/>
        <w:t>circunstancias del caso, así como de ciertos alcances relacionados  con  las</w:t>
        <w:br/>
        <w:t>obligaciones establecidas en la Convención Americana, para  lo  cual  abrirá</w:t>
        <w:br/>
        <w:t>los capítulos respectivos. En dichos capítulos la  Corte  también  analizará</w:t>
        <w:br/>
        <w:t>los hechos, lo alegado en cuanto al  fondo  y  las  eventuales  reparaciones</w:t>
        <w:br/>
        <w:t>respecto de los  cuales  se  encuentre  abierta  la  controversia  sobre  la</w:t>
        <w:br/>
        <w:t>responsabilidad internacional del Estado.</w:t>
        <w:br/>
        <w:br/>
        <w:br/>
        <w:br/>
        <w:t xml:space="preserve">                                      V</w:t>
        <w:br/>
        <w:t xml:space="preserve">                                   Prueba</w:t>
        <w:br/>
        <w:br/>
        <w:t>32.   Con base en lo establecido en los artículos 44 y  45  del  Reglamento,</w:t>
        <w:br/>
        <w:t>así como  la  jurisprudencia  del  Tribunal  respecto  de  la  prueba  y  su</w:t>
        <w:br/>
        <w:t>valoración[14], la Corte  procederá  a  examinar  y  valorar  los  elementos</w:t>
        <w:br/>
        <w:t>probatorios documentales remitidos por la Comisión y los  representantes  en</w:t>
        <w:br/>
        <w:t>diversas oportunidades procesales o como prueba para mejor resolver que  les</w:t>
        <w:br/>
        <w:t>fue solicitada por instrucciones del Presidente, así como las  declaraciones</w:t>
        <w:br/>
        <w:t>testimoniales y periciales rendidas mediante  affidávit  o  ante  la  Corte.</w:t>
        <w:br/>
        <w:t>Para ello el Tribunal se atendrá  a  los  principios  de  la  sana  crítica,</w:t>
        <w:br/>
        <w:t>dentro del marco legal correspondiente[15].</w:t>
        <w:br/>
        <w:br/>
        <w:br/>
        <w:br/>
        <w:t xml:space="preserve">               a)    Prueba documental, testimonial y pericial</w:t>
        <w:br/>
        <w:br/>
        <w:t>33.   La Corte destaca que, al momento de notificar  la  demanda,  siguiendo</w:t>
        <w:br/>
        <w:t>instrucciones del Presidente y en atención a lo solicitado por  la  Comisión</w:t>
        <w:br/>
        <w:t>en el párrafo 135 de la demanda, se solicitó al Estado  que  al  momento  de</w:t>
        <w:br/>
        <w:t>presentar su escrito  de  contestación  a  la  demanda  y  observaciones  al</w:t>
        <w:br/>
        <w:t>escrito  de  solicitudes,  argumentos  y  pruebas  de  los   representantes,</w:t>
        <w:br/>
        <w:t>remitiera copias íntegras y legibles de cualquier investigación  judicial  o</w:t>
        <w:br/>
        <w:t>administrativa y de cualquier otro procedimiento, de  cualquier  naturaleza,</w:t>
        <w:br/>
        <w:t>abiertos a nivel interno en relación con los hechos del presente caso y,  en</w:t>
        <w:br/>
        <w:t>su caso, información acerca de su estado  actual.  A  pesar  de  haber  sido</w:t>
        <w:br/>
        <w:t>reiterada en tres oportunidades  posteriores[16],  esa  información  no  fue</w:t>
        <w:br/>
        <w:t>presentada  por  el  Estado.  Además,  el  Estado  no  presentó  la   última</w:t>
        <w:br/>
        <w:t>documentación e información solicitada para los mismos efectos (supra  párr.</w:t>
        <w:br/>
        <w:t>7). La Corte recuerda que las partes deben allegar al Tribunal  las  pruebas</w:t>
        <w:br/>
        <w:t>que les sean requeridas por el mismo, para contar con  el  mayor  número  de</w:t>
        <w:br/>
        <w:t>elementos de juicio para conocer los hechos y motivar sus decisiones.</w:t>
        <w:br/>
        <w:br/>
        <w:t>34.   Los testigos propuestos por la Comisión, a saber  Vanner  Omar  Olmedo</w:t>
        <w:br/>
        <w:t>Macías, Teresa María Susana Cedeño Paz y Alicia Marlene  Rodríguez  Villegas</w:t>
        <w:br/>
        <w:t>declararon “sobre los hechos acontecidos la madrugada  del  6  de  marzo  de</w:t>
        <w:br/>
        <w:t>1993  cuando  [supuestamente]  agentes   de   las   fuerzas   de   seguridad</w:t>
        <w:br/>
        <w:t>ecuatorianas  [habrían  ingresado]  violentamente  a  su  casa  y   [habrían</w:t>
        <w:br/>
        <w:t>ejecutado a] su padre [o a su compañero, según el caso,] en presencia de  su</w:t>
        <w:br/>
        <w:t>familia”.</w:t>
        <w:br/>
        <w:br/>
        <w:t>35.   Con base en similares argumentos  a  los  expuestos  por  la  Comisión</w:t>
        <w:br/>
        <w:t>respecto de la declaración de la  señora  Jessica  Marlene  Baque  Rodríguez</w:t>
        <w:br/>
        <w:t>(supra párr. 25), los representantes remitieron una  declaración  del  señor</w:t>
        <w:br/>
        <w:t>Ubaldo Aquilino Angulo Plaza, quien supuestamente vivía  frente  a  la  casa</w:t>
        <w:br/>
        <w:t>que habitaba el señor Segundo Olmedo Caicedo Cobeña y que  “el  día  de  los</w:t>
        <w:br/>
        <w:t>hechos observó desde su domicilio cómo elementos del ejército  [lo]  sacaban</w:t>
        <w:br/>
        <w:t>con vida y lo embarcaban en un camión del  Ejército,  del  cual  lo  bajaron</w:t>
        <w:br/>
        <w:t>posteriormente  y  llevaron  nuevamente  al  interior  de  la  casa  en  que</w:t>
        <w:br/>
        <w:t>[supuestamente] lo  asesinaron”.  De  la  misma  manera,  se  informó  a  la</w:t>
        <w:br/>
        <w:t>Comisión y al Estado que podían presentar las  observaciones  que  estimaren</w:t>
        <w:br/>
        <w:t>pertinentes, las cuales no fueron recibidas.</w:t>
        <w:br/>
        <w:br/>
        <w:t>36.   Además, fue aportada la declaración  rendida  ante  fedatario  público</w:t>
        <w:br/>
        <w:t>por el  señor  Ernesto  Teófilo  López  Freire,  perito  propuesto  por  los</w:t>
        <w:br/>
        <w:t>representantes, quien declaró sobre el derecho ecuatoriano referente  a  las</w:t>
        <w:br/>
        <w:t>atribuciones del Poder Ejecutivo para decretar estados de emergencia.</w:t>
        <w:br/>
        <w:br/>
        <w:br/>
        <w:br/>
        <w:br/>
        <w:t xml:space="preserve">                        b)    Valoración de la Prueba</w:t>
        <w:br/>
        <w:br/>
        <w:t>37.   En este caso, como en otros[17], en aplicación de los  artículos  45.1</w:t>
        <w:br/>
        <w:t>y 45.2 del Reglamento, el Tribunal admite el valor  probatorio  de  aquellos</w:t>
        <w:br/>
        <w:t>documentos y aclaraciones remitidos por  las  partes  oportunamente  o  como</w:t>
        <w:br/>
        <w:t>prueba para mejor resolver, que no fueron controvertidos  ni  objetados,  ni</w:t>
        <w:br/>
        <w:t>cuya autenticidad fue puesta en duda.</w:t>
        <w:br/>
        <w:br/>
        <w:t>38.   En cuanto a los documentos de prensa presentados por  las  partes,  en</w:t>
        <w:br/>
        <w:t>su contestación a  la  demanda  el  Estado  manifestó  que  “la  información</w:t>
        <w:br/>
        <w:t>[contenida en ellos] es confusa y se  contradice  entre  sí[.]  De  ello  se</w:t>
        <w:br/>
        <w:t>deduce que, ante la duda de la veracidad de los  relatos  no  se  los  puede</w:t>
        <w:br/>
        <w:t>asumir como hechos probados, dado que estos recortes de prensa  ni  siquiera</w:t>
        <w:br/>
        <w:t>pueden confirmar entre sí las versiones que  divulgan”.   Agregó  el  Estado</w:t>
        <w:br/>
        <w:t>que la Corte puede “fundamentar sus sentencias  en  pruebas  indirectas  […]</w:t>
        <w:br/>
        <w:t>cuando  son  coherentes,  se  confirman  entre   sí   y   permiten   inferir</w:t>
        <w:br/>
        <w:t>conclusiones  sólidas  sobre  los  hechos  que   se   examinan”;   argumento</w:t>
        <w:br/>
        <w:t>reafirmado en la audiencia pública. Sin embargo, en la citada  audiencia  el</w:t>
        <w:br/>
        <w:t>Estado alegó, con base en recortes  de  prensa,  que  fue  “de  conocimiento</w:t>
        <w:br/>
        <w:t>público” el  hecho  que  fueron  encontradas  armas  en  las  casas  de  las</w:t>
        <w:br/>
        <w:t>presuntas víctimas. Establecida la controversia  subsistente  en  este  caso</w:t>
        <w:br/>
        <w:t>(supra  párrs.  16),  este  Tribunal  apreciará  los  documentos  de  prensa</w:t>
        <w:br/>
        <w:t>únicamente cuando recojan hechos públicos  y  notorios  o  declaraciones  de</w:t>
        <w:br/>
        <w:t>funcionarios del Estado, o cuando corroboren aspectos  relacionados  con  el</w:t>
        <w:br/>
        <w:t>caso[18] y acreditados por otros medios[19].</w:t>
        <w:br/>
        <w:br/>
        <w:t>39.   En cuanto a los testimonios y  al  peritaje  rendidos,  la  Corte  los</w:t>
        <w:br/>
        <w:t>estima pertinentes en cuanto se ajusten al objeto que fue  definido  por  el</w:t>
        <w:br/>
        <w:t>Presidente en la Resolución  en  que  ordenó  recibirlos  (supra  párr.  7).</w:t>
        <w:br/>
        <w:t>Asimismo, la Corte acepta, en tanto resulten útiles  para  la  determinación</w:t>
        <w:br/>
        <w:t>de hechos del  presente  caso,  las  declaraciones  escritas  rendidas  ante</w:t>
        <w:br/>
        <w:t>notario público por la señora Jessica  Marlene  Baque  Rodríguez  y  por  el</w:t>
        <w:br/>
        <w:t>señor Ubaldo Aquilino Angulo Plaza, aportadas por  la  Comisión  y  por  los</w:t>
        <w:br/>
        <w:t>representantes, respectivamente, tomando  en  cuenta  que  se  garantizó  el</w:t>
        <w:br/>
        <w:t>derecho de defensa a las partes y que no fue presentada oposición alguna  al</w:t>
        <w:br/>
        <w:t>respecto.</w:t>
        <w:br/>
        <w:br/>
        <w:t>40.   Este Tribunal estima que las declaraciones testimoniales de  presuntas</w:t>
        <w:br/>
        <w:t>víctimas o sus familiares no pueden  ser  valoradas  aisladamente  dado  que</w:t>
        <w:br/>
        <w:t>tienen un interés directo en este caso, razón por la cual las  rendidas  por</w:t>
        <w:br/>
        <w:t>los  familiares  de  las  presuntas  víctimas  serán  valoradas  dentro  del</w:t>
        <w:br/>
        <w:t>conjunto de las pruebas del proceso[20].</w:t>
        <w:br/>
        <w:br/>
        <w:t xml:space="preserve">                                      *</w:t>
        <w:br/>
        <w:t xml:space="preserve">                                   *     *</w:t>
        <w:br/>
        <w:br/>
        <w:t>41.   Efectuado el examen de los elementos probatorios  que  constan  en  el</w:t>
        <w:br/>
        <w:t>expediente del presente caso, de las  manifestaciones  de  las  partes,  así</w:t>
        <w:br/>
        <w:t>como del reconocimiento parcial de responsabilidad  internacional  efectuado</w:t>
        <w:br/>
        <w:t>por el Estado  (supra  párrs.  8  a  31),  la  Corte  pasa  a  analizar  las</w:t>
        <w:br/>
        <w:t>violaciones alegadas en el presente caso, en consideración de los hechos  ya</w:t>
        <w:br/>
        <w:t>reconocidos y de los que resulten probados[21] incluidos  en  cada  capítulo</w:t>
        <w:br/>
        <w:t>según corresponda. Asimismo,  la  Corte  considerará  los  alegatos  de  las</w:t>
        <w:br/>
        <w:t>partes que sea pertinente analizar,  tomando  en  cuenta  el  reconocimiento</w:t>
        <w:br/>
        <w:t>parcial de responsabilidad efectuado por el Estado.</w:t>
        <w:br/>
        <w:br/>
        <w:br/>
        <w:t xml:space="preserve">                                     VI</w:t>
        <w:br/>
        <w:br/>
        <w:t xml:space="preserve">                  artículo 27 (Suspensión de garantías)[22]</w:t>
        <w:br/>
        <w:br/>
        <w:br/>
        <w:t xml:space="preserve"> en relación con los artículos 1 (Obligación de respetar los Derechos)[23],</w:t>
        <w:br/>
        <w:t xml:space="preserve"> 2 (Deber de adoptar disposiciones de derecho interno)[24], 4 (Derecho a la</w:t>
        <w:br/>
        <w:t xml:space="preserve">     Vida), 8.1 (Garantías Judiciales) y 25 (Protección Judicial) de la</w:t>
        <w:br/>
        <w:t xml:space="preserve">                            Convención Americana</w:t>
        <w:br/>
        <w:br/>
        <w:br/>
        <w:br/>
        <w:t>42.   Con base en el reconocimiento  parcial  de  responsabilidad  realizado</w:t>
        <w:br/>
        <w:t>por el Estado, el Tribunal consideró  que  el  Estado  había  reconocido  su</w:t>
        <w:br/>
        <w:t>responsabilidad por el incumplimiento  del  artículo  27  de  la  Convención</w:t>
        <w:br/>
        <w:t>Americana (supra párr. 16).  La Corte considera oportuno, sin  perjuicio  de</w:t>
        <w:br/>
        <w:t>ello, realizar algunas consideraciones generales y precisiones respecto  del</w:t>
        <w:br/>
        <w:t>mencionado artículo en relación con el contexto  del  presente  caso  y  las</w:t>
        <w:br/>
        <w:t>otras violaciones alegadas o reconocidas.</w:t>
        <w:br/>
        <w:br/>
        <w:br/>
        <w:t>43.   En relación con la interpretación del artículo 27  de  la  Convención,</w:t>
        <w:br/>
        <w:t>la Corte ha establecido que:</w:t>
        <w:br/>
        <w:br/>
        <w:br/>
        <w:t xml:space="preserve">      [e]l análisis jurídico del […] artículo 27 y de la función que  cumple</w:t>
        <w:br/>
        <w:t xml:space="preserve">      debe partir de la consideración de que es un precepto  concebido  sólo</w:t>
        <w:br/>
        <w:t xml:space="preserve">      para situaciones excepcionales.  Se  aplica  únicamente  “en  caso  de</w:t>
        <w:br/>
        <w:t xml:space="preserve">      guerra, de peligro  público  o  de  otra  emergencia  que  amenace  la</w:t>
        <w:br/>
        <w:t xml:space="preserve">      independencia o seguridad del Estado Parte”.  Aun  entonces,  autoriza</w:t>
        <w:br/>
        <w:t xml:space="preserve">      solamente la suspensión de ciertos derechos y libertades, y  ello  “en</w:t>
        <w:br/>
        <w:t xml:space="preserve">      la medida y por el tiempo estrictamente limitados a las exigencias  de</w:t>
        <w:br/>
        <w:t xml:space="preserve">      la situación”. Las disposiciones que  se  adopten,  además,  no  deben</w:t>
        <w:br/>
        <w:t xml:space="preserve">      violar otras obligaciones internacionales del Estado Parte,  ni  deben</w:t>
        <w:br/>
        <w:t xml:space="preserve">      entrañar “discriminación alguna fundada en  motivos  de  raza,  color,</w:t>
        <w:br/>
        <w:t xml:space="preserve">      sexo, idioma, religión u origen social”[25].</w:t>
        <w:br/>
        <w:br/>
        <w:br/>
        <w:t>44.   Los hechos del presente caso se enmarcaron en un contexto  en  el  que</w:t>
        <w:br/>
        <w:t>algunas de las principales ciudades del  Ecuador  se  vieron  afectadas  por</w:t>
        <w:br/>
        <w:t>graves hechos de delincuencia, que conllevaron a un clima de  inseguridad  y</w:t>
        <w:br/>
        <w:t>conmoción interna. Ante dicha  situación,  y  en  el  marco  de  la  Ley  de</w:t>
        <w:br/>
        <w:t>Seguridad Nacional, según reconoció el Estado (supra párrs.  17  a  19),  el</w:t>
        <w:br/>
        <w:t>Presidente de la República dictó el Decreto No. 86[26] de  3  de  septiembre</w:t>
        <w:br/>
        <w:t>de 1992, el cual establecía:</w:t>
        <w:br/>
        <w:br/>
        <w:br/>
        <w:t xml:space="preserve">                                Considerando</w:t>
        <w:br/>
        <w:br/>
        <w:br/>
        <w:t xml:space="preserve">      Que en todo el territorio nacional y, especialmente en las ciudades de</w:t>
        <w:br/>
        <w:t xml:space="preserve">      Quito  y  Guayaquil,  continúan  suscitándose  hechos  de  vandalismo,</w:t>
        <w:br/>
        <w:t xml:space="preserve">      atentados contra la integridad física de las personas y  considerables</w:t>
        <w:br/>
        <w:t xml:space="preserve">      perjuicios a la propiedad pública y privada, que  han  determinado  un</w:t>
        <w:br/>
        <w:t xml:space="preserve">      grave estado de conmoción interna;</w:t>
        <w:br/>
        <w:br/>
        <w:br/>
        <w:t xml:space="preserve">      Que es  indispensable  mantener  y  defender  el  sistema  jurídico  y</w:t>
        <w:br/>
        <w:t xml:space="preserve">      democrático de la República,  así  como  precautelar  el  orden  y  la</w:t>
        <w:br/>
        <w:t xml:space="preserve">      seguridad de  los  habitantes  del  ECUADOR,  arbitrando  las  medidas</w:t>
        <w:br/>
        <w:t xml:space="preserve">      adecuadas; y</w:t>
        <w:br/>
        <w:br/>
        <w:br/>
        <w:t xml:space="preserve">      En ejercicio de las atribuciones legales,</w:t>
        <w:br/>
        <w:br/>
        <w:br/>
        <w:t xml:space="preserve">      ARTICULO PRIMERO.- Dispónese la intervención de las Fuerzas Armadas en</w:t>
        <w:br/>
        <w:t xml:space="preserve">      todo el territorio nacional, como medio de precautelar la seguridad de</w:t>
        <w:br/>
        <w:t xml:space="preserve">      las personas y de los bienes públicos y privados.</w:t>
        <w:br/>
        <w:br/>
        <w:br/>
        <w:t xml:space="preserve">      ARTICULO SEGUNDO.- El presente Decreto entrará en  vigencia  desde  la</w:t>
        <w:br/>
        <w:t xml:space="preserve">      presente fecha, sin perjuicio de su publicación en el Registro Oficial</w:t>
        <w:br/>
        <w:t xml:space="preserve">      y de su cumplimiento encárguese el señor Ministro de Defensa Nacional.</w:t>
        <w:br/>
        <w:br/>
        <w:t>45.   Al respecto, la Corte recuerda que,</w:t>
        <w:br/>
        <w:br/>
        <w:br/>
        <w:t xml:space="preserve">      [h]abida  cuenta  de  que  el  artículo   27.1   contempla   distintas</w:t>
        <w:br/>
        <w:t xml:space="preserve">      situaciones y  dado,  además,  que  las  medidas  que  se  adopten  en</w:t>
        <w:br/>
        <w:t xml:space="preserve">      cualquiera de estas emergencias deben ser ajustadas a “las  exigencias</w:t>
        <w:br/>
        <w:t xml:space="preserve">      de la situación”, resulta claro que lo permisible  en  unas  de  ellas</w:t>
        <w:br/>
        <w:t xml:space="preserve">      podría no serlo en otras. La juridicidad de las medidas que se adopten</w:t>
        <w:br/>
        <w:t xml:space="preserve">      para enfrentar cada una de las situaciones especiales a que se refiere</w:t>
        <w:br/>
        <w:t xml:space="preserve">      el  artículo  27.1  dependerá,  entonces,  del  carácter,  intensidad,</w:t>
        <w:br/>
        <w:t xml:space="preserve">      profundidad y particular contexto de la emergencia,  así  como  de  la</w:t>
        <w:br/>
        <w:t xml:space="preserve">      proporcionalidad y razonabilidad que  guarden  las  medidas  adoptadas</w:t>
        <w:br/>
        <w:t xml:space="preserve">      respecto de ella[27].</w:t>
        <w:br/>
        <w:br/>
        <w:br/>
        <w:t>46.   En  el  mismo  sentido,  la  Corte  Europea  de  Derechos  Humanos  ha</w:t>
        <w:br/>
        <w:t>manifestado que para que se justifique un estado de excepción es  necesario:</w:t>
        <w:br/>
        <w:t>a) que exista una situación excepcional de crisis o emergencia; b) que  ésta</w:t>
        <w:br/>
        <w:t>afecte a toda la población, y c)  que  constituya  una  amenaza  a  la  vida</w:t>
        <w:br/>
        <w:t>organizada de la sociedad[28].</w:t>
        <w:br/>
        <w:br/>
        <w:t>47.   Es obligación del Estado determinar las razones y motivos  que  llevan</w:t>
        <w:br/>
        <w:t>a las autoridades internas a declarar un estado de emergencia y  corresponde</w:t>
        <w:br/>
        <w:t>a éstas ejercer el adecuado y efectivo control de esa  situación  y  que  la</w:t>
        <w:br/>
        <w:t>suspensión declarada se encuentre, conforme a la Convención, “en  la  medida</w:t>
        <w:br/>
        <w:t>y por el tiempo estrictamente limitados a las exigencias de  la  situación”.</w:t>
        <w:br/>
        <w:t>Los Estados no gozan de una discrecionalidad  ilimitada  y  corresponderá  a</w:t>
        <w:br/>
        <w:t>los órganos del sistema interamericano,  en  el  marco  de  sus  respectivas</w:t>
        <w:br/>
        <w:t>competencias, ejercer ese control en forma subsidiaria y complementaria.  En</w:t>
        <w:br/>
        <w:t>este caso, la Corte analiza la conformidad de  los  actos  estatales  en  el</w:t>
        <w:br/>
        <w:t>marco de las obligaciones consagradas en el artículo 27  de  la  Convención,</w:t>
        <w:br/>
        <w:t>en relación con las otras  disposiciones  de  la  Convención  objeto  de  la</w:t>
        <w:br/>
        <w:t>controversia.</w:t>
        <w:br/>
        <w:br/>
        <w:br/>
        <w:t>48.   En el  presente  caso,  las  autoridades  estatales  consideraron  que</w:t>
        <w:br/>
        <w:t>existía “un grave estado de conmoción interna [… en] el territorio  nacional</w:t>
        <w:br/>
        <w:t>y, especialmente en las ciudades de Quito y  Guayaquil”,  como  consecuencia</w:t>
        <w:br/>
        <w:t>de “hechos de vandalismo, atentados  contra  la  integridad  física  de  las</w:t>
        <w:br/>
        <w:t>personas y considerables perjuicios a la propiedad pública y  privada”,  que</w:t>
        <w:br/>
        <w:t>requería la adopción de medidas excepcionales.  Sin  embargo,  del  análisis</w:t>
        <w:br/>
        <w:t>del mencionado Decreto No. 86, la Corte observa que éste no fijó  un  límite</w:t>
        <w:br/>
        <w:t>espacial definido.  Por  el  contrario,  dispuso  “la  intervención  de  las</w:t>
        <w:br/>
        <w:t>Fuerzas Armadas en todo el territorio nacional, como  medio  de  precautelar</w:t>
        <w:br/>
        <w:t>la seguridad de las personas y de los bienes  públicos  y  privados”  (supra</w:t>
        <w:br/>
        <w:t>párr. 44). En  tales  términos,  el  Decreto  tampoco  determinó  un  límite</w:t>
        <w:br/>
        <w:t>temporal para la intervención militar, que permitiera saber la  duración  de</w:t>
        <w:br/>
        <w:t>la misma, ni estableció los derechos que serían suspendidos,  es  decir,  el</w:t>
        <w:br/>
        <w:t>alcance material de la suspensión. La  Ley  de  Seguridad  Nacional  tampoco</w:t>
        <w:br/>
        <w:t>establecía estos límites. En  relación  con  esto,  el  Comité  de  Derechos</w:t>
        <w:br/>
        <w:t>Humanos de Naciones Unidas ha sostenido que un  estado  de  emergencia  debe</w:t>
        <w:br/>
        <w:t>cumplir con los  requisitos  de  “duración,  […]  ámbito  geográfico  y  […]</w:t>
        <w:br/>
        <w:t>alcance material” [29].</w:t>
        <w:br/>
        <w:br/>
        <w:t>49.   Al respecto, el  Estado  alegó  que  el  “decreto  de  emergencia  fue</w:t>
        <w:br/>
        <w:t>expedido  en  un  contexto  de  violencia  nacional  [y]  continental”,  “un</w:t>
        <w:br/>
        <w:t>contexto de alarmante inseguridad,  incremento  de  la  violencia  y  alarma</w:t>
        <w:br/>
        <w:t>ciudadana”, y que el decreto “tiene su razón de ser dado que en  el  Ecuador</w:t>
        <w:br/>
        <w:t>de aquel entonces, el grupo subversivo “Puca Inti” o “Sol Rojo” iniciaba  su</w:t>
        <w:br/>
        <w:t>gestación en territorio nacional”. El Estado manifestó que “el  concepto  de</w:t>
        <w:br/>
        <w:t>seguridad nacional, definido en el artículo 2 de la Ley  de  la  materia  no</w:t>
        <w:br/>
        <w:t>sólo implica  la  conservación  del  orden  interno,  sino  que  implica  la</w:t>
        <w:br/>
        <w:t>preservación de valores colectivos que tienen que ver con  la  supervivencia</w:t>
        <w:br/>
        <w:t>de la Nación[; el] hecho de que Ecuador en la actualidad sea un país con  un</w:t>
        <w:br/>
        <w:t>exiguo grado de elementos  subversivos  se  ha  dado  gracias  a  la  pronta</w:t>
        <w:br/>
        <w:t>actuación de la Fuerza Pública en momentos precisos de la  historia  con  el</w:t>
        <w:br/>
        <w:t>fin último de defender la paz social”.</w:t>
        <w:br/>
        <w:br/>
        <w:t>50.   En relación con el Decreto de emergencia, con  base  en  sus  informes</w:t>
        <w:br/>
        <w:t>por país, la Comisión alegó que “entre mediados de 1992 y mediados  de  1996</w:t>
        <w:br/>
        <w:t>[se] declaró el estado de emergencia o la suspensión  de  garantías  […]  en</w:t>
        <w:br/>
        <w:t>Ecuador al menos  siete  veces”.  Citando  su  informe  anual  de  1998,  la</w:t>
        <w:br/>
        <w:t>Comisión consideró, respecto del  Ecuador,  que  “combatir  la  delincuencia</w:t>
        <w:br/>
        <w:t>mediante la suspensión de garantías individuales en  virtud  del  estado  de</w:t>
        <w:br/>
        <w:t>emergencia, no se  ajusta  a  los  parámetros  exigidos  por  la  Convención</w:t>
        <w:br/>
        <w:t>Americana para que sea procedente su declaración [y que el] Estado  tiene  y</w:t>
        <w:br/>
        <w:t>debe contar con  otros  mecanismos  para  canalizar  el  malestar  social  y</w:t>
        <w:br/>
        <w:t>combatir la delincuencia que  no  signifiquen  la  derogación  de  garantías</w:t>
        <w:br/>
        <w:t>esenciales de la población”[30].   Por su parte,  el  Estado  “rechaz[ó]  lo</w:t>
        <w:br/>
        <w:t>manifestado por el representante [… en cuanto a que] es  un  modus  operandi</w:t>
        <w:br/>
        <w:t>del Gobierno ecuatoriano emitir decretos de  emergencia  y  suspensiones  de</w:t>
        <w:br/>
        <w:t>garantías  constitucionales  de  manera  indiscriminada  y  como  mecanismos</w:t>
        <w:br/>
        <w:t>sistemáticos para combatir la delincuencia común”.</w:t>
        <w:br/>
        <w:br/>
        <w:t>51.   Este Tribunal hace notar que en determinados estados de  emergencia  o</w:t>
        <w:br/>
        <w:t>en situaciones de alteración del orden público,  los  Estados  utilizan  las</w:t>
        <w:br/>
        <w:t>Fuerzas Armadas para controlar la situación. Al respecto,  la  Corte  estima</w:t>
        <w:br/>
        <w:t>absolutamente necesario enfatizar en el  extremo  cuidado  que  los  Estados</w:t>
        <w:br/>
        <w:t>deben observar al utilizar las Fuerzas Armadas como elemento de  control  de</w:t>
        <w:br/>
        <w:t>la protesta social,  disturbios  internos,  violencia  interna,  situaciones</w:t>
        <w:br/>
        <w:t>excepcionales y criminalidad común. Tal  como  ha  señalado  este  Tribunal,</w:t>
        <w:br/>
        <w:t>“los Estados deben limitar al máximo el uso de las fuerzas armadas  para  el</w:t>
        <w:br/>
        <w:t>control de disturbios internos, puesto  que  el  entrenamiento  que  reciben</w:t>
        <w:br/>
        <w:t>está dirigido a derrotar al enemigo, y no  a  la  protección  y  control  de</w:t>
        <w:br/>
        <w:t>civiles, entrenamiento que  es  propio  de  los  entes  policiales”[31].  El</w:t>
        <w:br/>
        <w:t>deslinde de las funciones militares y de  policía  debe  guiar  el  estricto</w:t>
        <w:br/>
        <w:t>cumplimiento del deber  de  prevención  y  protección  de  los  derechos  en</w:t>
        <w:br/>
        <w:t>riesgo, a cargo de las autoridades internas. En este  sentido,  se  muestran</w:t>
        <w:br/>
        <w:t>algunos avances, tales como la declaración de “Normas  humanitarias  mínimas</w:t>
        <w:br/>
        <w:t>aplicables en situaciones de estado de excepción” (“Normas  de  Turku”)[32],</w:t>
        <w:br/>
        <w:t>que considera importante reafirmar y desarrollar  principios  que  rijan  el</w:t>
        <w:br/>
        <w:t>comportamiento de todas las personas,  grupos  y  autoridades  en  casos  de</w:t>
        <w:br/>
        <w:t>violencia interna, conflictos étnicos, religiosos y nacionales,  disturbios,</w:t>
        <w:br/>
        <w:t>tensiones y en situaciones excepcionales, así como el  carácter  inderogable</w:t>
        <w:br/>
        <w:t>de determinadas normas en esas  situaciones,  motivada  por  las  siguientes</w:t>
        <w:br/>
        <w:t>razones:</w:t>
        <w:br/>
        <w:br/>
        <w:t xml:space="preserve">      Considerando que hay casos de violencia interna,  conflictos  étnicos,</w:t>
        <w:br/>
        <w:t xml:space="preserve">      religiosos  y  nacionales,   disturbios,   tensiones   y   situaciones</w:t>
        <w:br/>
        <w:t xml:space="preserve">      excepcionales  que  siguen  causando  grave  inestabilidad  y  grandes</w:t>
        <w:br/>
        <w:t xml:space="preserve">      sufrimientos en todas partes del mundo;</w:t>
        <w:br/>
        <w:br/>
        <w:br/>
        <w:t xml:space="preserve">      Alarmada por el aumento del número y la brutalidad de las  violaciones</w:t>
        <w:br/>
        <w:t xml:space="preserve">      de los  derechos  humanos  y  de  las  normas  humanitarias  en  tales</w:t>
        <w:br/>
        <w:t xml:space="preserve">      situaciones; […]</w:t>
        <w:br/>
        <w:br/>
        <w:br/>
        <w:t xml:space="preserve">      Confirmando que cualquier suspensión de las obligaciones  relativas  a</w:t>
        <w:br/>
        <w:t xml:space="preserve">      los derechos humanos durante  un  estado  de  excepción  debe  ceñirse</w:t>
        <w:br/>
        <w:t xml:space="preserve">      estrictamente a los límites previstos en el derecho internacional, que</w:t>
        <w:br/>
        <w:t xml:space="preserve">      algunos derechos no  se  pueden  suspender  nunca  y  que  el  derecho</w:t>
        <w:br/>
        <w:t xml:space="preserve">      humanitario  no  admite  suspensiones  en  razón  de   una   situación</w:t>
        <w:br/>
        <w:t xml:space="preserve">      excepcional;</w:t>
        <w:br/>
        <w:br/>
        <w:br/>
        <w:t xml:space="preserve">      Confirmando además que las medidas  por  las  que  se  suspenden  esas</w:t>
        <w:br/>
        <w:t xml:space="preserve">      obligaciones deben adoptarse respetando estrictamente  los  requisitos</w:t>
        <w:br/>
        <w:t xml:space="preserve">      de procedimiento establecidos en esos instrumentos, que la  imposición</w:t>
        <w:br/>
        <w:t xml:space="preserve">      de un estado de excepción se debe  proclamar  oficialmente,  en  forma</w:t>
        <w:br/>
        <w:t xml:space="preserve">      pública, y de conformidad con las disposiciones  establecidas  por  la</w:t>
        <w:br/>
        <w:t xml:space="preserve">      ley, que las medidas  por  las  que  se  suspenden  esas  obligaciones</w:t>
        <w:br/>
        <w:t xml:space="preserve">      deberán limitarse estrictamente a las exigencias de la situación y que</w:t>
        <w:br/>
        <w:t xml:space="preserve">      esas medidas no deben ser discriminatorias por motivos de raza, color,</w:t>
        <w:br/>
        <w:t xml:space="preserve">      sexo, idioma, religión, u origen social, nacional o étnico[.]</w:t>
        <w:br/>
        <w:br/>
        <w:t>52.   La Corte estima que, una vez determinada una intervención militar  con</w:t>
        <w:br/>
        <w:t>tan amplios alcances y en función de  objetivos  a  su  vez  tan  amplios  y</w:t>
        <w:br/>
        <w:t>difusos (supra párr. 48), la suspensión de garantías que en efecto operó  en</w:t>
        <w:br/>
        <w:t>este caso, y que el Estado reconoció al allanarse  a  la  alegada  violación</w:t>
        <w:br/>
        <w:t>del artículo 27 de la Convención, sobrepasó la  facultad  reconocida  a  los</w:t>
        <w:br/>
        <w:t>Estados por la Convención en el primer inciso de esta disposición.  Si  bien</w:t>
        <w:br/>
        <w:t>los hechos del caso refieren únicamente a la aplicación del Decreto  No.  86</w:t>
        <w:br/>
        <w:t>mencionado, y a este  contexto  se  limita  este  Tribunal,  es  fundamental</w:t>
        <w:br/>
        <w:t>recordar que  la  suspensión  de  garantías  debe  operar  como  una  medida</w:t>
        <w:br/>
        <w:t>estrictamente excepcional para enfrentar reales situaciones  de  emergencia,</w:t>
        <w:br/>
        <w:t>“en la medida y por el tiempo estrictamente limitados a  las  exigencias  de</w:t>
        <w:br/>
        <w:t>la situación”, y no constituye  un  medio  para  enfrentar  la  criminalidad</w:t>
        <w:br/>
        <w:t>común. La Corte valora positivamente  la  manifestación  del  Estado  en  el</w:t>
        <w:br/>
        <w:t>sentido de que se encuentra “frente a un proceso […] de democratizar […]  el</w:t>
        <w:br/>
        <w:t>régimen  de  excepción[,  el  cual]  va  a  ser   debidamente   regulado   y</w:t>
        <w:br/>
        <w:t>estrictamente monitoreado […] en la próxima Asamblea Constituyente que  está</w:t>
        <w:br/>
        <w:t>por  conformarse  en  el  Ecuador  […para  que  se]  restrinja[…]   el   uso</w:t>
        <w:br/>
        <w:t>indiscriminado  que  en  ciertas  ocasiones  se  puede  dar  del  estado  de</w:t>
        <w:br/>
        <w:t>excepción, de esa facultad que tiene el Poder  Ejecutivo  para  decretar  un</w:t>
        <w:br/>
        <w:t>estado de emergencia”.</w:t>
        <w:br/>
        <w:br/>
        <w:t xml:space="preserve">                                      *</w:t>
        <w:br/>
        <w:t xml:space="preserve">                                   *     *</w:t>
        <w:br/>
        <w:br/>
        <w:t>53.    En  cuanto  al  alcance  material  de  la  suspensión  de  garantías,</w:t>
        <w:br/>
        <w:t>corresponde  al  Tribunal  hacer  un  análisis  del  artículo  27.2  de   la</w:t>
        <w:br/>
        <w:t>Convención en relación con el artículo 2 del  mismo  tratado,  respecto  del</w:t>
        <w:br/>
        <w:t>cual ha quedado abierta la controversia (supra párr. 16).</w:t>
        <w:br/>
        <w:br/>
        <w:t>54.   La Corte considera que el Estado tiene la obligación de  asegurar  que</w:t>
        <w:br/>
        <w:t>las garantías judiciales indispensables para la protección de  los  derechos</w:t>
        <w:br/>
        <w:t>y libertades consagrados en la Convención  se  mantengan  vigentes  en  toda</w:t>
        <w:br/>
        <w:t>circunstancia, inclusive durante los estados de excepción. Este Tribunal  ha</w:t>
        <w:br/>
        <w:t>entendido anteriormente que  se  consideran  como  garantías  indispensables</w:t>
        <w:br/>
        <w:t>aquellos procedimientos  judiciales  que  ordinariamente  son  idóneos  para</w:t>
        <w:br/>
        <w:t>garantizar la plenitud del ejercicio de los derechos y  libertades[33],  las</w:t>
        <w:br/>
        <w:t>cuales serán distintas según los  derechos  afectados[34].  Tales  garantías</w:t>
        <w:br/>
        <w:t>son aquéllas a  las  que  la  Convención  se  refiere  expresamente  en  los</w:t>
        <w:br/>
        <w:t>artículos 7.6 y 25.1, consideradas dentro del marco y según  los  principios</w:t>
        <w:br/>
        <w:t>del artículo 8, y también las inherentes a la  preservación  del  Estado  de</w:t>
        <w:br/>
        <w:t>Derecho, aun bajo la legalidad excepcional que resulta de la  suspensión  de</w:t>
        <w:br/>
        <w:t>garantías[35]. Esas  garantías  judiciales  indispensables  deben  subsistir</w:t>
        <w:br/>
        <w:t>para  verificar  la  necesidad,  razonabilidad  y  proporcionalidad  de  las</w:t>
        <w:br/>
        <w:t>medidas   específicas   adoptadas   en   ejercicio   de   estas   facultades</w:t>
        <w:br/>
        <w:t>excepcionales[36].</w:t>
        <w:br/>
        <w:br/>
        <w:t>55.   Por otro lado, en relación con la obligación general contenida  en  el</w:t>
        <w:br/>
        <w:t>artículo 2 de la Convención, la Corte ha afirmado  en  varias  oportunidades</w:t>
        <w:br/>
        <w:t>que:</w:t>
        <w:br/>
        <w:br/>
        <w:br/>
        <w:t xml:space="preserve">      [e]n el derecho de gentes, una norma consuetudinaria prescribe que  un</w:t>
        <w:br/>
        <w:t xml:space="preserve">      Estado que ha celebrado un convenio internacional, debe introducir  en</w:t>
        <w:br/>
        <w:t xml:space="preserve">      su derecho interno las  modificaciones  necesarias  para  asegurar  la</w:t>
        <w:br/>
        <w:t xml:space="preserve">      ejecución de las obligaciones asumidas. Esta norma aparece como válida</w:t>
        <w:br/>
        <w:t xml:space="preserve">      universalmente y ha sido calificada  por  la  jurisprudencia  como  un</w:t>
        <w:br/>
        <w:t xml:space="preserve">      principio evidente (“principe allant de soi”; Echange des  populations</w:t>
        <w:br/>
        <w:t xml:space="preserve">      grecques et turques, avis consultatif, 1925, C.P.J.I.,  série  B,  no.</w:t>
        <w:br/>
        <w:t xml:space="preserve">      10, p. 20)[37].</w:t>
        <w:br/>
        <w:br/>
        <w:br/>
        <w:t>56.   En la Convención, este principio es recogido en  su  artículo  2,  que</w:t>
        <w:br/>
        <w:t>establece la obligación general de cada Estado Parte de adecuar  su  derecho</w:t>
        <w:br/>
        <w:t>interno a las disposiciones de la misma, para  garantizar  los  derechos  en</w:t>
        <w:br/>
        <w:t>ella consagrados[38], la cual implica que las  medidas  de  derecho  interno</w:t>
        <w:br/>
        <w:t>han de ser efectivas (principio de effet utile)[39].</w:t>
        <w:br/>
        <w:br/>
        <w:br/>
        <w:t>57.   Ciertamente el artículo 2 de la Convención no define  cuáles  son  las</w:t>
        <w:br/>
        <w:t>medidas pertinentes para la adecuación  del  derecho  interno  a  la  misma,</w:t>
        <w:br/>
        <w:t>obviamente por depender ello del carácter de la norma  que  las  requiera  y</w:t>
        <w:br/>
        <w:t>las  circunstancias  de  la  situación  concreta.  Por  ello,  la  Corte  ha</w:t>
        <w:br/>
        <w:t>interpretado que tal adecuación  implica  la  adopción  de  medidas  en  dos</w:t>
        <w:br/>
        <w:t>vertientes, a saber: i) la supresión de las normas y prácticas de  cualquier</w:t>
        <w:br/>
        <w:t>naturaleza  que  entrañen  violación  a  las  garantías  previstas   en   la</w:t>
        <w:br/>
        <w:t>Convención o que desconozcan los derechos allí  reconocidos  u  obstaculicen</w:t>
        <w:br/>
        <w:t>su ejercicio, y ii) la expedición de normas y  el  desarrollo  de  prácticas</w:t>
        <w:br/>
        <w:t>conducentes a la efectiva observancia de dichas garantías[40].  El  Tribunal</w:t>
        <w:br/>
        <w:t>ha entendido que la obligación de la primera vertiente se incumple  mientras</w:t>
        <w:br/>
        <w:t>la  norma  o  práctica  violatoria  de  la  Convención  se  mantenga  en  el</w:t>
        <w:br/>
        <w:t>ordenamiento   jurídico[41]   y,   por   ende,   se   satisface    con    la</w:t>
        <w:br/>
        <w:t>modificación[42], la  derogación,  o  de  algún  modo  anulación[43],  o  la</w:t>
        <w:br/>
        <w:t>reforma[44] de las normas  o  prácticas  que  tengan  esos  alcances,  según</w:t>
        <w:br/>
        <w:t>corresponda[45].</w:t>
        <w:br/>
        <w:br/>
        <w:br/>
        <w:t>58.   En ese marco de interpretación, la controversia subsistente  debe  ser</w:t>
        <w:br/>
        <w:t>ubicada en aquella primer vertiente de medidas que deben ser adoptadas  para</w:t>
        <w:br/>
        <w:t>adecuar la normativa interna a la Convención.  Hecha  esa  precisión,  deben</w:t>
        <w:br/>
        <w:t>ser analizados los hechos y las prácticas del Estado  en  su  conjunto  para</w:t>
        <w:br/>
        <w:t>valorar el cumplimiento de la obligación general del artículo  2  por  parte</w:t>
        <w:br/>
        <w:t>del Estado en relación con las otras normas.</w:t>
        <w:br/>
        <w:br/>
        <w:br/>
        <w:t>59.   La Comisión y los representantes alegaron  que  la  Ley  de  Seguridad</w:t>
        <w:br/>
        <w:t>Nacional, que aún se encontraría  vigente,  es  contraria  a  la  Convención</w:t>
        <w:br/>
        <w:t>Americana, puesto que los artículos 145 y 147 de aquella Ley establecen  que</w:t>
        <w:br/>
        <w:t>durante el estado de emergencia los hechos que  causen  las  contravenciones</w:t>
        <w:br/>
        <w:t>indicadas en dicha Ley y las penadas con reclusión deberán ser juzgadas  con</w:t>
        <w:br/>
        <w:t>arreglo al Código Penal Militar.  Asimismo,  la  Comisión  agregó  que  “una</w:t>
        <w:br/>
        <w:t>norma de esta naturaleza, que da plena jurisdicción a  tribunales  militares</w:t>
        <w:br/>
        <w:t>para procesar  a  civiles  por  las  causas  indicadas,  es  incompatible  y</w:t>
        <w:br/>
        <w:t>violatoria del artículo 27.2 de la Convención Americana, la cual señala  que</w:t>
        <w:br/>
        <w:t>hay ciertos derechos y libertades cuya suspensión  no  está  permitida  bajo</w:t>
        <w:br/>
        <w:t>ninguna circunstancia, dentro de las cuales están ‘las garantías  judiciales</w:t>
        <w:br/>
        <w:t>indispensables para la protección de tales derechos’ ”. Según  la  Comisión,</w:t>
        <w:br/>
        <w:t>lo  anterior  “afecta  el  derecho  a  ser  juzgado   por   tribunales   con</w:t>
        <w:br/>
        <w:t>independencia e  imparcialidad,  además  del  derecho  de  las  víctimas  de</w:t>
        <w:br/>
        <w:t>acceder a la información sobre tales procesos”. Asimismo, argumentó que  “al</w:t>
        <w:br/>
        <w:t>limitar las garantías procesales a un fuero especial, se  [han]  vulnera[do]</w:t>
        <w:br/>
        <w:t>los derechos de los familiares de las víctimas”, por lo  que  el  Estado  no</w:t>
        <w:br/>
        <w:t>habría  adoptado  las  medidas  adecuadas  en  derecho  interno  para  hacer</w:t>
        <w:br/>
        <w:t>efectivos los derechos de los familiares.</w:t>
        <w:br/>
        <w:br/>
        <w:t>60.   En ese mismo orden de ideas,  los  representantes  agregaron  que  con</w:t>
        <w:br/>
        <w:t>ello “las fuerzas armadas pasan a cumplir un doble rol”,  dado  que  “cuando</w:t>
        <w:br/>
        <w:t>[sus]  miembros  argumentan,  como  en  el  presente  caso,  que   hubo   un</w:t>
        <w:br/>
        <w:t>enfrentamiento […] ni siquiera es  posible  accionar  dichos  tribunales  de</w:t>
        <w:br/>
        <w:t>excepción”. En sus alegatos finales escritos los representantes  solicitaron</w:t>
        <w:br/>
        <w:t>a la Corte que “admita el reconocimiento de  responsabilidad  realizado  por</w:t>
        <w:br/>
        <w:t>el Estado por el incumplimiento de la obligación impuesta por el artículo  2</w:t>
        <w:br/>
        <w:t>[…] de la Convención Americana,  por  no  suprimir  de  su  legislación  las</w:t>
        <w:br/>
        <w:t>disposiciones  que  atribuyen  a  los  tribunales  militares  o  de  policía</w:t>
        <w:br/>
        <w:t>competencia  para  investigar  violaciones  a  derechos  humanos  y  por  no</w:t>
        <w:br/>
        <w:t>reformar la legislación en torno a la aplicación  de  la  ley  de  seguridad</w:t>
        <w:br/>
        <w:t>durante la intervención de las fuerzas armadas en el orden interno”.</w:t>
        <w:br/>
        <w:br/>
        <w:t>61.   Por su parte, durante la audiencia pública el  Estado  señaló  que  en</w:t>
        <w:br/>
        <w:t>“el año de 1993, cuando se produjeron  estos  hechos,  estaba  vigente  otra</w:t>
        <w:br/>
        <w:t>Constitución en el Ecuador; [en el] año 1998, [ésta] cambió[; en la  vigente</w:t>
        <w:br/>
        <w:t>en] el año 1993 se contemplaba precisamente la aplicación de las  normas  de</w:t>
        <w:br/>
        <w:t>la Ley de Seguridad Nacional en los estados de  emergencia,  situación  pues</w:t>
        <w:br/>
        <w:t>que  […],  los  constituyentes  del  año  98  rechazaron;  ya   no   existen</w:t>
        <w:br/>
        <w:t>referencias a esta  Ley  por  lo  menos  en  la  aplicación  del  estado  de</w:t>
        <w:br/>
        <w:t>emergencia en la  Constitución  ecuatoriana  actual”.  Asimismo,  el  Estado</w:t>
        <w:br/>
        <w:t>alegó que el artículo 191 de la Constitución que  entró  en  vigor  en  1998</w:t>
        <w:br/>
        <w:t>estableció la “unidad jurisdiccional” en el Ecuador.  Por otro lado, en  sus</w:t>
        <w:br/>
        <w:t>alegatos finales manifestó que “la Corte Suprema de Justicia  puede  revisar</w:t>
        <w:br/>
        <w:t>las sentencias expedidas por las Cortes Policiales y Militares,  de  acuerdo</w:t>
        <w:br/>
        <w:t>[con una] decisión [adoptada el 1 de marzo de 2006 y que entró en  vigor  el</w:t>
        <w:br/>
        <w:t>19 de mayo de 2007], por unanimidad, [por]  los  ex  miembros  del  Tribunal</w:t>
        <w:br/>
        <w:t>Constitucional, quienes decretaron la inconstitucionalidad del artículo  dos</w:t>
        <w:br/>
        <w:t>de la Ley de Casación vigente en el país que establecía que ‘no  procede  el</w:t>
        <w:br/>
        <w:t>recurso de casación…en las  sentencias  y  autos  dictados  por  las  cortes</w:t>
        <w:br/>
        <w:t>especializadas de la Policía y Fuerzas Armadas’ […  por  lo  que  con]  esta</w:t>
        <w:br/>
        <w:t>resolución, todos los fallos pueden llegar a las salas de la  Corte  Suprema</w:t>
        <w:br/>
        <w:t>de Justicia”.</w:t>
        <w:br/>
        <w:br/>
        <w:t>62.   Es un hecho no  controvertido  que  en  la  época  de  los  hechos  se</w:t>
        <w:br/>
        <w:t>encontraba vigente la Ley de Seguridad Nacional (No. 275 de  1979),  algunos</w:t>
        <w:br/>
        <w:t>de cuyos artículos establecían lo siguiente:</w:t>
        <w:br/>
        <w:br/>
        <w:br/>
        <w:t xml:space="preserve">      ARTÍCULO 2.- El Estado garantiza la supervivencia de la  colectividad,</w:t>
        <w:br/>
        <w:t xml:space="preserve">      la defensa del patrimonio nacional y la consecución y mantenimiento de</w:t>
        <w:br/>
        <w:t xml:space="preserve">      los Objetivos Nacionales; y, tiene la función primordial de fortalecer</w:t>
        <w:br/>
        <w:t xml:space="preserve">      la unidad nacional, asegurar la vigencia de los derechos fundamentales</w:t>
        <w:br/>
        <w:t xml:space="preserve">      del hombre y promover el progreso económico, social y cultural de  sus</w:t>
        <w:br/>
        <w:t xml:space="preserve">      habitantes, contrarrestando los factores adversos internos y externos,</w:t>
        <w:br/>
        <w:t xml:space="preserve">      por medio de previsiones y acciones políticas económicas,  sociales  y</w:t>
        <w:br/>
        <w:t xml:space="preserve">      militares.</w:t>
        <w:br/>
        <w:t xml:space="preserve">      […]</w:t>
        <w:br/>
        <w:br/>
        <w:br/>
        <w:t xml:space="preserve">      ARTÍCULO 144.- En tiempo de paz, las infracciones determinadas en esta</w:t>
        <w:br/>
        <w:t xml:space="preserve">      Ley serán juzgadas por los respectivos jueces atendiendo al fuero  del</w:t>
        <w:br/>
        <w:t xml:space="preserve">      infractor,  de  conformidad  con  lo  dispuesto  en  los  Códigos   de</w:t>
        <w:br/>
        <w:t xml:space="preserve">      Procedimiento Penal.</w:t>
        <w:br/>
        <w:br/>
        <w:br/>
        <w:t xml:space="preserve">       ARTÍCULO 145.- En tiempo de guerra o decretada  la  movilización  las</w:t>
        <w:br/>
        <w:t xml:space="preserve">      infracciones puntualizadas en el Capítulo anterior, serán juzgadas con</w:t>
        <w:br/>
        <w:t xml:space="preserve">      sujeción a lo dispuesto en Código Penal Militar, y  no  se  reconocerá</w:t>
        <w:br/>
        <w:t xml:space="preserve">      fuero alguno.</w:t>
        <w:br/>
        <w:t xml:space="preserve">      […]</w:t>
        <w:br/>
        <w:br/>
        <w:br/>
        <w:t xml:space="preserve">      ARTÍCULO 147.- Declarado el Estado  de  Emergencia,  las  infracciones</w:t>
        <w:br/>
        <w:t xml:space="preserve">      sancionadas con reclusión, serán juzgadas con arreglo al ARTÍCULO 145.</w:t>
        <w:br/>
        <w:br/>
        <w:t>63.   Los representantes hicieron referencia a diversas leyes que  rigen  el</w:t>
        <w:br/>
        <w:t>ámbito policial y militar  y  confieren  competencia  a  los  tribunales  de</w:t>
        <w:br/>
        <w:t>policía y tribunales militares para la  investigación  y  enjuiciamiento  de</w:t>
        <w:br/>
        <w:t>miembros de la fuerza pública  acusados  de  cometer  determinados  delitos,</w:t>
        <w:br/>
        <w:t>cuando ocurrieren en ejercicio  de  sus  funciones[46].  Los  representantes</w:t>
        <w:br/>
        <w:t>alegan que esta situación ha  permitido  que  las  muertes  ocasionadas  por</w:t>
        <w:br/>
        <w:t>militares en determinadas situaciones  queden  en  la  impunidad  y  que  la</w:t>
        <w:br/>
        <w:t>reforma de la Constitución en 1998 no cambió esta situación, pues  la  forma</w:t>
        <w:br/>
        <w:t>en que se encuentra redactado  en  la  actualidad  el  artículo  187  de  la</w:t>
        <w:br/>
        <w:t>Constitución  Política  permite  que  continúen  en  vigencia   los   fueros</w:t>
        <w:br/>
        <w:t>privativos para los integrantes de la fuerza pública.</w:t>
        <w:br/>
        <w:br/>
        <w:t>64.   La Corte observa que, bajo los artículos  145  y  147  de  la  Ley  de</w:t>
        <w:br/>
        <w:t>Seguridad  Nacional  ecuatoriana  vigente  al  momento  de  los  hechos  del</w:t>
        <w:br/>
        <w:t>presente caso, hechos delictuosos ocurridos durante un estado  de  excepción</w:t>
        <w:br/>
        <w:t>declarado  con  base  en  esa  Ley,  y  que  puedan  configurar  delitos  de</w:t>
        <w:br/>
        <w:t>determinada gravedad, quedarían bajo  jurisdicción  penal  militar.  De  tal</w:t>
        <w:br/>
        <w:t>manera, independientemente de quién cometiera el delito,  el  fuero  militar</w:t>
        <w:br/>
        <w:t>quedaba automáticamente facultado para conocer de  esos  hechos,  es  decir,</w:t>
        <w:br/>
        <w:t>para eventualmente juzgar y sancionar a civiles y a miembros de las  fuerzas</w:t>
        <w:br/>
        <w:t>armadas que hayan cometido delitos contra civiles. Es  decir,  amparadas  en</w:t>
        <w:br/>
        <w:t>la declaración de un estado de excepción, esas  regulaciones  conferirían  a</w:t>
        <w:br/>
        <w:t>la jurisdicción militar competencias de la jurisdicción ordinaria.</w:t>
        <w:br/>
        <w:br/>
        <w:t>65.    Además,  tal  como  surge  de   un   documento   aportado   por   los</w:t>
        <w:br/>
        <w:t>representantes en su escrito  de  solicitudes  y  argumentos[47],  según  el</w:t>
        <w:br/>
        <w:t>Código de Procedimiento Militar, entre los  medios  de  conocimiento  de  un</w:t>
        <w:br/>
        <w:t>hecho punible con base en los cuales un  juez  instructor  debe  iniciar  un</w:t>
        <w:br/>
        <w:t>proceso penal militar, no se prevé la acusación particular, único medio  por</w:t>
        <w:br/>
        <w:t>el que el agraviado o, a falta de éste, otras  personas  podrían  intervenir</w:t>
        <w:br/>
        <w:t>en el juicio. Esto no fue controvertido por el Estado.</w:t>
        <w:br/>
        <w:br/>
        <w:t>66.   Respecto de la jurisdicción militar la Corte recuerda que:</w:t>
        <w:br/>
        <w:br/>
        <w:br/>
        <w:t xml:space="preserve">      [ésta] debe tener un alcance restrictivo y  excepcional,  teniendo  en</w:t>
        <w:br/>
        <w:t xml:space="preserve">      cuenta que sólo debe juzgar a militares por la comisión de  delitos  o</w:t>
        <w:br/>
        <w:t xml:space="preserve">      faltas que por su propia naturaleza atenten  contra  bienes  jurídicos</w:t>
        <w:br/>
        <w:t xml:space="preserve">      propios del orden militar[48].  En este sentido,  cuando  la  justicia</w:t>
        <w:br/>
        <w:t xml:space="preserve">      militar asume competencia sobre un asunto que debe conocer la justicia</w:t>
        <w:br/>
        <w:t xml:space="preserve">      ordinaria, se  ve  afectado  el  derecho  al  juez  natural[49].  Esta</w:t>
        <w:br/>
        <w:t xml:space="preserve">      garantía del debido proceso debe analizarse de acuerdo al objeto y fin</w:t>
        <w:br/>
        <w:t xml:space="preserve">      de la Convención Americana, cual es la eficaz protección de la persona</w:t>
        <w:br/>
        <w:t xml:space="preserve">      humana[50].  Por estas  razones y por la naturaleza del  crimen  y  el</w:t>
        <w:br/>
        <w:t xml:space="preserve">      bien jurídico lesionado, la jurisdicción penal militar no es el  fuero</w:t>
        <w:br/>
        <w:t xml:space="preserve">      competente para investigar y, en su caso, juzgar  y  sancionar  a  los</w:t>
        <w:br/>
        <w:t xml:space="preserve">      autores de violaciones de derechos humanos[51].</w:t>
        <w:br/>
        <w:br/>
        <w:t>67.    Ciertamente  el  Decreto  de  estado  de  emergencia  no  dispuso  la</w:t>
        <w:br/>
        <w:t>suspensión del derecho a la vida,  en  controversia  en  este  caso,  ni  la</w:t>
        <w:br/>
        <w:t>suspensión de “las garantías judiciales indispensables  para  la  protección</w:t>
        <w:br/>
        <w:t>de tales derechos” (artículo 27.2 de la  Convención).  Sin  embargo,  en  la</w:t>
        <w:br/>
        <w:t>medida en que el Decreto de emergencia fue declarado en el marco de  la  Ley</w:t>
        <w:br/>
        <w:t>de Seguridad Nacional, las normas de ésta habrían tenido aplicación en  caso</w:t>
        <w:br/>
        <w:t>de haber  sido  abierta  alguna  investigación  en  sede  penal,  militar  u</w:t>
        <w:br/>
        <w:t>ordinaria, como tendría que haber sucedido en el momento mismo  en  que  las</w:t>
        <w:br/>
        <w:t>presuntas víctimas fueron privadas de su vida (infra párrs. 88 a 90,  109  y</w:t>
        <w:br/>
        <w:t>110). Esas normas resultarían en la afectación del derecho al  juez  natural</w:t>
        <w:br/>
        <w:t>de personas que cometan algún hecho  delictuoso  sancionable  con  reclusión</w:t>
        <w:br/>
        <w:t>ocurrido durante un estado de excepción, o de quienes se vean afectados  por</w:t>
        <w:br/>
        <w:t>ese hecho o de sus familiares; podrían impedir un adecuado  e  independiente</w:t>
        <w:br/>
        <w:t>control  de  la  compatibilidad  de  una  suspensión  de  garantías  con  la</w:t>
        <w:br/>
        <w:t>Convención  e  implicarían  la  imposibilidad  para  esas  personas  o   sus</w:t>
        <w:br/>
        <w:t>familiares de participar en el proceso.</w:t>
        <w:br/>
        <w:br/>
        <w:t>68.   En cuanto a lo alegado por el Estado sobre la  supuesta  supresión  de</w:t>
        <w:br/>
        <w:t>efectos de los fueros  privativos  y  militares  (supra  párr.  61),  de  la</w:t>
        <w:br/>
        <w:t>lectura del artículo 191 y disposición  transitoria  vigésimo  sexta  de  la</w:t>
        <w:br/>
        <w:t>Constitución ecuatoriana de 1998, se desprende que fue dispuesta “la  unidad</w:t>
        <w:br/>
        <w:t>jurisdiccional”, por lo que “todos los magistrados y jueces que dependan  de</w:t>
        <w:br/>
        <w:t>la Función Ejecutiva pasarán a la Función Judicial y, mientras las leyes  no</w:t>
        <w:br/>
        <w:t>dispongan algo distinto, se someterán  a  sus  propias  leyes  orgánicas  [y</w:t>
        <w:br/>
        <w:t>e]sta disposición incluye a los jueces militares, de policía y de  menores”.</w:t>
        <w:br/>
        <w:t>El Estado no demostró  que,  en  efecto,  la  mencionada  Ley  de  Seguridad</w:t>
        <w:br/>
        <w:t>Nacional haya sido modificada por estas disposiciones ni la  manera  en  que</w:t>
        <w:br/>
        <w:t>esa decisión subsanaría las incompatibilidades que surgen de  la  aplicación</w:t>
        <w:br/>
        <w:t>de  esta  ley,  expuestas  en  los  párrafos  precedentes.   Además,   según</w:t>
        <w:br/>
        <w:t>información aportada al expediente por los representantes  en  sus  alegatos</w:t>
        <w:br/>
        <w:t>finales y no controvertida por el Estado, esta Ley  de  Seguridad  Nacional,</w:t>
        <w:br/>
        <w:t>vigente desde el 9 de  agosto  de  1979,  habría  sido  reformada  en  cinco</w:t>
        <w:br/>
        <w:t>oportunidades desde que ocurrieron los hechos, siendo  la  última  en  junio</w:t>
        <w:br/>
        <w:t>del 2003, cinco años después de publicada la Constitución vigente. Más  aún,</w:t>
        <w:br/>
        <w:t>surge de documentación aportada por los  representantes  en  su  escrito  de</w:t>
        <w:br/>
        <w:t>solicitudes y argumentos, que entre abril de 2005 y marzo de 2006 el  Estado</w:t>
        <w:br/>
        <w:t>dictó al menos seis decretos en los que se declaró el estado  de  emergencia</w:t>
        <w:br/>
        <w:t>con base en la Ley de Seguridad Nacional y en la Constitución  Política[52],</w:t>
        <w:br/>
        <w:t>por  ejemplo  en  casos  de  “situación  conflictiva  provocada  con  claras</w:t>
        <w:br/>
        <w:t>consignas vandálicas por grupos interesados en causar el caos”[53];  además,</w:t>
        <w:br/>
        <w:t>en la mayoría de éstos se dispuso que sería aplicable  el  artículo  145  de</w:t>
        <w:br/>
        <w:t>dicha Ley para sancionar las infracciones que se cometieran en  la  zona  de</w:t>
        <w:br/>
        <w:t>seguridad  determinada  por   dichos   decretos   y,   según   afirman   los</w:t>
        <w:br/>
        <w:t>representantes,  en  efecto  habrían  sido  abiertos  algunos  procesos   en</w:t>
        <w:br/>
        <w:t>aplicación de la misma.  Es  decir,  dicha  Ley  habría  continuado  vigente</w:t>
        <w:br/>
        <w:t>hasta, al menos, marzo  de  2006  y,  de  todos  modos,  continuó  surtiendo</w:t>
        <w:br/>
        <w:t>efectos luego de la entrada en  vigor  de  la  Constitución  ecuatoriana  de</w:t>
        <w:br/>
        <w:t>1998.</w:t>
        <w:br/>
        <w:br/>
        <w:t xml:space="preserve">                                      *</w:t>
        <w:br/>
        <w:t xml:space="preserve">                                   *     *</w:t>
        <w:br/>
        <w:br/>
        <w:t>69.   Por último, ha sido aceptado por el Estado que al momento  de  expedir</w:t>
        <w:br/>
        <w:t>el Decreto No. 86 de 3 de septiembre de 1992, no se  informó  inmediatamente</w:t>
        <w:br/>
        <w:t>a los demás Estados Parte  en  la  presente  Convención,  por  conducto  del</w:t>
        <w:br/>
        <w:t>Secretario  General  de  la  Organización  de  los  Estados  Americanos  (en</w:t>
        <w:br/>
        <w:t>adelante “OEA”), de las disposiciones de la Convención cuya aplicación  haya</w:t>
        <w:br/>
        <w:t>suspendido, de los motivos que hayan suscitado la suspensión y de  la  fecha</w:t>
        <w:br/>
        <w:t>en que haya dado  por  terminada  tal  suspensión,  tal  como  lo  exige  el</w:t>
        <w:br/>
        <w:t>artículo 27.3 de la Convención.  Al respecto, la Corte valora  positivamente</w:t>
        <w:br/>
        <w:t>lo manifestado por Ecuador al efectuar su allanamiento,  en  el  sentido  de</w:t>
        <w:br/>
        <w:t>que:</w:t>
        <w:br/>
        <w:br/>
        <w:br/>
        <w:t xml:space="preserve">      […] los Estados de la región tienen  que  estar  conscientes  [de  las</w:t>
        <w:br/>
        <w:t xml:space="preserve">      exigencias  del]  artículo  27.3  de  la  Convención   Americana   […]</w:t>
        <w:br/>
        <w:t xml:space="preserve">      obligación que muchas veces es inobserva[d]a por los Estados, y que en</w:t>
        <w:br/>
        <w:t xml:space="preserve">      este caso fue inobservada  por  el  Estado  Ecuatoriano.   De  ahí  el</w:t>
        <w:br/>
        <w:t xml:space="preserve">      reconocimiento de buena fe que hace el Estado […].</w:t>
        <w:br/>
        <w:br/>
        <w:br/>
        <w:t>70.   La Corte considera que la  obligación  internacional  que  tienen  los</w:t>
        <w:br/>
        <w:t>Estados Parte en la Convención Americana bajo el  artículo  27.3  constituye</w:t>
        <w:br/>
        <w:t>un mecanismo enmarcado en la noción de garantía colectiva subyacente a  este</w:t>
        <w:br/>
        <w:t>tratado, cuyo objeto y fin  es  la  protección  del  ser  humano.  Asimismo,</w:t>
        <w:br/>
        <w:t>constituye una  salvaguardia  para  prevenir  el  abuso  de  las  facultades</w:t>
        <w:br/>
        <w:t>excepcionales de suspensión de garantías  y  permite  a  los  otros  Estados</w:t>
        <w:br/>
        <w:t>Parte apreciar que los alcances de  esa  suspensión  sean  acordes  con  las</w:t>
        <w:br/>
        <w:t>disposiciones de la  Convención.  Por  ende,  la  falta  de  este  deber  de</w:t>
        <w:br/>
        <w:t>información implica el incumplimiento  de  la  obligación  contenida  en  el</w:t>
        <w:br/>
        <w:t>artículo 27.3. Aun en este último supuesto, el Estado no  queda  eximido  de</w:t>
        <w:br/>
        <w:t>justificar la existencia de la situación de emergencia y la  conformidad  de</w:t>
        <w:br/>
        <w:t>las medidas dispuestas al respecto, en los términos señalados  anteriormente</w:t>
        <w:br/>
        <w:t>(supra párrs. 47, 51, 52 y 54).</w:t>
        <w:br/>
        <w:br/>
        <w:t xml:space="preserve">                                      *</w:t>
        <w:br/>
        <w:t xml:space="preserve">                                   *     *</w:t>
        <w:br/>
        <w:br/>
        <w:t>71.   En razón de las consideraciones anteriores, la Corte  declara  que  el</w:t>
        <w:br/>
        <w:t>Estado incumplió las obligaciones contenidas en el  artículo  27.1,  27.2  y</w:t>
        <w:br/>
        <w:t>27.3  de  la  Convención,  en  relación  con  los  derechos  y  obligaciones</w:t>
        <w:br/>
        <w:t>contenidos en los artículos 1.1, 2, 4, 8.1 y 25 de la misma.</w:t>
        <w:br/>
        <w:br/>
        <w:br/>
        <w:br/>
        <w:t xml:space="preserve">                                     VII</w:t>
        <w:br/>
        <w:t xml:space="preserve">                    Artículo 4.1 (Derecho a la Vida)[54]</w:t>
        <w:br/>
        <w:t xml:space="preserve">         en relación con el artículo 1.1 de la Convención Americana</w:t>
        <w:br/>
        <w:br/>
        <w:t>72.   Según fue  señalado  en  el  capítulo  de  Reconocimiento  Parcial  de</w:t>
        <w:br/>
        <w:t>Responsabilidad  (supra  párr.  16),  ha  quedado  abierta  la  controversia</w:t>
        <w:br/>
        <w:t>respecto de la responsabilidad del  Estado  por  la  alegada  violación  del</w:t>
        <w:br/>
        <w:t>artículo 4 de la Convención, por lo que la Corte pasa a analizar los  hechos</w:t>
        <w:br/>
        <w:t>y alegatos pertinentes.</w:t>
        <w:br/>
        <w:br/>
        <w:t>73.   Son hechos reconocidos o no controvertidos que el 6 de marzo  de  1993</w:t>
        <w:br/>
        <w:t>las tres ramas de las  Fuerzas  Armadas  (FF.AA),  Marina,  Fuerza  Aérea  y</w:t>
        <w:br/>
        <w:t>Ejército, y la Policía Nacional realizaron  un  operativo  conjunto  en  una</w:t>
        <w:br/>
        <w:t>zona suburbana de la  ciudad  de  Guayaquil  denominada  “Barrio  Batallón”,</w:t>
        <w:br/>
        <w:t>ubicado entre las calles “40”  y  “K”.   Este  operativo,  enmarcado  en  el</w:t>
        <w:br/>
        <w:t>estado de emergencia declarado por decreto seis  meses  antes  (supra  párr.</w:t>
        <w:br/>
        <w:t>44),  fue  planificado  con  tres  meses  de  anticipación,  contó  con   la</w:t>
        <w:br/>
        <w:t>participación de alrededor de 1.200 agentes  y  el  apoyo  de  camiones  del</w:t>
        <w:br/>
        <w:t>ejército, lanchas y un helicóptero. Durante el operativo,  miembros  de  las</w:t>
        <w:br/>
        <w:t>Fuerzas Armadas encapuchados con  pasamontañas  utilizaron  explosivos  para</w:t>
        <w:br/>
        <w:t>abrir las puertas de las casas e ingresar a los domicilios  de  los  señores</w:t>
        <w:br/>
        <w:t>Wilmer Zambrano Vélez, Segundo Olmedo Caicedo Cobeña y José  Miguel  Caicedo</w:t>
        <w:br/>
        <w:t>Cobeña, presuntas víctimas en este caso, quienes se  encontraban  junto  con</w:t>
        <w:br/>
        <w:t>sus compañeras y algunos de sus hijos y que fueron privados de su  vida  por</w:t>
        <w:br/>
        <w:t>disparos de agentes estatales.</w:t>
        <w:br/>
        <w:br/>
        <w:t>74.    Según  manifestó  el  propio  Estado,  “el  propósito  principal  del</w:t>
        <w:br/>
        <w:t>operativo era la captura de delincuentes, narcotraficantes  y  terroristas”.</w:t>
        <w:br/>
        <w:t>Representantes de las Fuerzas Armadas afirmaron a  la  prensa  que  actuaron</w:t>
        <w:br/>
        <w:t>basados en la Ley de Seguridad Nacional y en informaciones  de  inteligencia</w:t>
        <w:br/>
        <w:t>militar[55]. Además, mediante un Comunicado Oficial emitido por las  Fuerzas</w:t>
        <w:br/>
        <w:t>Armadas, se difundió una versión de los  hechos[56]  que  guarda  coherencia</w:t>
        <w:br/>
        <w:t>con un informe del operativo militar de 11 de  marzo  de  1993  dirigido  al</w:t>
        <w:br/>
        <w:t>Jefe del Comando Conjunto de las Fuerzas Armadas[57], y con un  informe  del</w:t>
        <w:br/>
        <w:t>operativo de 22 de marzo  de  1993  del  entonces  General  del  Ejército  y</w:t>
        <w:br/>
        <w:t>Ministro  de  Defensa  Nacional  dirigido   al   Presidente   del   Congreso</w:t>
        <w:br/>
        <w:t>Nacional[58].</w:t>
        <w:br/>
        <w:br/>
        <w:t>75.    La  controversia  entre  las  partes   subsiste   respecto   de   las</w:t>
        <w:br/>
        <w:t>circunstancias en que ocurrió la privación de la vida de esas  personas,  la</w:t>
        <w:br/>
        <w:t>calificación jurídica de esos hechos y la correspondiente  determinación  de</w:t>
        <w:br/>
        <w:t>responsabilidad  internacional  del  Estado  bajo  el  artículo  4   de   la</w:t>
        <w:br/>
        <w:t>Convención Americana.</w:t>
        <w:br/>
        <w:br/>
        <w:t>76.   La Comisión alegó que el uso de la fuerza por  parte  de  los  agentes</w:t>
        <w:br/>
        <w:t>estatales no fue razonable, restringido ni controlado, sino excesivo  si  se</w:t>
        <w:br/>
        <w:t>consideran la supuesta planificación del operativo militar, la  cantidad  de</w:t>
        <w:br/>
        <w:t>personal involucrado y las características del mismo. Además, señaló que  la</w:t>
        <w:br/>
        <w:t>participación  de  las  Fuerzas  Armadas  requería  de  cuidado  y  atención</w:t>
        <w:br/>
        <w:t>especiales  en  la  etapa  de  planificación  a  fin  de  evitar   daños   a</w:t>
        <w:br/>
        <w:t>particulares, lo cual contrasta con el hecho de que se infringieran daños  a</w:t>
        <w:br/>
        <w:t>la propiedad e integridad de particulares y no consta que se  hayan  llevado</w:t>
        <w:br/>
        <w:t>a cabo los procesos judiciales correspondientes, ni reparado  los  daños.  A</w:t>
        <w:br/>
        <w:t>su vez, indicó que si se compara la cantidad de militares que  intervinieron</w:t>
        <w:br/>
        <w:t>con la cantidad de armas decomisadas, y dado que no se  informó  durante  el</w:t>
        <w:br/>
        <w:t>operativo sobre actos de resistencia, no es posible  demostrar  la  urgencia</w:t>
        <w:br/>
        <w:t>requerida ni justificar el volumen de fuerza empleado.  Por  tales  razones,</w:t>
        <w:br/>
        <w:t>la Comisión considera que el Estado “falló  en  su  deber  de  prevenir  las</w:t>
        <w:br/>
        <w:t>muertes” de las presuntas víctimas, “empleó desproporcionadamente la  fuerza</w:t>
        <w:br/>
        <w:t>y con ello incurrió  en  la  privación  arbitraria  de  la  vida”  de  estas</w:t>
        <w:br/>
        <w:t>personas, incurriendo en responsabilidad por la violación del  artículo  4.1</w:t>
        <w:br/>
        <w:t>de  la  Convención.  Luego,  en  capítulo  aparte   referente   al   alegado</w:t>
        <w:br/>
        <w:t>incumplimiento de los artículos 1.1  y  2  de  la  Convención,  la  Comisión</w:t>
        <w:br/>
        <w:t>calificó la privación  de  la  vida  de  las  presuntas  víctimas  como  una</w:t>
        <w:br/>
        <w:t>ejecución extrajudicial.</w:t>
        <w:br/>
        <w:br/>
        <w:t>77.   Los representantes,  por  su  parte,  alegaron  que  en  la  incursión</w:t>
        <w:br/>
        <w:t>militar se previó el uso de fuerza extrema pero no se previeron  suficientes</w:t>
        <w:br/>
        <w:t>salvaguardias para garantizar la  proporcionalidad  y  la  necesidad  de  la</w:t>
        <w:br/>
        <w:t>fuerza utilizada. Asimismo,  alegaron  que  en  el  supuesto  combate  a  la</w:t>
        <w:br/>
        <w:t>subversión la Fuerza Pública no respetaba la ley y,  “por  el  miedo  de  un</w:t>
        <w:br/>
        <w:t>posible rebrote de la subversión,  […]  persegu[ía]  a  todos  aquellos  que</w:t>
        <w:br/>
        <w:t>mantenía en sus fichas como exintegrantes” de grupos  subversivos.  Alegaron</w:t>
        <w:br/>
        <w:t>que en ese contexto, los militares hicieron  uso  desmedido  de  la  fuerza,</w:t>
        <w:br/>
        <w:t>pues  su  intervención  no   fue   selectiva   y   los   resultados   fueron</w:t>
        <w:br/>
        <w:t>inconsistentes con esos fines, más aún si se  toma  en  cuenta  la  supuesta</w:t>
        <w:br/>
        <w:t>planificación previa. Además, alegaron que “la  posibilidad  de  que  en  la</w:t>
        <w:br/>
        <w:t>zona en que se efectuó el operativo se escondían presuntos  delincuentes,  o</w:t>
        <w:br/>
        <w:t>estaban  instructores  extranjeros  ligados   a   grupos   subversivos,   no</w:t>
        <w:br/>
        <w:t>justifica, por sí misma, el uso de fuerza letal, incluido el  uso  de  armas</w:t>
        <w:br/>
        <w:t>de fuego”. Puesto que  no  hay  prueba  de  que  los  agentes  de  seguridad</w:t>
        <w:br/>
        <w:t>intentaran otro mecanismo menos letal de  intervención,  los  representantes</w:t>
        <w:br/>
        <w:t>consideraron que “la operación se asemejó mucho más  a  un  ataque  y  a  un</w:t>
        <w:br/>
        <w:t>esfuerzo encaminado a la ejecución de los sospechosos que  a  la  prevención</w:t>
        <w:br/>
        <w:t>del delito”.</w:t>
        <w:br/>
        <w:br/>
        <w:t>78.   La Corte ha considerado reiteradamente que el derecho a la vida es  un</w:t>
        <w:br/>
        <w:t>derecho humano fundamental, cuyo goce pleno  es  un  prerrequisito  para  el</w:t>
        <w:br/>
        <w:t>disfrute de todos los demás derechos humanos[59], en razón de  lo  cual,  no</w:t>
        <w:br/>
        <w:t>son admisibles enfoques restrictivos del mismo[60]. De  conformidad  con  el</w:t>
        <w:br/>
        <w:t>artículo  27.2  de  la  Convención  este  derecho  forma  parte  del  núcleo</w:t>
        <w:br/>
        <w:t>inderogable, pues se encuentra consagrado como uno de los  derechos  que  no</w:t>
        <w:br/>
        <w:t>puede ser suspendido en casos de guerra, peligro público u otras amenazas  a</w:t>
        <w:br/>
        <w:t>la independencia o seguridad de los Estados Partes[61].</w:t>
        <w:br/>
        <w:br/>
        <w:br/>
        <w:t>79.    En  virtud  de  este  papel  fundamental  que  se  le  asigna  en  la</w:t>
        <w:br/>
        <w:t>Convención, los Estados tienen la obligación de garantizar  la  creación  de</w:t>
        <w:br/>
        <w:t>las condiciones necesarias para que  no  se  produzcan  violaciones  de  ese</w:t>
        <w:br/>
        <w:t>derecho inalienable, así como  el  deber  de  impedir  que  sus  agentes,  o</w:t>
        <w:br/>
        <w:t>particulares, atenten contra el mismo[62].  El  objeto  y  propósito  de  la</w:t>
        <w:br/>
        <w:t>Convención, como instrumento para la protección  del  ser  humano,  requiere</w:t>
        <w:br/>
        <w:t>que el derecho a la vida sea interpretado  y  aplicado  de  manera  que  sus</w:t>
        <w:br/>
        <w:t>salvaguardas sean prácticas y efectivas (effet utile)[63].</w:t>
        <w:br/>
        <w:br/>
        <w:br/>
        <w:t>80.   La Corte ha señalado en su jurisprudencia que el cumplimiento  de  las</w:t>
        <w:br/>
        <w:t>obligaciones impuestas  por  el  artículo  4  de  la  Convención  Americana,</w:t>
        <w:br/>
        <w:t>relacionado con el artículo 1.1 de la misma, no sólo presupone  que  ninguna</w:t>
        <w:br/>
        <w:t>persona sea privada de su vida arbitrariamente (obligación  negativa),  sino</w:t>
        <w:br/>
        <w:t>que además requiere, a la luz de su obligación  de  garantizar  el  pleno  y</w:t>
        <w:br/>
        <w:t>libre ejercicio de los derechos humanos, que los Estados adopten  todas  las</w:t>
        <w:br/>
        <w:t>medidas  apropiadas  para  proteger  y  preservar  el  derecho  a  la   vida</w:t>
        <w:br/>
        <w:t>(obligación positiva) de quienes se encuentren bajo su jurisdicción[64].</w:t>
        <w:br/>
        <w:br/>
        <w:br/>
        <w:t>81.   En razón de  lo  anterior,  los  Estados  deben  adoptar  las  medidas</w:t>
        <w:br/>
        <w:t>necesarias para crear un marco  normativo  adecuado  que  disuada  cualquier</w:t>
        <w:br/>
        <w:t>amenaza al derecho a la vida; establecer un  sistema  de  justicia  efectivo</w:t>
        <w:br/>
        <w:t>capaz de investigar, castigar y dar reparación por la privación de  la  vida</w:t>
        <w:br/>
        <w:t>por parte de agentes estatales o particulares; y salvaguardar el  derecho  a</w:t>
        <w:br/>
        <w:t>que no se impida el acceso a las condiciones que garanticen  una  existencia</w:t>
        <w:br/>
        <w:t>digna. De manera especial los Estados  deben  vigilar  que  sus  cuerpos  de</w:t>
        <w:br/>
        <w:t>seguridad, a quienes les está  atribuido  el  uso  legítimo  de  la  fuerza,</w:t>
        <w:br/>
        <w:t>respeten  el  derecho  a  la  vida  de  quienes  se   encuentren   bajo   su</w:t>
        <w:br/>
        <w:t>jurisdicción[65].</w:t>
        <w:br/>
        <w:br/>
        <w:t xml:space="preserve">                                      *</w:t>
        <w:br/>
        <w:t xml:space="preserve">                                   *     *</w:t>
        <w:br/>
        <w:br/>
        <w:t>82.   La Corte ha tenido oportunidad de pronunciarse en otros  casos  acerca</w:t>
        <w:br/>
        <w:t>de los criterios que determinan el uso legítimo de la fuerza  por  parte  de</w:t>
        <w:br/>
        <w:t>miembros de cuerpos de seguridad del Estado. A la luz de esos criterios  son</w:t>
        <w:br/>
        <w:t>analizados los hechos de este caso:</w:t>
        <w:br/>
        <w:br/>
        <w:br/>
        <w:t xml:space="preserve">      1)    Excepcionalidad, necesidad, proporcionalidad y humanidad:</w:t>
        <w:br/>
        <w:br/>
        <w:br/>
        <w:t>83.   El uso de la fuerza por parte de los cuerpos  de  seguridad  estatales</w:t>
        <w:br/>
        <w:t>debe estar definido por la excepcionalidad, y debe ser planeado  y  limitado</w:t>
        <w:br/>
        <w:t>proporcionalmente por las autoridades.  En  este  sentido,  el  Tribunal  ha</w:t>
        <w:br/>
        <w:t>estimado que sólo podrá hacerse uso  de  la  fuerza  o  de  instrumentos  de</w:t>
        <w:br/>
        <w:t>coerción cuando se hayan agotado y hayan fracasado todos  los  demás  medios</w:t>
        <w:br/>
        <w:t>de control[66].</w:t>
        <w:br/>
        <w:br/>
        <w:t>84.   En un mayor grado de excepcionalidad se ubica  el  uso  de  la  fuerza</w:t>
        <w:br/>
        <w:t>letal y las armas de fuego por  parte  de  agentes  de  seguridad  estatales</w:t>
        <w:br/>
        <w:t>contra las personas, el cual debe estar prohibido  como  regla  general.  Su</w:t>
        <w:br/>
        <w:t>uso  excepcional  deberá  estar  formulado  por  ley,  y  ser   interpretado</w:t>
        <w:br/>
        <w:t>restrictivamente de manera que sea  minimizado  en  toda  circunstancia,  no</w:t>
        <w:br/>
        <w:t>siendo más que el “absolutamente necesario” en  relación  con  la  fuerza  o</w:t>
        <w:br/>
        <w:t>amenaza que se pretende repeler[67]. Cuando  se  usa  fuerza  excesiva  toda</w:t>
        <w:br/>
        <w:t>privación de la vida resultante es arbitraria[68].</w:t>
        <w:br/>
        <w:br/>
        <w:t>85.   El uso de  la  fuerza  debe  estar  limitado  por  los  principios  de</w:t>
        <w:br/>
        <w:t>proporcionalidad,   necesidad   y   humanidad.   La   fuerza   excesiva    o</w:t>
        <w:br/>
        <w:t>desproporcionada por parte de los funcionarios encargados de  hacer  cumplir</w:t>
        <w:br/>
        <w:t>la ley que da lugar a la pérdida de la vida puede por tanto equivaler  a  la</w:t>
        <w:br/>
        <w:t>privación arbitraria de la vida. El principio de  necesidad  justifica  sólo</w:t>
        <w:br/>
        <w:t>las  medidas  de  violencia   militar   no   prohibidas   por   el   derecho</w:t>
        <w:br/>
        <w:t>internacional, que  son  relevantes  y  proporcionadas  para  garantizar  el</w:t>
        <w:br/>
        <w:t>pronto sometimiento del enemigo con  el  menor  gasto  posible  de  recursos</w:t>
        <w:br/>
        <w:t>humanos y  económicos.  El  principio  de  humanidad  complementa  y  limita</w:t>
        <w:br/>
        <w:t>intrínsecamente el principio  de  necesidad,  al  prohibir  las  medidas  de</w:t>
        <w:br/>
        <w:t>violencia que no son necesarias  (es  decir,  relevantes  y  proporcionadas)</w:t>
        <w:br/>
        <w:t>para el logro de una ventaja militar definitiva. En situaciones de paz,  los</w:t>
        <w:br/>
        <w:t>agentes del  Estado  deben  distinguir  entre  las  personas  que,  por  sus</w:t>
        <w:br/>
        <w:t>acciones, constituyen una amenaza inminente  de  muerte  o  lesión  grave  y</w:t>
        <w:br/>
        <w:t>aquellas personas que no presentan  esa  amenaza,  y  usar  la  fuerza  sólo</w:t>
        <w:br/>
        <w:t>contra las primeras[69].</w:t>
        <w:br/>
        <w:br/>
        <w:br/>
        <w:br/>
        <w:br/>
        <w:t xml:space="preserve">      2)    Existencia de un marco normativo que regule el uso de la fuerza</w:t>
        <w:br/>
        <w:br/>
        <w:br/>
        <w:t>86.   La legislación  interna  debe  establecer  pautas  lo  suficientemente</w:t>
        <w:br/>
        <w:t>claras para la utilización de fuerza letal y armas de  fuego  por  parte  de</w:t>
        <w:br/>
        <w:t>los agentes estatales[70], así como para asegurar un  control  independiente</w:t>
        <w:br/>
        <w:t>acerca de la legalidad de la misma (infra párrs. 88 a 90).</w:t>
        <w:br/>
        <w:br/>
        <w:br/>
        <w:t xml:space="preserve">      3)     Planificación  del  uso  de  la  fuerza   -    Capacitación   y</w:t>
        <w:br/>
        <w:t xml:space="preserve">           entrenamiento a los miembros de los cuerpos armados y organismos</w:t>
        <w:br/>
        <w:t xml:space="preserve">           de seguridad estatales</w:t>
        <w:br/>
        <w:br/>
        <w:t>87.   Una adecuada legislación no cumpliría  su  cometido  si,  entre  otras</w:t>
        <w:br/>
        <w:t>cosas, los Estados no forman y capacitan  a  los  miembros  de  sus  cuerpos</w:t>
        <w:br/>
        <w:t>armados  y  organismos  de  seguridad  sobre  los  principios  y  normas  de</w:t>
        <w:br/>
        <w:t>protección de los derechos humanos y sobre los límites a los que debe  estar</w:t>
        <w:br/>
        <w:t>sometido en toda circunstancia  el  uso  de  las  armas  por  parte  de  los</w:t>
        <w:br/>
        <w:t>funcionarios encargados de hacer cumplir la ley[71].  En  efecto,  la  Corte</w:t>
        <w:br/>
        <w:t>Europea de Derechos Humanos ha  señalado  que  la  cuestión  de  si  debería</w:t>
        <w:br/>
        <w:t>recurrirse al uso de armas de fuego y en qué circunstancias, debe  decidirse</w:t>
        <w:br/>
        <w:t>sobre la base de disposiciones legales claras y entrenamiento  adecuado[72].</w:t>
        <w:br/>
        <w:t>Es imprescindible que los agentes  del  Estado  conozcan  las  disposiciones</w:t>
        <w:br/>
        <w:t>legales que permiten  el  uso  de  las  armas  de  fuego  y  que  tengan  el</w:t>
        <w:br/>
        <w:t>entrenamiento adecuado para que en el evento en que deban decidir acerca  de</w:t>
        <w:br/>
        <w:t>su uso posean los elementos de juicio para hacerlo[73].</w:t>
        <w:br/>
        <w:br/>
        <w:br/>
        <w:t xml:space="preserve">      4)    Control adecuado y verificación de la legitimidad del uso de  la</w:t>
        <w:br/>
        <w:t xml:space="preserve">      fuerza</w:t>
        <w:br/>
        <w:br/>
        <w:t>88.   La prohibición general a los agentes del Estado de privar de  la  vida</w:t>
        <w:br/>
        <w:t>arbitrariamente  sería  ineficaz  si  no  existieran   procedimientos   para</w:t>
        <w:br/>
        <w:t>verificar la legalidad del uso letal  de  la  fuerza  ejercida  por  agentes</w:t>
        <w:br/>
        <w:t>estatales[74].  La  Corte  ha  entendido  que  la  obligación   general   de</w:t>
        <w:br/>
        <w:t>garantizar los derechos humanos consagrados en la Convención,  contenida  en</w:t>
        <w:br/>
        <w:t>el artículo 1.1 de la misma, contiene la obligación de investigar los  casos</w:t>
        <w:br/>
        <w:t>de violaciones del derecho sustantivo que debe  ser  amparado,  protegido  o</w:t>
        <w:br/>
        <w:t>garantizado[75]. Esta obligación general se ve  especialmente  acentuada  en</w:t>
        <w:br/>
        <w:t>casos de uso de la fuerza letal. Una vez que se tenga  conocimiento  de  que</w:t>
        <w:br/>
        <w:t>sus agentes de seguridad han hecho uso de armas de fuego  con  consecuencias</w:t>
        <w:br/>
        <w:t>letales, el Estado está obligado a iniciar ex officio y  sin  dilación,  una</w:t>
        <w:br/>
        <w:t>investigación seria, independiente, imparcial y efectiva[76]  (infra  párrs.</w:t>
        <w:br/>
        <w:t>119  a  124).  Esta  obligación  constituye  un   elemento   fundamental   y</w:t>
        <w:br/>
        <w:t>condicionante para la protección del derecho a la vida que se ve anulado  en</w:t>
        <w:br/>
        <w:t>esas situaciones.</w:t>
        <w:br/>
        <w:br/>
        <w:t>89.    La  Corte  Europea  de  Derechos  Humanos   ha   señalado   que   las</w:t>
        <w:br/>
        <w:t>investigaciones sobre uso excesivo de la  fuerza  deben  estar  abiertas  al</w:t>
        <w:br/>
        <w:t>escrutinio público con el objeto  de  asegurar  la  responsabilidad  de  los</w:t>
        <w:br/>
        <w:t>agentes estatales tanto en teoría como en la práctica[77].  Asimismo,  dicho</w:t>
        <w:br/>
        <w:t>Tribunal ha establecido que la evaluación sobre el  uso  de  la  fuerza  que</w:t>
        <w:br/>
        <w:t>haya implicado  la  utilización  de  armas  debe  hacerse  sobre  todas  las</w:t>
        <w:br/>
        <w:t>circunstancias y el contexto de  los  hechos,  incluyendo  las  acciones  de</w:t>
        <w:br/>
        <w:t>planeación y control de los hechos bajo examen[78].</w:t>
        <w:br/>
        <w:br/>
        <w:br/>
        <w:t>90.   En definitiva, las  carencias  o  defectos  en  la  investigación  que</w:t>
        <w:br/>
        <w:t>perjudiquen la eficacia para establecer la causa de la muerte o  identificar</w:t>
        <w:br/>
        <w:t>a los responsables materiales o intelectuales suponen el  incumplimiento  de</w:t>
        <w:br/>
        <w:t>la obligación de  garantizar  el  derecho  a  la  vida[79].  En  un  sentido</w:t>
        <w:br/>
        <w:t>similar,  el  Relator  Especial  de  Naciones   Unidas   sobre   Ejecuciones</w:t>
        <w:br/>
        <w:t>Extrajudiciales, Sumarias y Arbitrarias señaló:</w:t>
        <w:br/>
        <w:br/>
        <w:br/>
        <w:t xml:space="preserve">      Las normas de derechos humanos sobre el uso de la  fuerza  surgen  del</w:t>
        <w:br/>
        <w:t xml:space="preserve">      entendimiento de  que  la  irreversibilidad  de  la  muerte  justifica</w:t>
        <w:br/>
        <w:t xml:space="preserve">      rigurosas salvaguardias del derecho a la vida, especialmente en lo que</w:t>
        <w:br/>
        <w:t xml:space="preserve">      hace a las garantías procesales debidas. Un procedimiento jurídico que</w:t>
        <w:br/>
        <w:t xml:space="preserve">      respete las garantías procesales debidas  y  llegue  a  una  sentencia</w:t>
        <w:br/>
        <w:t xml:space="preserve">      definitiva es un requisito esencial sin el  cual  la  decisión  de  un</w:t>
        <w:br/>
        <w:t xml:space="preserve">      Estado y de sus agentes de dar muerte a alguien viola el principio  de</w:t>
        <w:br/>
        <w:t xml:space="preserve">      “nadie podrá ser privado de la vida arbitrariamente” y  por  lo  tanto</w:t>
        <w:br/>
        <w:t xml:space="preserve">      violaría el derecho a la vida[80].</w:t>
        <w:br/>
        <w:br/>
        <w:t xml:space="preserve">                                      *</w:t>
        <w:br/>
        <w:t xml:space="preserve">                                   *     *</w:t>
        <w:br/>
        <w:br/>
        <w:t>91.   A la luz de los criterios anteriores, corresponde analizar los  hechos</w:t>
        <w:br/>
        <w:t>del presente caso, comenzando por los  objetivos  definidos  por  el  Estado</w:t>
        <w:br/>
        <w:t>para haber utilizado la fuerza letal en el presente caso.</w:t>
        <w:br/>
        <w:br/>
        <w:t>92.   En primer lugar, el Estado señaló que durante  el  operativo  “pierden</w:t>
        <w:br/>
        <w:t>la vida [las tres presuntas  víctimas]  en  su  intento  por  repeler  a  la</w:t>
        <w:br/>
        <w:t>autoridad, [quienes] registraban antecedentes penales  y  que  en  su  haber</w:t>
        <w:br/>
        <w:t>[tenían] un sinnúmero de asaltos perpetrados principalmente en la ciudad  de</w:t>
        <w:br/>
        <w:t>Guayaquil, además de pertenecer a una red de narcotraficantes  extranjeros”.</w:t>
        <w:br/>
        <w:t>Al respecto, los representantes alegaron que  es  falsa  la  afirmación  del</w:t>
        <w:br/>
        <w:t>Estado  de  que  las  presuntas  víctimas   eran   peligrosos   delincuentes</w:t>
        <w:br/>
        <w:t>pertenecientes a una organizada banda delictiva y  aportaron  para  ello  un</w:t>
        <w:br/>
        <w:t>documento  de   la   Dirección   Nacional   de   la   Policía   Judicial   e</w:t>
        <w:br/>
        <w:t>Investigaciones, que certifica que entre 1984 y 1989  fueron  abiertas  tres</w:t>
        <w:br/>
        <w:t>causas en contra del señor Zambrano Vélez y que los señores  Caicedo  Cobeña</w:t>
        <w:br/>
        <w:t>no tenían antecedentes.</w:t>
        <w:br/>
        <w:br/>
        <w:t>93.   Al resolver otros casos,  la  Corte  ha  hecho  notar  que  no  es  un</w:t>
        <w:br/>
        <w:t>tribunal penal en el que pueda analizarse la responsabilidad  penal  de  los</w:t>
        <w:br/>
        <w:t>individuos[81]. Esto es aplicable al presente caso, que no se refiere  a  la</w:t>
        <w:br/>
        <w:t>inocencia o culpabilidad de los señores Zambrano  Vélez,  Caicedo  Cobeña  y</w:t>
        <w:br/>
        <w:t>Caicedo Cobeña, sino a la conformidad de los actos de agentes estatales  con</w:t>
        <w:br/>
        <w:t>la Convención Americana, en relación con la privación de su vida.</w:t>
        <w:br/>
        <w:br/>
        <w:t>94.   Según fue establecido en el capítulo anterior (supra párrs. 42 a  71),</w:t>
        <w:br/>
        <w:t>el  Decreto  de  emergencia  no  fijó  límites  espaciales,  temporales   ni</w:t>
        <w:br/>
        <w:t>materiales de la suspensión de garantías “en  la  medida  y  por  el  tiempo</w:t>
        <w:br/>
        <w:t>estrictamente  limitados  a  las  exigencias  de  la  situación”.  La  Corte</w:t>
        <w:br/>
        <w:t>considera que, una vez determinada una intervención militar con  tan  vastos</w:t>
        <w:br/>
        <w:t>alcances y en función de objetivos a su vez tan  amplios  y  difusos  (supra</w:t>
        <w:br/>
        <w:t>párrs.  48  a  52),  y  fijados  los  objetivos  específicos  del  operativo</w:t>
        <w:br/>
        <w:t>efectuado el 6 de marzo de 1993 en términos tan generales  (“la  captura  de</w:t>
        <w:br/>
        <w:t>delincuentes,  narcotraficantes  y  terroristas”)  (supra  párr.   74),   la</w:t>
        <w:br/>
        <w:t>planificación de una intervención de tal magnitud  se  puede  dificultar  al</w:t>
        <w:br/>
        <w:t>punto  de  hacer  ineficaces  las   debidas   medidas   de   seguridad   que</w:t>
        <w:br/>
        <w:t>razonablemente puedan preverse para la prevención y protección  de  la  vida</w:t>
        <w:br/>
        <w:t>de las personas y demás garantías inderogables. Además,  hace  prácticamente</w:t>
        <w:br/>
        <w:t>imposible realizar un adecuado control y verificación de  la  legalidad  del</w:t>
        <w:br/>
        <w:t>uso de la fuerza en  los  hechos  del  caso  (supra  párrs.  83  a  90),  en</w:t>
        <w:br/>
        <w:t>particular los criterios de excepcionalidad, necesidad  y  proporcionalidad,</w:t>
        <w:br/>
        <w:t>puesto que este examen debe  realizarse  estrictamente  en  función  de  los</w:t>
        <w:br/>
        <w:t>objetivos específicos  definidos  según  las  exigencias  de  una  situación</w:t>
        <w:br/>
        <w:t>concreta. Corresponde ahora determinar el modo en que esto  incidió  en  las</w:t>
        <w:br/>
        <w:t>circunstancias específicas en que las presuntas víctimas fueron privadas  de</w:t>
        <w:br/>
        <w:t>su vida.</w:t>
        <w:br/>
        <w:br/>
        <w:t>95.    Los  representantes  alegaron  que  “la  información   recogida   por</w:t>
        <w:br/>
        <w:t>organismos de derechos humanos nacionales e internacionales […] muestran  un</w:t>
        <w:br/>
        <w:t>modus  operandi   de   las   fuerzas   de   seguridad[:]   cuando   ejecutan</w:t>
        <w:br/>
        <w:t>extrajudicialmente  a  las  personas,  siempre  dicen  que  fue  durante  un</w:t>
        <w:br/>
        <w:t>enfrentamiento o que el supuesto delincuente se trató de  dar  a  la  fuga”.</w:t>
        <w:br/>
        <w:t>Estos alegatos no fueron demostrados. Al respecto, el Estado  alegó  que  lo</w:t>
        <w:br/>
        <w:t>que sí existía en ese entonces era “un contexto  de  alarmante  inseguridad,</w:t>
        <w:br/>
        <w:t>incremento de la violencia y alarma ciudadana”. Asimismo, el  operativo  fue</w:t>
        <w:br/>
        <w:t>justificado por el comando conjunto de las Fuerzas Armadas  ecuatorianas  en</w:t>
        <w:br/>
        <w:t>su necesidad de  velar  “por  la  seguridad  interna  de  la  nación”  y  de</w:t>
        <w:br/>
        <w:t>“combatir  aquellos  elementos  que  buscan  alterar  la   paz   ciudadana”,</w:t>
        <w:br/>
        <w:t>motivadas por “el pedido de la ciudadanía, medios de comunicación y  opinión</w:t>
        <w:br/>
        <w:t>pública  en  general  de  que  las  FF.AA.  actúen   ante   el   crecimiento</w:t>
        <w:br/>
        <w:t>incontrolable de actividad delincuencial” (supra párr. 74).</w:t>
        <w:br/>
        <w:br/>
        <w:t>96.   La Corte  observa  que  la  amenaza  “delincuencial”,  “subversiva”  o</w:t>
        <w:br/>
        <w:t>“terrorista” invocada por el  Estado  como  justificación  de  las  acciones</w:t>
        <w:br/>
        <w:t>desarrolladas puede ciertamente constituir una razón legítima  para  que  un</w:t>
        <w:br/>
        <w:t>Estado despliegue sus fuerzas de seguridad en casos concretos. Sin  embargo,</w:t>
        <w:br/>
        <w:t>la lucha de los Estados contra el crimen debe desarrollarse  dentro  de  los</w:t>
        <w:br/>
        <w:t>límites y conforme a los procedimientos  que  permitan  preservar  tanto  la</w:t>
        <w:br/>
        <w:t>seguridad pública como el pleno respeto a los derechos  humanos  de  quienes</w:t>
        <w:br/>
        <w:t>se hallen sometidos a su jurisdicción[82]. Las  condiciones  del  país,  sin</w:t>
        <w:br/>
        <w:t>importar qué tan difíciles  sean,  no  liberan  a  un  Estado  Parte  en  la</w:t>
        <w:br/>
        <w:t>Convención Americana de sus obligaciones establecidas en  ese  tratado,  que</w:t>
        <w:br/>
        <w:t>subsisten particularmente  en  casos  como  el  presente[83].  Es  necesario</w:t>
        <w:br/>
        <w:t>insistir que, sin importar  las  condiciones  de  cada  Estado,  existe  una</w:t>
        <w:br/>
        <w:t>prohibición absoluta de  la  tortura,  de  las  desapariciones  forzadas  de</w:t>
        <w:br/>
        <w:t>personas y de las ejecuciones sumarias y  extrajudiciales,  prohibición  que</w:t>
        <w:br/>
        <w:t>constituye una norma inderogable de Derecho Internacional [84].</w:t>
        <w:br/>
        <w:br/>
        <w:t>97.   El Estado aceptó que el estado de  excepción  “pudo  demostrar  cierta</w:t>
        <w:br/>
        <w:t>desmesura en la planificación del objetivo que  se  perseguía”,  pero  alegó</w:t>
        <w:br/>
        <w:t>que  “ello  en  sí  mismo  no  demuestra  de  manera  alguna  una  ejecución</w:t>
        <w:br/>
        <w:t>extrajudicial imputable al Estado, que dé  mérito  para  que  la  Corte  […]</w:t>
        <w:br/>
        <w:t>declare la violación del artículo 4 de la Convención”.</w:t>
        <w:br/>
        <w:br/>
        <w:t>98.    La  Comisión  y  los  representantes  alegaron,  con  base   en   los</w:t>
        <w:br/>
        <w:t>testimonios rendidos por algunos familiares  de  los  fallecidos,  así  como</w:t>
        <w:br/>
        <w:t>vecinos de la zona sin identificar, que al ingresar a los domicilios de  las</w:t>
        <w:br/>
        <w:t>tres presuntas víctimas los  militares  los  ejecutaron  extrajudicialmente.</w:t>
        <w:br/>
        <w:t>Además, la Comisión  alegó  “que  el  Estado  no  ha  aportado  pruebas  que</w:t>
        <w:br/>
        <w:t>sugieran que [las presuntas víctimas hubieran portado] armas al  momento  de</w:t>
        <w:br/>
        <w:t>su muerte y  que  por  consiguiente  los  agentes  estatales  actuar[an]  en</w:t>
        <w:br/>
        <w:t>defensa propia” y que aquél tampoco habría probado que uno  de  sus  agentes</w:t>
        <w:br/>
        <w:t>fuera herido con arma de fuego por una de  ellas.  A  su  vez,  la  Comisión</w:t>
        <w:br/>
        <w:t>estimó que el hecho de que cada una de las presuntas  víctimas  fue  privada</w:t>
        <w:br/>
        <w:t>de su vida en su domicilio, demostraría  que  la  resistencia  que  pudieran</w:t>
        <w:br/>
        <w:t>haber opuesto a los  agentes  de  la  fuerza  pública  fue  individual.  Los</w:t>
        <w:br/>
        <w:t>representantes alegaron que las presuntas víctimas estaban bajo custodia  de</w:t>
        <w:br/>
        <w:t>agentes estatales  al  momento  de  su  muerte  y  que  existen  suficientes</w:t>
        <w:br/>
        <w:t>elementos  de  prueba,  tales  como  informes  de  prensa,  testimonios   de</w:t>
        <w:br/>
        <w:t>familiares e informes de organismos de derechos humanos, para  concluir  que</w:t>
        <w:br/>
        <w:t>las víctimas fueron ejecutadas extrajudicialmente. Además, alegaron  que  el</w:t>
        <w:br/>
        <w:t>Estado no ha presentado prueba de que los agentes que  participaron  en  los</w:t>
        <w:br/>
        <w:t>hechos hayan intentado otro mecanismo menos letal de intervención.</w:t>
        <w:br/>
        <w:br/>
        <w:t>99.   El Estado en su contestación a la demanda alegó que la muerte  de  las</w:t>
        <w:br/>
        <w:t>tres presuntas víctimas se dio “irrefutablemente […]  en  legítima  defensa”</w:t>
        <w:br/>
        <w:t>por parte de los agentes estatales.  Alegó que en este caso  “se  aprehendió</w:t>
        <w:br/>
        <w:t>en la casa  de  los  fallecidos  armamento  sofisticado,  material  para  el</w:t>
        <w:br/>
        <w:t>tráfico de estupefacientes, motivo por el cual iban  a  ser  detenidos  para</w:t>
        <w:br/>
        <w:t>las correspondientes investigaciones, sin embargo al desacatar la  autoridad</w:t>
        <w:br/>
        <w:t>[…] y en legítima defensa resultaron heridos de muerte”.   Con  respecto  al</w:t>
        <w:br/>
        <w:t>señor Zambrano Vélez, alegó que él “falleció  en  un  enfrentamiento  armado</w:t>
        <w:br/>
        <w:t>con la fuerza pública” y que este  hecho,  “si  bien  fue  cometido  por  un</w:t>
        <w:br/>
        <w:t>agente de [ésta,] no constituye una infracción penal, [… por lo que]  no  se</w:t>
        <w:br/>
        <w:t>le puede atribuir responsabilidad internacional al Estado por  un  acto  que</w:t>
        <w:br/>
        <w:t>fue cometido por un agente [estatal] en uso de su legítima defensa, no  sólo</w:t>
        <w:br/>
        <w:t>personal sino de toda la sociedad”.  En tal sentido,  el  Estado  invocó  el</w:t>
        <w:br/>
        <w:t>Código Penal de la Policía Nacional vigente en la época,  cuyo  artículo  21</w:t>
        <w:br/>
        <w:t>determina en qué circunstancias estaría  exenta  la  responsabilidad  de  un</w:t>
        <w:br/>
        <w:t>policía o un miembro de la Fuerza Pública. Además, el Estado  alegó  que  la</w:t>
        <w:br/>
        <w:t>Comisión “hace alusión al Código  de  Conducta  [de  Naciones  Unidas]  para</w:t>
        <w:br/>
        <w:t>funcionarios  encargados  de  hacer  cumplir  la  ley  [sic]  […]  y  a  los</w:t>
        <w:br/>
        <w:t>Principios Básicos sobre el Uso de la Fuerza y de Armas de Fuego  por  parte</w:t>
        <w:br/>
        <w:t>de Oficiales de Seguridad Pública [sic] [… y que en] ambos  instrumentos  se</w:t>
        <w:br/>
        <w:t>prevé la salvedad de la legítima defensa”; que en  el  artículo  51  de  “la</w:t>
        <w:br/>
        <w:t>Carta de las Naciones Unidas se reconoce y reafirma el  derecho  a  utilizar</w:t>
        <w:br/>
        <w:t>la fuerza militar en legítima  defensa”  y,  de  igual  manera,  invocó  los</w:t>
        <w:br/>
        <w:t>artículos 22 y 29 de la Carta de la OEA.</w:t>
        <w:br/>
        <w:br/>
        <w:t>100.  Sin embargo, en sus alegatos finales orales el Estado  manifestó  que,</w:t>
        <w:br/>
        <w:t>al no existir una decisión judicial que determine las circunstancias de  las</w:t>
        <w:br/>
        <w:t>muertes de las tres presuntas víctimas, “podría  presumirse  dicha  legítima</w:t>
        <w:br/>
        <w:t>defensa con base en las autopsias” de  las  tres  presuntas  víctimas  y  el</w:t>
        <w:br/>
        <w:t>presunto disparo recibido por un agente estatal.   Luego,  en  sus  alegatos</w:t>
        <w:br/>
        <w:t>finales  escritos,  el  Estado  manifestó  que  se  presentan  “dos   claras</w:t>
        <w:br/>
        <w:t>posibilidades:  la  configuración  de  una  ejecución  extrajudicial  o   la</w:t>
        <w:br/>
        <w:t>configuración de la legítima defensa”; además, alegó que para  calificar  la</w:t>
        <w:br/>
        <w:t>muerte  de  una  persona  como  ejecución  extrajudicial,  ésta  ha  de  ser</w:t>
        <w:br/>
        <w:t>deliberada e injustificada, lo cual no han demostrado ni los  representantes</w:t>
        <w:br/>
        <w:t>ni la Comisión, por lo que subsiste una duda razonable sobre lo ocurrido.</w:t>
        <w:br/>
        <w:br/>
        <w:t>101.  Según fue señalado, en este caso los señores Zambrano  Vélez,  Caicedo</w:t>
        <w:br/>
        <w:t>Cobeña y Caicedo Cobeña fueron privados de su  vida  por  agentes  estatales</w:t>
        <w:br/>
        <w:t>que hicieron uso letal de  la  fuerza,  en  el  marco  de  un  operativo  de</w:t>
        <w:br/>
        <w:t>seguridad y en ejercicio de sus funciones. En efecto, el Código de  Conducta</w:t>
        <w:br/>
        <w:t>de Naciones Unidas para Oficiales de  Seguridad  Pública  y  los  Principios</w:t>
        <w:br/>
        <w:t>Básicos sobre el Empleo de la Fuerza y  de  Armas  de  Fuego  por  parte  de</w:t>
        <w:br/>
        <w:t>Oficiales Encargados de Hacer Cumplir la Ley, prohíben el  empleo  de  armas</w:t>
        <w:br/>
        <w:t>de fuego “excepto cuando un presunto delincuente ofrezca resistencia  armada</w:t>
        <w:br/>
        <w:t>o ponga en peligro, de algún otro modo, la  vida  de  otras  personas  y  no</w:t>
        <w:br/>
        <w:t>pueda reducirse o detenerse al presunto delincuente aplicando medidas  menos</w:t>
        <w:br/>
        <w:t>extremas” y “salvo en defensa propia o  de  otras  personas  […]  o  con  el</w:t>
        <w:br/>
        <w:t>objeto de detener a una persona que represente [peligro inminente de  muerte</w:t>
        <w:br/>
        <w:t>o lesiones graves] y oponga resistencia a su autoridad, o  para  impedir  su</w:t>
        <w:br/>
        <w:t>fuga, y sólo en caso de que resulten insuficientes  medidas  menos  extremas</w:t>
        <w:br/>
        <w:t>para lograr dichos objetivos”[85]. En este caso  no  se  ha  demostrado  que</w:t>
        <w:br/>
        <w:t>esas personas fueran privadas  de  su  vida  en  alguno  de  esos  supuestos</w:t>
        <w:br/>
        <w:t>excepcionales.</w:t>
        <w:br/>
        <w:br/>
        <w:t>102.  Asimismo, respecto de la invocación que hace el  Estado  del  artículo</w:t>
        <w:br/>
        <w:t>51 de la Carta de Naciones Unidas y de los artículos 22 y 29 de la Carta  de</w:t>
        <w:br/>
        <w:t>la OEA (supra párr. 99), corresponde aclarar que el  concepto  de  “legítima</w:t>
        <w:br/>
        <w:t>defensa” contenido en  esos  instrumentos  se  refiere  a  una  facultad  de</w:t>
        <w:br/>
        <w:t>alcance restringido y reconocida por el Derecho Internacional a los  Estados</w:t>
        <w:br/>
        <w:t>como una excepción a la prohibición general de la guerra  y  al  uso  de  la</w:t>
        <w:br/>
        <w:t>fuerza, para efectos de mantener la paz y  seguridad  internacionales.  Esta</w:t>
        <w:br/>
        <w:t>concepción  de  “legítima  defensa”  no  tendría  aplicación  alguna  en  la</w:t>
        <w:br/>
        <w:t>determinación,  por  parte  de  este   Tribunal,   de   la   responsabilidad</w:t>
        <w:br/>
        <w:t>internacional del Estado bajo  la  Convención  Americana  por  la  acción  u</w:t>
        <w:br/>
        <w:t>omisión de un agente del Estado en un operativo de seguridad.</w:t>
        <w:br/>
        <w:br/>
        <w:t>103.  A su vez,  este  Tribunal  ha  establecido  que  el  artículo  1.1  es</w:t>
        <w:br/>
        <w:t>fundamental para  determinar  si  una  violación  de  los  derechos  humanos</w:t>
        <w:br/>
        <w:t>reconocidos por la Convención puede ser atribuida a un Estado Parte en  todo</w:t>
        <w:br/>
        <w:t>su alcance. De tal modo, todo menoscabo a los derechos  humanos  reconocidos</w:t>
        <w:br/>
        <w:t>en la Convención que pueda ser  atribuido,  según  las  reglas  del  Derecho</w:t>
        <w:br/>
        <w:t>Internacional, a  la  acción  u  omisión  de  cualquier  autoridad  pública,</w:t>
        <w:br/>
        <w:t>constituye un hecho imputable al Estado que  compromete  su  responsabilidad</w:t>
        <w:br/>
        <w:t>internacional en los términos previstos por la misma Convención y  según  el</w:t>
        <w:br/>
        <w:t>Derecho Internacional general. Es un principio de Derecho Internacional  que</w:t>
        <w:br/>
        <w:t>el Estado responde por los actos y omisiones de sus  agentes  realizados  al</w:t>
        <w:br/>
        <w:t>amparo de su carácter oficial, aun si actúan fuera  de  los  límites  de  su</w:t>
        <w:br/>
        <w:t>competencia[86].</w:t>
        <w:br/>
        <w:br/>
        <w:t>104.  Por otro lado, respecto del alegato del Estado de invocar  normas  del</w:t>
        <w:br/>
        <w:t>Código Penal de la Policía Nacional que  excluirían  la  responsabilidad  de</w:t>
        <w:br/>
        <w:t>miembros de sus cuerpos de seguridad  (supra  párr.  99),  es  un  principio</w:t>
        <w:br/>
        <w:t>básico  del  derecho  de  la  responsabilidad  internacional   del   Estado,</w:t>
        <w:br/>
        <w:t>respaldado por  la  jurisprudencia  internacional,  que  los  Estados  deben</w:t>
        <w:br/>
        <w:t>acatar sus obligaciones convencionales internacionales de  buena  fe  (pacta</w:t>
        <w:br/>
        <w:t>sunt servanda) y, como ya ha señalado esta Corte y lo  dispone  el  artículo</w:t>
        <w:br/>
        <w:t>27 de la Convención de Viena sobre el  Derecho  de  los  Tratados  de  1969,</w:t>
        <w:br/>
        <w:t>aquellos no pueden por razones de orden  interno  dejar  de  cumplirlas[87].</w:t>
        <w:br/>
        <w:t>Para  establecer  que  se  ha  producido  una  violación  de  los   derechos</w:t>
        <w:br/>
        <w:t>consagrados en la Convención no se requiere determinar, como  ocurre  en  el</w:t>
        <w:br/>
        <w:t>derecho penal interno, la culpabilidad de sus autores o  su  intencionalidad</w:t>
        <w:br/>
        <w:t>y tampoco es preciso identificar individualmente a los agentes a los  cuales</w:t>
        <w:br/>
        <w:t>se atribuyen los hechos violatorios[88].  Es suficiente la  demostración  de</w:t>
        <w:br/>
        <w:t>que ha habido apoyo o tolerancia del poder público en la infracción  de  los</w:t>
        <w:br/>
        <w:t>derechos reconocidos en la Convención[89], omisiones que hayan permitido  la</w:t>
        <w:br/>
        <w:t>perpetración de esas violaciones o que exista una obligación del Estado  que</w:t>
        <w:br/>
        <w:t>haya sido incumplida por éste[90].</w:t>
        <w:br/>
        <w:br/>
        <w:t>105.  Según fue señalado, en  el  presente  caso  han  sido  expuestas  dos</w:t>
        <w:br/>
        <w:t>posibilidades acerca de las circunstancias de la privación de  la  vida  de</w:t>
        <w:br/>
        <w:t>las presuntas víctimas. Por un lado, según el  Comunicado  Oficial  emitido</w:t>
        <w:br/>
        <w:t>por las Fuerzas Armadas en relación con el operativo,  los  señores  Wilmer</w:t>
        <w:br/>
        <w:t>Zambrano Vélez, Segundo Olmedo Caicedo Cobeña y José Miguel Caicedo  Cobeña</w:t>
        <w:br/>
        <w:t>habrían fallecido al oponer resistencia[91]:</w:t>
        <w:br/>
        <w:br/>
        <w:t xml:space="preserve">      […] Tres delincuentes cayeron en acción al oponer resistencia […]. Los</w:t>
        <w:br/>
        <w:t xml:space="preserve">      delincuentes  fallecidos  dispararon  a  quemarropa  al  personal  que</w:t>
        <w:br/>
        <w:t xml:space="preserve">      intervino: con pistola Colt 45 (Wilmer Zambrano), Olmedo  Caicedo  con</w:t>
        <w:br/>
        <w:t xml:space="preserve">      un revólver calibre 38 con proyectiles dum-dum que  impactaron  en  el</w:t>
        <w:br/>
        <w:t xml:space="preserve">      pecho de un elemento militar, quien salvó la vida por estar  protegido</w:t>
        <w:br/>
        <w:t xml:space="preserve">      con chalecos; Miguel Caicedo quien trató de quitarle el arma a uno  de</w:t>
        <w:br/>
        <w:t xml:space="preserve">      sus custodios; murió en el intento.</w:t>
        <w:br/>
        <w:br/>
        <w:br/>
        <w:t>106.  Por otro lado, la versión que surge principalmente de los testimonios</w:t>
        <w:br/>
        <w:t>de los familiares  de  las  presuntas  víctimas,  según  quienes  éstas  se</w:t>
        <w:br/>
        <w:t>encontraban bajo custodia o detención por los agentes  militares  antes  de</w:t>
        <w:br/>
        <w:t>ser privadas de su vida[92]:</w:t>
        <w:br/>
        <w:br/>
        <w:t>Vanner Omar Caicedo Macias:</w:t>
        <w:br/>
        <w:br/>
        <w:t xml:space="preserve">      […] a las 5:30 de la mañana aproximadamente que mi mamá levantó  a  mi</w:t>
        <w:br/>
        <w:t xml:space="preserve">      papá y le decía que había gente afuera que  escuchaba  bulla.  […]  mi</w:t>
        <w:br/>
        <w:t xml:space="preserve">      mamá [salió a la sala] cuando explotó  la  puerta  […]  mi  mama  cayó</w:t>
        <w:br/>
        <w:t xml:space="preserve">      [herida] al piso […] producto de [la explosión]  mi  papá  se  paró  y</w:t>
        <w:br/>
        <w:t xml:space="preserve">      gritó desesperado que se le habían matado,  a  tratar  de  socorrerla,</w:t>
        <w:br/>
        <w:t xml:space="preserve">      […]. En ese momento [entraron]  los  miembros  uniformados  […]  y  lo</w:t>
        <w:br/>
        <w:t xml:space="preserve">      tiraron al piso. A nosotros nos cogieron y nos llevaron hacia la parte</w:t>
        <w:br/>
        <w:t xml:space="preserve">      de la sala por el comedor y nos acostaron en  el  piso  junto  con  mi</w:t>
        <w:br/>
        <w:t xml:space="preserve">      mamá. Luego de esto escuch[é] cómo a mi papá […] lo golpeaban […] y lo</w:t>
        <w:br/>
        <w:t xml:space="preserve">      amenazaban y le decían que hable que “si él era”[..,] que  les  dijera</w:t>
        <w:br/>
        <w:t xml:space="preserve">      “cuántos son, de dónde son” y le golpeaban. Y se escuchaba como él  se</w:t>
        <w:br/>
        <w:t xml:space="preserve">      quejaba y suplicaba que no le peguen que él no sabía nada y por varias</w:t>
        <w:br/>
        <w:t xml:space="preserve">      ocasiones […] le amenazaron que si él no hablaba que le iban a matar a</w:t>
        <w:br/>
        <w:t xml:space="preserve">      su familia y él suplicaba que con su familia no se metan, que si ellos</w:t>
        <w:br/>
        <w:t xml:space="preserve">      querían que hagan lo que sea a él, pero no a su familia ni a sus hijos</w:t>
        <w:br/>
        <w:t xml:space="preserve">      [ni] su esposa. […] Hubo un momento que se quedó todo en silencio, […]</w:t>
        <w:br/>
        <w:t xml:space="preserve">      como 5-10 minutos así en silencio, luego se escuchó de  nuevo  que  le</w:t>
        <w:br/>
        <w:t xml:space="preserve">      decían que donde no hablara lo iban a  matar,  luego  se  escuchó  dos</w:t>
        <w:br/>
        <w:t xml:space="preserve">      disparos, […] sólo dos y disparos, y él gritó quejándose de dolor. Eso</w:t>
        <w:br/>
        <w:t xml:space="preserve">      fue lo último que escuchamos de mi papá en ese momento.</w:t>
        <w:br/>
        <w:br/>
        <w:br/>
        <w:t xml:space="preserve">      […] Después me enteré por los vecinos de parte al frente y conversando</w:t>
        <w:br/>
        <w:t xml:space="preserve">      […] con mi hermano, que [a mi padre]  lo  habían  sacado  a  la  parte</w:t>
        <w:br/>
        <w:t xml:space="preserve">      exterior de la casa hacia un carro que estaba estacionado en la  parte</w:t>
        <w:br/>
        <w:t xml:space="preserve">      de afuera. Lo habían sacado con pantaloneta blanca con una funda en la</w:t>
        <w:br/>
        <w:t xml:space="preserve">      cabeza y que luego lo volvieron a ingresar […] a uno de esos  camiones</w:t>
        <w:br/>
        <w:t xml:space="preserve">      que tienen los militares; […] dicen que lo subieron y luego de un rato</w:t>
        <w:br/>
        <w:t xml:space="preserve">      lo bajaron y  lo  ingresaron  dentro  de  la  casa  de  nuevo  y  allí</w:t>
        <w:br/>
        <w:t xml:space="preserve">      escucharon los disparos, porque los  vecinos  también  escucharon  los</w:t>
        <w:br/>
        <w:t xml:space="preserve">      disparos […].</w:t>
        <w:br/>
        <w:br/>
        <w:t>Alicia Rodríguez Villegas:</w:t>
        <w:br/>
        <w:br/>
        <w:t xml:space="preserve">      nosotros   estábamos   durmiendo   cuando   ellos   ingresaron.   [Nos</w:t>
        <w:br/>
        <w:t xml:space="preserve">      despertamos] cuando escuchamos la explosión de la bomba en  la  puerta</w:t>
        <w:br/>
        <w:t xml:space="preserve">      […]. Yo estaba con mi niña aparte en el otro dormitorio. [Mi hija  vio</w:t>
        <w:br/>
        <w:t xml:space="preserve">      los hechos] porque […] se metía debajo de la cama y como el dormitorio</w:t>
        <w:br/>
        <w:t xml:space="preserve">      de ella no tiene puerta ella vio cuando  le  dispararon  […]  me  dice</w:t>
        <w:br/>
        <w:t xml:space="preserve">      “mami a Wilmer le dieron  dos  disparos  pero  no  se  escucharon  los</w:t>
        <w:br/>
        <w:t xml:space="preserve">      disparos” […].</w:t>
        <w:br/>
        <w:t xml:space="preserve">      [Cuando los militares …] nos sacaron, [nos] embarcaron en el camión de</w:t>
        <w:br/>
        <w:t xml:space="preserve">      la armada con los ojos vendados y de allí nosotros no vimos  más  nada</w:t>
        <w:br/>
        <w:t xml:space="preserve">      […]. Nosotros regresamos el camión nos dio una vuelta y nos bajaron  y</w:t>
        <w:br/>
        <w:t xml:space="preserve">      nos pusieron hacia la pared en una casa esquinera y de allí a los  que</w:t>
        <w:br/>
        <w:t xml:space="preserve">      ya se llevaron al muerto y nos dijeron cada cual puede ingresar a  sus</w:t>
        <w:br/>
        <w:t xml:space="preserve">      habitaciones.</w:t>
        <w:br/>
        <w:br/>
        <w:t>Teresa María Susana Cedeño Paz:</w:t>
        <w:br/>
        <w:br/>
        <w:t xml:space="preserve">      […] Nos despertamos por la explosión de una bomba. Se escuchó como  un</w:t>
        <w:br/>
        <w:t xml:space="preserve">      ruido de un tanque de gas […,] tenía mucho miedo[,…]  al asomarme a la</w:t>
        <w:br/>
        <w:t xml:space="preserve">      ventana […] – porque yo era […] la  que  podía  levantarme  porque  mi</w:t>
        <w:br/>
        <w:t xml:space="preserve">      esposo no se podía levantar – [vi que] eran muchos militares  y  [que]</w:t>
        <w:br/>
        <w:t xml:space="preserve">      habían puesto la bomba.  [Luego  hubo]  una  explosión  [y…]  entraron</w:t>
        <w:br/>
        <w:t xml:space="preserve">      […militares] en mi casa [alrededor de las] 5:30  de  la  mañana.  [Los</w:t>
        <w:br/>
        <w:t xml:space="preserve">      militares] entraron por la puerta donde […] habían puesto  el  aparato</w:t>
        <w:br/>
        <w:t xml:space="preserve">      [e] ingresaron [diciendo] que buscaban a un tal Luis  Mejía  y  a  [mi</w:t>
        <w:br/>
        <w:t xml:space="preserve">      compañero] le decían: “¿Tú eres Luis Mejia?” y él dijo:  “No,  yo  soy</w:t>
        <w:br/>
        <w:t xml:space="preserve">      Miguel Caicedo, yo no soy Luis Mejía”. Y le pegaban, le pegaban  y  le</w:t>
        <w:br/>
        <w:t xml:space="preserve">      pegaban. [Un militar] le dijo: “Pero si tú estas cojo  tiene  que  ser</w:t>
        <w:br/>
        <w:t xml:space="preserve">      por lo que andas robando, matando”. [Mi compañero] le  dijo:  “No,  yo</w:t>
        <w:br/>
        <w:t xml:space="preserve">      vine de Chone, recién tengo nueve meses. Vine por el  problema  de  mi</w:t>
        <w:br/>
        <w:t xml:space="preserve">      pierna. Me operaron en el hospital y no sé nada de  lo  que  me  están</w:t>
        <w:br/>
        <w:t xml:space="preserve">      preguntando”.</w:t>
        <w:br/>
        <w:br/>
        <w:br/>
        <w:t xml:space="preserve">      [Miguel] no podía levantarse [ni oponer  resistencia;  además,  en  la</w:t>
        <w:br/>
        <w:t xml:space="preserve">      casa no había armas,] sólo […] cuchillos […] para cocinar.  […]  Ellos</w:t>
        <w:br/>
        <w:t xml:space="preserve">      le seguían pegando y a mí me llevaron  al  cuarto  donde  estaban  mis</w:t>
        <w:br/>
        <w:t xml:space="preserve">      muchachos y yo escuchaba clarito  cuando  le  ponían  corriente  y  él</w:t>
        <w:br/>
        <w:t xml:space="preserve">      decía: “No me pongan corriente, déjenme tranquilo” […]. Salió un  hijo</w:t>
        <w:br/>
        <w:t xml:space="preserve">      mío […] a ver los gritos de su padre [y] de los golpes que le  pegaron</w:t>
        <w:br/>
        <w:t xml:space="preserve">      […] cayó al suelo y entonces [Miguel] dijo que si [ib]an a matar a  su</w:t>
        <w:br/>
        <w:t xml:space="preserve">      mujer y [a] su hijo, lo matan a él. [También] decía que […]  cambia[ba</w:t>
        <w:br/>
        <w:t xml:space="preserve">      su] vida […] por las de nosotros […] Entonces nos sacaron de  allí  de</w:t>
        <w:br/>
        <w:t xml:space="preserve">      la casa y nos llevaron al lado en otra casa y allí nos  pusieron  [por</w:t>
        <w:br/>
        <w:t xml:space="preserve">      un tiempo limitado]  para  que  no  escucháramos  [pero  aún  podíamos</w:t>
        <w:br/>
        <w:t xml:space="preserve">      escuchar] cómo le pegaban[.] Allí lo cogieron ellos y se  lo  llevaron</w:t>
        <w:br/>
        <w:t xml:space="preserve">      al patio –porque cuando escuchamos los disparos se escuchaba hacia  el</w:t>
        <w:br/>
        <w:t xml:space="preserve">      patio. […] Escuchamos dos disparos [y]  ya  no  se  escuchó  nada  más</w:t>
        <w:br/>
        <w:t xml:space="preserve">      después […]. Allí vinieron unas bolquetas llenas de  militares  y  […]</w:t>
        <w:br/>
        <w:t xml:space="preserve">      nos llevaron al frente […] como a una  cuadra  [a]  una  escuela.  Nos</w:t>
        <w:br/>
        <w:t xml:space="preserve">      pusieron [contra] la pared, […] con las manos atrás […],  no  podíamos</w:t>
        <w:br/>
        <w:t xml:space="preserve">      hablar. […] De allí yo pude ver que  [se]  lo  llevaban  entre  cuatro</w:t>
        <w:br/>
        <w:t xml:space="preserve">      militares, dos de las manos y dos de los pies y entonces  lo  mecieron</w:t>
        <w:br/>
        <w:t xml:space="preserve">      así y lo tiraron al balde. [En el patio había rastros de sangre].</w:t>
        <w:br/>
        <w:br/>
        <w:t>107.  Los testimonios señalados, en la medida en que son de  familiares  de</w:t>
        <w:br/>
        <w:t>las presuntas víctimas, no pueden ser valorados aisladamente  (supra  párr.</w:t>
        <w:br/>
        <w:t>40), por lo que, si bien serían testigos presenciales el día de los hechos,</w:t>
        <w:br/>
        <w:t>sus relatos no demostrarían por sí mismos la  circunstancia  específica  en</w:t>
        <w:br/>
        <w:t>que las presuntas víctimas habrían sido ejecutadas en ese lugar. En algunos</w:t>
        <w:br/>
        <w:t>testimonios, además, el relato se refiere a lo que escucharon  de  terceras</w:t>
        <w:br/>
        <w:t>personas.  Según  surge  de  las  autopsias  realizadas   por   el   propio</w:t>
        <w:br/>
        <w:t>Departamento de Policía, los cuerpos de las tres presuntas víctimas  tenían</w:t>
        <w:br/>
        <w:t>cada uno entre cinco y doce disparos de armas de fuego en diferentes partes</w:t>
        <w:br/>
        <w:t>del cuerpo[93]. Esta prueba no es concluyente en cuanto a la forma  en  que</w:t>
        <w:br/>
        <w:t>habrían muerto y, por otro lado, el Estado no ha aportado pruebas, más allá</w:t>
        <w:br/>
        <w:t>del propio informe militar señalado, de que las presuntas víctimas portaran</w:t>
        <w:br/>
        <w:t>armas al momento de su muerte ni que alguna de  ellas  fuera  autor  de  un</w:t>
        <w:br/>
        <w:t>supuesto disparo recibido por un agente militar. Más  aún,  el  señor  José</w:t>
        <w:br/>
        <w:t>Miguel Caicedo Cobeña se encontraba convaleciente de una  operación,  según</w:t>
        <w:br/>
        <w:t>la prueba aportada.</w:t>
        <w:br/>
        <w:br/>
        <w:t>108.  Sin embargo, y respecto de los alcances que  en  opinión  del  Estado</w:t>
        <w:br/>
        <w:t>tendría la falta de una decisión judicial interna (supra párr. 100), además</w:t>
        <w:br/>
        <w:t>de lo señalado anteriormente (supra párrs.  88  a  90),  este  Tribunal  ha</w:t>
        <w:br/>
        <w:t>considerado que “en todo caso de  uso  de  fuerza  [por  parte  de  agentes</w:t>
        <w:br/>
        <w:t>estatales] que haya producido la muerte o lesiones a  una  o  más  personas</w:t>
        <w:br/>
        <w:t>corresponde  al  Estado  la   obligación   de   proveer   una   explicación</w:t>
        <w:br/>
        <w:t>satisfactoria y convincente de lo sucedido  y  desvirtuar  las  alegaciones</w:t>
        <w:br/>
        <w:t>sobre su responsabilidad, mediante  elementos  probatorios  adecuados”[94].</w:t>
        <w:br/>
        <w:t>Ciertamente en los procesos sobre alegadas violaciones de derechos humanos,</w:t>
        <w:br/>
        <w:t>la defensa del Estado no puede descansar en la imposibilidad del demandante</w:t>
        <w:br/>
        <w:t>de allegar pruebas que,  en  muchos  casos,  no  pueden  obtenerse  sin  la</w:t>
        <w:br/>
        <w:t>cooperación del Estado[95]. Además, no existe evidencia de que los  agentes</w:t>
        <w:br/>
        <w:t>de las fuerzas armadas que participaron en  el  operativo  hayan  intentado</w:t>
        <w:br/>
        <w:t>otro mecanismo menos letal de intervención en el  caso  específico  de  las</w:t>
        <w:br/>
        <w:t>presuntas víctimas y el Estado no  ha  probado  que  la  actuación  de  sus</w:t>
        <w:br/>
        <w:t>cuerpos de seguridad fuera necesaria y  proporcional  en  relación  con  la</w:t>
        <w:br/>
        <w:t>exigencia de la situación. Bajo los parámetros señalados, en casos  en  que</w:t>
        <w:br/>
        <w:t>agentes estatales usen la fuerza letal contra individuos que ya no plantean</w:t>
        <w:br/>
        <w:t>una amenaza, como por ejemplo individuos que se encuentran bajo custodia de</w:t>
        <w:br/>
        <w:t>las autoridades, constituiría  una  ejecución  extrajudicial  en  violación</w:t>
        <w:br/>
        <w:t>flagrante del artículo 4 de la Convención.</w:t>
        <w:br/>
        <w:br/>
        <w:t>109.  Por último, la vía idónea para determinar lo ocurrido era un  adecuado</w:t>
        <w:br/>
        <w:t>control y verificación de la legitimidad del uso de la fuerza  mediante  una</w:t>
        <w:br/>
        <w:t>investigación de los hechos a nivel interno (supra párrs.  67,  88  a  90  y</w:t>
        <w:br/>
        <w:t>94). Además, la Corte entiende  que,  de  los  hechos  establecidos  en  los</w:t>
        <w:br/>
        <w:t>párrafos anteriores y conforme a lo estipulado en los artículos  1.1  y  4.1</w:t>
        <w:br/>
        <w:t>de la Convención Americana, surgió la obligación estatal  de  investigar  la</w:t>
        <w:br/>
        <w:t>muerte de los señores Zambrano Vélez, Caicedo Cobeña y  Caicedo  Cobeña.  La</w:t>
        <w:br/>
        <w:t>evaluación acerca de la obligación de garantía del derecho a la vida por  la</w:t>
        <w:br/>
        <w:t>vía de una investigación seria, completa y efectiva de lo ocurrido, se  hará</w:t>
        <w:br/>
        <w:t>en el Capítulo VIII de esta Sentencia. Para los efectos de la  determinación</w:t>
        <w:br/>
        <w:t>de la violación del artículo 4 de la Convención, basta señalar que  en  este</w:t>
        <w:br/>
        <w:t>caso el Estado no ha garantizado efectivamente el derecho contenido en  esta</w:t>
        <w:br/>
        <w:t>disposición.</w:t>
        <w:br/>
        <w:br/>
        <w:t xml:space="preserve">                                      *</w:t>
        <w:br/>
        <w:t xml:space="preserve">                                   *     *</w:t>
        <w:br/>
        <w:br/>
        <w:t>110.  En conclusión, determinado  el  uso  ilegítimo  de  la  fuerza  en  el</w:t>
        <w:br/>
        <w:t>operativo  realizado  el  6  de  marzo  de  1993  por  las  Fuerzas  Armadas</w:t>
        <w:br/>
        <w:t>ecuatorianas en el barrio Batallón de la Ciudad de Guayaquil;  la  falta  de</w:t>
        <w:br/>
        <w:t>una explicación satisfactoria y convincente por parte del Estado  acerca  de</w:t>
        <w:br/>
        <w:t>la justificación del uso letal de  la  fuerza  con  armas  de  fuego;  y  el</w:t>
        <w:br/>
        <w:t>incumplimiento de la obligación de garantizar efectivamente el derecho a  la</w:t>
        <w:br/>
        <w:t>vida por la vía de una investigación de lo ocurrido, la Corte considera  que</w:t>
        <w:br/>
        <w:t>las presuntas víctimas  fueron  ejecutadas  extrajudicialmente  por  agentes</w:t>
        <w:br/>
        <w:t>estatales. Esto constituye una privación arbitraria de su vida, por  lo  que</w:t>
        <w:br/>
        <w:t>el  Estado  es  responsable  por  la  violación  del  artículo  4.1  de   la</w:t>
        <w:br/>
        <w:t>Convención, en relación con el artículo 1.1 de la  misma,  en  perjuicio  de</w:t>
        <w:br/>
        <w:t>los señores Wilmer Zambrano Vélez, Segundo  Olmedo  Caicedo  Cobeña  y  José</w:t>
        <w:br/>
        <w:t>Miguel Caicedo Cobeña.</w:t>
        <w:br/>
        <w:br/>
        <w:br/>
        <w:t xml:space="preserve">                                    VIII</w:t>
        <w:br/>
        <w:t xml:space="preserve">     Artículos 8.1 y 25 (Garantías Judiciales y Protección Judicial)[96]</w:t>
        <w:br/>
        <w:t xml:space="preserve">         en relación con el artículo 1.1 de la Convención Americana</w:t>
        <w:br/>
        <w:br/>
        <w:br/>
        <w:t>111.  En el Capítulo  IV  de  esta  Sentencia  fue  establecido  que  en  la</w:t>
        <w:br/>
        <w:t>audiencia pública y alegatos finales el Estado reconoció su  responsabilidad</w:t>
        <w:br/>
        <w:t>internacional por la violación de los artículos 8.1 y 25  de  la  Convención</w:t>
        <w:br/>
        <w:t>(supra párrs. 8 a 31). Sin perjuicio de ello,  la  Corte  estima  pertinente</w:t>
        <w:br/>
        <w:t>hacer algunas precisiones en relación con los alegatos de la Comisión y  los</w:t>
        <w:br/>
        <w:t>representantes y ciertas manifestaciones del Estado.</w:t>
        <w:br/>
        <w:br/>
        <w:t>112.  La Comisión alegó que cuando el uso  de  fuerza  ocasiona  lesiones  o</w:t>
        <w:br/>
        <w:t>muerte, el Estado tiene la obligación internacional de determinar, a  través</w:t>
        <w:br/>
        <w:t>de órganos judiciales independientes e imparciales, si la  fuerza  utilizada</w:t>
        <w:br/>
        <w:t>fue excesiva y, de ser el caso, sancionar a los responsables e indemnizar  a</w:t>
        <w:br/>
        <w:t>las víctimas o sus familiares  .  Además,  alegó  que  el  Estado  no  puede</w:t>
        <w:br/>
        <w:t>transferir a los familiares o sus representantes la carga  de  investigación</w:t>
        <w:br/>
        <w:t>y enjuiciamiento de los que resulten responsables. La Comisión alegó que  no</w:t>
        <w:br/>
        <w:t>se puso en marcha el aparato jurisdiccional del Estado,  lo  cual  demuestra</w:t>
        <w:br/>
        <w:t>de manera evidente que los familiares  de  las  presuntas  víctimas  no  han</w:t>
        <w:br/>
        <w:t>contado con un recurso efectivo que les garantizara la  posibilidad  de  ser</w:t>
        <w:br/>
        <w:t>oídos y actuar en los respectivos procesos, tanto  para  el  esclarecimiento</w:t>
        <w:br/>
        <w:t>de los hechos y el castigo de los responsables, como para buscar una  debida</w:t>
        <w:br/>
        <w:t>reparación. “Asimismo, conforme a los  parámetros  aplicados  por  la  Corte</w:t>
        <w:br/>
        <w:t>Interamericana, el lapso de más de trece años sin que se  haya  iniciado  un</w:t>
        <w:br/>
        <w:t>proceso rebasa con exceso los límites y criterios del plazo  razonable  […].</w:t>
        <w:br/>
        <w:t>Se configura así un marco de impunidad total atribuible al Estado”.</w:t>
        <w:br/>
        <w:br/>
        <w:br/>
        <w:br/>
        <w:t>113.  Los representantes han coincidido con la  Comisión  en  sus  alegatos.</w:t>
        <w:br/>
        <w:t>Además, argumentaron que el derecho a un proceso  judicial  independiente  e</w:t>
        <w:br/>
        <w:t>imparcial implica no sólo el derecho a tener  ciertas  garantías  observadas</w:t>
        <w:br/>
        <w:t>en un procedimiento ya instituido, sino también el derecho a tener acceso  a</w:t>
        <w:br/>
        <w:t>los tribunales; que el derecho interno  reconoce  el  derecho  de  la  parte</w:t>
        <w:br/>
        <w:t>afectada  a  hacer  una  acusación  en  un  juicio  penal  “en   condiciones</w:t>
        <w:br/>
        <w:t>normales”, pero en este caso los hechos  ocurrieron  durante  un  estado  de</w:t>
        <w:br/>
        <w:t>emergencia en que tiene imperio la ley militar, en  la  cual  se  coarta  la</w:t>
        <w:br/>
        <w:t>posibilidad a la víctima o  sus  familiares  de  presentar  denuncia  penal.</w:t>
        <w:br/>
        <w:t>Además, alegaron que  la  legislación  interna  no  establece  que  la  sola</w:t>
        <w:br/>
        <w:t>invocación de legítima defensa sea un eximente automático  de  investigación</w:t>
        <w:br/>
        <w:t>y responsabilidad de los agentes; que “tanto las autoridades militares y  de</w:t>
        <w:br/>
        <w:t>policía como el Gobierno y el Poder Judicial se negaron o eran incapaces  de</w:t>
        <w:br/>
        <w:t>investigar y sancionar los hechos y de auxiliar a   quienes  se  interesaban</w:t>
        <w:br/>
        <w:t>en averiguar la verdad de lo  ocurrido,  pues  congresistas,  organismos  de</w:t>
        <w:br/>
        <w:t>derechos humanos, familiares de las víctimas y  vecinos  del  lugar  exigían</w:t>
        <w:br/>
        <w:t>una investigación imparcial a  nivel  judicial  […]  peticiones  que  fueron</w:t>
        <w:br/>
        <w:t>desatendidas por el Gobierno, que se conformó con  la  versión  parcializada</w:t>
        <w:br/>
        <w:t>de  las  Fuerzas  Armadas  que  eran  actores  activos  de  las  violaciones</w:t>
        <w:br/>
        <w:t>denunciadas”. Alegan que los familiares  de  las  presuntas  víctimas  y  la</w:t>
        <w:br/>
        <w:t>sociedad tienen el derecho a saber la verdad sobre lo que le ocurrió.</w:t>
        <w:br/>
        <w:br/>
        <w:t>114.  La Corte ha sostenido que, según la Convención Americana, los  Estados</w:t>
        <w:br/>
        <w:t>Partes están obligados a suministrar recursos  judiciales  efectivos  a  las</w:t>
        <w:br/>
        <w:t>víctimas de violaciones de los derechos humanos (artículo 25), recursos  que</w:t>
        <w:br/>
        <w:t>deben ser sustanciados de conformidad con  las  reglas  del  debido  proceso</w:t>
        <w:br/>
        <w:t>legal (artículo 8.1), todo ello dentro de la obligación general, a cargo  de</w:t>
        <w:br/>
        <w:t>los mismos Estados,  de  garantizar  el  libre  y  pleno  ejercicio  de  los</w:t>
        <w:br/>
        <w:t>derechos reconocidos por la Convención a toda persona que se encuentre  bajo</w:t>
        <w:br/>
        <w:t>su jurisdicción (artículo 1.1)[97].</w:t>
        <w:br/>
        <w:br/>
        <w:br/>
        <w:t>115.  Este Tribunal ha señalado que el derecho de acceso a la justicia  debe</w:t>
        <w:br/>
        <w:t>asegurar, en tiempo razonable, el derecho de las presuntas  víctimas  o  sus</w:t>
        <w:br/>
        <w:t>familiares, a que se haga todo lo necesario para conocer  la  verdad  de  lo</w:t>
        <w:br/>
        <w:t>sucedido y para que se sancione a los eventuales responsables[98].</w:t>
        <w:br/>
        <w:br/>
        <w:t>116.  Ciertamente al  reconocer  la  violación  de  esas  disposiciones,  el</w:t>
        <w:br/>
        <w:t>Estado aceptó que “el régimen de excepción  no  se  haya  legitimado  en  su</w:t>
        <w:br/>
        <w:t>totalidad por el insuficiente esclarecimiento judicial” y  que  “desde  1993</w:t>
        <w:br/>
        <w:t>no se ha iniciado proceso penal  alguno  por  la  muerte  de  las  presuntas</w:t>
        <w:br/>
        <w:t>víctimas”.</w:t>
        <w:br/>
        <w:br/>
        <w:t>117.  La Corte hace notar que los hechos de este caso  ocurrieron  en  marzo</w:t>
        <w:br/>
        <w:t>de 1993 y, tal como lo reconoció el Estado, no ha sido  abierto  un  proceso</w:t>
        <w:br/>
        <w:t>penal en la jurisdicción ordinaria para investigar esos hechos,  identificar</w:t>
        <w:br/>
        <w:t>a los  responsables  y,  en  su  caso,  sancionarlos.  Además,  a  pesar  de</w:t>
        <w:br/>
        <w:t>reiteradas solicitudes para que remitiera al Tribunal  copias  de  cualquier</w:t>
        <w:br/>
        <w:t>investigación judicial o administrativa y de  cualquier  otro  procedimiento</w:t>
        <w:br/>
        <w:t>abiertos a nivel interno en  relación  con  los  hechos  del  presente  caso</w:t>
        <w:br/>
        <w:t>(supra párrs. 7 y 33), el Estado no  lo  hizo.  Tampoco  consta  que  en  la</w:t>
        <w:br/>
        <w:t>actualidad se encuentre pendiente algún procedimiento  ante  los  tribunales</w:t>
        <w:br/>
        <w:t>militares u ordinarios.</w:t>
        <w:br/>
        <w:br/>
        <w:t>118.  A pesar de lo anterior, el Estado manifestó que no “se  ha  presentado</w:t>
        <w:br/>
        <w:t>una  denuncia  o  acusación  particular  por  parte  de  los  agraviados   o</w:t>
        <w:br/>
        <w:t>familiares” y durante la audiencia pública el Estado  insistió  en  que  los</w:t>
        <w:br/>
        <w:t>hechos no han sido demostrados dentro de un proceso penal  interno,  que  en</w:t>
        <w:br/>
        <w:t>su criterio es el que debería determinar las circunstancias de la  privación</w:t>
        <w:br/>
        <w:t>de la vida de las víctimas. Además, en sus alegatos finales expresó que  “si</w:t>
        <w:br/>
        <w:t>bien las garantías y la protección judicial establecidas por  la  Convención</w:t>
        <w:br/>
        <w:t>Americana, relativas al proceso del inculpado, se efectivizan  una  vez  que</w:t>
        <w:br/>
        <w:t>ha comenzado un litigio y aunque en este  caso  ni  siquiera  se  inició  el</w:t>
        <w:br/>
        <w:t>aparato  jurisdiccional,  […]  de  manera  que  no  puede  establecerse  una</w:t>
        <w:br/>
        <w:t>violación a tales garantías que son inherentes  a  la  interposición  de  un</w:t>
        <w:br/>
        <w:t>proceso, […] el Estado […] reconoce que lo que existe es un  quebrantamiento</w:t>
        <w:br/>
        <w:t>al derecho a la verdad, principio emergente que  se  encuentra  subsumido  a</w:t>
        <w:br/>
        <w:t>los artículos 8 y 25 de la Convención respectivamente”.</w:t>
        <w:br/>
        <w:br/>
        <w:t>119.  Según fue señalado en el capítulo anterior (supra párrs. 67, 94, 88  a</w:t>
        <w:br/>
        <w:t>90, 109 y 110), una vez que  se  tuvo  conocimiento  de  que  tres  personas</w:t>
        <w:br/>
        <w:t>fueron privadas de su vida por agentes estatales que habían hecho uso  letal</w:t>
        <w:br/>
        <w:t>de la fuerza mediante armas de fuego en  un  operativo  de  esa  índole,  el</w:t>
        <w:br/>
        <w:t>Estado tuvo que haber activado, ex officio y sin  dilación,  los  mecanismos</w:t>
        <w:br/>
        <w:t>para realizar un adecuado control y verificación de la legalidad del uso  de</w:t>
        <w:br/>
        <w:t>la fuerza, mediante una  investigación  seria,  independiente,  imparcial  y</w:t>
        <w:br/>
        <w:t>efectiva de los hechos a nivel interno.</w:t>
        <w:br/>
        <w:br/>
        <w:t>120.  La Corte ha establecido  que  el  deber  de  investigar  no  debe  ser</w:t>
        <w:br/>
        <w:t>asumido por el Estado como una simple formalidad  condenada  de  antemano  a</w:t>
        <w:br/>
        <w:t>ser infructuosa[99], o como una mera gestión de intereses particulares,  que</w:t>
        <w:br/>
        <w:t>dependa de la iniciativa procesal de las víctimas o de sus familiares  o  de</w:t>
        <w:br/>
        <w:t>la aportación privada de  elementos  probatorios[100].  Esto  último  no  se</w:t>
        <w:br/>
        <w:t>contrapone con el derecho que tienen  las  víctimas  de  violaciones  a  los</w:t>
        <w:br/>
        <w:t>derechos humanos o sus familiares, a ser escuchados durante  el  proceso  de</w:t>
        <w:br/>
        <w:t>investigación y el trámite judicial, así como a  participar  ampliamente  de</w:t>
        <w:br/>
        <w:t>los mismos[101].</w:t>
        <w:br/>
        <w:br/>
        <w:t>121.  Este Tribunal ha especificado que la  eficiente  determinación  de  la</w:t>
        <w:br/>
        <w:t>verdad en  el  marco  de  la  obligación  de  investigar  una  muerte,  debe</w:t>
        <w:br/>
        <w:t>mostrarse desde las primeras diligencias  con  toda  acuciosidad.   En  este</w:t>
        <w:br/>
        <w:t>sentido, con base en el Manual sobre la Prevención e Investigación  Efectiva</w:t>
        <w:br/>
        <w:t>de Ejecuciones Extrajudiciales, Arbitrarias y Sumarias de  Naciones  Unidas,</w:t>
        <w:br/>
        <w:t>este Tribunal  ha  especificado  los  principios  rectores  que  es  preciso</w:t>
        <w:br/>
        <w:t>observar cuando se considera que una muerte pudo  deberse  a  una  ejecución</w:t>
        <w:br/>
        <w:t>extrajudicial. Las autoridades  estatales  que  conducen  una  investigación</w:t>
        <w:br/>
        <w:t>deben, inter alia, a) identificar a la víctima; b) recuperar y preservar  el</w:t>
        <w:br/>
        <w:t>material probatorio relacionado con la muerte,  con  el  fin  de  ayudar  en</w:t>
        <w:br/>
        <w:t>cualquier investigación; c) identificar  posibles  testigos  y  obtener  sus</w:t>
        <w:br/>
        <w:t>declaraciones en relación con la muerte que se investiga; d)  determinar  la</w:t>
        <w:br/>
        <w:t>causa,  forma,  lugar  y  momento  de  la   muerte,   así   como   cualquier</w:t>
        <w:br/>
        <w:t>procedimiento o práctica que pueda haberla provocado, y e) distinguir  entre</w:t>
        <w:br/>
        <w:t>muerte  natural,  muerte  accidental,  suicidio  y  homicidio.   Además,  es</w:t>
        <w:br/>
        <w:t>necesario  investigar  exhaustivamente  la  escena  del  crimen;  se   deben</w:t>
        <w:br/>
        <w:t>realizar autopsias y análisis de restos  humanos,  en  forma  rigurosa,  por</w:t>
        <w:br/>
        <w:t>profesionales   competentes   y    empleando    los    procedimientos    más</w:t>
        <w:br/>
        <w:t>apropiados[102].</w:t>
        <w:br/>
        <w:br/>
        <w:t>122.  Asimismo, en este tipo de casos tiene una  particular  relevancia  que</w:t>
        <w:br/>
        <w:t>las autoridades competentes adopten las medidas razonables para asegurar  el</w:t>
        <w:br/>
        <w:t>material probatorio necesario para llevar a  cabo  la  investigación[103]  y</w:t>
        <w:br/>
        <w:t>que gocen de  independencia,  de  jure  y  de  facto,  de  los  funcionarios</w:t>
        <w:br/>
        <w:t>involucrados en los hechos[104]. Lo anterior requiere no sólo  independencia</w:t>
        <w:br/>
        <w:t>jerárquica o institucional, sino también independencia real.</w:t>
        <w:br/>
        <w:br/>
        <w:br/>
        <w:t>123.  Dicha investigación debe ser realizada por todos  los  medios  legales</w:t>
        <w:br/>
        <w:t>disponibles y orientada a la determinación de la verdad y la  investigación,</w:t>
        <w:br/>
        <w:t>persecución,  captura,  enjuiciamiento  y  eventual  castigo  de  todos  los</w:t>
        <w:br/>
        <w:t>responsables intelectuales y materiales de los hechos, especialmente  cuando</w:t>
        <w:br/>
        <w:t>están o puedan estar involucrados agentes estatales[105].</w:t>
        <w:br/>
        <w:br/>
        <w:t>124.  El Tribunal ha sostenido que al  llevar  a  cabo  o  tolerar  acciones</w:t>
        <w:br/>
        <w:t>dirigidas  a  realizar  ejecuciones  extrajudiciales,  no  investigarlas  de</w:t>
        <w:br/>
        <w:t>manera  adecuada  y  no  sancionar  efectivamente,  en  su   caso,   a   los</w:t>
        <w:br/>
        <w:t>responsables, el Estado viola sus obligaciones de respetar y garantizar  los</w:t>
        <w:br/>
        <w:t>derechos  reconocidos  por  la  Convención  a  la  presunta  víctima  y  sus</w:t>
        <w:br/>
        <w:t>familiares, impide que la sociedad  conozca  lo  ocurrido  y  reproduce  las</w:t>
        <w:br/>
        <w:t>condiciones  de  impunidad  para  que  este  tipo  de   hechos   vuelvan   a</w:t>
        <w:br/>
        <w:t>repetirse[106].</w:t>
        <w:br/>
        <w:br/>
        <w:br/>
        <w:t>125.   Además  de  lo  anterior,  en  los  dos  capítulos  precedentes   fue</w:t>
        <w:br/>
        <w:t>determinada la existencia  de  normas  que  impedían  realizar  un  adecuado</w:t>
        <w:br/>
        <w:t>control del estado de emergencia y de la legitimidad del uso de la fuerza  y</w:t>
        <w:br/>
        <w:t>del operativo en cuestión por la vía de una  investigación  independiente  e</w:t>
        <w:br/>
        <w:t>imparcial (supra párrs.  53  a  68  y  94).  Es  razonable  suponer  que  la</w:t>
        <w:br/>
        <w:t>legislación que  dio  base  para  la  suspensión  de  garantías  y  para  la</w:t>
        <w:br/>
        <w:t>realización del operativo en cuestión, fuera una de las razones  –aunque  no</w:t>
        <w:br/>
        <w:t>justificación- por las  cuales  no  fue  abierta  una  investigación  en  la</w:t>
        <w:br/>
        <w:t>jurisdicción penal ordinaria.  De  tal  manera,  esas  garantías  judiciales</w:t>
        <w:br/>
        <w:t>resultaron, en efecto, suspendidas.</w:t>
        <w:br/>
        <w:br/>
        <w:t>126.  Asimismo, el tiempo  transcurrido  desde  el  momento  de  los  hechos</w:t>
        <w:br/>
        <w:t>sobrepasa excesivamente un plazo que pueda considerarse razonable  para  que</w:t>
        <w:br/>
        <w:t>el Estado realizara las correspondientes diligencias investigativas,  máxime</w:t>
        <w:br/>
        <w:t>que a ese tiempo habrá que sumar el que tome  la  iniciación  y  realización</w:t>
        <w:br/>
        <w:t>del proceso penal, con sus distintas etapas, hasta la sentencia firme.  Esta</w:t>
        <w:br/>
        <w:t>falta de investigación durante tan largo  período  configura  una  flagrante</w:t>
        <w:br/>
        <w:t>denegación de justicia y una violación al derecho de acceso  a  la  justicia</w:t>
        <w:br/>
        <w:t>de los familiares de las víctimas.</w:t>
        <w:br/>
        <w:br/>
        <w:t>127.  En tal sentido, el Estado  manifestó  que  “demuestra  su  interés  de</w:t>
        <w:br/>
        <w:t>tutelar  estos  derechos  toda  vez  que  el  Presidente  de  la   República</w:t>
        <w:br/>
        <w:t>creó[[107]…] ‘La Comisión de la Verdad’, entidad  encargada  de  investigar,</w:t>
        <w:br/>
        <w:t>esclarecer e impedir  la  impunidad  respecto  de  los  hechos  violentos  y</w:t>
        <w:br/>
        <w:t>violatorios de los derechos humanos, ocurridos entre los años 1984 y 1988  y</w:t>
        <w:br/>
        <w:t>otros períodos y  que  así  mismo  investigará  a  cabalidad  los  hechos  y</w:t>
        <w:br/>
        <w:t>recavará la prueba documental, pericial y testimonial que haga  mérito  para</w:t>
        <w:br/>
        <w:t>que se inicie un [proceso penal] a nivel  interno,  con  el  respeto  a  las</w:t>
        <w:br/>
        <w:t>debidas garantías judiciales”. El Estado también expresó  que  “las  muertes</w:t>
        <w:br/>
        <w:t>[…] que generaron este caso merecen ser  esclarecidas,  como  de  seguro  lo</w:t>
        <w:br/>
        <w:t>serán mediante la Comisión de la  Verdad  y  consecuentemente,  la  Justicia</w:t>
        <w:br/>
        <w:t>interna. El Estado ecuatoriano asume  la  responsabilidad  de  investigar  y</w:t>
        <w:br/>
        <w:t>sancionar responsables una vez que se establezca la veracidad sobre  lo  que</w:t>
        <w:br/>
        <w:t>acaeció el día  de  los  hechos,  toda  vez  que  el  Congreso  Nacional  se</w:t>
        <w:br/>
        <w:t>encuentra debatiendo una ley de  repetición  de  responsabilidades,  que  se</w:t>
        <w:br/>
        <w:t>pretende convertir en un proyecto de ejecución  de  sentencias  del  Sistema</w:t>
        <w:br/>
        <w:t>Interamericano y de repetición por  parte  del  Estado  contra  los  agentes</w:t>
        <w:br/>
        <w:t>responsables si así apareciere de los méritos del proceso”.</w:t>
        <w:br/>
        <w:br/>
        <w:t>128.  La Corte estima que el establecimiento de una comisión de  la  verdad,</w:t>
        <w:br/>
        <w:t>según el objeto, procedimiento,  estructura  y  fin  de  su  mandato,  puede</w:t>
        <w:br/>
        <w:t>contribuir a la construcción y preservación  de  la  memoria  histórica,  el</w:t>
        <w:br/>
        <w:t>esclarecimiento  de  hechos  y   la   determinación   de   responsabilidades</w:t>
        <w:br/>
        <w:t>institucionales, sociales y políticas en  determinados  períodos  históricos</w:t>
        <w:br/>
        <w:t>de una sociedad. Las verdades históricas que a través de  ese  mecanismo  se</w:t>
        <w:br/>
        <w:t>logren, no deben ser entendidas como un sustituto del deber  del  Estado  de</w:t>
        <w:br/>
        <w:t>asegurar la  determinación  judicial  de  responsabilidades  individuales  o</w:t>
        <w:br/>
        <w:t>estatales por  los  medios  jurisdiccionales  correspondientes,  ni  con  la</w:t>
        <w:br/>
        <w:t>determinación  de  responsabilidad  internacional  que  corresponda  a  este</w:t>
        <w:br/>
        <w:t>Tribunal. Se trata de determinaciones de la verdad que  son  complementarias</w:t>
        <w:br/>
        <w:t>entre sí,  pues  tienen  todas  un  sentido  y  alcance  propios,  así  como</w:t>
        <w:br/>
        <w:t>potencialidades y límites particulares, que dependen del contexto en el  que</w:t>
        <w:br/>
        <w:t>surgen y de los casos y circunstancias concretas que  analicen.  En  efecto,</w:t>
        <w:br/>
        <w:t>la Corte ha otorgado especial valor a  los  informes  de  Comisiones  de  la</w:t>
        <w:br/>
        <w:t>Verdad  o  de  Esclarecimiento  Histórico  como  pruebas  relevantes  en  la</w:t>
        <w:br/>
        <w:t>determinación de los hechos y de la  responsabilidad  internacional  de  los</w:t>
        <w:br/>
        <w:t>Estados en diversos casos que han sido sometidos a su jurisdicción[108].</w:t>
        <w:br/>
        <w:br/>
        <w:t>129.  La Corte valora positivamente la voluntad demostrada por el Estado  de</w:t>
        <w:br/>
        <w:t>esclarecer  determinados  hechos  que  pueden  constituir   violaciones   de</w:t>
        <w:br/>
        <w:t>derechos humanos, mediante la conformación de una comisión de la verdad  por</w:t>
        <w:br/>
        <w:t>Decreto presidencial. Sin embargo, en un  caso  de  denegación  de  justicia</w:t>
        <w:br/>
        <w:t>como el presente, la  obligación  estatal  de  garantizar  el  acceso  a  la</w:t>
        <w:br/>
        <w:t>justicia no debe  entenderse  condicionada  a  la  eventual  conformación  y</w:t>
        <w:br/>
        <w:t>resultados de esa comisión de la verdad. Por ello, sin perjuicio de  lo  que</w:t>
        <w:br/>
        <w:t>ésta pueda aportar para el  conocimiento  de  los  hechos,  el  Estado  debe</w:t>
        <w:br/>
        <w:t>cumplir la obligación de investigar y sancionar por  los  medios  judiciales</w:t>
        <w:br/>
        <w:t>pertinentes  todos  los  hechos  constitutivos  de  las  violaciones  a  los</w:t>
        <w:br/>
        <w:t>derechos humanos declaradas en esta Sentencia y  para  ello  debe  tomar  en</w:t>
        <w:br/>
        <w:t>cuenta  lo  resuelto  por  esta  Corte   en   la   misma,   incluyendo   las</w:t>
        <w:br/>
        <w:t>consideraciones realizadas sobre las víctimas de los  hechos,  los  derechos</w:t>
        <w:br/>
        <w:t>que se declararon violados y la determinación de la gravedad y  magnitud  de</w:t>
        <w:br/>
        <w:t>los mismos.</w:t>
        <w:br/>
        <w:br/>
        <w:t xml:space="preserve">                                      *</w:t>
        <w:br/>
        <w:t xml:space="preserve">                                   *     *</w:t>
        <w:br/>
        <w:br/>
        <w:t>130.  Por las consideraciones anteriores, la Corte considera que  el  Estado</w:t>
        <w:br/>
        <w:t>es  responsable  por  la  violación  de  los  derechos  consagrados  en  los</w:t>
        <w:br/>
        <w:t>artículos 8.1 y 25 de la Convención Americana, en relación con  el  artículo</w:t>
        <w:br/>
        <w:t>1.1 de dicha Convención, en perjuicio de Alicia Marlene Rodríguez  Villegas,</w:t>
        <w:br/>
        <w:t>Karen Lisette Zambrano Rodríguez, Johanna Elizabeth Zambrano Abad,  Jennifer</w:t>
        <w:br/>
        <w:t>Karina Zambrano Abad, Ángel Homero  Zambrano  Abad,  Jessica  Marlene  Baque</w:t>
        <w:br/>
        <w:t>Rodríguez y Christian Eduardo Zambrano Ruales, familiares del  señor  Wilmer</w:t>
        <w:br/>
        <w:t>Zambrano Vélez; Silvia Liza  Macías  Acosta,  Vanner  Omar  Caicedo  Macías,</w:t>
        <w:br/>
        <w:t>Olmedo Germán Caicedo Macías, Marjuri Narcisa  Caicedo  Rodríguez,  Gardenia</w:t>
        <w:br/>
        <w:t>Marianela  Caicedo  Rodríguez,  Elkis  Mariela  Caicedo  Rodríguez,  Richard</w:t>
        <w:br/>
        <w:t>Olmedo  Caicedo  Rodríguez,  Iris  Estrella  Caicedo  Chamorro  y   Mayerlin</w:t>
        <w:br/>
        <w:t>Chamorro, familiares del señor  Segundo  Olmedo  Caicedo  Cobeña;  y  Teresa</w:t>
        <w:br/>
        <w:t>María Susana Cedeño Paz, María  Magdalena  Caicedo  Cedeño,  Jessica  Soraya</w:t>
        <w:br/>
        <w:t>Vera Cedeño, Manuel Abelardo Vera Cedeño, Brimer Ramón Vera  Cedeño,  Kleber</w:t>
        <w:br/>
        <w:t>Miguel Caicedo Ponce, Mariuxi Mariela Caicedo  Ponce,  José  Kelvin  Caicedo</w:t>
        <w:br/>
        <w:t>Ponce,  Cira  Seneida  Caicedo  Ponce,  Gina  Loyobrígida   Caicedo   Ponce,</w:t>
        <w:br/>
        <w:t>familiares del señor José Miguel Caicedo Cobeña.</w:t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(Aplicación del Artículo 63.1 de la Convención Americana) [109]</w:t>
        <w:br/>
        <w:br/>
        <w:t>131.  Es un principio de Derecho Internacional que  toda  violación  de  una</w:t>
        <w:br/>
        <w:t>obligación internacional que  haya  producido  daño  comporta  el  deber  de</w:t>
        <w:br/>
        <w:t>repararlo adecuadamente[110]. Esa obligación de reparar se regula  en  todos</w:t>
        <w:br/>
        <w:t>los aspectos por el Derecho Internacional[111]. En  sus  decisiones  a  este</w:t>
        <w:br/>
        <w:t>respecto, la Corte se ha  basado  en  el  artículo  63.1  de  la  Convención</w:t>
        <w:br/>
        <w:t>Americana.</w:t>
        <w:br/>
        <w:br/>
        <w:t>132.  En el marco del reconocimiento de  responsabilidad  efectuado  por  el</w:t>
        <w:br/>
        <w:t>Estado (supra párrs. 8 a 31), de acuerdo con las  consideraciones  sobre  el</w:t>
        <w:br/>
        <w:t>fondo expuestas  y  las  violaciones  a  la  Convención  declaradas  en  los</w:t>
        <w:br/>
        <w:t>capítulos anteriores, así como a la luz  de  los  criterios  fijados  en  la</w:t>
        <w:br/>
        <w:t>jurisprudencia de la Corte en relación con la naturaleza y  alcances  de  la</w:t>
        <w:br/>
        <w:t>obligación de reparar[112], la Corte procederá a analizar  las  pretensiones</w:t>
        <w:br/>
        <w:t>presentadas por la  Comisión  y  por  los  representantes  respecto  de  las</w:t>
        <w:br/>
        <w:t>reparaciones, con el objeto de disponer las  medidas  tendientes  a  reparar</w:t>
        <w:br/>
        <w:t>los daños.</w:t>
        <w:br/>
        <w:br/>
        <w:br/>
        <w:t xml:space="preserve">                           A)     Parte lesionada</w:t>
        <w:br/>
        <w:br/>
        <w:t>133.  La Corte procederá  ahora  a  determinar  quiénes  deben  considerarse</w:t>
        <w:br/>
        <w:t>“parte lesionada” en  los  términos  del  artículo  63.1  de  la  Convención</w:t>
        <w:br/>
        <w:t>Americana y consecuentemente acreedores de  las  reparaciones  que  fije  el</w:t>
        <w:br/>
        <w:t>Tribunal.</w:t>
        <w:br/>
        <w:br/>
        <w:t>134.  En primer lugar, la Corte  considera  como  “parte  lesionada”  a  los</w:t>
        <w:br/>
        <w:t>señores Wilmer Zambrano Vélez, Segundo Olmedo Caicedo Cobeña y  José  Miguel</w:t>
        <w:br/>
        <w:t>Caicedo Cobeña, en su carácter  de  víctimas  de  la  violación  que  en  su</w:t>
        <w:br/>
        <w:t>perjuicio fue declarada (supra párr. 110), por lo que son acreedores  a  las</w:t>
        <w:br/>
        <w:t>reparaciones  que  fije  el  Tribunal  por  concepto  de  daño  material   e</w:t>
        <w:br/>
        <w:t>inmaterial, en su caso.</w:t>
        <w:br/>
        <w:br/>
        <w:br/>
        <w:t>135.  Asimismo, considera como “parte lesionada” a  los  familiares  de  los</w:t>
        <w:br/>
        <w:t>señores Wilmer Zambrano Vélez, Segundo Olmedo Caicedo Cobeña y  José  Miguel</w:t>
        <w:br/>
        <w:t>Caicedo Cobeña, que  fueron  declarados  víctimas  de  la  violación  a  los</w:t>
        <w:br/>
        <w:t>derechos consagrados en los artículos 8 y 25 de la Convención Americana,  en</w:t>
        <w:br/>
        <w:t>relación con el artículo 1.1 de la misma (supra párr. 130).  Los  familiares</w:t>
        <w:br/>
        <w:t>de las víctimas serán acreedores de las reparaciones que  el  Tribunal  fije</w:t>
        <w:br/>
        <w:t>por concepto de daño inmaterial. Se considera como “parte lesionada”  a  las</w:t>
        <w:br/>
        <w:t>siguientes personas:</w:t>
        <w:br/>
        <w:br/>
        <w:t xml:space="preserve">   a) Wilmer Zambrano Vélez  y  sus  familiares:  Alicia  Marlene  Rodríguez</w:t>
        <w:br/>
        <w:t xml:space="preserve">      Villegas (compañera), Karen Lissette Zambrano  Rodríguez  (hija)[113],</w:t>
        <w:br/>
        <w:t xml:space="preserve">      Johanna Elizabeth Zambrano Abad (hija), Jennifer Karina Zambrano  Abad</w:t>
        <w:br/>
        <w:t xml:space="preserve">      (hija), Ángel Homero  Zambrano  Abad  (hijo),  Jessica  Marlene  Baque</w:t>
        <w:br/>
        <w:t xml:space="preserve">      Rodríguez (hija  de  crianza)  y  Christian  Eduardo  Zambrano  Ruales</w:t>
        <w:br/>
        <w:t xml:space="preserve">      (hijo).</w:t>
        <w:br/>
        <w:br/>
        <w:t xml:space="preserve">   b) Segundo Olmedo Caicedo Cobeña y sus  familiares:  Silvia  Liza  Macías</w:t>
        <w:br/>
        <w:t xml:space="preserve">      Acosta (compañera), Vanner Omar Caicedo Macías (hijo),  Olmedo  Germán</w:t>
        <w:br/>
        <w:t xml:space="preserve">      Caicedo Macías  (hijo),  Marjuri  Narcisa  Caicedo  Rodríguez  (hija),</w:t>
        <w:br/>
        <w:t xml:space="preserve">      Gardenia Marianela Caicedo Rodríguez  (hija),  Elkis  Mariela  Caicedo</w:t>
        <w:br/>
        <w:t xml:space="preserve">      Rodríguez  (hija),  Richard  Olmedo  Caicedo  Rodríguez  (hijo),  Iris</w:t>
        <w:br/>
        <w:t xml:space="preserve">      Estrella Caicedo Chamorro (hija) y Mayerlin Chamorro (hija).</w:t>
        <w:br/>
        <w:br/>
        <w:br/>
        <w:t xml:space="preserve">   c) José Miguel Caicedo Cobeña  y  sus  familiares:  Teresa  María  Susana</w:t>
        <w:br/>
        <w:t xml:space="preserve">      Cedeño Paz (compañera), María Magdalena Caicedo Cedeño (hija), Jessica</w:t>
        <w:br/>
        <w:t xml:space="preserve">      Soraya Vera Cedeño (hija), Manuel Abelardo Vera Cedeño (hijo),  Brimer</w:t>
        <w:br/>
        <w:t xml:space="preserve">      Ramón Vera Cedeño (hijo), Kleber Miguel Caicedo Ponce (hijo),  Mariuxi</w:t>
        <w:br/>
        <w:t xml:space="preserve">      Mariela Caicedo Ponce (hija), José Kelvin Caicedo Ponce  (hijo),  Cira</w:t>
        <w:br/>
        <w:t xml:space="preserve">      Seneida Caicedo Ponce (hija), Gina Loyobrígida Caicedo Ponce (hija).</w:t>
        <w:br/>
        <w:br/>
        <w:br/>
        <w:t>136.   En  cuanto  a  la  distribución  de  las  indemnizaciones  entre  los</w:t>
        <w:br/>
        <w:t>familiares de las víctimas fallecidas, por  concepto  del  daño  material  e</w:t>
        <w:br/>
        <w:t>inmaterial correspondiente a éstas, la Corte, de  acuerdo  a  los  criterios</w:t>
        <w:br/>
        <w:t>utilizados en diversos casos[114], determina que se  hará  de  la  siguiente</w:t>
        <w:br/>
        <w:t>manera:</w:t>
        <w:br/>
        <w:br/>
        <w:t xml:space="preserve">      a)    el cincuenta por ciento (50%) de la indemnización  se  repartirá</w:t>
        <w:br/>
        <w:t xml:space="preserve">      por partes iguales entre los hijos e hijas de las víctimas;</w:t>
        <w:br/>
        <w:br/>
        <w:br/>
        <w:t xml:space="preserve">      b)    el cincuenta por ciento (50%) de  la  indemnización  deberá  ser</w:t>
        <w:br/>
        <w:t xml:space="preserve">      entregado a quien fuera compañera permanente de la víctima, al momento</w:t>
        <w:br/>
        <w:t xml:space="preserve">      de la muerte de ésta, y</w:t>
        <w:br/>
        <w:br/>
        <w:t xml:space="preserve">      c)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acrecerá proporcionalmente a la parte que les  corresponda</w:t>
        <w:br/>
        <w:t xml:space="preserve">      a las restantes.</w:t>
        <w:br/>
        <w:br/>
        <w:t>137.  En el caso de los  familiares  de  las  víctimas,  acreedores  de  las</w:t>
        <w:br/>
        <w:t>indemnizaciones que se establecen en la  presente  Sentencia,  que  hubieren</w:t>
        <w:br/>
        <w:t>fallecido o que fallezcan antes de que les sea  entregada  la  indemnización</w:t>
        <w:br/>
        <w:t>respectiva, ésta deberá ser entregada a sus  derechohabientes,  conforme  al</w:t>
        <w:br/>
        <w:t>derecho interno aplicable.</w:t>
        <w:br/>
        <w:br/>
        <w:br/>
        <w:t xml:space="preserve">                            B)    Indemnizaciones</w:t>
        <w:br/>
        <w:br/>
        <w:t>138.  La Corte ha desarrollado en su  jurisprudencia  el  concepto  de  daño</w:t>
        <w:br/>
        <w:t>material y los supuestos en que corresponde indemnizarlo[115].</w:t>
        <w:br/>
        <w:br/>
        <w:t>139.  Analizada la información aportada por las partes, los hechos del  caso</w:t>
        <w:br/>
        <w:t>y su jurisprudencia, la Corte observa que pese a  que  no  fueron  aportados</w:t>
        <w:br/>
        <w:t>los comprobantes de gastos, es de presumir que los familiares  de  las  tres</w:t>
        <w:br/>
        <w:t>víctimas fallecidas incurrieron en diversos gastos con motivo de su  muerte.</w:t>
        <w:br/>
        <w:t>En consecuencia, la Corte estima pertinente fijar en equidad la cantidad  de</w:t>
        <w:br/>
        <w:t>US$2.000,00 (dos  mil  dólares  de  los  Estados  Unidos  de  América)  como</w:t>
        <w:br/>
        <w:t>indemnización por concepto de gastos para cada  una  de  las  tres  víctimas</w:t>
        <w:br/>
        <w:t>afectadas.  Estas  indemnizaciones  deberán  ser  distribuidas   entre   los</w:t>
        <w:br/>
        <w:t>familiares de las víctimas fallecidas, de conformidad con  lo  dispuesto  en</w:t>
        <w:br/>
        <w:t>el párrafo 136 de la presente Sentencia. El  Estado  deberá  realizar  tales</w:t>
        <w:br/>
        <w:t>pagos dentro del plazo de un año, contado a partir de la notificación de  la</w:t>
        <w:br/>
        <w:t>presente Sentencia.</w:t>
        <w:br/>
        <w:br/>
        <w:t>140.  En relación con la pérdida de ingresos de las  víctimas,  considerando</w:t>
        <w:br/>
        <w:t>la expectativa de vida de cada uno, la Corte fija en equidad las  cantidades</w:t>
        <w:br/>
        <w:t>de US$ 42.000,00 (cuarenta y dos  mil  dólares  de  los  Estados  Unidos  de</w:t>
        <w:br/>
        <w:t>América) a favor del señor Wilmer Zambrano Vélez; de US$ 30.000,00  (treinta</w:t>
        <w:br/>
        <w:t>mil dólares de los Estados Unidos de América)  a  favor  del  señor  Segundo</w:t>
        <w:br/>
        <w:t>Olmedo Caicedo Cobeña; y de US$ 41.000,00 (cuarenta y un mil dólares de  los</w:t>
        <w:br/>
        <w:t>Estados Unidos de América) a favor del señor  José  Miguel  Caicedo  Cobeña.</w:t>
        <w:br/>
        <w:t>Dichas cantidades deberán ser  distribuidas  entre  los  familiares  de  las</w:t>
        <w:br/>
        <w:t>víctimas fallecidas, de conformidad con lo dispuesto en el  párrafo  136  de</w:t>
        <w:br/>
        <w:t>esta Sentencia. El Estado deberá realizar tales pagos dentro  del  plazo  de</w:t>
        <w:br/>
        <w:t>un año, contado a partir de la notificación de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141.  Corresponde ahora determinar las  reparaciones  por  daño  inmaterial,</w:t>
        <w:br/>
        <w:t>según lo ha entendido la Corte en su jurisprudencia[116].</w:t>
        <w:br/>
        <w:br/>
        <w:t>142.  La jurisprudencia internacional ha establecido reiteradamente  que  la</w:t>
        <w:br/>
        <w:t>sentencia constituye per se una forma de reparación[117].  No  obstante,  en</w:t>
        <w:br/>
        <w:t>el presente caso el Tribunal considera necesario fijar una compensación  del</w:t>
        <w:br/>
        <w:t>daño inmaterial sufrido por las violaciones declaradas.</w:t>
        <w:br/>
        <w:br/>
        <w:t>143.  Tal como lo ha señalado la Corte en casos de similar  naturaleza[118],</w:t>
        <w:br/>
        <w:t>el daño  inmaterial  infligido  a  Wilmer  Zambrano  Vélez,  Segundo  Olmedo</w:t>
        <w:br/>
        <w:t>Caicedo Cobeña y José  Miguel  Caicedo  Cobeña  resulta  evidente,  pues  es</w:t>
        <w:br/>
        <w:t>propio   de   la   naturaleza   humana   que    toda    persona    ejecutada</w:t>
        <w:br/>
        <w:t>extrajudicialmente, experimente sufrimiento, angustia, terror, impotencia  e</w:t>
        <w:br/>
        <w:t>inseguridad antes de su muerte, por lo que este daño  no  requiere  pruebas.</w:t>
        <w:br/>
        <w:t>Teniendo en cuenta los distintos aspectos del  daño  inmaterial  ocasionado,</w:t>
        <w:br/>
        <w:t>la Corte fija, en equidad, la  cantidad  de  US$  50.000,00  (cincuenta  mil</w:t>
        <w:br/>
        <w:t>dólares de los Estados Unidos de América), que  el  Estado  deberá  pagar  a</w:t>
        <w:br/>
        <w:t>favor de cada uno de los  señores  Wilmer  Zambrano  Vélez,  Segundo  Olmedo</w:t>
        <w:br/>
        <w:t>Caicedo Cobeña y José Miguel  Caicedo  Cobeña.  Dicha  cantidad  deberá  ser</w:t>
        <w:br/>
        <w:t>distribuida entre los familiares de las víctimas fallecidas, de  conformidad</w:t>
        <w:br/>
        <w:t>con lo dispuesto en el párrafo 136 de esta Sentencia.</w:t>
        <w:br/>
        <w:br/>
        <w:t>144.  Por otro lado, la Corte considera  necesario  fijar  una  compensación</w:t>
        <w:br/>
        <w:t>del daño inmaterial sufrido por los familiares de las víctimas  en  relación</w:t>
        <w:br/>
        <w:t>con las violaciones declaradas, ocasionado  por  la  desprotección  generada</w:t>
        <w:br/>
        <w:t>por no haber tenido acceso efectivo a las garantías judiciales y  protección</w:t>
        <w:br/>
        <w:t>judicial   para   que   las   autoridades   competentes   determinaran   las</w:t>
        <w:br/>
        <w:t>circunstancias de la ejecución extrajudicial de los señores Wilmer  Zambrano</w:t>
        <w:br/>
        <w:t>Vélez, Segundo Olmedo Caicedo Cobeña y José Miguel Caicedo Cobeña. La  Corte</w:t>
        <w:br/>
        <w:t>fija, en equidad, las cantidades de US$ 25.000,00 (veinticinco  mil  dólares</w:t>
        <w:br/>
        <w:t>de los Estados Unidos de América) a favor de cada una de  sus  compañeras  y</w:t>
        <w:br/>
        <w:t>de US$ 20.000,00 (veinte mil dólares de los Estados  Unidos  de  América)  a</w:t>
        <w:br/>
        <w:t>favor de cada una de sus hijas e hijos, que el Estado deberá pagar  a  favor</w:t>
        <w:br/>
        <w:t>de cada uno de ellos.</w:t>
        <w:br/>
        <w:br/>
        <w:br/>
        <w:t>145.  De esta forma, las compensaciones fijadas por la  Corte  por  concepto</w:t>
        <w:br/>
        <w:t>de daño inmaterial son las siguientes:</w:t>
        <w:br/>
        <w:br/>
        <w:br/>
        <w:t xml:space="preserve">      |Beneficiarios                               |Monto                  |</w:t>
        <w:br/>
        <w:t>|Segundo Olmedo Caicedo Cobeña (ejecutado)   |US$ 50.000,00          |</w:t>
        <w:br/>
        <w:t>|Silvia Liza Macías Acosta (compañera)       |US$ 25.000,00          |</w:t>
        <w:br/>
        <w:t>|Vanner Omar Caicedo Macías (hijo)           |US$ 20.000,00          |</w:t>
        <w:br/>
        <w:t>|Olmedo Germán Caicedo Macías (hijo)         |US$ 20.000,00          |</w:t>
        <w:br/>
        <w:t>|Marjuri Narcisa Caicedo Rodríguez (hija)    |US$ 20.000,00          |</w:t>
        <w:br/>
        <w:t>|Gardenia Marianela Caicedo Rodríguez (hija) |US$ 20.000,00          |</w:t>
        <w:br/>
        <w:t>|Elkis Mariela Caicedo Rodríguez (hija)      |US$ 20.000,00          |</w:t>
        <w:br/>
        <w:t>|Richard Olmedo Caicedo Rodríguez (hijo)     |US$ 20.000,00          |</w:t>
        <w:br/>
        <w:t>|Iris Estrella Caicedo Chamorro (hija)       |US$ 20.000,00          |</w:t>
        <w:br/>
        <w:t>|Mayerlin Chamorro (hija)                    |US$ 20.000,00          |</w:t>
        <w:br/>
        <w:t>|Wilmer Homero Zambrano Vélez (ejecutado)    |US$ 50.000,00          |</w:t>
        <w:br/>
        <w:t>|Alicia Marlene Rodríguez Villegas           |US$ 25.000,00          |</w:t>
        <w:br/>
        <w:t>|(compañera)                                 |                       |</w:t>
        <w:br/>
        <w:t>|Karen Lisette Zambrano Rodríguez (hija)     |US$ 20.000,00          |</w:t>
        <w:br/>
        <w:t>|Johana Elizabeth Zambrano Abad (hija)       |US$ 20.000,00          |</w:t>
        <w:br/>
        <w:t>|Jennifer Karina Zambrano Abad (hija)        |US$ 20.000,00          |</w:t>
        <w:br/>
        <w:t>|Ángel Homero Zambrano Abad (hijo)           |US$ 20.000,00          |</w:t>
        <w:br/>
        <w:t>|Christian Eduardo Zambrano Ruales (hijo)    |US$ 20.000,00          |</w:t>
        <w:br/>
        <w:t>|Jessica Marlene Baque Rodríguez (hija de    |US$ 20.000,00          |</w:t>
        <w:br/>
        <w:t>|crianza)                                    |                       |</w:t>
        <w:br/>
        <w:t>|José Miguel Caicedo Cobeña (ejecutado)      |US$ 50.000,00          |</w:t>
        <w:br/>
        <w:t>|Teresa María Susana Cedeño Paz (compañera)  |US$ 25.000,00          |</w:t>
        <w:br/>
        <w:t>|María Magdalena Caicedo Cedeño (hija)       |US$ 20.000,00          |</w:t>
        <w:br/>
        <w:t>|Jessica Soraya Vera Cedeño (hija)           |US$ 20.000,00          |</w:t>
        <w:br/>
        <w:t>|Manuel Abelardo Vera Cedeño (hijo)          |US$ 20.000,00          |</w:t>
        <w:br/>
        <w:t>|Brimer Ramón Vera Cedeño (hijo)             |US$ 20.000,00          |</w:t>
        <w:br/>
        <w:t>|Kleber Miguel Caicedo Ponce (hijo)          |US$ 20.000,00          |</w:t>
        <w:br/>
        <w:t>|Mariuxi Mariela Caicedo Ponce (hija)        |US$ 20.000,00          |</w:t>
        <w:br/>
        <w:t>|José Kelvin Caicedo Ponce (hijo)            |US$ 20.000,00          |</w:t>
        <w:br/>
        <w:t>|Cira Seneida Caicedo Ponce (hija)           |US$ 20.000,00          |</w:t>
        <w:br/>
        <w:t>|Gina Loyobrigida Caicedo Ponce (hija)       |US$ 20.000,00          |</w:t>
        <w:br/>
        <w:br/>
        <w:t>146.  El Estado deberá efectuar el pago de las indemnizaciones por  concepto</w:t>
        <w:br/>
        <w:t>de daño inmaterial directamente a los beneficiarios, dentro del plazo de  un</w:t>
        <w:br/>
        <w:t>año contado a partir de la notificación de la  presente  Sentencia,  en  los</w:t>
        <w:br/>
        <w:t>términos de los párrafos 163, 164, 166 y 167 infra.</w:t>
        <w:br/>
        <w:br/>
        <w:br/>
        <w:t xml:space="preserve">         C)    Medidas de satisfacción y garantías de no repetición</w:t>
        <w:br/>
        <w:br/>
        <w:t>147.   En  este  apartado  el  Tribunal  determinará  aquellas  medidas   de</w:t>
        <w:br/>
        <w:t>satisfacción que buscan reparar el daño inmaterial, que  no  tienen  alcance</w:t>
        <w:br/>
        <w:t>pecuniario, así como dispondrá medidas de alcance o repercusión pública.</w:t>
        <w:br/>
        <w:br/>
        <w:br/>
        <w:br/>
        <w:br/>
        <w:t xml:space="preserve">      a)     Obligación  de  investigar  los  hechos   que   generaron   las</w:t>
        <w:br/>
        <w:t xml:space="preserve">      violaciones del presente caso, e identificar, juzgar y,  en  su  caso,</w:t>
        <w:br/>
        <w:t xml:space="preserve">      sancionar a los responsables</w:t>
        <w:br/>
        <w:br/>
        <w:br/>
        <w:t>148.  De conformidad con los incumplimientos y violaciones a  la  Convención</w:t>
        <w:br/>
        <w:t>declaradas (supra párrs. 71, 110 y 130), en los términos  de  la  obligación</w:t>
        <w:br/>
        <w:t>general de  garantía  establecida  en  el  artículo  1.1  de  la  Convención</w:t>
        <w:br/>
        <w:t>Americana, en cumplimiento de su obligación  de  investigar  y  en  su  caso</w:t>
        <w:br/>
        <w:t>sancionar a los responsables de los hechos, el Estado  debe  utilizar  todos</w:t>
        <w:br/>
        <w:t>los  medios  disponibles  para  hacer  expedita  la  investigación   y   los</w:t>
        <w:br/>
        <w:t>procedimientos respectivos en la jurisdicción penal ordinaria y  así  evitar</w:t>
        <w:br/>
        <w:t>la repetición de hechos como  los  presentes.  El  Estado  no  podrá  argüir</w:t>
        <w:br/>
        <w:t>ninguna ley ni disposición de derecho interno para eximirse de la  orden  de</w:t>
        <w:br/>
        <w:t>la  Corte  de  investigar  y,  en  su  caso,  sancionar  penalmente  a   los</w:t>
        <w:br/>
        <w:t>responsables de la ejecución extrajudicial de Wilmer  Zambrano  Vélez,  José</w:t>
        <w:br/>
        <w:t>Miguel Caicedo Cobeña y Segundo Olmedo Caicedo Cobeña.</w:t>
        <w:br/>
        <w:br/>
        <w:t>149.  Finalmente,  el  Estado  debe  asegurar  que  los  familiares  de  las</w:t>
        <w:br/>
        <w:t>víctimas tengan pleno acceso y capacidad de actuar en  todas  las  etapas  e</w:t>
        <w:br/>
        <w:t>instancias de dichas investigaciones y procesos, de acuerdo con  el  derecho</w:t>
        <w:br/>
        <w:t>interno y las normas de la Convención  Americana[119].  Este  derecho  a  la</w:t>
        <w:br/>
        <w:t>verdad, que se encuentra subsumido  en  el  derecho  de  la  víctima  o  sus</w:t>
        <w:br/>
        <w:t>familiares  a  obtener  de   los   órganos   competentes   del   Estado   el</w:t>
        <w:br/>
        <w:t>esclarecimiento  de  los  hechos   violatorios   y   las   responsabilidades</w:t>
        <w:br/>
        <w:t>correspondientes, a través de la investigación  y  el  juzgamiento[120],  al</w:t>
        <w:br/>
        <w:t>ser reconocido y ejercido en una situación  concreta,  constituye  un  medio</w:t>
        <w:br/>
        <w:t>importante de  reparación  y  da  lugar  a  una  justa  expectativa  de  las</w:t>
        <w:br/>
        <w:t>víctimas, que el Estado debe satisfacer[121].</w:t>
        <w:br/>
        <w:br/>
        <w:br/>
        <w:t xml:space="preserve">      b)    Acto público de reconocimiento de responsabilidad</w:t>
        <w:br/>
        <w:br/>
        <w:t>150.  Para que el reconocimiento parcial de  responsabilidad  efectuado  por</w:t>
        <w:br/>
        <w:t>Ecuador y  lo  establecido  por  este  Tribunal  rindan  plenos  efectos  de</w:t>
        <w:br/>
        <w:t>reparación a la preservación de la memoria de los  señores  Wilmer  Zambrano</w:t>
        <w:br/>
        <w:t>Vélez, José Miguel Caicedo Cobeña y  Segundo  Olmedo  Caicedo  Cobeña  y  en</w:t>
        <w:br/>
        <w:t>desagravio de sus familiares, así como para que sirvan  de  garantía  de  no</w:t>
        <w:br/>
        <w:t>repetición, la Corte  estima  pertinente  que  el  Estado  realice  un  acto</w:t>
        <w:br/>
        <w:t>público  de  reconocimiento  de  su   responsabilidad   por   la   ejecución</w:t>
        <w:br/>
        <w:t>extrajudicial de las víctimas  y  las  otras  violaciones  cometidas  en  el</w:t>
        <w:br/>
        <w:t>presente caso. Este acto deberá realizarse en presencia  de  los  familiares</w:t>
        <w:br/>
        <w:t>de  las  mencionadas  personas,  si  es  su  voluntad,  y  también   deberán</w:t>
        <w:br/>
        <w:t>participar altas  autoridades  del  Estado.   Este  acto  deberá  celebrarse</w:t>
        <w:br/>
        <w:t>dentro de un plazo de seis meses contados a partir de la notificación de  la</w:t>
        <w:br/>
        <w:t>presente Sentencia.</w:t>
        <w:br/>
        <w:br/>
        <w:br/>
        <w:t xml:space="preserve">      c)    Publicación de la sentencia</w:t>
        <w:br/>
        <w:br/>
        <w:t>151.   Como  lo  ha  dispuesto  en  otros   casos[122],   como   medida   de</w:t>
        <w:br/>
        <w:t>satisfacción, el Estado deberá publicar en  el  Diario  Oficial  y  en  otro</w:t>
        <w:br/>
        <w:t>diario de amplia circulación nacional, por una sola vez, los  párrafos  8  a</w:t>
        <w:br/>
        <w:t>130 de la presente Sentencia y la parte resolutiva de la misma.  Para  estas</w:t>
        <w:br/>
        <w:t>publicaciones se fija el plazo de seis meses, a partir  de  la  notificación</w:t>
        <w:br/>
        <w:t>de la presente Sentencia.</w:t>
        <w:br/>
        <w:br/>
        <w:br/>
        <w:t xml:space="preserve">      d)    Adecuación de la legislación a los parámetros convencionales</w:t>
        <w:br/>
        <w:br/>
        <w:t>152.  La Comisión solicitó a la Corte que ordene al Estado  que  adopte  las</w:t>
        <w:br/>
        <w:t>medidas necesarias en el ordenamiento interno para  adecuar  la  legislación</w:t>
        <w:br/>
        <w:t>sobre estados de excepción, a fin de adecuarla a la Convención Americana,  a</w:t>
        <w:br/>
        <w:t>las interpretaciones jurisprudenciales de la Comisión  Interamericana  y  de</w:t>
        <w:br/>
        <w:t>la Corte Interamericana, y otros parámetros internacionales aplicables;  que</w:t>
        <w:br/>
        <w:t>es necesaria “la modificación del Código Penal de la Policía Nacional a  fin</w:t>
        <w:br/>
        <w:t>de esclarecer los lineamientos sobre la aplicación del fuero especial y  del</w:t>
        <w:br/>
        <w:t>fuero ordinario; y reglamentar de manera adecuada el uso de armas  de  fuego</w:t>
        <w:br/>
        <w:t>por  parte  de  la  fuerza  pública”.   Por  su  parte,  los  representantes</w:t>
        <w:br/>
        <w:t>consideran adecuado que la Corte ordene al  Estado  que  lleve  a  cabo  las</w:t>
        <w:br/>
        <w:t>reformas legales necesarias para dar paso a la unidad jurisdiccional,  y  de</w:t>
        <w:br/>
        <w:t>esta forma, toda violación a los derechos humanos sea juzgada  en  el  fuero</w:t>
        <w:br/>
        <w:t>ordinario y los tribunales militares sólo tengan  competencia  para  conocer</w:t>
        <w:br/>
        <w:t>de  delitos  estrictamente  militares  y  que  afecten  a  la   institución;</w:t>
        <w:br/>
        <w:t>específicamente solicitan que se proceda a  reformar  la  Ley  de  Seguridad</w:t>
        <w:br/>
        <w:t>Nacional para que no se otorgue  jurisdicción  inmediata  a  los  tribunales</w:t>
        <w:br/>
        <w:t>militares sobre hechos que ocurran durante los estados de emergencia y  para</w:t>
        <w:br/>
        <w:t>que bajo ninguna circunstancia dichos  tribunales  tengan  competencia  para</w:t>
        <w:br/>
        <w:t>juzgar a persona civil.</w:t>
        <w:br/>
        <w:br/>
        <w:t>153.  La Corte recuerda que  el  Estado  debe  prevenir  la  recurrencia  de</w:t>
        <w:br/>
        <w:t>violaciones a los derechos humanos como las ocurridas y,  por  eso,  adoptar</w:t>
        <w:br/>
        <w:t>todas las medidas  legales,  administrativas  y  de  otra  índole  que  sean</w:t>
        <w:br/>
        <w:t>necesarias para evitar que hechos similares vuelvan a ocurrir en el  futuro,</w:t>
        <w:br/>
        <w:t>en cumplimiento de sus deberes de prevención  y  garantía  de  los  derechos</w:t>
        <w:br/>
        <w:t>fundamentales reconocidos por la Convención Americana.</w:t>
        <w:br/>
        <w:br/>
        <w:t>154.  En especial el Estado debe adecuar su legislación interna  en  materia</w:t>
        <w:br/>
        <w:t>de  estados  de  emergencia  y  suspensión  de  garantías  a  la  Convención</w:t>
        <w:br/>
        <w:t>Americana, en particular las disposiciones de la Ley de Seguridad  Nacional.</w:t>
        <w:br/>
        <w:t xml:space="preserve"> Específicamente, tiene que adecuar su legislación en el sentido de  que  la</w:t>
        <w:br/>
        <w:t>jurisdicción  militar  no  pueda  asumir  competencias  de  la  jurisdicción</w:t>
        <w:br/>
        <w:t>ordinaria, en los términos señalados en esta Sentencia (supra  párrs.  53  a</w:t>
        <w:br/>
        <w:t>68).</w:t>
        <w:br/>
        <w:br/>
        <w:br/>
        <w:br/>
        <w:br/>
        <w:t xml:space="preserve">      e)    Educación en derechos humanos</w:t>
        <w:br/>
        <w:br/>
        <w:br/>
        <w:t>155.  La Corte toma nota de la manifestación  del  Estado  de  “ejecutar  un</w:t>
        <w:br/>
        <w:t>proceso de prevención, capacitación  y  difusión  de  una  política  pública</w:t>
        <w:br/>
        <w:t>educativa en derechos humanos para el sector público, procedimiento  que  se</w:t>
        <w:br/>
        <w:t>encuentra  en  proceso  de  implementación  a  través  de  un   ‘Manual   de</w:t>
        <w:br/>
        <w:t>Procedimiento para  el  Sector  Público’;  [e]n  aras  de  cumplir  con  los</w:t>
        <w:br/>
        <w:t>compromisos asumidos a  nivel  internacional,  y  aún  más  con  el  fin  de</w:t>
        <w:br/>
        <w:t>constituir  una  iniciativa  a  nivel  regional   alrededor   del   respeto,</w:t>
        <w:br/>
        <w:t>protección y garantía de los derechos humanos”.</w:t>
        <w:br/>
        <w:br/>
        <w:t>156.  El Tribunal valora dicha iniciativa y la determina como otra forma  de</w:t>
        <w:br/>
        <w:t>reparación.  En ese sentido,  las violaciones imputables  al  Estado  en  el</w:t>
        <w:br/>
        <w:t>presente caso fueron perpetradas  tanto  por  miembros  de  las  fuerzas  de</w:t>
        <w:br/>
        <w:t>seguridad, como del poder judicial, en violación de  normas  imperativas  de</w:t>
        <w:br/>
        <w:t>Derecho Internacional.</w:t>
        <w:br/>
        <w:br/>
        <w:t>157.  La  Corte  ha  indicado[123]  que  para  garantizar  adecuadamente  el</w:t>
        <w:br/>
        <w:t>derecho a la vida y a la integridad personal, los miembros  de  los  cuerpos</w:t>
        <w:br/>
        <w:t>de seguridad deben recibir entrenamiento y capacitación adecuados,  haciendo</w:t>
        <w:br/>
        <w:t>un especial énfasis en el uso de la  fuerza  y  los  estados  de  excepción.</w:t>
        <w:br/>
        <w:t>Para ello, el Estado deberá implementar, en un  plazo  razonable,  programas</w:t>
        <w:br/>
        <w:t>permanentes de educación en derechos humanos dirigidos  a  los  miembros  de</w:t>
        <w:br/>
        <w:t>las Fuerzas Armadas y Policía Nacional, en todos los niveles jerárquicos.</w:t>
        <w:br/>
        <w:br/>
        <w:t>158.  Asimismo, tal como ha sido ordenado  en  otros  casos[124],  la  Corte</w:t>
        <w:br/>
        <w:t>dispone que el Estado adopte medidas tendientes a formar y capacitar  a  los</w:t>
        <w:br/>
        <w:t>fiscales y jueces, incluidos aquéllos del fuero penal militar, en  cuanto  a</w:t>
        <w:br/>
        <w:t>los  estándares  internacionales  en  materia  de  protección  judicial   de</w:t>
        <w:br/>
        <w:t>derechos humanos. Para ello, el Estado deberá implementar, de igual  manera,</w:t>
        <w:br/>
        <w:t>en un plazo  razonable,  programas  permanentes  de  educación  en  derechos</w:t>
        <w:br/>
        <w:t>humanos dirigidos a aquellos funcionarios.</w:t>
        <w:br/>
        <w:br/>
        <w:br/>
        <w:br/>
        <w:br/>
        <w:t xml:space="preserve">                            d)    Costas y Gastos</w:t>
        <w:br/>
        <w:br/>
        <w:br/>
        <w:t>159.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Americana[125].</w:t>
        <w:br/>
        <w:br/>
        <w:t>160.  La Corte toma en cuenta que la Comisión Ecuménica de Derechos  Humanos</w:t>
        <w:br/>
        <w:t>(CEDUH) ha incurrido en gastos para enfrentar el trámite del  caso  ante  la</w:t>
        <w:br/>
        <w:t>Comisión Interamericana y ante la Corte.  Asimismo, toma en  cuenta  que  la</w:t>
        <w:br/>
        <w:t>Comisión Ecuménica “tiene como misión la defensa gratuita de las víctimas  o</w:t>
        <w:br/>
        <w:t>sus  familiares  ante  las  autoridades   internas   o   ante   el   sistema</w:t>
        <w:br/>
        <w:t>interamericano; sin embargo, como  peticionario  original  ha  incurrido  en</w:t>
        <w:br/>
        <w:t>gastos para enfrentar el trámite del caso” ante el  sistema  interamericano.</w:t>
        <w:br/>
        <w:t>Por ello consideraron que US$10.000,00 era una “cantidad razonable”,  aunque</w:t>
        <w:br/>
        <w:t>solicitaron que se les permitiera presentar pruebas posteriormente debido  a</w:t>
        <w:br/>
        <w:t>los gastos en que  incurrirían  en  el  futuro.   En  sus  alegatos  finales</w:t>
        <w:br/>
        <w:t>escritos  presentaron  prueba  respecto  de  algunos  gastos,   los   cuales</w:t>
        <w:br/>
        <w:t>ascenderían a un total de US$1.871,63 por  los  últimos  gastos  realizados.</w:t>
        <w:br/>
        <w:t>Así pues, aún cuando los representantes hicieron  solicitudes  de  reembolso</w:t>
        <w:br/>
        <w:t>de  las  costas  y  gastos,  sólo  presentaron  ante  el  Tribunal   algunos</w:t>
        <w:br/>
        <w:t>documentos de respaldo de las costas  y  gastos  ante  el  trámite  ante  la</w:t>
        <w:br/>
        <w:t>Corte.</w:t>
        <w:br/>
        <w:br/>
        <w:t>161.  En razón de lo anterior, el  Tribunal  estima  equitativo  ordenar  al</w:t>
        <w:br/>
        <w:t>Estado que reintegre la cantidad de US$ 10.000,00 (diez mil dólares  de  los</w:t>
        <w:br/>
        <w:t>Estados Unidos de América) a  la  Comisión  Ecuménica  de  Derechos  Humanos</w:t>
        <w:br/>
        <w:t>(CEDHU), para compensar los gastos generados en el curso  del  proceso  ante</w:t>
        <w:br/>
        <w:t>el sistema interamericano.</w:t>
        <w:br/>
        <w:br/>
        <w:t>162.  El Estado deberá efectuar el pago por  concepto  de  costas  y  gastos</w:t>
        <w:br/>
        <w:t>dentro del plazo de un año  contado  a  partir  de  la  notificación  de  la</w:t>
        <w:br/>
        <w:t>presente Sentencia.</w:t>
        <w:br/>
        <w:br/>
        <w:br/>
        <w:t xml:space="preserve">           e)    Modalidad de Cumplimiento de los pagos ordenados</w:t>
        <w:br/>
        <w:br/>
        <w:t>163.  El pago de las indemnizaciones establecidas a favor de los  familiares</w:t>
        <w:br/>
        <w:t>de los señores Wilmer Zambrano Vélez, José Miguel Caicedo Cobeña  y  Segundo</w:t>
        <w:br/>
        <w:t>Olmedo Caicedo Cobeña, será hecho directamente a aquéllos. Por lo  que  toca</w:t>
        <w:br/>
        <w:t>a las indemnizaciones ordenadas a  favor  de  menores  de  edad,  el  Estado</w:t>
        <w:br/>
        <w:t>deberá depositarlas en una institución ecuatoriana  solvente.  La  inversión</w:t>
        <w:br/>
        <w:t>se hará dentro del plazo de un  año,  en  las  condiciones  financieras  más</w:t>
        <w:br/>
        <w:t>favorables que permitan la legislación y la práctica bancaria, mientras  los</w:t>
        <w:br/>
        <w:t>beneficiarios sean menores de edad. Podrá ser retirada por  aquéllos  cuando</w:t>
        <w:br/>
        <w:t>alcancen la mayoría de edad, en su caso, o antes si así conviene al  interés</w:t>
        <w:br/>
        <w:t>superior del niño, establecido por determinación de una  autoridad  judicial</w:t>
        <w:br/>
        <w:t>competente. Si no se reclama la indemnización  una  vez  transcurridos  diez</w:t>
        <w:br/>
        <w:t>años contados a partir de la mayoría de  edad,  la  suma  será  devuelta  al</w:t>
        <w:br/>
        <w:t>Estado, con los intereses devengados.</w:t>
        <w:br/>
        <w:br/>
        <w:t>164.  Si por causas atribuibles a los beneficiarios de  las  indemnizaciones</w:t>
        <w:br/>
        <w:t>no fuese posible que éstos las reciban  dentro  del  plazo  indicado  (supra</w:t>
        <w:br/>
        <w:t>párrs. 139, 140 y 146), el Estado consignará dichos montos a  favor  de  los</w:t>
        <w:br/>
        <w:t>beneficiarios en una cuenta o certificado de  depósito  en  una  institución</w:t>
        <w:br/>
        <w:t>financiera ecuatoriana  solvente,  y  en  las  condiciones 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t>165.  El pago destinado a solventar las costas y gastos  generados  por  las</w:t>
        <w:br/>
        <w:t>gestiones realizadas por los representantes en dichos  procedimientos  serán</w:t>
        <w:br/>
        <w:t>hechos directamente a la Comisión Ecuménica de Derechos Humanos.</w:t>
        <w:br/>
        <w:br/>
        <w:t>166.  Las cantidades asignadas en la presente Sentencia bajo  los  conceptos</w:t>
        <w:br/>
        <w:t>de indemnizaciones y por  reintegro  de  costas  y  gastos,  no  podrán  ser</w:t>
        <w:br/>
        <w:t>afectados o condicionados por  motivos  fiscales  actuales  o  futuros.  Por</w:t>
        <w:br/>
        <w:t>ende, deberán ser entregados a los beneficiarios en forma  íntegra  conforme</w:t>
        <w:br/>
        <w:t>a lo establecido en esta Sentencia.</w:t>
        <w:br/>
        <w:br/>
        <w:t>167.  En caso de que el Estado incurriera en mora, deberá pagar  un  interés</w:t>
        <w:br/>
        <w:t>sobre la cantidad adeudada, correspondiente al  interés  bancario  moratorio</w:t>
        <w:br/>
        <w:t>en Ecuador.</w:t>
        <w:br/>
        <w:br/>
        <w:t>168.  Conforme a su práctica constante, la Corte  se  reserva  la  facultad,</w:t>
        <w:br/>
        <w:t>inherente a sus atribuciones y derivada, asimismo, del  artículo  65  de  la</w:t>
        <w:br/>
        <w:t>Convención Americana, de supervisar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 la  notificación  de  esta  Sentencia,  Ecuador</w:t>
        <w:br/>
        <w:t>deberá rendir a la Corte un informe sobre las medidas adoptadas  para  darle</w:t>
        <w:br/>
        <w:t>cumplimiento.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t>169.  Por tanto,</w:t>
        <w:br/>
        <w:br/>
        <w:br/>
        <w:t>La Corte,</w:t>
        <w:br/>
        <w:br/>
        <w:br/>
        <w:t>declara,</w:t>
        <w:br/>
        <w:br/>
        <w:t>Por unanimidad, que:</w:t>
        <w:br/>
        <w:br/>
        <w:t>1.    Acepta el  reconocimiento  parcial  de  responsabilidad  internacional</w:t>
        <w:br/>
        <w:t>efectuado por el Estado por la violación de los  derechos  a  las  garantías</w:t>
        <w:br/>
        <w:t>judiciales y a la protección judicial, consagrados en los  artículos  8.1  y</w:t>
        <w:br/>
        <w:t>25  de  la  Convención  Americana  sobre  Derechos   Humanos,   y   por   el</w:t>
        <w:br/>
        <w:t>incumplimiento  de  las  obligaciones  relacionadas  con  la  suspensión  de</w:t>
        <w:br/>
        <w:t>garantías establecidas en el articulo 27 de la  Convención  Americana  sobre</w:t>
        <w:br/>
        <w:t>Derechos Humanos, en los términos de los párrafos 8  a  31  de  la  presente</w:t>
        <w:br/>
        <w:t>Sentencia.</w:t>
        <w:br/>
        <w:br/>
        <w:t>2.    El Estado incumplió las obligaciones relacionadas  con  la  suspensión</w:t>
        <w:br/>
        <w:t>de  garantías,  establecidas  en  el  artículo  27.1,  27.2  y  27.3  de  la</w:t>
        <w:br/>
        <w:t>Convención Americana sobre Derechos Humanos, en relación con  la  obligación</w:t>
        <w:br/>
        <w:t>de respetar los derechos y el deber  de  adoptar  disposiciones  de  derecho</w:t>
        <w:br/>
        <w:t>interno con respecto a los derechos a la vida, a las garantías judiciales  y</w:t>
        <w:br/>
        <w:t>a la protección judicial, establecidos en los artículos 1.1, 2, 4, 8.1 y  25</w:t>
        <w:br/>
        <w:t>de dicho tratado, respectivamente, en los términos de los párrafos 42  a  71</w:t>
        <w:br/>
        <w:t>de la presente Sentencia.</w:t>
        <w:br/>
        <w:br/>
        <w:t>3.    El Estado violó el derecho a la vida consagrado en el artículo 4.1  de</w:t>
        <w:br/>
        <w:t>la  Convención  Americana  sobre  Derechos  Humanos,  en  relación  con  las</w:t>
        <w:br/>
        <w:t>obligaciones de  respetar  y  garantizar  los  derechos  establecida  en  el</w:t>
        <w:br/>
        <w:t>artículo 1.1 de dicho tratado, por la privación arbitraria  de  la  vida  de</w:t>
        <w:br/>
        <w:t>los señores Wilmer Zambrano Vélez, Segundo  Olmedo  Caicedo  Cobeña  y  José</w:t>
        <w:br/>
        <w:t>Miguel Caicedo Cobeña, quienes fueron ejecutados extrajudicialmente, en  los</w:t>
        <w:br/>
        <w:t>términos de los párrafos 72 a 110 de la presente Sentencia.</w:t>
        <w:br/>
        <w:br/>
        <w:t>4.    El Estado violó los  derechos  a  las  garantías  judiciales  y  a  la</w:t>
        <w:br/>
        <w:t>protección judicial consagrados en los artículos 8.1 y 25 de  la  Convención</w:t>
        <w:br/>
        <w:t>Americana sobre Derechos  Humanos,  en  relación  con  las  obligaciones  de</w:t>
        <w:br/>
        <w:t>respetar y garantizar los derechos establecida en el artículo 1.1  de  dicho</w:t>
        <w:br/>
        <w:t>tratado, en perjuicio de Alicia Marlene Rodríguez  Villegas,  Karen  Lisette</w:t>
        <w:br/>
        <w:t>Zambrano  Rodríguez,  Johanna  Elizabeth  Zambrano  Abad,  Jennifer   Karina</w:t>
        <w:br/>
        <w:t>Zambrano Abad, Ángel Homero Zambrano Abad, Jessica Marlene  Baque  Rodríguez</w:t>
        <w:br/>
        <w:t>y Christian Eduardo Zambrano Ruales, familiares del  señor  Wilmer  Zambrano</w:t>
        <w:br/>
        <w:t>Vélez; Silvia Liza Macías Acosta, Vanner Omar Caicedo Macías, Olmedo  Germán</w:t>
        <w:br/>
        <w:t>Caicedo  Macías,  Marjuri  Narcisa  Caicedo  Rodríguez,  Gardenia  Marianela</w:t>
        <w:br/>
        <w:t>Caicedo Rodríguez, Elkis Mariela Caicedo Rodríguez, Richard  Olmedo  Caicedo</w:t>
        <w:br/>
        <w:t>Rodríguez, Iris Estrella Caicedo Chamorro y  Mayerlin  Chamorro,  familiares</w:t>
        <w:br/>
        <w:t>del señor Segundo Olmedo Caicedo Cobeña; y Teresa María Susana  Cedeño  Paz,</w:t>
        <w:br/>
        <w:t>María Magdalena Caicedo Cedeño, Jessica Soraya Vera Cedeño, Manuel  Abelardo</w:t>
        <w:br/>
        <w:t>Vera Cedeño, Brimer Ramón Vera Cedeño, Kleber Miguel Caicedo Ponce,  Mariuxi</w:t>
        <w:br/>
        <w:t>Mariela Caicedo Ponce, José  Kelvin  Caicedo  Ponce,  Cira  Seneida  Caicedo</w:t>
        <w:br/>
        <w:t>Ponce, Gina Loyobrígida Caicedo Ponce,  familiares  del  señor  José  Miguel</w:t>
        <w:br/>
        <w:t>Caicedo Cobeña, en los términos de los párrafos 110 a  130  de  la  presente</w:t>
        <w:br/>
        <w:t>Sentencia.</w:t>
        <w:br/>
        <w:br/>
        <w:t>5.    Esta Sentencia constituye per se una forma de reparación.</w:t>
        <w:br/>
        <w:br/>
        <w:t>Y dispone:</w:t>
        <w:br/>
        <w:br/>
        <w:t>Por unanimidad, que:</w:t>
        <w:br/>
        <w:br/>
        <w:t>6.    El Estado debe  realizar  inmediatamente  las  debidas  diligencias  y</w:t>
        <w:br/>
        <w:t>utilizar todos los medios disponibles para hacer expedita  la  investigación</w:t>
        <w:br/>
        <w:t>y los procedimientos respectivos en la  jurisdicción  penal  ordinaria  para</w:t>
        <w:br/>
        <w:t>identificar, enjuiciar y, en su caso, sancionar, a los  responsables  de  la</w:t>
        <w:br/>
        <w:t>ejecución extrajudicial  de  Wilmer  Zambrano  Vélez,  José  Miguel  Caicedo</w:t>
        <w:br/>
        <w:t>Cobeña y Segundo Olmedo Caicedo  Cobeña;  y  así  evitar  la  repetición  de</w:t>
        <w:br/>
        <w:t>hechos como los presentes, en los términos del párrafo 148  de  la  presente</w:t>
        <w:br/>
        <w:t>Sentencia. Asimismo, el Estado debe satisfacer el derecho  a  la  verdad  de</w:t>
        <w:br/>
        <w:t>los familiares de las víctimas y asegurar que ellos tengan  pleno  acceso  y</w:t>
        <w:br/>
        <w:t>capacidad  de  actuar  en  todas  las  etapas   e   instancias   de   dichas</w:t>
        <w:br/>
        <w:t>investigaciones y procesos, de acuerdo con el derecho interno y  las  normas</w:t>
        <w:br/>
        <w:t>de la Convención Americana sobre  Derechos  Humanos,  en  los  términos  del</w:t>
        <w:br/>
        <w:t>párrafo 149 de la presente Sentencia.</w:t>
        <w:br/>
        <w:br/>
        <w:t>7.    El Estado debe realizar, en el plazo de seis meses  contado  a  partir</w:t>
        <w:br/>
        <w:t>de  la  notificación  de  la  presente  Sentencia,  un   acto   público   de</w:t>
        <w:br/>
        <w:t>reconocimiento de su responsabilidad por la ejecución extrajudicial  de  las</w:t>
        <w:br/>
        <w:t>víctimas y las otras violaciones cometidas  en  el  presente  caso,  en  los</w:t>
        <w:br/>
        <w:t>términos del párrafo 150 de la presente Sentencia.</w:t>
        <w:br/>
        <w:br/>
        <w:t>8.    El Estado debe publicar, en el plazo de seis meses  contado  a  partir</w:t>
        <w:br/>
        <w:t>de la notificación de la presente Sentencia, en el Diario Oficial y en  otro</w:t>
        <w:br/>
        <w:t>diario de amplia circulación nacional, por una sola vez, los  párrafos  8  a</w:t>
        <w:br/>
        <w:t>130 de la presente Sentencia y la parte  resolutiva  de  la  misma,  en  los</w:t>
        <w:br/>
        <w:t>términos del párrafo 151 de la misma.</w:t>
        <w:br/>
        <w:br/>
        <w:t>9.    El Estado debe adoptar todas las medidas  legales,  administrativas  y</w:t>
        <w:br/>
        <w:t>de otra índole que sean necesarias para evitar que hechos similares  vuelvan</w:t>
        <w:br/>
        <w:t>a ocurrir en el futuro; en especial, el Estado debe adecuar  su  legislación</w:t>
        <w:br/>
        <w:t>interna en materia de estados de emergencia y suspensión  de  garantías,  en</w:t>
        <w:br/>
        <w:t>particular  las  disposiciones  de  la  Ley  de  Seguridad  Nacional,  a  la</w:t>
        <w:br/>
        <w:t>Convención  Americana  sobre  Derechos  Humanos,  en  los  términos  de  los</w:t>
        <w:br/>
        <w:t>párrafos 152 a 154 de la presente Sentencia.</w:t>
        <w:br/>
        <w:br/>
        <w:t>10.    El  Estado  debe  implementar,  en  un  plazo  razonable,   programas</w:t>
        <w:br/>
        <w:t>permanentes de educación en derechos humanos dirigidos  a  los  miembros  de</w:t>
        <w:br/>
        <w:t>las Fuerzas Armadas y Policía Nacional, en todos  sus  niveles  jerárquicos,</w:t>
        <w:br/>
        <w:t>haciendo especial énfasis en el uso legítimo de la fuerza y los  estados  de</w:t>
        <w:br/>
        <w:t>emergencia,  y  dirigidos  a  fiscales  y  jueces  en  cuanto  a  estándares</w:t>
        <w:br/>
        <w:t>internacionales en materia de protección judicial de  derechos  humanos,  en</w:t>
        <w:br/>
        <w:t>los términos de los párrafos 155 a 158 de la presente Sentencia.</w:t>
        <w:br/>
        <w:br/>
        <w:t>11.   El Estado debe pagar directamente a  los  familiares  de  los  señores</w:t>
        <w:br/>
        <w:t>Wilmer Zambrano Vélez, Segundo Olmedo Caicedo Cobeña y José  Miguel  Caicedo</w:t>
        <w:br/>
        <w:t>Cobeña, las cantidades fijadas en los párrafos 139, 140, 143, 144 y  145  de</w:t>
        <w:br/>
        <w:t>la presente Sentencia, por concepto de indemnización  por  daño  material  e</w:t>
        <w:br/>
        <w:t>inmaterial, dentro del plazo de un año contado a partir de  la  notificación</w:t>
        <w:br/>
        <w:t>de la presente Sentencia, en los términos de los párrafos 163,  164,  166  y</w:t>
        <w:br/>
        <w:t>167 de la misma.</w:t>
        <w:br/>
        <w:br/>
        <w:t>12.   El Estado debe pagar directamente a la Comisión Ecuménica de  Derechos</w:t>
        <w:br/>
        <w:t>Humanos (CEDHU), las cantidades fijadas en el párrafo  161  de  la  presente</w:t>
        <w:br/>
        <w:t>Sentencia, por concepto de costas y gastos,  dentro  del  plazo  de  un  año</w:t>
        <w:br/>
        <w:t>contado a partir de  la  notificación  de  la  presente  Sentencia,  en  los</w:t>
        <w:br/>
        <w:t>términos de los párrafos 165 a 167 de la misma.</w:t>
        <w:br/>
        <w:br/>
        <w:t>13.   La Corte se reserva  la  facultad,  inherente  a  sus  atribuciones  y</w:t>
        <w:br/>
        <w:t>derivada, asimismo,  del  artículo  65  de  la  Convención  Americana  sobre</w:t>
        <w:br/>
        <w:t>Derechos  Humanos,  de  supervisar 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medidas adoptadas  para  darle</w:t>
        <w:br/>
        <w:t>cumplimiento, en los términos del párrafo 168 de la misma.</w:t>
        <w:br/>
        <w:br/>
        <w:br/>
        <w:t>El Juez Manuel E. Ventura Robles hizo conocer a la Corte su  Voto  Razonado,</w:t>
        <w:br/>
        <w:t>el cual acompaña a la presente Sentencia.</w:t>
        <w:br/>
        <w:br/>
        <w:br/>
        <w:t>Redactada en español e inglés, haciendo fe  el  texto  en  español,  en  San</w:t>
        <w:br/>
        <w:t>José, Costa Rica, el 4 de julio de 2007.</w:t>
        <w:br/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      |                  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|Cecilia Medina Quiroga                  |Manuel E. Ventura Robles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|Diego García-Sayán                      |Leonardo A. Franco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                                        |                                    |</w:t>
        <w:br/>
        <w:t>|Margarette May Macaulay                 |Rhadys Abreu Blondet                |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Sergio García Ramírez</w:t>
        <w:br/>
        <w:t xml:space="preserve">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VOTO RAZONADO</w:t>
        <w:br/>
        <w:t xml:space="preserve">                   CASO ZAMBRANO VÉLEZ Y OTROS vs. ECUADOR</w:t>
        <w:br/>
        <w:br/>
        <w:br/>
        <w:br/>
        <w:br/>
        <w:t xml:space="preserve">            He concurrido con mi  voto  para  aprobar,  por  unanimidad,  la</w:t>
        <w:br/>
        <w:t>presente sentencia en el caso Zambrano Vélez y otros  contra  Ecuador,  pero</w:t>
        <w:br/>
        <w:t>considero necesario aclarar mi posición sobre un tema  que  fue  considerado</w:t>
        <w:br/>
        <w:t>en la deliberación de este caso y durante los últimos tres años en  diversos</w:t>
        <w:br/>
        <w:t>casos ante la Corte.</w:t>
        <w:br/>
        <w:br/>
        <w:br/>
        <w:t xml:space="preserve">            Se trata de la aplicación e interpretación de los artículos  8.1</w:t>
        <w:br/>
        <w:t>y 25 de la Convención en relación con el artículo 1.1 y, por  ende,  también</w:t>
        <w:br/>
        <w:t>sobre la naturaleza y razón de ser de las normas citadas.</w:t>
        <w:br/>
        <w:br/>
        <w:br/>
        <w:t xml:space="preserve">            El  Capítulo  I  de  la  Convención  Americana  (Enumeración  de</w:t>
        <w:br/>
        <w:t>Deberes) enlista los deberes de los Estados Partes en dicho instrumento:  el</w:t>
        <w:br/>
        <w:t>artículo 1 (Obligación de Respetar los Derechos) y el artículo 2  (Deber  de</w:t>
        <w:br/>
        <w:t>Adoptar Disposiciones de Derecho Interno). Son normas  de  carácter  general</w:t>
        <w:br/>
        <w:t>que permean todos los  derechos  protegidos  en  el  Capítulo  II  (Derechos</w:t>
        <w:br/>
        <w:t>Civiles y Políticos). Estos derechos protegidos tienen su propia  naturaleza</w:t>
        <w:br/>
        <w:t>ontológica, protegen bienes jurídicos propios, susceptibles de ser  violados</w:t>
        <w:br/>
        <w:t>por el Estado Parte por  hechos  determinados  que  conllevan  la  violación</w:t>
        <w:br/>
        <w:t>también del artículo 1.1 y, en su caso, el 2, que según  señalé  son  normas</w:t>
        <w:br/>
        <w:t>de carácter general. Esta no es la naturaleza de los artículos 8  y  25  que</w:t>
        <w:br/>
        <w:t>también tienen  un  contenido  ontológico  propio,  pero  no  de  normas  de</w:t>
        <w:br/>
        <w:t>aplicación  general  en  la  Convención  y,  consecuentemente,  pueden   ser</w:t>
        <w:br/>
        <w:t>violados por el Estado, junto con otros derechos, siempre  en  relación  con</w:t>
        <w:br/>
        <w:t>el 1.1, que establece la obligación  general  para  los  Estados  Partes  de</w:t>
        <w:br/>
        <w:t>respetar y garantizar los  derechos  incluidos  en  el  Capítulo  II  de  la</w:t>
        <w:br/>
        <w:t>Convención[126].</w:t>
        <w:br/>
        <w:br/>
        <w:br/>
        <w:t xml:space="preserve">            El artículo 1.1 de la Convención dispone lo siguiente:</w:t>
        <w:br/>
        <w:br/>
        <w:br/>
        <w:t xml:space="preserve">      1.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br/>
        <w:br/>
        <w:br/>
        <w:br/>
        <w:t xml:space="preserve">            El artículo 8.1 señala que toda textualmente:</w:t>
        <w:br/>
        <w:br/>
        <w:br/>
        <w:t xml:space="preserve">           1.    Toda persona tiene derecho a ser  oída,  con  las  debidas</w:t>
        <w:br/>
        <w:t xml:space="preserve">      garantías y dentro de un plazo  razonable,  por  un  juez  o  tribunal</w:t>
        <w:br/>
        <w:t xml:space="preserve">      competente, independiente e imparcial,  establecido  con  anterioridad</w:t>
        <w:br/>
        <w:t xml:space="preserve">      por la ley, en la sustanciación de cualquier acusación penal formulada</w:t>
        <w:br/>
        <w:t xml:space="preserve">      contra ella, o para la determinación de sus derechos y obligaciones de</w:t>
        <w:br/>
        <w:t xml:space="preserve">      orden civil, laboral, fiscal o de cualquier otro carácter.</w:t>
        <w:br/>
        <w:br/>
        <w:br/>
        <w:t xml:space="preserve">            Mientras que el artículo 25 dice que:</w:t>
        <w:br/>
        <w:br/>
        <w:br/>
        <w:t xml:space="preserve">           1.    Toda persona tiene derecho a un recurso sencillo y  rápido</w:t>
        <w:br/>
        <w:t xml:space="preserve">      o a cualquier otro recurso  efectivo  ante  los  jueces  o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     2.    Los Estados Partes se comprometen:</w:t>
        <w:br/>
        <w:br/>
        <w:br/>
        <w:t xml:space="preserve">           a)    a garantizar que la autoridad competente prevista  por  el</w:t>
        <w:br/>
        <w:t xml:space="preserve">      sistema legal del Estado decidirá sobre los derechos de  toda  persona</w:t>
        <w:br/>
        <w:t xml:space="preserve">      que interponga tal recurso;</w:t>
        <w:br/>
        <w:br/>
        <w:br/>
        <w:t xml:space="preserve">           b)    a desarrollar las posibilidades de recurso judicial, y</w:t>
        <w:br/>
        <w:br/>
        <w:br/>
        <w:t xml:space="preserve">           c)     a  garantizar  el  cumplimiento,  por   las   autoridades</w:t>
        <w:br/>
        <w:t xml:space="preserve">      competentes, de toda decisión en que se haya  estimado  procedente  el</w:t>
        <w:br/>
        <w:t xml:space="preserve">      recurso.</w:t>
        <w:br/>
        <w:br/>
        <w:br/>
        <w:t xml:space="preserve">            La Corte, además, ha decretado la violación del artículo 1.1  de</w:t>
        <w:br/>
        <w:t>la   Convención   independientemente   de   otras   violaciones   a    otros</w:t>
        <w:br/>
        <w:t>artículos[127]. Asimismo, se ha considerado y declarado la violación de  los</w:t>
        <w:br/>
        <w:t>artículos 8.1 y 25 de forma autónoma, sin considerarlos en relación  con  el</w:t>
        <w:br/>
        <w:t>artículo 1.1 de la  Convención[128].  También,  la  Corte  ha  aplicado  los</w:t>
        <w:br/>
        <w:t>artículos 8.1 y 25 en relación con otros artículos de la Convención  que  no</w:t>
        <w:br/>
        <w:t>sea el artículo 1.1[129].</w:t>
        <w:br/>
        <w:br/>
        <w:br/>
        <w:t xml:space="preserve">      Consecuentemente pretender que la Corte considere  que  los  artículos</w:t>
        <w:br/>
        <w:t>8.1 y 25 no se pueden declarar violados por el  Tribunal  independientemente</w:t>
        <w:br/>
        <w:t>como una violación autónoma, sino solamente en relación con otro derecho  de</w:t>
        <w:br/>
        <w:t>fondo que puede no ser el artículo 1.1, es  afirmar  que  en  la  Convención</w:t>
        <w:br/>
        <w:t>Americana no se protege el derecho a la Justicia y sería pretender  darle  a</w:t>
        <w:br/>
        <w:t>los artículos 8.1 y 25 el carácter de disposiciones generales que,  como  lo</w:t>
        <w:br/>
        <w:t>hace el artículo 1.1, permearían toda  la  Convención,  lo  que  tendría  la</w:t>
        <w:br/>
        <w:t>consecuencia de desnaturalizar el contenido mismo de  los  artículos  8.1  y</w:t>
        <w:br/>
        <w:t>25.</w:t>
        <w:br/>
        <w:br/>
        <w:br/>
        <w:t xml:space="preserve">            Cambiar la jurisprudencia de la Corte sobre este punto,  después</w:t>
        <w:br/>
        <w:t>de más de 20 años  de  ejercer  su  función  jurisdiccional  es,  además  de</w:t>
        <w:br/>
        <w:t>inapropiado e innecesario, confuso. Es introducir un elemento de  distorsión</w:t>
        <w:br/>
        <w:t>en la deliberación de futuros casos.</w:t>
        <w:br/>
        <w:br/>
        <w:br/>
        <w:br/>
        <w:br/>
        <w:br/>
        <w:br/>
        <w:br/>
        <w:br/>
        <w:t xml:space="preserve">                          Manuel E. Ventura Robles</w:t>
        <w:br/>
        <w:t xml:space="preserve">                                    Juez</w:t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t>-----------------------</w:t>
        <w:br/>
        <w:t>[1]   En el informe de fondo la Comisión concluyó  que  Ecuador  “violó  sus</w:t>
        <w:br/>
        <w:t>obligaciones contempladas en el artículo 27 de la Convención  Americana  […y</w:t>
        <w:br/>
        <w:t>las] resultantes de los artículos 4 (derecho a la vida), en conexión con  el</w:t>
        <w:br/>
        <w:t>artículo 1.[1] [de la misma] por la muerte de las personas identificadas  en</w:t>
        <w:br/>
        <w:t>el presente informe, en el operativo de [6] de marzo de 1992 [sic]”;  y  que</w:t>
        <w:br/>
        <w:t>“es responsable  de  la  violación  de  los  artículos  8  y  25  (garantías</w:t>
        <w:br/>
        <w:t>judiciales y protección judicial) en concordancia con el artículo 1.[1] y  2</w:t>
        <w:br/>
        <w:t>de la Convención [Americana] por la falta de investigación  procesamiento  y</w:t>
        <w:br/>
        <w:t>sanción serias y efectivas a los responsables y por la falta  de  reparación</w:t>
        <w:br/>
        <w:t>efectiva a las víctimas de esas violaciones y a sus  familiares”.  Asimismo,</w:t>
        <w:br/>
        <w:t>la Comisión concluyó que, “en relación al derecho a la  integridad  personal</w:t>
        <w:br/>
        <w:t>y el derecho a la libertad personal, […] en el curso de este proceso no  han</w:t>
        <w:br/>
        <w:t>sido demostradas las  violaciones  a  estos  derechos,  en  consecuencia  el</w:t>
        <w:br/>
        <w:t>Estado no ha controvertido lo dispuesto  en  los  artículos  5  y  7  de  la</w:t>
        <w:br/>
        <w:t>Convención”. Finalmente, la Comisión  formuló  determinadas  recomendaciones</w:t>
        <w:br/>
        <w:t>al Estado.</w:t>
        <w:br/>
        <w:br/>
        <w:t>[2]   La Comisión designó como delegados  a  los  señores  Evelio  Fernández</w:t>
        <w:br/>
        <w:t>Arévalos, Comisionado, y Santiago A. Canton, Secretario  Ejecutivo,  y  como</w:t>
        <w:br/>
        <w:t>asesores legales a los señores Víctor Madrigal Borloz, Ariel E.  Dulitzky  y</w:t>
        <w:br/>
        <w:t>Mario López Garelli, y a la señora Lilly Ching.</w:t>
        <w:br/>
        <w:br/>
        <w:t>[3]   El 12 de octubre de 2006 el  Estado  había  designado  al  señor  Juan</w:t>
        <w:br/>
        <w:t>Leoro Almeida, Embajador del Ecuador en Costa Rica,  como  Agente  y  a  los</w:t>
        <w:br/>
        <w:t>señores Erick Roberts y Salim Zaidán como Agentes Alternos.  Posteriormente,</w:t>
        <w:br/>
        <w:t>ante una solicitud de aclaración de  la  Secretaría,  el  Estado  designó  a</w:t>
        <w:br/>
        <w:t>estos últimos como Agente y Agente Alterno, respectivamente.</w:t>
        <w:br/>
        <w:br/>
        <w:t>[4]   Cuando se notificó la demanda al  Estado,  se  le  informó  sobre  los</w:t>
        <w:br/>
        <w:t>plazos  para  contestarla  y  designar  su  representación  en  el  proceso.</w:t>
        <w:br/>
        <w:t>Asimismo, en esa oportunidad se informó al Estado acerca de  la  posibilidad</w:t>
        <w:br/>
        <w:t>de designar un juez ad hoc para que  participara  en  la  consideración  del</w:t>
        <w:br/>
        <w:t>caso. El 12 de octubre de 2006  el  Estado  designó  un  juez  ad  hoc,  sin</w:t>
        <w:br/>
        <w:t>embargo, en razón de que esta designación fue realizada fuera del plazo  con</w:t>
        <w:br/>
        <w:t>el que contaba para tales efectos, la Corte decidió rechazar la  designación</w:t>
        <w:br/>
        <w:t>propuesta por el Ilustrado Estado, al igual que lo ha hecho en otros casos.</w:t>
        <w:br/>
        <w:br/>
        <w:t>[5]   Resolución del Presidente de la Corte de 15 de marzo de 2007.</w:t>
        <w:br/>
        <w:br/>
        <w:t>[6]   A esta audiencia comparecieron: a)  por  la  Comisión  Interamericana:</w:t>
        <w:br/>
        <w:t>Evelio Fernández, Comisionado, como Delegado; y el señor Mario  López  y  la</w:t>
        <w:br/>
        <w:t>señora Lilly Ching, como asesores; b) por los representantes:  César  Duque,</w:t>
        <w:br/>
        <w:t>abogado  de  CEDHU;  y  c)  por  el  Estado:  José  Xavier  Garaicoa  Ortiz,</w:t>
        <w:br/>
        <w:t>Procurador  General  del  Estado,  Agente;  Alberto  Salim  Zaidán,   Agente</w:t>
        <w:br/>
        <w:t>Alterno, y Gabriela Galeas, asesora.</w:t>
        <w:br/>
        <w:br/>
        <w:t>[7]   Cfr. Caso Myrna Mack Chang. Sentencia de  25  de  noviembre  de  2003.</w:t>
        <w:br/>
        <w:t>Serie C No. 101, párr. 105. Ver también Caso de la Masacre  de  La  Rochela.</w:t>
        <w:br/>
        <w:t>Sentencia de 11 de mayo de 2007. párr. 9, y Caso La  Cantuta.  Sentencia  de</w:t>
        <w:br/>
        <w:t>29 de noviembre de 2006. Serie C No. 162, párr. 49.</w:t>
        <w:br/>
        <w:br/>
        <w:br/>
        <w:t>[8]   Cfr. Caso “de la Masacre de Mapiripán”. Sentencia de 15 de  septiembre</w:t>
        <w:br/>
        <w:t>de 2005. Serie C No. 134, párr. 59. Ver también Caso Bueno Alves.  Sentencia</w:t>
        <w:br/>
        <w:t>de 11 de mayo 2007. párr. 26, y Caso de la  Masacre  de  La  Rochela,  supra</w:t>
        <w:br/>
        <w:t>nota 7, párr. 30.</w:t>
        <w:br/>
        <w:br/>
        <w:t>[9]   Cfr. Caso Bueno Alves, supra nota 8, párrs. 61 a 67.</w:t>
        <w:br/>
        <w:br/>
        <w:t>[10]  Se trata de  las  compañeras  e  hijos  de  las  tres  presuntas</w:t>
        <w:br/>
        <w:t>víctimas fallecidas.</w:t>
        <w:br/>
        <w:br/>
        <w:t>[11]  Cfr. Caso de la Masacre de la Rochela, supra nota 7, párr. 45.</w:t>
        <w:br/>
        <w:br/>
        <w:t>[12]  Cfr. Caso Bueno Alves, supra nota 8, párr. 34; Caso de la  Masacre  de</w:t>
        <w:br/>
        <w:t>la Rochela, supra nota 7, párr. 29; Caso La Cantuta,  supra  nota  7,  párr.</w:t>
        <w:br/>
        <w:t>56.</w:t>
        <w:br/>
        <w:br/>
        <w:t>[13]  Cfr. Caso Bueno Alves, supra nota 8, párr. 35; Caso de la  Masacre  de</w:t>
        <w:br/>
        <w:t>la Rochela, supra nota 7, párr. 54; Caso La Cantuta,  supra  nota  7,  párr.</w:t>
        <w:br/>
        <w:t>57.</w:t>
        <w:br/>
        <w:br/>
        <w:t>[14]  Cfr. Caso de la Comunidad Mayagna (Sumo) Awas Tingni. Sentencia de  31</w:t>
        <w:br/>
        <w:t>de agosto de 2001. Serie C No. 79, párr.  86;  Caso  de  la  “Panel  Blanca”</w:t>
        <w:br/>
        <w:t>(Paniagua Morales y otros). Reparaciones. Sentencia de 25 de mayo  de  2001.</w:t>
        <w:br/>
        <w:t>Serie C No. 76, párr. 50, y Caso Bámaca Velásquez.  Reparaciones.  Sentencia</w:t>
        <w:br/>
        <w:t>de 22 de febrero de 2002. Serie C No. 91, párr. 15.  Ver  también  Caso  del</w:t>
        <w:br/>
        <w:t>Penal Miguel Castro Castro.  Sentencia de 25 de noviembre de 2006.  Serie  C</w:t>
        <w:br/>
        <w:t>No. 160, párrs. 183 y 184; Caso Almonacid Arellano y otros. Sentencia de  26</w:t>
        <w:br/>
        <w:t>de septiembre de 2006. Serie C.  No.  154,  párrs.  67,  68  y  69,  y  Caso</w:t>
        <w:br/>
        <w:t>Servellón García y otros. Sentencia de 21 de septiembre  de  2006.  Serie  C</w:t>
        <w:br/>
        <w:t>No. 152, párr. 34.</w:t>
        <w:br/>
        <w:br/>
        <w:t>[15]  Cfr. Caso de la “Panel Blanca” (Paniagua Morales y  otros).  Sentencia</w:t>
        <w:br/>
        <w:t>de 8 de marzo de 1998. Serie C No. 37, párr. 76;  Caso  Bueno  Alves,  supra</w:t>
        <w:br/>
        <w:t>nota 8, párr. 36, y Caso de la Masacre de la Rochela, supra  nota  7,  párr.</w:t>
        <w:br/>
        <w:t>55.</w:t>
        <w:br/>
        <w:br/>
        <w:t>[16]  Mediante notas de esta Secretaría de 9 de febrero, 19 de  marzo  y  19</w:t>
        <w:br/>
        <w:t>de abril de 2007.</w:t>
        <w:br/>
        <w:br/>
        <w:t>[17]  Cfr. Caso Loayza Tamayo. Reparaciones. Sentencia de  27  de  noviembre</w:t>
        <w:br/>
        <w:t>de 1998. Serie C No. 42, párr. 53. Ver también Caso Bueno Alves, supra  nota</w:t>
        <w:br/>
        <w:t>8, párr. 38; y Caso de la Masacre de la Rochela, supra nota 7, párr. 59.</w:t>
        <w:br/>
        <w:br/>
        <w:br/>
        <w:t>[18]  Cfr. Caso de la “Panel Blanca” (Paniagua Morales y otros), supra  nota</w:t>
        <w:br/>
        <w:t>15, párr. 75. Ver también Caso Bueno Alves, supra nota 8, párr. 46,  y  Caso</w:t>
        <w:br/>
        <w:t>de la Masacre de la Rochela, supra nota 7, párr. 59.</w:t>
        <w:br/>
        <w:br/>
        <w:br/>
        <w:t>[19]  Cfr. Caso Bueno Alves, supra nota 8, párr. 46; Caso de la  Masacre  de</w:t>
        <w:br/>
        <w:t>la Rochela, supra nota 7, párr. 59.</w:t>
        <w:br/>
        <w:br/>
        <w:t>[20]   Cfr.  Caso  de  la  “Panel  Blanca”  (Paniagua  Morales   y   otros).</w:t>
        <w:br/>
        <w:t>Reparaciones, supra nota 14, párr. 70. Ver también Caso de la Masacre de  la</w:t>
        <w:br/>
        <w:t>Rochela, supra nota 7, párr. 60, y Caso La Cantuta, supra nota 7, párr. 64.</w:t>
        <w:br/>
        <w:br/>
        <w:t>[21]  En adelante, la presente Sentencia contiene hechos que  este  Tribunal</w:t>
        <w:br/>
        <w:t>tiene por establecidos  con  base  en  el  reconocimiento  de  hechos  y  de</w:t>
        <w:br/>
        <w:t>responsabilidad efectuado por el Estado, en el orden y con  las  precisiones</w:t>
        <w:br/>
        <w:t>pertinentes respecto de los hechos presentados en  la  demanda.  Algunos  de</w:t>
        <w:br/>
        <w:t>esos hechos han sido completados con otros elementos  probatorios,  en  cuyo</w:t>
        <w:br/>
        <w:t>caso se consignan las notas al pie de página respectivas.</w:t>
        <w:br/>
        <w:br/>
        <w:t>[22]  Artículo 27 (Suspensión de garantías)</w:t>
        <w:br/>
        <w:br/>
        <w:t xml:space="preserve">      1.    En caso de guerra, de peligro público o de otra  emergencia  que</w:t>
        <w:br/>
        <w:t xml:space="preserve">      amenace la independencia o seguridad  del  Estado  parte,  éste  podrá</w:t>
        <w:br/>
        <w:t xml:space="preserve">      adoptar disposiciones que, en la medida y por el tiempo  estrictamente</w:t>
        <w:br/>
        <w:t xml:space="preserve">      limitados a las exigencias de la situación, suspendan las obligaciones</w:t>
        <w:br/>
        <w:t xml:space="preserve">      contraídas  en  virtud  de  esta   Convención,   siempre   que   tales</w:t>
        <w:br/>
        <w:t xml:space="preserve">      disposiciones no sean incompatibles con las demás obligaciones que les</w:t>
        <w:br/>
        <w:t xml:space="preserve">      impone el derecho internacional y no  entrañen  discriminación  alguna</w:t>
        <w:br/>
        <w:t xml:space="preserve">      fundada en motivos de raza, color, sexo,  idioma,  religión  u  origen</w:t>
        <w:br/>
        <w:t xml:space="preserve">      social.</w:t>
        <w:br/>
        <w:br/>
        <w:t xml:space="preserve">      2.    La disposición precedente  no  autoriza  la  suspensión  de  los</w:t>
        <w:br/>
        <w:t xml:space="preserve">      derechos determinados en los  siguientes  artículos:   3  (Derecho  al</w:t>
        <w:br/>
        <w:t xml:space="preserve">      Reconocimiento de la Personalidad Jurídica); 4 (Derecho a la Vida);  5</w:t>
        <w:br/>
        <w:t xml:space="preserve">      (Derecho a la Integridad Personal); 6 (Prohibición de la Esclavitud  y</w:t>
        <w:br/>
        <w:t xml:space="preserve">      Servidumbre); 9 (Principio  de  Legalidad  y  de  Retroactividad);  12</w:t>
        <w:br/>
        <w:t xml:space="preserve">      (Libertad de Conciencia y de Religión); 17 (Protección a la  Familia);</w:t>
        <w:br/>
        <w:t xml:space="preserve">      18 (Derecho al Nombre); 19 (Derechos  del  Niño);  20  (Derecho  a  la</w:t>
        <w:br/>
        <w:t xml:space="preserve">      Nacionalidad),  y  23  (Derechos  Políticos),  ni  de  las   garantías</w:t>
        <w:br/>
        <w:t xml:space="preserve">      judiciales indispensables para la protección de tales derechos.</w:t>
        <w:br/>
        <w:br/>
        <w:t xml:space="preserve">     3.    Todo Estado parte que haga uso del derecho de suspensión  deberá</w:t>
        <w:br/>
        <w:t xml:space="preserve">     informar inmediatamente a los demás  Estados  partes  en  la  presente</w:t>
        <w:br/>
        <w:t xml:space="preserve">     Convención, por conducto del Secretario General de la Organización  de</w:t>
        <w:br/>
        <w:t xml:space="preserve">     los Estados Americanos, de  las  disposiciones  cuya  aplicación  haya</w:t>
        <w:br/>
        <w:t xml:space="preserve">     suspendido, de los motivos que hayan suscitado la suspensión y  de  la</w:t>
        <w:br/>
        <w:t xml:space="preserve">     fecha en que haya dado por terminada tal suspensión.</w:t>
        <w:br/>
        <w:br/>
        <w:br/>
        <w:br/>
        <w:br/>
        <w:t>[23]  Artículo 1[.1] (Obligación de Respetar los Derechos)</w:t>
        <w:br/>
        <w:br/>
        <w:t xml:space="preserve">      1.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 […]</w:t>
        <w:br/>
        <w:br/>
        <w:br/>
        <w:br/>
        <w:t>[24]  Artículo 2 (Deber de adoptar disposiciones de derecho interno)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br/>
        <w:t>[25]  Cfr. El Hábeas Corpus bajo suspensión de garantías (arts.  27.2,  25.1</w:t>
        <w:br/>
        <w:t>y 7.6 Convención Americana sobre Derechos Humanos). Opinión  Consultiva  OC-</w:t>
        <w:br/>
        <w:t>8/87 del 30 de enero de 1987. Serie A No. 8. párr. 19.</w:t>
        <w:br/>
        <w:br/>
        <w:t>[26]  Cfr. decreto No. 86, de 3 de septiembre de 1992, publicado  ese  mismo</w:t>
        <w:br/>
        <w:t>día en el “Registro Oficial” y suscrito por el Presidente de  la  República,</w:t>
        <w:br/>
        <w:t>Sixto Durán Ballén y por el Ministro  de  Defensa  Nacional,  José  Gallardo</w:t>
        <w:br/>
        <w:t>Román (expediente de anexos al escrito de solicitudes  y  argumentos,  anexo</w:t>
        <w:br/>
        <w:t>45, folio 916).</w:t>
        <w:br/>
        <w:br/>
        <w:t>[27]  Cfr. El Hábeas Corpus bajo suspensión de garantías (arts.  27.2,  25.1</w:t>
        <w:br/>
        <w:t>y 7.6 Convención Americana sobre Derechos Humanos),  supra  nota  25,  párr.</w:t>
        <w:br/>
        <w:t>22.</w:t>
        <w:br/>
        <w:br/>
        <w:t>[28]        Cfr. ECHR, Lawless v. Ireland (no. 3), judgment of 1 July  1961,</w:t>
        <w:br/>
        <w:t>Series A no. 3, p. 14, párr. 28.</w:t>
        <w:br/>
        <w:br/>
        <w:br/>
        <w:t>[29]  Cfr. Comité de Derechos Humanos de las  Naciones  Unidas.  Observación</w:t>
        <w:br/>
        <w:t>general No. 29, adoptada durante la 1950o reunión, el 24 de julio  de  2001,</w:t>
        <w:br/>
        <w:t>CCPR/C/21/Rev.1/Add.11, 31 de agosto de 2001, párr. 4.</w:t>
        <w:br/>
        <w:br/>
        <w:t>[30]  Cfr. Informe Anual de la Comisión Interamericana de  Derechos  Humanos</w:t>
        <w:br/>
        <w:t>1998, OEA/Ser.L/V/II.102, Doc. 6 rev. 1, 16 de abril de  1999,  Capítulo  V,</w:t>
        <w:br/>
        <w:t>Ecuador, párr. 44.</w:t>
        <w:br/>
        <w:br/>
        <w:t>[31]  Cfr. Caso Montero Aranguren y Otros (Retén de Catia). Sentencia  de  5</w:t>
        <w:br/>
        <w:t>de julio de 2006.  Serie C No. 150, párr. 78.</w:t>
        <w:br/>
        <w:br/>
        <w:t>[32]  “Normas humanitarias mínimas aplicables en situaciones  de  estado  de</w:t>
        <w:br/>
        <w:t>excepción” (“Normas  de  Turku”),  Aprobada  por  una  reunión  de  expertos</w:t>
        <w:br/>
        <w:t>organizada por el Instituto de Derechos Humanos, Universidad Abo Akademi  en</w:t>
        <w:br/>
        <w:t>Turku/Abo (Finlandia) del 30 de noviembre  al  2  de  diciembre  de  1990  y</w:t>
        <w:br/>
        <w:t>revisada después de una reunión del Instituto Noruego  de  Derechos  Humanos</w:t>
        <w:br/>
        <w:t>celebrada en Oslo (Noruega) el 29 y el 30 de  septiembre  de  1994.  Consejo</w:t>
        <w:br/>
        <w:t>Económico y Social de Naciones Unidas, Comisión  de  Derechos  Humanos,  51º</w:t>
        <w:br/>
        <w:t>período de sesiones,  Tema  19  del  programa  provisional,  Informe  de  la</w:t>
        <w:br/>
        <w:t>Subcomisión de Prevención de Discriminaciones y Protección  a  las  Minorías</w:t>
        <w:br/>
        <w:t>sobre su 46º período de sesiones.</w:t>
        <w:br/>
        <w:br/>
        <w:br/>
        <w:br/>
        <w:t>[33]   Cfr.  en  similar  sentido,  El  Hábeas  Corpus  bajo  suspensión  de</w:t>
        <w:br/>
        <w:t>garantías (arts. 27.2,  25.1  y  7.6  Convención  Americana  sobre  Derechos</w:t>
        <w:br/>
        <w:t>Humanos), supra nota 25, párr. 29.</w:t>
        <w:br/>
        <w:br/>
        <w:t>[34]   Cfr.  en  similar  sentido,  El  Hábeas  Corpus  bajo  suspensión  de</w:t>
        <w:br/>
        <w:t>garantías (arts. 27.2,  25.1  y  7.6  Convención  Americana  sobre  Derechos</w:t>
        <w:br/>
        <w:t>Humanos), supra nota 25, párr. 28.</w:t>
        <w:br/>
        <w:br/>
        <w:t>[35]   Cfr.  en  similar  sentido,  Garantías  Judiciales  en   Estados   de</w:t>
        <w:br/>
        <w:t>Emergencia  (arts.  27.2,  25  y  8  Convención  Americana  sobre   Derechos</w:t>
        <w:br/>
        <w:t>Humanos). Opinión Consultiva OC-9/87 del 6 de octubre de 1987. Serie  A  No.</w:t>
        <w:br/>
        <w:t>9, párr. 38.  Ver también Caso Durand y Ugarte. Sentencia de  16  de  agosto</w:t>
        <w:br/>
        <w:t>de 2000. Serie A No. 68, párr. 107.</w:t>
        <w:br/>
        <w:br/>
        <w:t>[36]  Cfr. Garantías Judiciales en Estados de Emergencia (arts. 27.2,  25  y</w:t>
        <w:br/>
        <w:t>8 Convención Americana sobre Derechos Humanos), supra  nota  35,  párr.  21.</w:t>
        <w:br/>
        <w:t>Ver también Durand y Ugarte, supra nota 35, párr. 99.</w:t>
        <w:br/>
        <w:br/>
        <w:t>[37]  Cfr. Caso Garrido  y  Baigorria.  Reparaciones.  Sentencia  de  27  de</w:t>
        <w:br/>
        <w:t>agosto de 1998. Serie C No. 26, párr.  68.  Ver  también  Caso  La  Cantuta,</w:t>
        <w:br/>
        <w:t>supra nota 7, párr. 170, y Caso Almonacid Arellano y otros, supra  nota  14,</w:t>
        <w:br/>
        <w:t>párr. 117.</w:t>
        <w:br/>
        <w:br/>
        <w:t>[38]  Cfr. Caso “La Última Tentación de Cristo”  (Olmedo  Bustos  y  Otros).</w:t>
        <w:br/>
        <w:t>Sentencia de 5 de febrero de 2001. Serie C No. 73,  párr.  87.  Ver  también</w:t>
        <w:br/>
        <w:t>Caso La Cantuta, supra nota 7,  párr.  171,  y  Caso  Almonacid  Arellano  y</w:t>
        <w:br/>
        <w:t>otros, supra nota 14, párr. 117.</w:t>
        <w:br/>
        <w:br/>
        <w:t>[39]    Cfr.  Caso  Ivcher  Bronstein.  Competencia.  Sentencia  de  24   de</w:t>
        <w:br/>
        <w:t>Septiembre de 1999, párr. 37; Caso “La Última Tentación de  Cristo”  (Olmedo</w:t>
        <w:br/>
        <w:t>Bustos y Otros), supra nota 38, párr.  87.  Ver  también  Caso  La  Cantuta,</w:t>
        <w:br/>
        <w:t>supra nota 7, párr. 171, y   Caso  “Instituto  de  Reeducación  del  Menor”.</w:t>
        <w:br/>
        <w:t>Sentencia de 2 de septiembre de 2004. Serie C No. 112, párr. 205.</w:t>
        <w:br/>
        <w:br/>
        <w:t>[40]  Cfr. Caso Castillo Petruzzi y otros. Sentencia de 30 de mayo de  1999.</w:t>
        <w:br/>
        <w:t>Serie C No. 52, párr. 207. Ver también   Caso  La  Cantuta,  supra  nota  7,</w:t>
        <w:br/>
        <w:t>párr. 172, y Caso Almonacid Arrellano y otros, supra nota 14, párr. 118.</w:t>
        <w:br/>
        <w:br/>
        <w:t>[41]  Cfr. Caso La Última Tentación de  Cristo”  (Olmedo  Bustos  y  otros),</w:t>
        <w:br/>
        <w:t>supra nota 38, párr. 88. Ver también Caso La Cantuta, supra  nota  7,  párr.</w:t>
        <w:br/>
        <w:t>172.</w:t>
        <w:br/>
        <w:br/>
        <w:t>[42]  Cfr. Caso Hilaire, Constantine y Benjamin y otros. Sentencia de 21  de</w:t>
        <w:br/>
        <w:t>junio de 2002. Serie C No. 94, párrs. 113 y 212.  Ver  también  Caso  Fermín</w:t>
        <w:br/>
        <w:t>Ramírez. Sentencia de 20 de junio de 2005. Serie C  No.  126,  párrs.  97  y</w:t>
        <w:br/>
        <w:t>130.</w:t>
        <w:br/>
        <w:br/>
        <w:t>[43]  Cfr. Caso Caesar. Sentencia de 11 de marzo de 2005. Serie C  No.  123,</w:t>
        <w:br/>
        <w:t>párrs. 94 y 132. Ver también Caso Yatama. Sentencia de 23 de junio de  2005.</w:t>
        <w:br/>
        <w:t>Serie C No. 127, párr. 254.</w:t>
        <w:br/>
        <w:br/>
        <w:t>[44]  Cfr. Caso Raxcacó Reyes. Sentencia de 15 de septiembre de 2005.  Serie</w:t>
        <w:br/>
        <w:t>C No. 133, párrs. 87 y 125.</w:t>
        <w:br/>
        <w:br/>
        <w:br/>
        <w:t>[45]  Cfr. Caso La Cantuta, supra nota 7, párr. 172.</w:t>
        <w:br/>
        <w:t>[46]  Los representantes señalan en sus alegatos finales y en su escrito  de</w:t>
        <w:br/>
        <w:t>aportación de prueba para mejor resolver los artículos 5 y 6 del  Código  de</w:t>
        <w:br/>
        <w:t>Procedimiento Penal Militar; 6 y 7 del Código de Procedimiento Penal  de  la</w:t>
        <w:br/>
        <w:t>Policía Nacional; 172 de la Ley Orgánica de la Función Judicial;  84  de  la</w:t>
        <w:br/>
        <w:t>Ley Orgánica de la Policía Nacional y 110  de  la  Ley  de  Personal  de  la</w:t>
        <w:br/>
        <w:t>Policía Nacional.</w:t>
        <w:br/>
        <w:br/>
        <w:t>[47]  Cfr. oficios No. 335 y 482, de 10 de julio y 16 de  octubre  de  2002,</w:t>
        <w:br/>
        <w:t>firmados por el Presidente de la Corte de  Justica  Militar  (expediente  de</w:t>
        <w:br/>
        <w:t>anexos al escrito de solicitudes y argumentos, anexo 41, folios 885 y 887).</w:t>
        <w:br/>
        <w:br/>
        <w:t>[48]  Cfr. Caso Durand y Ugarte, supra nota 35, párr. 117. Ver también  Caso</w:t>
        <w:br/>
        <w:t>de la Masacre de la Rochela, supra nota 7, párr. 200, y   Caso  La  Cantuta,</w:t>
        <w:br/>
        <w:t>supra nota 7, párr. 142.</w:t>
        <w:br/>
        <w:br/>
        <w:t>[49]  Cfr. Caso Castillo Petruzzi y otros, supra nota  40,  párr.  128.  Ver</w:t>
        <w:br/>
        <w:t>también Caso de la Masacre de la Rochela, supra nota 7, párr. 200,  y   Caso</w:t>
        <w:br/>
        <w:t>La Cantuta, supra nota 7, párr. 142.</w:t>
        <w:br/>
        <w:br/>
        <w:t>[50]  Cfr. Caso 19 Comerciantes. Sentencia de 5 de julio de 2004.  Serie  C.</w:t>
        <w:br/>
        <w:t>No. 109, párr. 173. Ver también Caso de la  Masacre  de  la  Rochela,  supra</w:t>
        <w:br/>
        <w:t>nota 7, párr. 200.</w:t>
        <w:br/>
        <w:br/>
        <w:t>[51]  Cfr. Caso La Cantuta, supra nota 7, párr. 142. Ver también Masacre  de</w:t>
        <w:br/>
        <w:t>la Rochela, supra nota 7, párr. 200.</w:t>
        <w:br/>
        <w:br/>
        <w:br/>
        <w:t>[52]  Cfr. decreto N° 1269 de 21 de marzo de 2006, Bando No.  1.  Comandante</w:t>
        <w:br/>
        <w:t>de la Fuerza de Tarea Conjunta No. 1. 21 de marzo de 2006; Decreto  N°  1204</w:t>
        <w:br/>
        <w:t>de 7 de marzo de 2006; Decreto de  13  de  marzo  de  2006  que  reforma  el</w:t>
        <w:br/>
        <w:t>Decreto Ejecutivo N° 1204 de 7 de marzo del 2006; Decreto N° 1179 de  21  de</w:t>
        <w:br/>
        <w:t>febrero de 2006; Decreto N° 426 de 17 de agosto de 2005 y  Decreto  N°  2752</w:t>
        <w:br/>
        <w:t>de 15 de abril de 2005 (expediente de anexos al  escrito  de  solicitudes  y</w:t>
        <w:br/>
        <w:t>argumentos, anexo 46, folios 917 a 930).</w:t>
        <w:br/>
        <w:br/>
        <w:t>[53]  Cfr. decreto N° 426 de 17 de agosto de 2005 (expediente de  anexos  al</w:t>
        <w:br/>
        <w:t>escrito de solicitudes y argumentos, anexo 46, folio 927).</w:t>
        <w:br/>
        <w:br/>
        <w:t>[54]  El artículo 4.1 de la Convención dispone  que  “[t]oda  persona  tiene</w:t>
        <w:br/>
        <w:t>derecho a que se respete su vida.  Este derecho estará protegido por la  ley</w:t>
        <w:br/>
        <w:t>y, en general, a partir del momento  de  la  concepción.   Nadie  puede  ser</w:t>
        <w:br/>
        <w:t>privado de la vida arbitrariamente”.</w:t>
        <w:br/>
        <w:br/>
        <w:t>[55]  Cfr. recorte de prensa de 9 de marzo de  1993  del  Diario  “El  Hoy”,</w:t>
        <w:br/>
        <w:t>“FFAA explican violento operativo antidelictivo” (expediente de anexos a  la</w:t>
        <w:br/>
        <w:t>demanda, anexo 28, folio 569).</w:t>
        <w:br/>
        <w:br/>
        <w:t>[56]  Cfr. comunicado oficial emitido  por  las  Fuerzas  Armadas  sobre  el</w:t>
        <w:br/>
        <w:t>operativo efectuado en Barrio Batallón el 6 de marzo  de  1993  (escrito  de</w:t>
        <w:br/>
        <w:t>demanda, expediente de fondo, folio 15):</w:t>
        <w:br/>
        <w:br/>
        <w:t xml:space="preserve">      “Ante el pedido de la ciudadanía, medios  de  comunicación  y  opinión</w:t>
        <w:br/>
        <w:t xml:space="preserve">      pública en general de  que  las  FF.AA.  actúen  ante  el  crecimiento</w:t>
        <w:br/>
        <w:t xml:space="preserve">      incontrolable de actividad delincuencial, el comando conjunto  de  las</w:t>
        <w:br/>
        <w:t xml:space="preserve">      Fuerzas Armadas velando por la seguridad interna de la nación, dispuso</w:t>
        <w:br/>
        <w:t xml:space="preserve">      que en la ciudad de Guayaquil se realice un operativo  a  base  de  la</w:t>
        <w:br/>
        <w:t xml:space="preserve">      información obtenida por inteligencia militar, el mismo que  se  llevó</w:t>
        <w:br/>
        <w:t xml:space="preserve">      efecto el día sábado 6 de marzo a las 06h00, con la  participación  de</w:t>
        <w:br/>
        <w:t xml:space="preserve">      personal de las tres ramas de las Fuerzas Armadas  acantonadas  en  la</w:t>
        <w:br/>
        <w:t xml:space="preserve">      provincia.</w:t>
        <w:br/>
        <w:br/>
        <w:t xml:space="preserve">      Los  objetivos  del  operativo  fueron  la  captura  de   subversivos,</w:t>
        <w:br/>
        <w:t xml:space="preserve">      delincuentes, traficantes de droga,  armas  y  materiales  afines.  El</w:t>
        <w:br/>
        <w:t xml:space="preserve">      resultado del mismo es el  siguiente:  Tres  delincuentes  cayeron  en</w:t>
        <w:br/>
        <w:t xml:space="preserve">      acción al oponer resistencia.  39 detenidos que por sus  declaraciones</w:t>
        <w:br/>
        <w:t xml:space="preserve">      preliminares  han   participado   en   varios   asaltos,   asesinatos,</w:t>
        <w:br/>
        <w:t xml:space="preserve">      violaciones, tráfico y consumo de droga. […]</w:t>
        <w:br/>
        <w:br/>
        <w:t xml:space="preserve">      […] La ciudadanía debe estar consciente que un operativo militar lleva</w:t>
        <w:br/>
        <w:t xml:space="preserve">      consigo el uso de la fuerza, por lo que al oponerse  al  mismo,  puede</w:t>
        <w:br/>
        <w:t xml:space="preserve">      traer lamentables consecuencias; por lo tanto, en el futuro se pide la</w:t>
        <w:br/>
        <w:t xml:space="preserve">      colaboración de toda la ciudadanía.</w:t>
        <w:br/>
        <w:br/>
        <w:t xml:space="preserve">      Por la forma en  la  que  se  llevó  a  cabo  su  planificación  y  la</w:t>
        <w:br/>
        <w:t xml:space="preserve">      ejecución, se considera que fue un operativo limpio, porque a  más  de</w:t>
        <w:br/>
        <w:t xml:space="preserve">      los delincuentes que opusieron resistencia nadie salió herido.  Si  se</w:t>
        <w:br/>
        <w:t xml:space="preserve">      han producido desordenes en las casas fue por la  imperiosa  necesidad</w:t>
        <w:br/>
        <w:t xml:space="preserve">      de encontrar la droga y armas que […] fue positiva.</w:t>
        <w:br/>
        <w:br/>
        <w:t xml:space="preserve">      La ciudadanía debe tener certeza de que las Fuerzas  Armadas  actuarán</w:t>
        <w:br/>
        <w:t xml:space="preserve">      en el futuro de igual manera, con el único objeto de combatir aquellos</w:t>
        <w:br/>
        <w:t xml:space="preserve">      elementos que buscan alterar la paz ciudadana”.</w:t>
        <w:br/>
        <w:br/>
        <w:br/>
        <w:br/>
        <w:br/>
        <w:t>[57]  Cfr. oficio 002-WF-R-93  de  11  de  marzo   1993,  informe  operativo</w:t>
        <w:br/>
        <w:t>dirigido al Jefe del Comando Conjunto de las FF.AA. por  el  Comandante  del</w:t>
        <w:br/>
        <w:t>Comando Aéreo de Combate y Fuerza  Aérea  de  Tarea  No.  2  (expediente  de</w:t>
        <w:br/>
        <w:t>anexos a la demanda, anexo 39, folio 594):</w:t>
        <w:br/>
        <w:br/>
        <w:t xml:space="preserve">      [l]os nombrados son delincuentes que en su haber tienen  un  sinnúmero</w:t>
        <w:br/>
        <w:t xml:space="preserve">      [sic] de asaltos perpetrados principalmente en Guayaquil,  además  con</w:t>
        <w:br/>
        <w:t xml:space="preserve">      una Red de Narcotraficantes Extranjeros para la Distribución  y  venta</w:t>
        <w:br/>
        <w:t xml:space="preserve">      de Drogas […].</w:t>
        <w:br/>
        <w:br/>
        <w:t xml:space="preserve">      [S]e cumplió estrictamente con lo planificado rasones [sic] estas  por</w:t>
        <w:br/>
        <w:t xml:space="preserve">      las cuales unicamente ubierón [sic] tres muertos los mismos que fueron</w:t>
        <w:br/>
        <w:t xml:space="preserve">      los únicos que opucierón [sic] resistencia con armas[…].</w:t>
        <w:br/>
        <w:br/>
        <w:t xml:space="preserve">      Se logró desintegrar  una  Banda  de  Asaltantes  de  Bandos  y  Casas</w:t>
        <w:br/>
        <w:t xml:space="preserve">      Comerciales que realizaban en diferentes partes de la  ciudad  y  cuyo</w:t>
        <w:br/>
        <w:t xml:space="preserve">      dinero era distribuido tanto para la subversión como  para  satisfacer</w:t>
        <w:br/>
        <w:t xml:space="preserve">      sus vicios”.</w:t>
        <w:br/>
        <w:br/>
        <w:br/>
        <w:br/>
        <w:br/>
        <w:t>[58]  Cfr. informe del operativo militar de 22 de  marzo  de  1993  suscrito</w:t>
        <w:br/>
        <w:t>por el Ministro de Defensa Nacional  dirigido  al  Presidente  del  Congreso</w:t>
        <w:br/>
        <w:t>Nacional (expediente de anexos a la demanda, anexo 51, folio 620):</w:t>
        <w:br/>
        <w:br/>
        <w:t xml:space="preserve">      “El nivel delictivo que experimenta la ciudad de  Guayaquil,  no  sólo</w:t>
        <w:br/>
        <w:t xml:space="preserve">      que afecta la independencia del Estado, al obligar a éste  a  destinar</w:t>
        <w:br/>
        <w:t xml:space="preserve">      gran parte de sus recursos en la lucha represiva  contra  este  factor</w:t>
        <w:br/>
        <w:t xml:space="preserve">      adverso, sino que afecta al ordenamiento jurídico e impide el  de  por</w:t>
        <w:br/>
        <w:t xml:space="preserve">      sí difícil avance hacia el desarrollo social y económico del País”.)</w:t>
        <w:br/>
        <w:br/>
        <w:t xml:space="preserve">      El campo de  las  previsiones  estratégicas  en  caso  de  que  no  se</w:t>
        <w:br/>
        <w:t xml:space="preserve">      neutralice oportunamente este fenómeno, podría tornarse en un elemento</w:t>
        <w:br/>
        <w:t xml:space="preserve">      de descomposición social y violencia que afecte a la seguridad interna</w:t>
        <w:br/>
        <w:t xml:space="preserve">      de la Nación.</w:t>
        <w:br/>
        <w:br/>
        <w:t xml:space="preserve">      El concepto de seguridad nacional, como está definido en el Art. 2  de</w:t>
        <w:br/>
        <w:t xml:space="preserve">      la Ley de la materia, no sólo implica  la  conservación  del  orden  y</w:t>
        <w:br/>
        <w:t xml:space="preserve">      disciplina interna, sino que abarca la preservación de  importantes  y</w:t>
        <w:br/>
        <w:t xml:space="preserve">      transcendentales valores individuales y colectivos, los cuales  tienen</w:t>
        <w:br/>
        <w:t xml:space="preserve">      que ver con la supervivencia misma de la Nación. Se  trata,  pues,  de</w:t>
        <w:br/>
        <w:t xml:space="preserve">      una  misión  trascendental,  la  que   ha   encomendado   esta   norma</w:t>
        <w:br/>
        <w:t xml:space="preserve">      constitucional a las Fuerzas Armadas […].</w:t>
        <w:br/>
        <w:br/>
        <w:t xml:space="preserve">      [E]s importante que el delito, considerado como un fenómeno  constante</w:t>
        <w:br/>
        <w:t xml:space="preserve">      de todo conglomerado humano, se mantenga dentro de límites razonables.</w:t>
        <w:br/>
        <w:t xml:space="preserve">      Cuando éste supera el nivel de tolerancia, cuando campea con  síntomas</w:t>
        <w:br/>
        <w:t xml:space="preserve">      de enseñorearse en una ciudad o en un país, afectando a la  producción</w:t>
        <w:br/>
        <w:t xml:space="preserve">      y al comercio, amenzando a la existencia misma de una sociedad, cuando</w:t>
        <w:br/>
        <w:t xml:space="preserve">      la acción de la Policía Nacional  no  es  suficiente,  es  legítimo  y</w:t>
        <w:br/>
        <w:t xml:space="preserve">      necesario recurrir a las Fuerzas Armadas, como así lo ha dispuesto  el</w:t>
        <w:br/>
        <w:t xml:space="preserve">      Jefe de Ejecutivo […].</w:t>
        <w:br/>
        <w:br/>
        <w:t xml:space="preserve">      [P]orque el soldado y  el  policía  que  enfrentan  la  emboscada,  la</w:t>
        <w:br/>
        <w:t xml:space="preserve">      trampa, el ametrallamiento aleve, desencadenados  por  quienes  no  de</w:t>
        <w:br/>
        <w:t xml:space="preserve">      detienen ni ante el asesinato de inocentes, se preguntan si  ellos  no</w:t>
        <w:br/>
        <w:t xml:space="preserve">      tienen también sus derechos humanos, porque no  escuchan  una  voz  de</w:t>
        <w:br/>
        <w:t xml:space="preserve">      solidaridad o protesta a su favor, por parte de las organizaciones  de</w:t>
        <w:br/>
        <w:t xml:space="preserve">      protección de estos derechos. En cambio, es muy usual que se defiendan</w:t>
        <w:br/>
        <w:t xml:space="preserve">      los derechos  humanos de los terroristas, con actitudes  que  van  mas</w:t>
        <w:br/>
        <w:t xml:space="preserve">      allá de los laudables actos de  humanidad  y  solidaridad  humana  que</w:t>
        <w:br/>
        <w:t xml:space="preserve">      corresponden.</w:t>
        <w:br/>
        <w:br/>
        <w:t>[59]  Cfr. Caso de los “Niños de la  Calle”  (Villagrán  Morales  y  otros).</w:t>
        <w:br/>
        <w:t>Sentencia de 19 de noviembre  de  1999.  Serie  C  No.  63,  párr. 144.  Ver</w:t>
        <w:br/>
        <w:t>también Caso del Penal Miguel Castro Castro, supra  nota  14  párr.  237,  y</w:t>
        <w:br/>
        <w:t>Caso Montero Aranguren y otros (Retén de Catia), supra nota 31, párr. 63.</w:t>
        <w:br/>
        <w:br/>
        <w:br/>
        <w:t>[60]   Cfr. Caso de los “Niños de la Calle”  (Villagrán  Morales  y  otros),</w:t>
        <w:br/>
        <w:t>supra nota 59, párr. 144. Ver también Caso Montero Aranguren y otros  (Retén</w:t>
        <w:br/>
        <w:t>de Catia), supra nota 31, párr. 63, y Caso Ximenes Lopez. Sentencia de 4  de</w:t>
        <w:br/>
        <w:t>julio de 2006. Serie C No. 149, párr. 124.</w:t>
        <w:br/>
        <w:br/>
        <w:br/>
        <w:t>[61]  Cfr. Caso Masacre de Pueblo Bello. Sentencia de 31 de enero  de  2006.</w:t>
        <w:br/>
        <w:t>Serie C No. 140, párr. 119. Ver  también  Caso  Montero  Aranguren  y  otros</w:t>
        <w:br/>
        <w:t>(Retén de Catia),supra nota 31, párr. 63, y Caso Baldeón  García.  Sentencia</w:t>
        <w:br/>
        <w:t>de 6 de abril de 2006. Serie C No. 147, párr. 82.</w:t>
        <w:br/>
        <w:br/>
        <w:br/>
        <w:t>[62]  Cfr. Caso de los “Niños de la  Calle”  (Villagrán  Morales  y  otros),</w:t>
        <w:br/>
        <w:t>supra nota 59, párr. 144. Ver también Caso del Penal Miguel  Castro  Castro,</w:t>
        <w:br/>
        <w:t>supra nota 14, párr. 237,  y  Caso  Montero  Aranguren  y  otros  (Retén  de</w:t>
        <w:br/>
        <w:t>Catia), supra nota 31, párr. 64.</w:t>
        <w:br/>
        <w:br/>
        <w:t>[63]  Cfr. Caso Baldeón García, supra nota 61, párr. 83.  Ver  también  Caso</w:t>
        <w:br/>
        <w:t>Montero Aranguren y otros (Retén de Catia), supra nota 31, párr. 64, y  Caso</w:t>
        <w:br/>
        <w:t>de las Masacres de Ituango. Sentencia de 1 de julio de  2006.  Serie  C  No.</w:t>
        <w:br/>
        <w:t>148, párr. 129.</w:t>
        <w:br/>
        <w:br/>
        <w:t>[64]  Cfr. Caso de los “Niños de la  Calle”  (Villagrán  Morales  y  otros),</w:t>
        <w:br/>
        <w:t>supra nota 59, párr. 144. Ver también Caso del Penal Miguel  Castro  Castro,</w:t>
        <w:br/>
        <w:t>supra nota  14,  párr.  237,  y  Caso  Vargas  Areco.  Sentencia  de  26  de</w:t>
        <w:br/>
        <w:t>septiembre de 2006. Serie C No. 155, párr. 14.</w:t>
        <w:br/>
        <w:br/>
        <w:t>[65]  Cfr. Caso Montero Aranguren y otros (Retén de Catia), supra  nota  31,</w:t>
        <w:br/>
        <w:t>párr. 66. Ver también Caso del Penal Miguel Castro Castro,  supra  nota  14,</w:t>
        <w:br/>
        <w:t>párr. 238, y Caso Servellón García y otros, supra nota 14, párr. 102.</w:t>
        <w:br/>
        <w:br/>
        <w:t>[66]  Cfr. Caso Montero Aranguren y otros (Retén de Catia), supra  nota  31,</w:t>
        <w:br/>
        <w:t>párr. 67.</w:t>
        <w:br/>
        <w:br/>
        <w:t>[67]  Cfr. Caso Montero Aranguren y otros (Retén de Catia), supra  nota  31,</w:t>
        <w:br/>
        <w:t>párr. 68. En similar sentido véase también ECHR,  Huohvanainen  v.  Finland,</w:t>
        <w:br/>
        <w:t>13 March 2007, no. 57389/00, párrs. 93-94,;  ECHR,  Erdogan  and  Others  v.</w:t>
        <w:br/>
        <w:t>Turkey, 25 April 2006, no. 19807/92, párr. 67; ECHR, Kakoulli v. Turkey,  22</w:t>
        <w:br/>
        <w:t>November 2005, no. 38595/97, párrs. 107-108; ECHR, McCann and Others v.  the</w:t>
        <w:br/>
        <w:t>United Kingdom, judgment of 27 September 1995, Series A no. 324, párrs. 148-</w:t>
        <w:br/>
        <w:t>150, 194, y Código de Conducta para Oficiales de Seguridad Pública  adoptado</w:t>
        <w:br/>
        <w:t>por la Asamblea General de las Naciones Unidas, resolución  34/169,  del  17</w:t>
        <w:br/>
        <w:t>de diciembre de 1979, artículo 3.</w:t>
        <w:br/>
        <w:br/>
        <w:t>[68]  Cfr. Caso Montero Aranguren y otros (Retén de Catia), supra  nota  31,</w:t>
        <w:br/>
        <w:t>párr. 68. En similar sentido  véase  también  Principios  Básicos  sobre  el</w:t>
        <w:br/>
        <w:t>Empleo de la Fuerza y de Armas de Fuego por parte  de  Oficiales  Encargados</w:t>
        <w:br/>
        <w:t>de Hacer Cumplir la Ley, adoptado por el Octavo  Congreso  de  las  Naciones</w:t>
        <w:br/>
        <w:t>Unidas para la Prevención del Delito y Tratamiento de los  Delincuentes,  La</w:t>
        <w:br/>
        <w:t>Habana, Cuba, 27 de agosto a 7 de septiembre de 1990, Principio 9.</w:t>
        <w:br/>
        <w:br/>
        <w:t>[69]  Cfr., en similar sentido, Comisión IDH.  Informe  sobre  terrorismo  y</w:t>
        <w:br/>
        <w:t>derechos humanos (OEA/ser.4 V/II.116), 22 de octubre de 2002.  Ver  también,</w:t>
        <w:br/>
        <w:t>Naciones  Unidas.  Informe  provisional  sobre  la  situación  mundial   con</w:t>
        <w:br/>
        <w:t>respecto  a  las  ejecuciones  extrajudiciales,   sumarias   o   arbitrarias</w:t>
        <w:br/>
        <w:t>presentado  por  el  Relator  Especial  Philip  Alston  (A/61/311),   5   de</w:t>
        <w:br/>
        <w:t>septiembre de 2006.</w:t>
        <w:br/>
        <w:br/>
        <w:t>[70]  Siguiendo los “Principios básicos sobre el empleo de la  fuerza  y  de</w:t>
        <w:br/>
        <w:t>las armas de fuego por los  funcionarios  encargados  de  hacer  cumplir  la</w:t>
        <w:br/>
        <w:t>Ley”, las normas y reglamentaciones sobre el empleo de armas  de  fuego  por</w:t>
        <w:br/>
        <w:t>los  funcionarios  encargados  de  hacer  cumplir  la  ley  deben   contener</w:t>
        <w:br/>
        <w:t>directrices  que:  a)  especifiquen  las   circunstancias   en   que   tales</w:t>
        <w:br/>
        <w:t>funcionarios estarían autorizados a portar armas de fuego y  prescriban  los</w:t>
        <w:br/>
        <w:t>tipos de armas de fuego o municiones autorizados; b) aseguren que las  armas</w:t>
        <w:br/>
        <w:t>de fuego se utilicen solamente en circunstancias apropiadas y de manera  tal</w:t>
        <w:br/>
        <w:t>que disminuya el riesgo de daños innecesarios;  c)  prohíban  el  empleo  de</w:t>
        <w:br/>
        <w:t>armas de fuego y municiones que  puedan  provocar  lesiones  no  deseadas  o</w:t>
        <w:br/>
        <w:t>signifiquen  un   riesgo   injustificado;   d)   reglamenten   el   control,</w:t>
        <w:br/>
        <w:t>almacenamiento  y  distribución  de   armas   de   fuego,   así   como   los</w:t>
        <w:br/>
        <w:t>procedimientos para  asegurar  que  los  funcionarios  encargados  de  hacer</w:t>
        <w:br/>
        <w:t>cumplir la ley respondan de las armas de  fuego  o  municiones  que  se  les</w:t>
        <w:br/>
        <w:t>hayan entregado; e) señalen los avisos de  advertencia  que  deberán  darse,</w:t>
        <w:br/>
        <w:t>siempre que proceda, cuando se vaya a hacer uso de un arma de  fuego,  y  f)</w:t>
        <w:br/>
        <w:t>establezcan  un  sistema  de  presentación  de  informes  siempre  que   los</w:t>
        <w:br/>
        <w:t>funcionarios encargados de hacer cumplir la ley recurran al empleo de  armas</w:t>
        <w:br/>
        <w:t>de fuego en  el  desempeño  de  sus  funciones.  Ver  también  Caso  Montero</w:t>
        <w:br/>
        <w:t>Aranguren y otros (Retén de Catia), supra nota 31, párr. 75.</w:t>
        <w:br/>
        <w:br/>
        <w:t>[71]  Cfr. Caso del Caracazo.  Reparaciones. Sentencia de 29  de  agosto  de</w:t>
        <w:br/>
        <w:t>2002. Serie C No. 95, párr. 127. Ver también Caso Montero Aranguren y  otros</w:t>
        <w:br/>
        <w:t>(Retén de Catia), supra nota 31, párr. 77.</w:t>
        <w:br/>
        <w:br/>
        <w:t>[72]  Cfr. ECHR, Erdogan and Others v. Turkey,  supra  nota  66,  párr.  68;</w:t>
        <w:br/>
        <w:t>ECHR, Kakoulli v. Turkey, supra nota  66,  párr.  109-110;  ECHR,  Kiliç  v.</w:t>
        <w:br/>
        <w:t>Turkey, no. 22492/93, párr. 62, 28 March 2000, y ECHR, Simsek and Others  v.</w:t>
        <w:br/>
        <w:t>Turkey, nos. 35072/97 and 37194/97, párrs. 104-108, 26 July 2005.</w:t>
        <w:br/>
        <w:br/>
        <w:t>[73]  Cfr. Caso Montero Aranguren y otros (Retén de Catia), supra  nota  31,</w:t>
        <w:br/>
        <w:t>párr. 78.</w:t>
        <w:br/>
        <w:br/>
        <w:t>[74]  Cfr.  Caso Montero Aranguren y otros (Retén de Catia), supra nota  31,</w:t>
        <w:br/>
        <w:t>párrs. 79 a 83.</w:t>
        <w:br/>
        <w:br/>
        <w:t>[75]  Cfr. Caso Masacre de Pueblo Bello,  supra  nota  61,  párr.  142.  Ver</w:t>
        <w:br/>
        <w:t>también Caso La Cantuta, supra nota 7, párr. 110; Caso Vargas  Areco,  supra</w:t>
        <w:br/>
        <w:t>nota 64, párr. 74; Caso Goiburú y otros. Sentencia de 22  de  septiembre  de</w:t>
        <w:br/>
        <w:t>2006. Serie C No. 153, párr. 88; Caso Servellón García y otros,  supra  nota</w:t>
        <w:br/>
        <w:t>14, párr. 108; Caso Montero Aranguren y otros (Retén de Catia),  supra  nota</w:t>
        <w:br/>
        <w:t>31, párr. 66; Caso Ximenes Lopes, supra nota 60,  párr.  177;  Caso  “de  la</w:t>
        <w:br/>
        <w:t>Masacre de Mapiripán”. supra nota 8, párrs. 232 a 234;  Caso  Juan  Humberto</w:t>
        <w:br/>
        <w:t>Sánchez. Sentencia de 7 de junio de 2003. Serie C No. 99, párrs. 111 y  112;</w:t>
        <w:br/>
        <w:t>Caso Myrna Mack Chang. supra nota 7, párrs 156 y 157; Caso de los “Niños  de</w:t>
        <w:br/>
        <w:t>la Calle” (Villagrán Morales y  otros),  supra  nota  58,  párr.  225;  Caso</w:t>
        <w:br/>
        <w:t>Godínez Cruz. Sentencia de 20 de enero de 1989. Serie C No. 5, párr.  175  y</w:t>
        <w:br/>
        <w:t>Caso Velásquez Rodríguez. Sentencia de 29 de julio de 1988. Serie C  No.  4,</w:t>
        <w:br/>
        <w:t>párrs 166 y 176 .</w:t>
        <w:br/>
        <w:br/>
        <w:t>[76]  Cfr. Caso Juan  Humberto  Sánchez.  supra  nota  75,  párr.  112.  Ver</w:t>
        <w:br/>
        <w:t>también Caso del Penal Miguel Castro Castro, supra nota  14,  párr.  256,  y</w:t>
        <w:br/>
        <w:t>Caso Vargas Areco, supra  nota  64,  párr.  77.  En  similar  sentido  véase</w:t>
        <w:br/>
        <w:t>también ECHR, Erdogan and Others v. Turkey, supra  nota  66,  párrs.  88-89;</w:t>
        <w:br/>
        <w:t>ECHR, Kakoulli v. Turkey, supra nota 66, párrs.  122-123,  y  ECHR,  Nachova</w:t>
        <w:br/>
        <w:t>and Others v. Bulgaria [GC], nos. 43577/98 and 43579/98, párrs.  111-112,  6</w:t>
        <w:br/>
        <w:t>July 2005.</w:t>
        <w:br/>
        <w:br/>
        <w:t>[77]  Cfr. ECHR, Sergey Shevchenko v. Ukraine, no.  32478/02,  párr.  65,  4</w:t>
        <w:br/>
        <w:t>April 2006; ECHR, Tanis and Others v. Turkey, no.  65899/01,  párr.  204,  2</w:t>
        <w:br/>
        <w:t>August 2005, y  ECHR,  Isayeva  v.  Russia,  no.  57950/00,  párr.  214,  24</w:t>
        <w:br/>
        <w:t>February 2005.</w:t>
        <w:br/>
        <w:br/>
        <w:t>[78]  Cfr. Caso Montero Aranguren y otros (Retén de Catia), supra  nota  31,</w:t>
        <w:br/>
        <w:t>párr. 83, y Caso  Baldeón  García,  supra  nota  60,  párr. 97.  En  similar</w:t>
        <w:br/>
        <w:t>sentido véase también ECHR, Erdogan and Others v.  Turkey,  supra  nota  66,</w:t>
        <w:br/>
        <w:t>párr. 68; ECHR, Makaratzis v.  Greece  [GC],  no.  50385/99,  párr.  59,  20</w:t>
        <w:br/>
        <w:t>December 2004, y ECHR, McCann and Others v. the United Kingdom,  supra  nota</w:t>
        <w:br/>
        <w:t>66, párr. 150.</w:t>
        <w:br/>
        <w:br/>
        <w:t>[79]  Cfr., en similar sentido, Caso de la  “Masacre  de  Mapiripán”.  supra</w:t>
        <w:br/>
        <w:t>nota 8, párr. 219; Caso de la Masacre de Pueblo Bello, supra nota 61,  párr.</w:t>
        <w:br/>
        <w:t>144; Caso Baldeón García, supra nota 61, párr. 97, y Caso Montero  Aranguren</w:t>
        <w:br/>
        <w:t>y otros (Retén de Catia), supra nota 31, párr. 83.</w:t>
        <w:br/>
        <w:br/>
        <w:t>[80]  Cfr. Informe provisional sobre la situación  mundial  con  respecto  a</w:t>
        <w:br/>
        <w:t>las ejecuciones extrajudiciales, sumarias o arbitrarias  presentado  por  el</w:t>
        <w:br/>
        <w:t>Relator Especial Philip Alston. Asamblea General de Naciones  Unidas.  (Doc.</w:t>
        <w:br/>
        <w:t>A/61/311), LIX período de sesiones, 5 de septiembre de 2006, párr. 36.</w:t>
        <w:br/>
        <w:br/>
        <w:t>[81]  Cfr. Caso Suárez Rosero. Sentencia de 12 de noviembre de  1997.  Serie</w:t>
        <w:br/>
        <w:t>C No. 35, párr. 37. Ver también Caso  Masacre de Pueblo  Bello,  supra  nota</w:t>
        <w:br/>
        <w:t>61, párr. 122; Caso Fermín Ramírez, supra nota 42, párr. 63, y Caso  Raxcacó</w:t>
        <w:br/>
        <w:t>Reyes, supra nota 44, párr. 55.</w:t>
        <w:br/>
        <w:br/>
        <w:br/>
        <w:t>[82]  Cfr. Caso Castillo Petruzi y otros,  supra  nota  40,  párr.  89.  Ver</w:t>
        <w:br/>
        <w:t>también Caso Raxcacó Reyes, supra nota 44, párr. 55, y Caso Fermín  Ramírez,</w:t>
        <w:br/>
        <w:t>supra nota 42, párr. 63.</w:t>
        <w:br/>
        <w:br/>
        <w:br/>
        <w:t>[83]  Cfr. Caso Bámaca Velásquez. Sentencia de  25  de  noviembre  de  2000.</w:t>
        <w:br/>
        <w:t>Serie C No. 70, párr. 207. Ver también  Goiburú  y  otros,  supra  nota  75,</w:t>
        <w:br/>
        <w:t>párr. 89, y Caso Masacre de Pueblo Bello, supra nota 61, párr. 146.</w:t>
        <w:br/>
        <w:br/>
        <w:br/>
        <w:t>[84]  Cfr. Caso de la Masacre de la Rochela, supra nota 7, párr.  132;  Caso</w:t>
        <w:br/>
        <w:t>del Penal Miguel Castro Castro, supra nota 14, párr. 404; Caso  La  Cantuta,</w:t>
        <w:br/>
        <w:t>supra nota 7, párr. 157; Caso Goiburú y otros,  supra  nota  75,  párr.  84;</w:t>
        <w:br/>
        <w:t>Caso Almonacid Arellano y otros, supra  nota  14,  párr.  99;  Caso  Caesar,</w:t>
        <w:br/>
        <w:t>supra nota 43, párr. 59, y Caso Barrios Altos. Sentencia de 14 de  marzo  de</w:t>
        <w:br/>
        <w:t>2001. Serie C No. 75, párr. 41.</w:t>
        <w:br/>
        <w:br/>
        <w:br/>
        <w:t>[85]  Cfr. Código de Conducta para Oficiales de Seguridad  Pública  adoptado</w:t>
        <w:br/>
        <w:t>por la Asamblea General de las Naciones Unidas, resolución 34/169 de  17  de</w:t>
        <w:br/>
        <w:t>diciembre de 1979, artículo 3; Principios Básicos  sobre  el  Empleo  de  la</w:t>
        <w:br/>
        <w:t>Fuerza y de Armas de Fuego  por  parte  de  Oficiales  Encargados  de  Hacer</w:t>
        <w:br/>
        <w:t>Cumplir la Ley, adoptado por el Octavo Congreso de las Naciones Unidas  para</w:t>
        <w:br/>
        <w:t>la Prevención del Delito y  Tratamiento  de  los  Delincuentes,  La  Habana,</w:t>
        <w:br/>
        <w:t>Cuba, 27 de agosto a 7 de septiembre de 1990, Principio 9.</w:t>
        <w:br/>
        <w:br/>
        <w:t>[86]  Cfr. Caso Velásquez Rodríguez. supra nota 75, párr. 170.  Ver  también</w:t>
        <w:br/>
        <w:t>Caso de la Masacre de la Rochela, supra nota 7, párr. 67;  Caso  Masacre  de</w:t>
        <w:br/>
        <w:t>Pueblo Bello, supra nota 61, párr. 111.</w:t>
        <w:br/>
        <w:br/>
        <w:br/>
        <w:t>[87]  Cfr. Responsabilidad Internacional  por  Expedición  y  Aplicación  de</w:t>
        <w:br/>
        <w:t>Leyes Violatorias de la Convención (Arts. 1 y 2 Convención  Americana  Sobre</w:t>
        <w:br/>
        <w:t>Derechos Humanos), Opinión Consultiva OC-14/94 del 9 de diciembre  de  1994,</w:t>
        <w:br/>
        <w:t>Serie A No. 14, párr. 35. Ver también  Caso del Penal Miguel Castro  Castro,</w:t>
        <w:br/>
        <w:t>supra nota 7, párr. 394, y Caso Almonacid Arellano y otros, supra  nota  14,</w:t>
        <w:br/>
        <w:t>párr. 125.</w:t>
        <w:br/>
        <w:br/>
        <w:br/>
        <w:t>[88]  Cfr. Caso de la “Panel Blanca” (Paniagua Morales y otros), supra  nota</w:t>
        <w:br/>
        <w:t>15, párr. 91. Ver también Caso de la Masacre de la Rochela, supra  notra  7,</w:t>
        <w:br/>
        <w:t>párr. 68, y Caso La Cantuta, supra nota 7, párr. 156.</w:t>
        <w:br/>
        <w:br/>
        <w:br/>
        <w:t>[89]  Cfr. Caso de la “Panel Blanca” (Paniagua Morales y otros), supra  nota</w:t>
        <w:br/>
        <w:t>15, párr. 91. Ver también Caso de la Masacre de la Rochela,  supra  nota  7,</w:t>
        <w:br/>
        <w:t>párr. 68, y Caso de los 19 Comerciantes, supra nota 50, párr. 141.</w:t>
        <w:br/>
        <w:br/>
        <w:br/>
        <w:t>[90]  Cfr. Caso de la “Panel Blanca” (Paniagua Morales y otros), supra  nota</w:t>
        <w:br/>
        <w:t>15, párr. 91. Ver también Caso de la Masacre de la Rochela, supra  notra  7,</w:t>
        <w:br/>
        <w:t>párr. 68, y Caso Masacre de la "Masacre de Mapiripán", supra nota 8 ,  párr.</w:t>
        <w:br/>
        <w:t>110.</w:t>
        <w:br/>
        <w:br/>
        <w:br/>
        <w:t>[91]  Cfr. comunicado oficial emitido  por  las  Fuerzas  Armadas  sobre  el</w:t>
        <w:br/>
        <w:t>operativo efectuado en Barrio Batallón el 6 de marzo  de  1993  (escrito  de</w:t>
        <w:br/>
        <w:t>demanda, expediente de fondo, folio 15).</w:t>
        <w:br/>
        <w:br/>
        <w:t>[92]  Cfr. declaraciones testimoniales rendidas por  el  señor  Vanner  Omar</w:t>
        <w:br/>
        <w:t>Caicedo Macías y por las señoras  Teresa  Susana  Cedeño  y  Alicia  Marlene</w:t>
        <w:br/>
        <w:t>Rodríguez Villegas durante la audiencia pública  celebrada  en  el  presente</w:t>
        <w:br/>
        <w:t>caso el 15 de mayo de 2007 (supra párr. 7).</w:t>
        <w:br/>
        <w:br/>
        <w:t>[93]  Cfr. autopsias de los señores Wilmer Zambrano  Vélez,  Segundo  Olmedo</w:t>
        <w:br/>
        <w:t>Caicedo Cobeña y José Miguel  Caicedo  Cobeña(expedientes  de  anexos  a  la</w:t>
        <w:br/>
        <w:t>demanda, anexos 1, 2 y 3, folios 513, 515 y 517).</w:t>
        <w:br/>
        <w:br/>
        <w:t>[94]  Cfr. Caso Montero Aranguren y otros (Retén de Catia), supra  nota  31,</w:t>
        <w:br/>
        <w:t>párr. 80; Caso del Penal Miguel Castro Castro, supra nota 14, párr.  273,  y</w:t>
        <w:br/>
        <w:t>Caso Baldeón García, supra nota 61, párr.  120.  En  similar  sentido  véase</w:t>
        <w:br/>
        <w:t>también Caso Juan Humberto Sánchez, supra nota 75, párr. 111.</w:t>
        <w:br/>
        <w:br/>
        <w:t>[95]  Cfr. Caso Velásquez Rodríguez, supra nota 75, párr. 135.  Ver  también</w:t>
        <w:br/>
        <w:t>Caso de los Hermanos Gómez Paquiyauri. Sentencia de  8  de  julio  de  2004.</w:t>
        <w:br/>
        <w:t>Serie C No. 110, párr. 154, y Caso  Maritza  Urrutia.  Sentencia  de  27  de</w:t>
        <w:br/>
        <w:t>noviembre de 2003. Serie C No. 103, párr. 128.</w:t>
        <w:br/>
        <w:br/>
        <w:br/>
        <w:t>[96]  Artículo 8[.1] (Garantías Judiciales)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formulado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Artículo 25 (Protección Judicial)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t xml:space="preserve">      2.    Los Estados Partes se comprometen:</w:t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t xml:space="preserve">      b) a desarrollar las posibilidades de recurso judicial; y</w:t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br/>
        <w:br/>
        <w:br/>
        <w:t>[97]  Cfr. Caso Godínez Cruz, Excepciones Preliminares. Sentencia de  26  de</w:t>
        <w:br/>
        <w:t>junio de 1987. Serie C No. 3, párr. 93. Ver también Caso de  la  Masacre  de</w:t>
        <w:br/>
        <w:t>la Rochela, supra nota 7, párr. 145, y Caso del Penal Miguel Castro  Castro,</w:t>
        <w:br/>
        <w:t>supra nota 14, párr. 381.</w:t>
        <w:br/>
        <w:br/>
        <w:t>[98]  Cfr. Caso Bulacio. Sentencia de 18 de Septiembre de 2003. Serie C  No.</w:t>
        <w:br/>
        <w:t>100, párr. 114; Caso de la Masacre de la Rochela, supra nota 7,  párr.  146,</w:t>
        <w:br/>
        <w:t>y Caso del Penal Miguel Castro Castro, supra nota 14, párr. 382.</w:t>
        <w:br/>
        <w:br/>
        <w:t>[99]  Cfr. Caso Velásquez Rodríguez, supra nota 75, párr. 177.  Ver  también</w:t>
        <w:br/>
        <w:t>Caso del Penal Miguel Castro Castro, supra nota 14, párr. 255; Caso  Ximenes</w:t>
        <w:br/>
        <w:t>Lopes, supra nota 60, párr. 148.</w:t>
        <w:br/>
        <w:br/>
        <w:t>[100] Cfr. Caso Velásquez Rodríguez, supra nota 75, párr. 177.  Ver  también</w:t>
        <w:br/>
        <w:t>Caso del Penal Miguel Castro Castro,  supra  nota  14,  párr.  255,  y  Caso</w:t>
        <w:br/>
        <w:t>Goiburú y otros, supra nota 75, párr. 117.</w:t>
        <w:br/>
        <w:br/>
        <w:t>[101] Cfr. Caso de los “Niños de la  Calle”  (Villagrán  Morales  y  otros),</w:t>
        <w:br/>
        <w:t>supra nota 59, párr. 227. Ver también Caso del Penal Miguel  Castro  Castro,</w:t>
        <w:br/>
        <w:t>supra nota 14, párr. 255, y Caso Goiburú y otros, supra nota 75, párr. 117.</w:t>
        <w:br/>
        <w:br/>
        <w:t>[102] Cfr. Caso de la Comunidad Moiwana. Sentencia de 15 de junio  de  2005.</w:t>
        <w:br/>
        <w:t>Serie C No. 124, párr.  149.  Ver  también  Caso  del  Penal  Miguel  Castro</w:t>
        <w:br/>
        <w:t>Castro, supra nota 14, párr. 383, y Caso Vargas Areco, supra nota 64,  párr.</w:t>
        <w:br/>
        <w:t>91. En  el  mismo  sentido  véase  también  Manual  Sobre  la  Prevención  e</w:t>
        <w:br/>
        <w:t>Investigación  Efectiva  de  Ejecuciones  Extrajudiciales,   Arbitrarias   y</w:t>
        <w:br/>
        <w:t>Sumarias de las Naciones Unidas, Doc. E/ST/CSDHA/.12 (1991).</w:t>
        <w:br/>
        <w:br/>
        <w:t>[103]       Cfr. Caso Montero Aranguren y  otros  (Retén  de  Catia),  supra</w:t>
        <w:br/>
        <w:t>nota 31, párr. 81. En similar sentido véase también Erdogan  and  Others  v.</w:t>
        <w:br/>
        <w:t>Turkey, supra nota 66, párr. 89; ECHR, Kakoulli v. Turkey,  supra  nota  66,</w:t>
        <w:br/>
        <w:t>123, y ECHR, Hugh Jordan v. the United Kingdom, 4 May  2001,  no.  24746/94,</w:t>
        <w:br/>
        <w:t>paras. 107-108.</w:t>
        <w:br/>
        <w:br/>
        <w:t>[104] Cfr. Caso Durand y Ugarte. supra nota  35,  párrs.  125  y  126;  Caso</w:t>
        <w:br/>
        <w:t>Montero Aranguren y otros (Retén de Catia), supra  nota  31,  párr.  81.  En</w:t>
        <w:br/>
        <w:t>similar sentido véase también ECHR, Nachova and  Others  v.  Bulgaria  [GC],</w:t>
        <w:br/>
        <w:t>supra nota 75, párr. 112; ECHR, Isayeva v.  Russia,  supra  nota  76,  párr.</w:t>
        <w:br/>
        <w:t>211, y ECHR, Kelly and Others v. the United  Kingdom,  no.  30054/96,  párr.</w:t>
        <w:br/>
        <w:t>95, 4 May 2001.</w:t>
        <w:br/>
        <w:br/>
        <w:t>[105]       Cfr. Caso Masacre de Pueblo Bello, supra  nota  61,  párr.  143.</w:t>
        <w:br/>
        <w:t>Ver también Caso de la Masacre de la Rochela, supra nota  7,  párr.  148,  y</w:t>
        <w:br/>
        <w:t>Caso del Penal Miguel Castro Castro, supra nota 14, párr. 256.</w:t>
        <w:br/>
        <w:br/>
        <w:t>[106]       Cfr. Caso Myrna  Mack  Chang,  supra  nota  7,  párr.  156.  Ver</w:t>
        <w:br/>
        <w:t>también Caso de la Masacre de la Rochela, supra nota 7, párr.  148,  y  Caso</w:t>
        <w:br/>
        <w:t>Masacre de Pueblo Bello, supra nota 61, párr. 146.</w:t>
        <w:br/>
        <w:br/>
        <w:t>[107]       Mediante Decreto Ejecutivo, publicado  en  el  Registro  Oficial</w:t>
        <w:br/>
        <w:t>Número 87, de viernes 18 de mayo del 2007,  según  la  información  aportada</w:t>
        <w:br/>
        <w:t>por el Estado.</w:t>
        <w:br/>
        <w:br/>
        <w:t>[108]       Cfr. Caso del Penal Miguel Castro Castro, supra nota  14,  párr.</w:t>
        <w:br/>
        <w:t>197; Caso la Cantuta, supra nota 7, párr.  80;  Caso  Almonacid  Arellano  y</w:t>
        <w:br/>
        <w:t>otros, supra nota 14, párr. 82; Caso Baldeón García, supra  nota  61,  párr.</w:t>
        <w:br/>
        <w:t>72; Caso Gómez Palomino. Sentencia de 22 de noviembre de 2005. Serie  C  No.</w:t>
        <w:br/>
        <w:t>136, párr. 54; Caso de la Cruz Flores.  Sentencia  de  18  de  noviembre  de</w:t>
        <w:br/>
        <w:t>2004. Serie C No. 115, párr. 61; Caso Masacre Plan de Sánchez. Sentencia  de</w:t>
        <w:br/>
        <w:t>29 de abril de 2004. Serie C No. 105, párr. 42; Caso Maritza Urrutia,  supra</w:t>
        <w:br/>
        <w:t>nota 95, párr. 56, y Caso Myrna Mack Chang, supra nota 7, párrs. 131 y  134.</w:t>
        <w:br/>
        <w:br/>
        <w:br/>
        <w:br/>
        <w:br/>
        <w:t>[109]       El artículo 63.1 de la Convención dispone que:</w:t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[110]       Cfr. Caso Velásquez Rodríguez. Indemnización Compensatoria</w:t>
        <w:br/>
        <w:t>(art. 63.1 Convención Americana sobre Derechos Humanos). Sentencia de 21 de</w:t>
        <w:br/>
        <w:t>julio de 1989. Serie C No. 7, párr. 25. Ver también Caso Bueno Alves, supra</w:t>
        <w:br/>
        <w:t>nota 8, párr. 128, y Caso Masacre de la Rochela, supra nota 7, párr. 226.</w:t>
        <w:br/>
        <w:br/>
        <w:t>[111] Cfr. Caso Aloeboetoe  y  otros.  Reparaciones  (art.  63.1  Convención</w:t>
        <w:br/>
        <w:t>Americana sobre Derechos Humanos). Sentencia de 10 de  septiembre  de  1993.</w:t>
        <w:br/>
        <w:t>Serie C No. 15, párr. 44; Caso La Cantuta, supra nota 7, párr. 200,  y  Caso</w:t>
        <w:br/>
        <w:t>Trabajadores Cesados del Congreso (Aguado Alfaro y otros). Sentencia  de  24</w:t>
        <w:br/>
        <w:t>de noviembre de 2006, párr. 142.</w:t>
        <w:br/>
        <w:br/>
        <w:t>[112] Cfr. Caso  Velásquez  Rodríguez.  Indemnización  Compensatoria,  supra</w:t>
        <w:br/>
        <w:t>nota 110, párrs. 25 y 26; Caso Garrido y Baigorria,  supra  nota  37,  párr.</w:t>
        <w:br/>
        <w:t>43, y Caso de la “Panel Blanca” (Paniagua Morales  y  otros).  Reparaciones,</w:t>
        <w:br/>
        <w:t>supra nota 14, párrs. 76 a 79. Ver también Caso La Cantuta,  supra  nota  7,</w:t>
        <w:br/>
        <w:t>párrs. 200 a 203; Caso del  Penal  Miguel  Castro  Castro,  supra  nota  14,</w:t>
        <w:br/>
        <w:t>párrs. 414 a 416.</w:t>
        <w:br/>
        <w:br/>
        <w:br/>
        <w:t>[113]       Esta persona fue identificada en la demanda y en el  escrito  de</w:t>
        <w:br/>
        <w:t>solicitudes   y   argumentos   como   “Linda   Zambrano   Rodríguez”.    Los</w:t>
        <w:br/>
        <w:t>representantes enviaron posteriormente la cédula  de  ciudadanía  de  “Karen</w:t>
        <w:br/>
        <w:t>Lissette Zambrano Rodríguez” y en sus alegatos  finales  escritos  señalaron</w:t>
        <w:br/>
        <w:t>que “de cariño la llamaban LINDA”. De tal manera, la Corte entiende  que  el</w:t>
        <w:br/>
        <w:t>nombre correcto de esta familiar es Karen Lissette.</w:t>
        <w:br/>
        <w:br/>
        <w:t>[114]       Cfr. Caso de Masacre de la Rochela, supra  nota  7,  párr.  237;</w:t>
        <w:br/>
        <w:t>Caso del Penal Miguel Castro Castro,  supra  nota  14,  párr.  421,  y  Caso</w:t>
        <w:br/>
        <w:t>Goiburú y otros, supra nota 75, párr. 148.</w:t>
        <w:br/>
        <w:br/>
        <w:t>[115]       Cfr. Caso Bámaca Velásquez. Reparaciones, supra nota  14,  párr.</w:t>
        <w:br/>
        <w:t>43. Ver también Caso La Cantuta, supra nota 7, párr. 213, y Caso  del  Penal</w:t>
        <w:br/>
        <w:t>Miguel Castro Castro, supra nota 14, párr.  423.  En  similar  sentido  Caso</w:t>
        <w:br/>
        <w:t>Caballero Delgado y Santana. Reparaciones.  Sentencia  de  29  de  enero  de</w:t>
        <w:br/>
        <w:t>1997. Serie C No. 31, párr. 39.</w:t>
        <w:br/>
        <w:br/>
        <w:t>[116]       Cfr. Caso Cantoral Benavides. Reparaciones. Sentencia  de  3  de</w:t>
        <w:br/>
        <w:t>diciembre de 2001. Serie C  No.  88,  párrs.  53  y  57;  Ver  también  Caso</w:t>
        <w:br/>
        <w:t>Velásquez Rodríguez. Indemnización Compensatoria, supra nota 110, párr.  50;</w:t>
        <w:br/>
        <w:t>Caso La Cantuta, supra nota 7, párrs. 216, y Caso del  Penal  Miguel  Castro</w:t>
        <w:br/>
        <w:t>Castro, supra nota 14, párrs. 430 y 431.</w:t>
        <w:br/>
        <w:br/>
        <w:t>[117]       Cfr. Caso Suárez  Rosero.  Reparaciones  (art.  63.1  Convención</w:t>
        <w:br/>
        <w:t>Americana sobre Derechos Humanos). Sentencia de 20 de enero de  1999.  Serie</w:t>
        <w:br/>
        <w:t>C No. 44, párr. 72. Ver también Caso Bueno Alves, supra nota 8,  párr.  203,</w:t>
        <w:br/>
        <w:t>y Caso de la  Masacre de la Rochela, supra nota 7, párr. 264.</w:t>
        <w:br/>
        <w:br/>
        <w:br/>
        <w:t>[118]       Cfr. Caso  Neira  Alegría.  Reparaciones.  Sentencia  de  19  de</w:t>
        <w:br/>
        <w:t>septiembre de 1996. Serie C No. 27, párr. 57; Caso  de  los  Hermanos  Gómez</w:t>
        <w:br/>
        <w:t>Paquiyauri, supra nota 95, párr. 217;  Caso  Juan  Humberto  Sánchez,  supra</w:t>
        <w:br/>
        <w:t>nota 75, párr. 174; Caso  de la “Panel Blanca” (Paniagua Morales  y  otros).</w:t>
        <w:br/>
        <w:t>Reparaciones, supra nota 14, párr. 106; Caso Myrna Mack  Chang,  supra  nota</w:t>
        <w:br/>
        <w:t>7, párr. 262, y Caso Castillo Páez. Sentencia de 27 de  noviembre  de  1998.</w:t>
        <w:br/>
        <w:t>Serie C No. 43, párr. 86. Ver también Caso de Masacre de la  Rochela,  supra</w:t>
        <w:br/>
        <w:t>nota 7, párr. 256; Caso La Cantuta, supra nota 7,  párr.  217,  y  Caso  del</w:t>
        <w:br/>
        <w:t>Penal Miguel Castro Castro, supra nota 14, párr. 432.</w:t>
        <w:br/>
        <w:br/>
        <w:br/>
        <w:t>[119]       Cfr. Caso Juan Humberto Sánchez, supra nota 75, párr.  186.  Ver</w:t>
        <w:br/>
        <w:t>también Caso Bueno Alves, supra nota 8, párr. 211, y Caso La Cantuta,  supra</w:t>
        <w:br/>
        <w:t>nota 7, párr. 228.</w:t>
        <w:br/>
        <w:br/>
        <w:t>[120]       Cfr. Caso Bámaca Velásquez. Reparaciones, supra nota  14,  párr.</w:t>
        <w:br/>
        <w:t>75. Ver también Caso de Masacre de la Rochela, supra nota 7,  párr.  147,  y</w:t>
        <w:br/>
        <w:t>Caso Almonacid Arrellano y otros, supra nota 14, párr. 148.</w:t>
        <w:br/>
        <w:br/>
        <w:br/>
        <w:t>[121]       Cfr. Caso Bámaca Velásquez. Reparaciones, supra nota  14,  párr.</w:t>
        <w:br/>
        <w:t>76. Ver también Caso Velásquez Rodríguez, supra nota 75, párr. 181; Caso  de</w:t>
        <w:br/>
        <w:t>Masacre de la Rochela, supra nota 7, párr. 264, y  Caso  La  Cantuta,  supra</w:t>
        <w:br/>
        <w:t>nota 7, párr. 222.</w:t>
        <w:br/>
        <w:br/>
        <w:br/>
        <w:t>[122]       Cfr. Caso Cantoral  Benavides.  Reparaciones,  supra  nota  116,</w:t>
        <w:br/>
        <w:t>párr. 79; Caso Bueno Alves, supra nota 8, párr. 215, y Caso  de  Masacre  de</w:t>
        <w:br/>
        <w:t>la Rochela, supra nota 7, párr. 277.</w:t>
        <w:br/>
        <w:br/>
        <w:t>[123]       Cfr. Caso del Caracazo. Reparaciones, supra nota 71, párr.  127;</w:t>
        <w:br/>
        <w:t>Caso La Cantuta, supra nota 7, párr. 239, y Caso Montero Aranguren  y  otros</w:t>
        <w:br/>
        <w:t>(Retén de Catia), supra nota 31, párr. 147.</w:t>
        <w:br/>
        <w:br/>
        <w:t>[124]       Cfr. Caso La Cantuta, supra nota 7, párr. 241. Ver también  Caso</w:t>
        <w:br/>
        <w:t>de la Masacre de la Rochela, supra nota 7,  párr.  303,  y  Caso  del  Penal</w:t>
        <w:br/>
        <w:t>Miguel Castro Castro, supra nota 14, párr. 452.</w:t>
        <w:br/>
        <w:br/>
        <w:t>[125] Cfr. Caso Garrido y Baigorria. Reparaciones, supra nota 37, párr.  79;</w:t>
        <w:br/>
        <w:t>Caso de la “Panel Blanca” (Paniagua Morales y  otros).  Reparaciones,  supra</w:t>
        <w:br/>
        <w:t>nota 14, párr. 212; Ver también Caso La Cantuta, supra nota 7, párr. 243,  y</w:t>
        <w:br/>
        <w:t xml:space="preserve"> Caso del Penal Miguel Castro Castro, supra nota 14, párr. 455</w:t>
        <w:br/>
        <w:br/>
        <w:br/>
        <w:br/>
        <w:br/>
        <w:t xml:space="preserve">      [126] Cfr., Corte I.D.H., Caso del Tribunal Constitucional.  Sentencia</w:t>
        <w:br/>
        <w:t>de 31 de enero  de  2001.  Serie  C  No.  71;  Corte  I.D.H.,  Caso  Cantos.</w:t>
        <w:br/>
        <w:t>Sentencia de 28 de noviembre de 2002. Serie C No.  97;  Corte  I.D.H.,  Caso</w:t>
        <w:br/>
        <w:t>Almonacid Arellano y otros. Sentencia de 26 de septiembre de 2006.  Serie  C</w:t>
        <w:br/>
        <w:t>No. 154; Corte  I.D.H.,  Caso  Trabajadores  Cesados  del  Congreso  (Aguado</w:t>
        <w:br/>
        <w:t>Alfaro y otros). Sentencia de 24 de noviembre de 2006. Serie C No. 158.</w:t>
        <w:br/>
        <w:br/>
        <w:br/>
        <w:br/>
        <w:t xml:space="preserve">      [127] Cfr., Corte I.D.H., Caso de los “Niños de la  Calle”  (Villagrán</w:t>
        <w:br/>
        <w:t>Morales y otros). Sentencia de 19 de noviembre de 1999. Serie C No. 63.</w:t>
        <w:br/>
        <w:br/>
        <w:br/>
        <w:t xml:space="preserve">      [128] Cfr., Corte I.D.H., Caso Baena Ricardo y otros. Sentencia  de  2</w:t>
        <w:br/>
        <w:t>de febrero de 2001. Serie C No. 72;  y  Corte  I.D.H.,  Caso  Las  Palmeras.</w:t>
        <w:br/>
        <w:t>Sentencia de 6 de diciembre de 2001. Serie C No. 90.</w:t>
        <w:br/>
        <w:br/>
        <w:br/>
        <w:br/>
        <w:br/>
        <w:t xml:space="preserve">      [129] Cfr., Corte I.D.H., Caso Servellón García y otros. Sentencia  de</w:t>
        <w:br/>
        <w:t>21 de septiembre de 2006. Serie C No. 152; Corte I.D.H., Caso Vargas  Areco.</w:t>
        <w:br/>
        <w:t>Sentencia de 26 de septiembre de 2006. Serie C No. 155.</w:t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