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   Caso Boyce y otros vs. Barbados</w:t>
        <w:br/>
        <w:br/>
        <w:br/>
        <w:t xml:space="preserve">                    Sentencia de 20 de noviembre de 2007</w:t>
        <w:br/>
        <w:br/>
        <w:t xml:space="preserve">            (Excepción Preliminar, Fondo, Reparaciones y Costas)</w:t>
        <w:br/>
        <w:br/>
        <w:br/>
        <w:t>En el Caso Boyce y otros,</w:t>
        <w:br/>
        <w:br/>
        <w:t>La Corte Interamericana de Derechos Humanos (en adelante,  “la  Corte”,  “la</w:t>
        <w:br/>
        <w:t>Corte Interamericana” o “el Tribunal”), integrada por lo siguientes jueces:</w:t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Diego García Sayán, Juez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br/>
        <w:t>presentes además,</w:t>
        <w:br/>
        <w:br/>
        <w:t xml:space="preserve">      Pablo Saavedra Alessandri, Secretario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Humanos  (en  adelante,  “la  Convención”  o  “la  Convención</w:t>
        <w:br/>
        <w:t>Americana”) y con los artículos 29, 31, 37, 56 y 58  del  Reglamento  de  la</w:t>
        <w:br/>
        <w:t>Corte (en adelante, “el Reglamento”), dicta la presente Sentencia.</w:t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 xml:space="preserve">   1. El 23 de junio de  2006,  de  conformidad  con  lo  dispuesto  en  los</w:t>
        <w:br/>
        <w:t xml:space="preserve">      artículos  50  y  61  de  la   Convención   Americana,   la   Comisión</w:t>
        <w:br/>
        <w:t xml:space="preserve">      Interamericana de Derechos Humanos (en adelante, “la Comisión”  o  “la</w:t>
        <w:br/>
        <w:t xml:space="preserve">      Comisión Interamericana”) presentó ante la Corte una demanda en contra</w:t>
        <w:br/>
        <w:t xml:space="preserve">      del Estado de Barbados (en adelante “el Estado” o  “Barbados”).  Dicha</w:t>
        <w:br/>
        <w:t xml:space="preserve">      demanda se originó por la denuncia Nº 12.480 remitida a la  Secretaría</w:t>
        <w:br/>
        <w:t xml:space="preserve">      de la Comisión el 3  de  septiembre  de  2004  por  los  señores  Saul</w:t>
        <w:br/>
        <w:t xml:space="preserve">      Lehrfreund y  Parvais  Jabbar  del  estudio  de  abogados  de  Simone,</w:t>
        <w:br/>
        <w:t xml:space="preserve">      Muirhead &amp; Burton, con domicilio en Londres, Reino Unido.   El  28  de</w:t>
        <w:br/>
        <w:t xml:space="preserve">      febrero de 2006 la Comisión adoptó el informe  sobre  admisibilidad  y</w:t>
        <w:br/>
        <w:t xml:space="preserve">      fondo Nº 03/06, conforme al artículo 50 de  la  Convención[1],  en  el</w:t>
        <w:br/>
        <w:t xml:space="preserve">      cual se le hizo ciertas recomendaciones al Estado.   En  consideración</w:t>
        <w:br/>
        <w:t xml:space="preserve">      al hecho de  que  el  Estado  no  adoptó  dichas  recomendaciones,  la</w:t>
        <w:br/>
        <w:t xml:space="preserve">      Comisión decidió someter el presente caso a la competencia de la Corte</w:t>
        <w:br/>
        <w:t xml:space="preserve">      el 16 de junio de 2006[2].</w:t>
        <w:br/>
        <w:br/>
        <w:t xml:space="preserve">   2. En la demanda, la Comisión alegó que el Estado es responsable  de  las</w:t>
        <w:br/>
        <w:t xml:space="preserve">      violaciones cometidas en  contra  de  Lennox  Ricardo  Boyce,  Jeffrey</w:t>
        <w:br/>
        <w:t xml:space="preserve">      Joseph, Frederick Benjamin  Atkins  y  Michael  McDonald  Huggins  (en</w:t>
        <w:br/>
        <w:t xml:space="preserve">      adelante, “las presuntas víctimas”), por la naturaleza obligatoria  de</w:t>
        <w:br/>
        <w:t xml:space="preserve">      la pena de muerte impuesta sobre  las  presuntas  víctimas  -  quienes</w:t>
        <w:br/>
        <w:t xml:space="preserve">      habían sido condenadas por el delito de homicidio - las condiciones de</w:t>
        <w:br/>
        <w:t xml:space="preserve">      su detención, la lectura  (“reading”)  de  las  órdenes  de  ejecución</w:t>
        <w:br/>
        <w:t xml:space="preserve">      mientras sus peticiones  estaban  supuestamente  pendientes  ante  los</w:t>
        <w:br/>
        <w:t xml:space="preserve">      tribunales internos y el sistema interamericano de derechos humanos  y</w:t>
        <w:br/>
        <w:t xml:space="preserve">      por la supuesta falta de adecuar el derecho interno de Barbadas  a  lo</w:t>
        <w:br/>
        <w:t xml:space="preserve">      establecido en la Convención Americana. Las cuatro presuntas  víctimas</w:t>
        <w:br/>
        <w:t xml:space="preserve">      fueron sentenciadas a muerte de conformidad con lo establecido  en  el</w:t>
        <w:br/>
        <w:t xml:space="preserve">      artículo 2 de la Ley  de  Delitos  contra  las  Personas  de  1994  de</w:t>
        <w:br/>
        <w:t xml:space="preserve">      Barbados, la cual establece una pena obligatoria de  muerte  para  las</w:t>
        <w:br/>
        <w:t xml:space="preserve">      personas condenadas por el delito de homicidio.</w:t>
        <w:br/>
        <w:br/>
        <w:t xml:space="preserve">   3. La Comisión  solicitó  a  la  Corte  que  declare  la  responsabilidad</w:t>
        <w:br/>
        <w:t xml:space="preserve">      internacional del Estado por la violación de los artículos 4.1  y  4.2</w:t>
        <w:br/>
        <w:t xml:space="preserve">      (Derecho a la Vida), 5.1 y 5.2 (Derecho a la Integridad Física) y  8.1</w:t>
        <w:br/>
        <w:t xml:space="preserve">      (Garantías Judiciales) de la Convención, en relación con los artículos</w:t>
        <w:br/>
        <w:t xml:space="preserve">      1.1 (Obligación de Respetar  los  Derechos)  y  2  (Deber  de  Adoptar</w:t>
        <w:br/>
        <w:t xml:space="preserve">      Disposiciones de Derecho Interno) del mismo instrumento.  Asimismo, la</w:t>
        <w:br/>
        <w:t xml:space="preserve">      Comisión solicitó a la Corte que ordenara al  Estado  la  adopción  de</w:t>
        <w:br/>
        <w:t xml:space="preserve">      ciertas medidas de reparación no monetarias</w:t>
        <w:br/>
        <w:br/>
        <w:t xml:space="preserve">   4. Los representantes de las presuntas  víctimas  y  sus  familiares  (en</w:t>
        <w:br/>
        <w:t xml:space="preserve">      adelante, “los representantes”), los señores Saul Lehrfreund y Parvais</w:t>
        <w:br/>
        <w:t xml:space="preserve">      Jabbar, presentaron su escrito de solicitudes,  argumentos  y  pruebas</w:t>
        <w:br/>
        <w:t xml:space="preserve">      (en adelante “escrito de solicitudes y argumentos” o “escrito  de  los</w:t>
        <w:br/>
        <w:t xml:space="preserve">      representantes”), en los términos del artículo 23 del Reglamento.  Con</w:t>
        <w:br/>
        <w:t xml:space="preserve">      fundamento en los hechos descritos por la Comisión en la demanda,  los</w:t>
        <w:br/>
        <w:t xml:space="preserve">      representantes  solicitaron  a  la  Corte  que  declare   las   mismas</w:t>
        <w:br/>
        <w:t xml:space="preserve">      violaciones pedidas por la Comisión y, asimismo, agregaron  que  “[e]l</w:t>
        <w:br/>
        <w:t xml:space="preserve">      método de ejecución de la horca viola los artículos 5.2 y 5.1  [de  la</w:t>
        <w:br/>
        <w:t xml:space="preserve">      Convención] en relación con el artículo 1 [de  dicho  instrumento]”  y</w:t>
        <w:br/>
        <w:t xml:space="preserve">      que  las  notificaciones  de  órdenes  de  ejecución,   mientras   sus</w:t>
        <w:br/>
        <w:t xml:space="preserve">      apelaciones estaban supuestamente  pendientes,  también  violaron  los</w:t>
        <w:br/>
        <w:t xml:space="preserve">      artículos 4.1, 4.2 y 8.2 de la Convención, en relación con el artículo</w:t>
        <w:br/>
        <w:t xml:space="preserve">      1.1 de  dicho  instrumento.   Asimismo,  solicitaron  la  adopción  de</w:t>
        <w:br/>
        <w:t xml:space="preserve">      ciertas medidas de reparación no monetarias  y  el  reembolso  de  los</w:t>
        <w:br/>
        <w:t xml:space="preserve">      gastos devengados durante el procedimiento del caso ante esta Corte.</w:t>
        <w:br/>
        <w:br/>
        <w:t xml:space="preserve">   5. El Estado  presentó  su  escrito  de  contestación  de  demanda  y  de</w:t>
        <w:br/>
        <w:t xml:space="preserve">      observaciones  al  escrito  de   los   representantes   (en   adelante</w:t>
        <w:br/>
        <w:t xml:space="preserve">      “contestación de la demanda”), en  el  cual  interpuso  una  excepción</w:t>
        <w:br/>
        <w:t xml:space="preserve">      preliminar, a saber, el no agotamiento de  los  recursos  internos,  y</w:t>
        <w:br/>
        <w:t xml:space="preserve">      “solicitó que [la]  Corte  niegue  expresamente  los  reclamos  y  las</w:t>
        <w:br/>
        <w:t xml:space="preserve">      pretensiones de los Peticionarios [y] de la Comisión y que declare que</w:t>
        <w:br/>
        <w:t xml:space="preserve">      las leyes y prácticas de Barbados son compatibles con sus obligaciones</w:t>
        <w:br/>
        <w:t xml:space="preserve">      según el sistema interamericano de derechos humanos”. Específicamente,</w:t>
        <w:br/>
        <w:t xml:space="preserve">      el Estado alegó que su aplicación de  la  pena  de  muerte  de  manera</w:t>
        <w:br/>
        <w:t xml:space="preserve">      obligatoria es legal, ya que no está  expresamente  ni  implícitamente</w:t>
        <w:br/>
        <w:t xml:space="preserve">      prohibida en la Convención según métodos internacionalmente  aceptados</w:t>
        <w:br/>
        <w:t xml:space="preserve">      sobre la interpretación de tratados.  El Estado aseguró que existe una</w:t>
        <w:br/>
        <w:t xml:space="preserve">      amplia gama de defensas y otros mecanismos legales disponibles  a  las</w:t>
        <w:br/>
        <w:t xml:space="preserve">      personas acusadas del delito  de  homicidio.   El  Estado  rechazó  el</w:t>
        <w:br/>
        <w:t xml:space="preserve">      argumento de que el método de ejecución  escogido  por  el  Estado,  a</w:t>
        <w:br/>
        <w:t xml:space="preserve">      saber, la horca, puede de por sí constituir un  trato  o  pena  cruel,</w:t>
        <w:br/>
        <w:t xml:space="preserve">      inhumano o degradante según el  artículo  5  de  la  Convención.   Con</w:t>
        <w:br/>
        <w:t xml:space="preserve">      relación a las lecturas de órdenes de ejecución  con  anterioridad  al</w:t>
        <w:br/>
        <w:t xml:space="preserve">      comienzo de una apelación, el Estado señaló que la ley le requiere que</w:t>
        <w:br/>
        <w:t xml:space="preserve">      lleve a cabo sus procesos legales, incluyendo  las  penas,  de  manera</w:t>
        <w:br/>
        <w:t xml:space="preserve">      puntual y que no existe un requisito legal bajo  su  ley  doméstica  o</w:t>
        <w:br/>
        <w:t xml:space="preserve">      bajo la jurisprudencia del sistema interamericano de derechos  humanos</w:t>
        <w:br/>
        <w:t xml:space="preserve">      que un Estado deba esperar a que concluyan los procedimientos ante  la</w:t>
        <w:br/>
        <w:t xml:space="preserve">      Comisión.  Adicionalmente, el Estado  alegó  que  las  condiciones  de</w:t>
        <w:br/>
        <w:t xml:space="preserve">      prisión de las presuntas víctimas no son violatorias del artículo 5 de</w:t>
        <w:br/>
        <w:t xml:space="preserve">      la Convención.  Finalmente, el Estado señaló que su  sistema  de  pena</w:t>
        <w:br/>
        <w:t xml:space="preserve">      capital está  basado  en  los  deseos  libremente  expresados  por  su</w:t>
        <w:br/>
        <w:t xml:space="preserve">      población.</w:t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t xml:space="preserve">   6. La demanda de la Comisión fue notificada al Estado el 21 de agosto  de</w:t>
        <w:br/>
        <w:t xml:space="preserve">      2006[3] y a los representantes el 22 de agosto  de  2006.  Durante  el</w:t>
        <w:br/>
        <w:t xml:space="preserve">      procedimiento ante este Tribunal, además de  la  presentación  de  los</w:t>
        <w:br/>
        <w:t xml:space="preserve">      escritos principales remitidos por las partes (supra párrs. 1, 4 y 5),</w:t>
        <w:br/>
        <w:t xml:space="preserve">      el 21 de febrero de 2007 la Comisión y los representantes  presentaron</w:t>
        <w:br/>
        <w:t xml:space="preserve">      escritos respecto de las excepciones preliminares presentadas  por  el</w:t>
        <w:br/>
        <w:t xml:space="preserve">      Estado. Asimismo, el 4 de abril de 2007 los representantes presentaron</w:t>
        <w:br/>
        <w:t xml:space="preserve">      un alegato escrito adicional, conforme al artículo 39  del  Reglamento</w:t>
        <w:br/>
        <w:t xml:space="preserve">      de la Corte, y el 18  de  abril  de  2007  la  Comisión  y  el  Estado</w:t>
        <w:br/>
        <w:t xml:space="preserve">      presentaron sus observaciones al respecto.</w:t>
        <w:br/>
        <w:br/>
        <w:t xml:space="preserve">   7. El 29 de mayo de 2007 el Presidente de  la  Corte  (en  adelante,  “el</w:t>
        <w:br/>
        <w:t xml:space="preserve">      Presidente”) ordenó la presentación  de  declaraciones  rendidas  ante</w:t>
        <w:br/>
        <w:t xml:space="preserve">      fedatario público (affidávit) de cinco testigos  y  de  cinco  peritos</w:t>
        <w:br/>
        <w:t xml:space="preserve">      propuestos por la Comisión, los representantes y el Estado.  Asimismo,</w:t>
        <w:br/>
        <w:t xml:space="preserve">      se les dio a las partes la posibilidad de  presentar  sus  respectivas</w:t>
        <w:br/>
        <w:t xml:space="preserve">      observaciones  al  respecto[4].  Además,  teniendo   en   cuenta   las</w:t>
        <w:br/>
        <w:t xml:space="preserve">      circunstancias particulares del  caso,  el  Presidente  convocó  a  la</w:t>
        <w:br/>
        <w:t xml:space="preserve">      Comisión Interamericana, a  los  representantes  y  al  Estado  a  una</w:t>
        <w:br/>
        <w:t xml:space="preserve">      audiencia pública a fin de escuchar la declaración de dos  testigos  y</w:t>
        <w:br/>
        <w:t xml:space="preserve">      de un perito, así como los alegatos finales orales de las partes sobre</w:t>
        <w:br/>
        <w:t xml:space="preserve">      la excepción preliminar y eventuales fondo, reparaciones y  costas  en</w:t>
        <w:br/>
        <w:t xml:space="preserve">      el presente caso.  En consecuencia, la Comisión y  los  representantes</w:t>
        <w:br/>
        <w:t xml:space="preserve">      tomaron cuenta de la decisión del Presidente de no convocar  al  señor</w:t>
        <w:br/>
        <w:t xml:space="preserve">      Adrian King como perito y solicitaron al  Presidente  que  considerara</w:t>
        <w:br/>
        <w:t xml:space="preserve">      citar al señor Adrian King para que rindiera testimonio en calidad  de</w:t>
        <w:br/>
        <w:t xml:space="preserve">      testigo.  Del mismo modo, el Estado solicitó el reemplazo  de  uno  de</w:t>
        <w:br/>
        <w:t xml:space="preserve">      los testigos citados  por  el  Presidente.   Teniendo  en  cuenta  las</w:t>
        <w:br/>
        <w:t xml:space="preserve">      observaciones de las partes en relación con  este  asunto,  el  14  de</w:t>
        <w:br/>
        <w:t xml:space="preserve">      junio de  2007  el  Presidente  resolvió  decidir  a  favor  de  ambos</w:t>
        <w:br/>
        <w:t xml:space="preserve">      pedidos[5]. La audiencia pública fue celebrada el 11 de julio de 2007,</w:t>
        <w:br/>
        <w:t xml:space="preserve">      durante el 76º Período Ordinario de Sesiones de la Corte[6].</w:t>
        <w:br/>
        <w:br/>
        <w:t xml:space="preserve">   8. El 13 de agosto de 2007 las partes enviaron sus  respectivos  escritos</w:t>
        <w:br/>
        <w:t xml:space="preserve">      de alegatos finales.</w:t>
        <w:br/>
        <w:br/>
        <w:t xml:space="preserve">   9.  El  14  de  septiembre  de  2007  el  Presidente  solicitó  que   los</w:t>
        <w:br/>
        <w:t xml:space="preserve">      representantes remitieran  recibos  y  prueba  correspondiente  a  los</w:t>
        <w:br/>
        <w:t xml:space="preserve">      gastos que incurrieron en el presente caso.</w:t>
        <w:br/>
        <w:br/>
        <w:t xml:space="preserve">  10. El 23 de octubre de 2007 los representantes de las presuntas  víctimas</w:t>
        <w:br/>
        <w:t xml:space="preserve">      presentaron un “desglose de gastos” incurridos por ellos, y remitieron</w:t>
        <w:br/>
        <w:t xml:space="preserve">      los comprobantes correspondientes el 7 de noviembre de 2007.</w:t>
        <w:br/>
        <w:br/>
        <w:t xml:space="preserve">  11. El 16 de noviembre de 2007, el Estado y la  Comisión  presentaron  sus</w:t>
        <w:br/>
        <w:t xml:space="preserve">      respectivas observaciones sobre el “desglose de gastos”  remitido  por</w:t>
        <w:br/>
        <w:t xml:space="preserve">      los representantes.</w:t>
        <w:br/>
        <w:br/>
        <w:t xml:space="preserve">                                     III</w:t>
        <w:br/>
        <w:br/>
        <w:t xml:space="preserve">                           Consideraciones Previas</w:t>
        <w:br/>
        <w:br/>
        <w:br/>
        <w:t xml:space="preserve">  12. Antes de analizar la excepción preliminar presentada por el  Estado  y</w:t>
        <w:br/>
        <w:t xml:space="preserve">      el posible fondo del caso, el Tribunal considerará  en  este  capítulo</w:t>
        <w:br/>
        <w:t xml:space="preserve">      las  siguientes  dos  cuestiones  planteadas  por  el  Estado  en  sus</w:t>
        <w:br/>
        <w:t xml:space="preserve">      escritos: a) el efecto de  la  reserva  de  Barbados  respecto  de  la</w:t>
        <w:br/>
        <w:t xml:space="preserve">      Convención  Americana  y  b)  la  presunta  irrelevancia  (en   inglés</w:t>
        <w:br/>
        <w:t xml:space="preserve">      “mootness”) de los asuntos presentados en el presente caso.</w:t>
        <w:br/>
        <w:br/>
        <w:br/>
        <w:t>A.    La Reserva de Barbados respecto de la Convención Americana</w:t>
        <w:br/>
        <w:br/>
        <w:br/>
        <w:t xml:space="preserve">  13. El Estado afirmó que “su reserva respecto de la  Convención  Americana</w:t>
        <w:br/>
        <w:t xml:space="preserve">      impide el análisis de esta [...] Corte de tanto (1) la pena de  muerte</w:t>
        <w:br/>
        <w:t xml:space="preserve">      como de (2) su método de ejecución”.  Las partes  relevantes  de  esta</w:t>
        <w:br/>
        <w:t xml:space="preserve">      reserva indican lo siguiente:</w:t>
        <w:br/>
        <w:br/>
        <w:br/>
        <w:t xml:space="preserve">      En cuanto al párrafo 4 del Artículo 4 [de la  Convención],  el  Código</w:t>
        <w:br/>
        <w:t xml:space="preserve">      Penal de Barbados establece la pena de muerte  en  la  horca  por  los</w:t>
        <w:br/>
        <w:t xml:space="preserve">      delitos  de  homicidio  y  traición.  El  Gobierno   está   examinando</w:t>
        <w:br/>
        <w:t xml:space="preserve">      actualmente la cuestión de la pena de muerte, que sólo  se  impone  en</w:t>
        <w:br/>
        <w:t xml:space="preserve">      raras ocasiones, pero desea hacer una reserva sobre este punto, ya que</w:t>
        <w:br/>
        <w:t xml:space="preserve">      en ciertas circunstancias  podría  considerarse  que  la  traición  es</w:t>
        <w:br/>
        <w:t xml:space="preserve">      delito político y cae  dentro  de  los  términos  del  párrafo  4  del</w:t>
        <w:br/>
        <w:t xml:space="preserve">      Artículo 4 [de la Convención].</w:t>
        <w:br/>
        <w:br/>
        <w:br/>
        <w:t xml:space="preserve">      Con respecto al párrafo 5 del Artículo 4 [de la Convención], aunque la</w:t>
        <w:br/>
        <w:t xml:space="preserve">      juventud o mayor edad del  delincuente  pueden  ser  factores  que  el</w:t>
        <w:br/>
        <w:t xml:space="preserve">      Consejo Privado, Corte de Apelaciones de más  alta  jerarquía,  podría</w:t>
        <w:br/>
        <w:t xml:space="preserve">      tomar en cuenta al considerar si  se  debe  cumplir  la  sentencia  de</w:t>
        <w:br/>
        <w:t xml:space="preserve">      muerte, las personas de 16 años y más  o  mayores  de  70  pueden  ser</w:t>
        <w:br/>
        <w:t xml:space="preserve">      ejecutadas de conformidad con la ley de Barbados.</w:t>
        <w:br/>
        <w:br/>
        <w:br/>
        <w:t xml:space="preserve">      […].</w:t>
        <w:br/>
        <w:br/>
        <w:t xml:space="preserve">  14. El Estado alegó que aún si la reserva hace mención, en general,  a  la</w:t>
        <w:br/>
        <w:t xml:space="preserve">      edad del infractor y la exclusión  de  la  traición  del  alcance  del</w:t>
        <w:br/>
        <w:t xml:space="preserve">      término “delitos políticos” conforme al artículo 4.4 de la Convención,</w:t>
        <w:br/>
        <w:t xml:space="preserve">      la primera oración de la reserva “reserva  al  Estado  el  derecho  de</w:t>
        <w:br/>
        <w:t xml:space="preserve">      llevar a cabo la pena de muerte  por  horca  como  sentencia  por  los</w:t>
        <w:br/>
        <w:t xml:space="preserve">      delitos de homicidio y traición según lo dispuesto en  la  legislación</w:t>
        <w:br/>
        <w:t xml:space="preserve">      penal existente en Barbados”.  Asimismo, el Estado  agregó  que  “como</w:t>
        <w:br/>
        <w:t xml:space="preserve">      Barbados específicamente aludió en su reserva a la forma particular de</w:t>
        <w:br/>
        <w:t xml:space="preserve">      su pena capital, a saber, la horca, la pena de  muerte  por  horca  no</w:t>
        <w:br/>
        <w:t xml:space="preserve">      está sujeta a escrutinio bajo la Convención Americana en relación  con</w:t>
        <w:br/>
        <w:t xml:space="preserve">      Barbados”.  Asimismo, el Estado arguyó que su sistema de pena  capital</w:t>
        <w:br/>
        <w:t xml:space="preserve">      obligatoria también cae bajo el alcance excluyente de su reserva, dado</w:t>
        <w:br/>
        <w:t xml:space="preserve">      que las leyes sobre esta cuestión no han  sido  modificadas  desde  su</w:t>
        <w:br/>
        <w:t xml:space="preserve">      ratificación de la Convención.</w:t>
        <w:br/>
        <w:br/>
        <w:t xml:space="preserve">  15.  La  Corte  ha  sentado  criterio  anteriormente  en   cuanto   a   la</w:t>
        <w:br/>
        <w:t xml:space="preserve">      interpretación de reservas a la Convención[7]. Primero, al interpretar</w:t>
        <w:br/>
        <w:t xml:space="preserve">      las  reservas  la  Corte  debe,  ante  todo,   aplicar   un   análisis</w:t>
        <w:br/>
        <w:t xml:space="preserve">      estrictamente textual. Segundo,  se  debe  considerar  debidamente  el</w:t>
        <w:br/>
        <w:t xml:space="preserve">      objeto y propósito del tratado correspondiente[8] que, en el  caso  de</w:t>
        <w:br/>
        <w:t xml:space="preserve">      la Convención  Americana,  implica  “la  protección  de  los  derechos</w:t>
        <w:br/>
        <w:t xml:space="preserve">      fundamentales de los seres humanos”[9]. Además, se debe interpretar la</w:t>
        <w:br/>
        <w:t xml:space="preserve">      reserva de conformidad con el artículo 29 de la Convención,  según  el</w:t>
        <w:br/>
        <w:t xml:space="preserve">      cual no se debe interpretar una reserva a fin de limitar el goce y  el</w:t>
        <w:br/>
        <w:t xml:space="preserve">      ejercicio de los derechos y libertades reconocidos en la Convención  a</w:t>
        <w:br/>
        <w:t xml:space="preserve">      un mayor alcance que aquél dispuesto en la reserva misma[10].</w:t>
        <w:br/>
        <w:br/>
        <w:t xml:space="preserve">  16.  Textualmente,  el  primer  párrafo  de   la   reserva   en   cuestión</w:t>
        <w:br/>
        <w:t xml:space="preserve">      específicamente refiere al artículo 4.4  de  la  Convención,  el  cual</w:t>
        <w:br/>
        <w:t xml:space="preserve">      excluye la aplicación de la pena de muerte por  delitos  políticos  ni</w:t>
        <w:br/>
        <w:t xml:space="preserve">      comunes conexos con los políticos[11].  En  este  sentido,  el  Estado</w:t>
        <w:br/>
        <w:t xml:space="preserve">      expresó en forma explícita en el texto de su reserva el propósito y el</w:t>
        <w:br/>
        <w:t xml:space="preserve">      alcance de ésta, declarando que “desea hacer una  reserva  sobre  este</w:t>
        <w:br/>
        <w:t xml:space="preserve">      punto, ya que en ciertas circunstancias  podría  considerarse  que  la</w:t>
        <w:br/>
        <w:t xml:space="preserve">      traición es delito político y cae dentro de los términos del [artículo</w:t>
        <w:br/>
        <w:t xml:space="preserve">      4.4 de la Convención]”. El segundo párrafo de la  reserva  se  enfoca,</w:t>
        <w:br/>
        <w:t xml:space="preserve">      del mismo modo,  a  la  preocupación  especial  del  Estado  sobre  el</w:t>
        <w:br/>
        <w:t xml:space="preserve">      artículo 4.5 de la Convención respecto de la aplicación de la pena  de</w:t>
        <w:br/>
        <w:t xml:space="preserve">      muerte a personas menores de 16 y mayores de 70 años.</w:t>
        <w:br/>
        <w:br/>
        <w:t xml:space="preserve">  17. La Corte ha considerado, en otras ocasiones,  que  una  reserva  a  la</w:t>
        <w:br/>
        <w:t xml:space="preserve">      Convención  “no  reserva  más  de  lo  expresado  textualmente  en  la</w:t>
        <w:br/>
        <w:t xml:space="preserve">      misma”.[12]   En  este  caso,  el  texto  de  la  reserva  no  afirma,</w:t>
        <w:br/>
        <w:t xml:space="preserve">      explícitamente, si la imposición de pena de muerte es obligatoria para</w:t>
        <w:br/>
        <w:t xml:space="preserve">      el delito de homicidio y tampoco expresa si la legislación de Barbados</w:t>
        <w:br/>
        <w:t xml:space="preserve">      permite la imposición de otras penas u otros  métodos  para  llevar  a</w:t>
        <w:br/>
        <w:t xml:space="preserve">      cabo la pena de muerte en relación con dicho delito.  En este sentido,</w:t>
        <w:br/>
        <w:t xml:space="preserve">      la Corte considera que una interpretación textual de la reserva  hecha</w:t>
        <w:br/>
        <w:t xml:space="preserve">      por el Estado  de  Barbados  al  momento  de  su  ratificación  de  la</w:t>
        <w:br/>
        <w:t xml:space="preserve">      Convención Americana claramente indica que el propósito de la  reserva</w:t>
        <w:br/>
        <w:t xml:space="preserve">      no fue excluir de la  competencia  de  la  Corte  el  análisis  de  la</w:t>
        <w:br/>
        <w:t xml:space="preserve">      naturaleza obligatoria de la pena de muerte ni su forma particular  de</w:t>
        <w:br/>
        <w:t xml:space="preserve">      ejecución por medio de la horca.  Por lo tanto,  el  Estado  no  puede</w:t>
        <w:br/>
        <w:t xml:space="preserve">      acogerse a su reserva para tales efectos en el presente caso.</w:t>
        <w:br/>
        <w:br/>
        <w:br/>
        <w:t>B.    Presunta Irrelevancia (Mootness) de Cuestiones Presentadas en este</w:t>
        <w:br/>
        <w:t>Caso</w:t>
        <w:br/>
        <w:br/>
        <w:br/>
        <w:t xml:space="preserve">  18. El Estado alegó que las cuestiones  relativas  a  la  pena  de  muerte</w:t>
        <w:br/>
        <w:t xml:space="preserve">      obligatoria y a la horca son “moot y ya no son relevantes” respecto de</w:t>
        <w:br/>
        <w:t xml:space="preserve">      las  cuatro  presuntas  víctimas,  ya  que  ninguna  de  ellas   “será</w:t>
        <w:br/>
        <w:t xml:space="preserve">      ahorcada”.  El señor Atkins ya no puede estar sujeto a la  muerte  por</w:t>
        <w:br/>
        <w:t xml:space="preserve">      horca dado que falleció en prisión en  el  año  2005  por  motivos  de</w:t>
        <w:br/>
        <w:t xml:space="preserve">      enfermedad. A los señores Boyce y Joseph se les conmutaron las penas a</w:t>
        <w:br/>
        <w:t xml:space="preserve">      cadena perpetua en virtud de la decisión del Tribunal  de  Apelaciones</w:t>
        <w:br/>
        <w:t xml:space="preserve">      de Barbados de  fecha  31  de  mayo  de  2005[13],  decisión  que  fue</w:t>
        <w:br/>
        <w:t xml:space="preserve">      confirmada por la Corte de Justicia del Caribe el 8  de  noviembre  de</w:t>
        <w:br/>
        <w:t xml:space="preserve">      2006[14].  Finalmente, el Estado afirmó que la pena de muerte impuesta</w:t>
        <w:br/>
        <w:t xml:space="preserve">      al señor Huggins “no puede  ser  llevada  a  cabo  legalmente  ya  que</w:t>
        <w:br/>
        <w:t xml:space="preserve">      transcurrió un plazo mayor a los cinco  años  desde  la  fecha  de  la</w:t>
        <w:br/>
        <w:t xml:space="preserve">      sentencia condenatoria, conforme a la decisión del Comité Judicial del</w:t>
        <w:br/>
        <w:t xml:space="preserve">      Consejo Privado en el caso Pratt vs. Fiscal General de Jamaica,  según</w:t>
        <w:br/>
        <w:t xml:space="preserve">      se aplicó en el Estado de Barbados por medio  del  caso  Bradshaw  vs.</w:t>
        <w:br/>
        <w:t xml:space="preserve">      Fiscal General de Barbados”.[15]</w:t>
        <w:br/>
        <w:br/>
        <w:t xml:space="preserve">  19. Aunque las partes están de  acuerdo  de  que  tres  de  las  presuntas</w:t>
        <w:br/>
        <w:t xml:space="preserve">      víctimas no siguen sujetas a ser ejecutadas, existe  una  controversia</w:t>
        <w:br/>
        <w:t xml:space="preserve">      sobre la posibilidad de que  la  cuarta  presunta  víctima,  el  señor</w:t>
        <w:br/>
        <w:t xml:space="preserve">      Huggins, tenga aún que enfrentar  la  horca.   El  señor  Huggins  fue</w:t>
        <w:br/>
        <w:t xml:space="preserve">      condenado y sentenciado a pena de muerte por horca el 19 de  julio  de</w:t>
        <w:br/>
        <w:t xml:space="preserve">      2001[16]. El Estado afirmó que, dado  que  ha  transcurrido  un  plazo</w:t>
        <w:br/>
        <w:t xml:space="preserve">      mayor a los cinco años desde la sentencia condenatoria, se  aplica  la</w:t>
        <w:br/>
        <w:t xml:space="preserve">      regla del caso Pratt  y,  en  virtud  de  ella,  el  Estado  no  puede</w:t>
        <w:br/>
        <w:t xml:space="preserve">      ejecutarlo  legalmente[17].   La   Comisión   y   los   representantes</w:t>
        <w:br/>
        <w:t xml:space="preserve">      argumentaron que hasta tanto  se  conmute  oficialmente  su  pena,  la</w:t>
        <w:br/>
        <w:t xml:space="preserve">      posibilidad de su ejecución permanece latente.</w:t>
        <w:br/>
        <w:br/>
        <w:t xml:space="preserve">  20. En este sentido, la Corte  observa  que  la  pena  impuesta  al  señor</w:t>
        <w:br/>
        <w:t xml:space="preserve">      Huggins aún no ha sido formalmente conmutada.  Asimismo, la  Corte  no</w:t>
        <w:br/>
        <w:t xml:space="preserve">      tiene cómo confirmar, ni tampoco asumirá, que el  Consejo  Privado  de</w:t>
        <w:br/>
        <w:t xml:space="preserve">      Barbados, el cual es una dependencia del poder ejecutivo  a  cargo  de</w:t>
        <w:br/>
        <w:t xml:space="preserve">      recomendar  conmutaciones  de  penas  de  muerte,  elegirá  seguir  el</w:t>
        <w:br/>
        <w:t xml:space="preserve">      precedente judicial sentado en Pratt y en Bradshaw y que conmutará  la</w:t>
        <w:br/>
        <w:t xml:space="preserve">      pena del señor Huggins. Existe la posibilidad de que se  cuestione  la</w:t>
        <w:br/>
        <w:t xml:space="preserve">      aplicabilidad  respecto  del  señor  Huggins   del   límite   temporal</w:t>
        <w:br/>
        <w:t xml:space="preserve">      establecido en el caso Pratt para llevar a cabo  la  pena  de  muerte.</w:t>
        <w:br/>
        <w:t xml:space="preserve">      Por lo tanto, la Corte considera que el señor Huggins no tiene certeza</w:t>
        <w:br/>
        <w:t xml:space="preserve">      legal  alguna  de  que  no  enfrentará  la   ejecución   hasta   tanto</w:t>
        <w:br/>
        <w:t xml:space="preserve">      oficialmente se conmute su pena.</w:t>
        <w:br/>
        <w:br/>
        <w:t xml:space="preserve">  21. Sin embargo, aún si se asume  que  ninguna  de  las  cuatro  presuntas</w:t>
        <w:br/>
        <w:t xml:space="preserve">      víctimas será ahorcada, la Corte considera que no son pertinentes  los</w:t>
        <w:br/>
        <w:t xml:space="preserve">      argumentos del Estado en cuanto al posible mootness o irrelevancia  de</w:t>
        <w:br/>
        <w:t xml:space="preserve">      las cuestiones sobre  la  pena  de  muerte  obligatoria  y  la  horca.</w:t>
        <w:br/>
        <w:t xml:space="preserve">      Específicamente, el Estado malinterpreta el  momento  temporal  en  el</w:t>
        <w:br/>
        <w:t xml:space="preserve">      cual las presuntas violaciones hubiesen tenido lugar  en  el  presente</w:t>
        <w:br/>
        <w:t xml:space="preserve">      caso.  La premisa de la posición del Estado parece ser que la pena  de</w:t>
        <w:br/>
        <w:t xml:space="preserve">      muerte obligatoria y la muerte por horca sólo pueden dar surgimiento a</w:t>
        <w:br/>
        <w:t xml:space="preserve">      una posible violación de la Convención  Americana  únicamente  si  las</w:t>
        <w:br/>
        <w:t xml:space="preserve">      presuntas víctimas son realmente ejecutadas; es decir, si se  lleva  a</w:t>
        <w:br/>
        <w:t xml:space="preserve">      cabo la ejecución de la pena.  Sin pronunciarse en este momento  sobre</w:t>
        <w:br/>
        <w:t xml:space="preserve">      el fondo de estas cuestiones, la Corte  considera  que  las  presuntas</w:t>
        <w:br/>
        <w:t xml:space="preserve">      violaciones respecto de la pena de muerte  obligatoria  en  este  caso</w:t>
        <w:br/>
        <w:t xml:space="preserve">      hubiesen ocurrido en la etapa de la imposición de la pena,  cuando  se</w:t>
        <w:br/>
        <w:t xml:space="preserve">      sentenció a las presuntas víctimas a muerte por horca  de  conformidad</w:t>
        <w:br/>
        <w:t xml:space="preserve">      con leyes que presuntamente contradicen la Convención Americana (infra</w:t>
        <w:br/>
        <w:t xml:space="preserve">      párrs. 51-80).</w:t>
        <w:br/>
        <w:br/>
        <w:t xml:space="preserve">  22. Además, aún si ninguna de las presuntas víctimas tendría que enfrentar</w:t>
        <w:br/>
        <w:t xml:space="preserve">      la pena de muerte, la Corte aún así resolvería las  cuestiones  de  la</w:t>
        <w:br/>
        <w:t xml:space="preserve">      imposición de la pena de muerte obligatoria y la horca  en  este  caso</w:t>
        <w:br/>
        <w:t xml:space="preserve">      dado el importante interés público comprendido  y  el  derecho  humano</w:t>
        <w:br/>
        <w:t xml:space="preserve">      fundamental en cuestión, a saber, el derecho a la vida.</w:t>
        <w:br/>
        <w:br/>
        <w:t xml:space="preserve">  23. Por todas las razones expuestas, la Corte considera que las cuestiones</w:t>
        <w:br/>
        <w:t xml:space="preserve">      de la imposición de la pena de muerte obligatoria y la horca  judicial</w:t>
        <w:br/>
        <w:t xml:space="preserve">      no son moot o irrelevantes.</w:t>
        <w:br/>
        <w:br/>
        <w:t xml:space="preserve">                                     IV</w:t>
        <w:br/>
        <w:br/>
        <w:t xml:space="preserve">                          Excepciones Preliminares</w:t>
        <w:br/>
        <w:br/>
        <w:t xml:space="preserve">                   No agotamiento de los recursos internos</w:t>
        <w:br/>
        <w:br/>
        <w:br/>
        <w:br/>
        <w:t xml:space="preserve">  24. En la contestación de la demanda el Estado objetó la admisibilidad  de</w:t>
        <w:br/>
        <w:t xml:space="preserve">      la demanda sobre la base de que los recursos internos aún no han  sido</w:t>
        <w:br/>
        <w:t xml:space="preserve">      agotados, conforme a lo establecido en los artículos 46.1(a)  y  47(a)</w:t>
        <w:br/>
        <w:t xml:space="preserve">      de la Convención Americana y artículos 27 y 31 del  Reglamento  de  la</w:t>
        <w:br/>
        <w:t xml:space="preserve">      Comisión  Interamericana.   En  especial,  el  Estado  alegó  que  los</w:t>
        <w:br/>
        <w:t xml:space="preserve">      recursos internos no han sido agotados en relación con  las  presuntas</w:t>
        <w:br/>
        <w:t xml:space="preserve">      condiciones de detención, la presunta crueldad de la horca como método</w:t>
        <w:br/>
        <w:t xml:space="preserve">      de ejecución y la presunta crueldad comprendida en la notificación  de</w:t>
        <w:br/>
        <w:t xml:space="preserve">      las  órdenes  de  ejecución  a  las  presuntas  víctimas  mientras  se</w:t>
        <w:br/>
        <w:t xml:space="preserve">      encontraba pendiente la resolución de sus apelaciones.</w:t>
        <w:br/>
        <w:br/>
        <w:t xml:space="preserve">  25. La  Corte  ha  sentado  claras  pautas  para  analizar  una  excepción</w:t>
        <w:br/>
        <w:t xml:space="preserve">      preliminar basada en  un  presunto  no  agotamiento  de  los  recursos</w:t>
        <w:br/>
        <w:t xml:space="preserve">      internos[18].  Primero, la Corte debe interpretar  la  excepción  como</w:t>
        <w:br/>
        <w:t xml:space="preserve">      una defensa disponible a los Estados, el cual puede renunciar  a  ésta</w:t>
        <w:br/>
        <w:t xml:space="preserve">      ya sea expresa o tácitamente.  Segundo, a fin de que sea  oportuna  la</w:t>
        <w:br/>
        <w:t xml:space="preserve">      excepción sobre el no  agotamiento  de  los  recursos  internos,  debe</w:t>
        <w:br/>
        <w:t xml:space="preserve">      alegarse en la primera actuación del Estado durante  el  procedimiento</w:t>
        <w:br/>
        <w:t xml:space="preserve">      ante la Comisión; de  lo  contrario,  se  presume  que  el  Estado  ha</w:t>
        <w:br/>
        <w:t xml:space="preserve">      renunciado tácitamente a presentar dicho argumento.  Tercero, la Corte</w:t>
        <w:br/>
        <w:t xml:space="preserve">      ha afirmado que el Estado que presenta esta excepción debe especificar</w:t>
        <w:br/>
        <w:t xml:space="preserve">      los recursos internos que aún no han sido  agotados  y  demostrar  que</w:t>
        <w:br/>
        <w:t xml:space="preserve">      estos recursos son aplicables y efectivos.</w:t>
        <w:br/>
        <w:br/>
        <w:t xml:space="preserve">  26. La Corte sostiene primeramente que los representantes alegaron  en  la</w:t>
        <w:br/>
        <w:t xml:space="preserve">      petición inicial que presentaron a la Comisión estos tres  asuntos  en</w:t>
        <w:br/>
        <w:t xml:space="preserve">      cuestión (condiciones de detención, horca y notificación de órdenes de</w:t>
        <w:br/>
        <w:t xml:space="preserve">      ejecución) respecto de las cuatro presuntas víctimas.  Sin embargo, el</w:t>
        <w:br/>
        <w:t xml:space="preserve">      Estado no interpuso ninguna objeción en su primera  actuación  durante</w:t>
        <w:br/>
        <w:t xml:space="preserve">      el procedimiento ante la Comisión en  cuanto  al  agotamiento  de  los</w:t>
        <w:br/>
        <w:t xml:space="preserve">      recursos internos en el caso de dos de las cuatro presuntas  víctimas,</w:t>
        <w:br/>
        <w:t xml:space="preserve">      a saber, de los señores Boyce  y  Joseph.   Por  ello,  el  Estado  ha</w:t>
        <w:br/>
        <w:t xml:space="preserve">      renunciado implícitamente  a  su  derecho  de  ejercer  dicha  defensa</w:t>
        <w:br/>
        <w:t xml:space="preserve">      respecto de esas dos presuntas víctimas.</w:t>
        <w:br/>
        <w:br/>
        <w:t xml:space="preserve">  27. Sin embargo, el Estado  indicó  en  su  primera  intervención  escrita</w:t>
        <w:br/>
        <w:t xml:space="preserve">      durante el procedimiento ante la Comisión que “no se han  agotado  los</w:t>
        <w:br/>
        <w:t xml:space="preserve">      recursos internos respecto  de  Michael  Huggins  y  Frederick  Atkins</w:t>
        <w:br/>
        <w:t xml:space="preserve">      porque el Comité Judicial del Consejo Privado no ha emitido resolución</w:t>
        <w:br/>
        <w:t xml:space="preserve">      alguna respecto  de  sus  apelaciones  internas”.  En  su  escrito  de</w:t>
        <w:br/>
        <w:t xml:space="preserve">      alegatos finales ante la Corte, el Estado admitió que  “la  afirmación</w:t>
        <w:br/>
        <w:t xml:space="preserve">      antes mencionada era incorrecta dado que la resolución  a  la  que  se</w:t>
        <w:br/>
        <w:t xml:space="preserve">      refería ya había sido transmitida por el Comité Judicial  del  Consejo</w:t>
        <w:br/>
        <w:t xml:space="preserve">      Privado a otra dependencia del Gobierno [y por  lo  tanto]  se  habían</w:t>
        <w:br/>
        <w:t xml:space="preserve">      completado los procesos internos [en relación con las  apelaciones  de</w:t>
        <w:br/>
        <w:t xml:space="preserve">      los señores Huggins y Atkins]”.  No obstante, el  Estado  sostuvo  que</w:t>
        <w:br/>
        <w:t xml:space="preserve">      planteó en el momento procesal oportuno su argumento de que no se  han</w:t>
        <w:br/>
        <w:t xml:space="preserve">      agotado los recursos internos respecto de las presuntas condiciones de</w:t>
        <w:br/>
        <w:t xml:space="preserve">      detención, la crueldad de la  horca  como  forma  de  ejecución  y  la</w:t>
        <w:br/>
        <w:t xml:space="preserve">      notificación de las órdenes de ejecución.</w:t>
        <w:br/>
        <w:br/>
        <w:t xml:space="preserve">  28. La prueba presentada ante la Corte no sustenta la posición del Estado.</w:t>
        <w:br/>
        <w:t xml:space="preserve">       La Comisión solicitó al Estado, en tres ocasiones,  observaciones  en</w:t>
        <w:br/>
        <w:t xml:space="preserve">      relación con la admisibilidad y fondo de la demanda.  Sin embargo,  el</w:t>
        <w:br/>
        <w:t xml:space="preserve">      Estado no especificó los recursos internos que tenían disponibles  los</w:t>
        <w:br/>
        <w:t xml:space="preserve">      señores Huggins  y  Atkins  ni  demostró  que  estos  recursos  fuesen</w:t>
        <w:br/>
        <w:t xml:space="preserve">      efectivos y aplicables.  Tal fue la conclusión de la Comisión, la cual</w:t>
        <w:br/>
        <w:t xml:space="preserve">      indicó en su informe sobre admisibilidad y fondo que “el Estado  había</w:t>
        <w:br/>
        <w:t xml:space="preserve">      renunciado, implícita  o  tácitamente,  a  cualquier  impugnación  con</w:t>
        <w:br/>
        <w:t xml:space="preserve">      respecto del agotamiento de los recursos internos  por  parte  de  las</w:t>
        <w:br/>
        <w:t xml:space="preserve">      presuntas víctimas” dado que “el Estado no ofreció observaciones en el</w:t>
        <w:br/>
        <w:t xml:space="preserve">      caso de los señores Boyce y Joseph  y  en  relación  con  los  señores</w:t>
        <w:br/>
        <w:t xml:space="preserve">      Huggins y Atkins no explicó cuáles recursos  internos  aún  no  habían</w:t>
        <w:br/>
        <w:t xml:space="preserve">      sido agotados.”</w:t>
        <w:br/>
        <w:br/>
        <w:t xml:space="preserve">  29. Por ello, de  conformidad  con  los  requisitos  procesales  señalados</w:t>
        <w:br/>
        <w:t xml:space="preserve">      anteriormente (supra párr. 25), el Estado ha renunciado implícitamente</w:t>
        <w:br/>
        <w:t xml:space="preserve">      a la defensa otorgada a su favor por la Convención Americana[19].  Por</w:t>
        <w:br/>
        <w:t xml:space="preserve">      lo tanto, se  rechaza  la  excepción  preliminar  interpuesta  por  el</w:t>
        <w:br/>
        <w:t xml:space="preserve">      Estado.</w:t>
        <w:br/>
        <w:br/>
        <w:t xml:space="preserve">                                      V</w:t>
        <w:br/>
        <w:br/>
        <w:t xml:space="preserve">                           Competencia de la Corte</w:t>
        <w:br/>
        <w:br/>
        <w:br/>
        <w:t xml:space="preserve">  30. La Corte Interamericana es competente, en los  términos  del  artículo</w:t>
        <w:br/>
        <w:t xml:space="preserve">      62.3 de la Convención, para conocer del presente caso.  El  Estado  de</w:t>
        <w:br/>
        <w:t xml:space="preserve">      Barbados ratificó la Convención Americana de Derechos Humanos el 27 de</w:t>
        <w:br/>
        <w:t xml:space="preserve">      noviembre de 1982 y reconoció la competencia contenciosa de  la  Corte</w:t>
        <w:br/>
        <w:t xml:space="preserve">      el 4 de junio de 2000.</w:t>
        <w:br/>
        <w:br/>
        <w:t xml:space="preserve">                                     VI</w:t>
        <w:br/>
        <w:br/>
        <w:t xml:space="preserve">                            Medidas Provisionales</w:t>
        <w:br/>
        <w:br/>
        <w:br/>
        <w:t xml:space="preserve">  31. El 17 de septiembre de 2004, la Comisión Interamericana sometió  a  la</w:t>
        <w:br/>
        <w:t xml:space="preserve">      Corte, de conformidad con el artículo 63.2 de la Convención y  25  del</w:t>
        <w:br/>
        <w:t xml:space="preserve">      Reglamento, una solicitud para la adopción de medidas provisionales  a</w:t>
        <w:br/>
        <w:t xml:space="preserve">      favor de los señores Lennox Boyce y  Jeffrey  Joseph,  quienes  habían</w:t>
        <w:br/>
        <w:t xml:space="preserve">      sido sentenciados a muerte en Barbados, a fin de que “Barbados  adopte</w:t>
        <w:br/>
        <w:t xml:space="preserve">      las medidas necesarias para preservar la vida y la  integridad  física</w:t>
        <w:br/>
        <w:t xml:space="preserve">      de las presuntas víctimas para no obstaculizar el procedimiento de sus</w:t>
        <w:br/>
        <w:t xml:space="preserve">      casos  ante  el  sistema  interamericano”.   En  ese  mismo  día,   el</w:t>
        <w:br/>
        <w:t xml:space="preserve">      Presidente emitió una Resolución en la  cual  se  solicitó  al  Estado</w:t>
        <w:br/>
        <w:t xml:space="preserve">      adoptar dichas medidas provisionales[20].  El 25 de noviembre de 2004,</w:t>
        <w:br/>
        <w:t xml:space="preserve">      el Tribunal decidió “ratificar la Resolución del Presidente  de  fecha</w:t>
        <w:br/>
        <w:t xml:space="preserve">      17 de septiembre de 2004  [...]  y  solicitar  al  Estado  que  adopte</w:t>
        <w:br/>
        <w:t xml:space="preserve">      inmediatamente todas las medidas necesarias a fin de cumplir con dicha</w:t>
        <w:br/>
        <w:t xml:space="preserve">      Resolución”[21].</w:t>
        <w:br/>
        <w:br/>
        <w:t xml:space="preserve">  32. El 11 de febrero y el 19 de mayo de 2005, respectivamente, la Comisión</w:t>
        <w:br/>
        <w:t xml:space="preserve">      solicitó a la Corte “ampliar las  medidas  provisionales  adoptadas  a</w:t>
        <w:br/>
        <w:t xml:space="preserve">      favor de los señores Boyce y Joseph” a fin de incluir  a  los  señores</w:t>
        <w:br/>
        <w:t xml:space="preserve">      Frederick Atkins  y  Michael  Huggins,  quienes  también  habían  sido</w:t>
        <w:br/>
        <w:t xml:space="preserve">      sentenciados a la pena de muerte en  Barbados.    De  esta  forma,  el</w:t>
        <w:br/>
        <w:t xml:space="preserve">      Presidente de la Corte emitió Resoluciones los días 11 de febrero y 20</w:t>
        <w:br/>
        <w:t xml:space="preserve">      de mayo de 2005,  en  las  cuales  solicitó  al  Estado  que  adoptara</w:t>
        <w:br/>
        <w:t xml:space="preserve">      aquellas medidas que fueran necesarias para preservar  la  vida  y  la</w:t>
        <w:br/>
        <w:t xml:space="preserve">      integridad  física  de  Frederick  Atkins  y   de   Michael   Huggins,</w:t>
        <w:br/>
        <w:t xml:space="preserve">      respectivamente, a fin de no  obstaculizar  el  procedimiento  de  sus</w:t>
        <w:br/>
        <w:t xml:space="preserve">      casos ante el sistema interamericano, y  que  mantuviera  las  medidas</w:t>
        <w:br/>
        <w:t xml:space="preserve">      adoptadas a favor de Lennox Boyce y de Jeffrey  Joseph  con  el  mismo</w:t>
        <w:br/>
        <w:t xml:space="preserve">      fin[22].  El 14 de junio de 2005 la Corte  ratificó  las  Resoluciones</w:t>
        <w:br/>
        <w:t xml:space="preserve">      del Presiente de fecha 11 de febrero y 20 de mayo de 2005  y  solicitó</w:t>
        <w:br/>
        <w:t xml:space="preserve">      al Estado que adoptara  inmediatamente  las  medidas  necesarias  para</w:t>
        <w:br/>
        <w:t xml:space="preserve">      cumplir con dichas Resoluciones[23].</w:t>
        <w:br/>
        <w:br/>
        <w:t xml:space="preserve">  33. Hasta la fecha de la presente Sentencia, el Estado no ha  ejecutado  a</w:t>
        <w:br/>
        <w:t xml:space="preserve">      ninguno de los beneficiarios de las  medidas  provisionales  ordenadas</w:t>
        <w:br/>
        <w:t xml:space="preserve">      por este Tribunal.</w:t>
        <w:br/>
        <w:br/>
        <w:t xml:space="preserve">                                     VII</w:t>
        <w:br/>
        <w:br/>
        <w:t xml:space="preserve">                                   Prueba</w:t>
        <w:br/>
        <w:br/>
        <w:br/>
        <w:t xml:space="preserve">  34. Con base en lo establecido en los artículos 44 y  45  del  Reglamento,</w:t>
        <w:br/>
        <w:t xml:space="preserve">      así como en la jurisprudencia del Tribunal respecto de la prueba y  su</w:t>
        <w:br/>
        <w:t xml:space="preserve">      apreciación[24], la Corte procederá a examinar y valorar los elementos</w:t>
        <w:br/>
        <w:t xml:space="preserve">      probatorios documentales remitidos por la Comisión, los representantes</w:t>
        <w:br/>
        <w:t xml:space="preserve">      y el Estado en diversas oportunidades procesales o  como  prueba  para</w:t>
        <w:br/>
        <w:t xml:space="preserve">      mejor resolver que les fue solicitada por el Presidente  y  la  Corte,</w:t>
        <w:br/>
        <w:t xml:space="preserve">      así como las declaraciones testimoniales  y  los  dictámenes  rendidos</w:t>
        <w:br/>
        <w:t xml:space="preserve">      mediante declaración jurada, ante fedatario público (affidávit)  o  en</w:t>
        <w:br/>
        <w:t xml:space="preserve">      la audiencia pública ante la Corte. Para ello el Tribunal se atendrá a</w:t>
        <w:br/>
        <w:t xml:space="preserve">      los  principios  de  la  sana  crítica,   dentro   del   marco   legal</w:t>
        <w:br/>
        <w:t xml:space="preserve">      correspondiente[25].</w:t>
        <w:br/>
        <w:br/>
        <w:br/>
        <w:t>A)    Prueba Documental, Testimonial y Pericial</w:t>
        <w:br/>
        <w:br/>
        <w:br/>
        <w:t xml:space="preserve">  35. A pedido del Presidente[26], la Corte recibió los  testimonios  y  las</w:t>
        <w:br/>
        <w:t xml:space="preserve">      declaraciones rendidas  ante  fedatario  público  (affidávit)  de  los</w:t>
        <w:br/>
        <w:t xml:space="preserve">      siguientes testigos y peritos[27]:</w:t>
        <w:br/>
        <w:br/>
        <w:t xml:space="preserve">   a) Lennox Ricardo Boyce,  Jeffrey  Joseph  y  Michael  McDonald  Huggins,</w:t>
        <w:br/>
        <w:t xml:space="preserve">      testigos propuestos por los representantes, son tres de las  presuntas</w:t>
        <w:br/>
        <w:t xml:space="preserve">      víctimas.   Sus   declaraciones   versaron   sobre   sus   condiciones</w:t>
        <w:br/>
        <w:t xml:space="preserve">      particulares de prisión y las condiciones generales de detención en la</w:t>
        <w:br/>
        <w:t xml:space="preserve">      Prisión de Glendairy y en la Prisión Temporal de Harrison’s Point, así</w:t>
        <w:br/>
        <w:t xml:space="preserve">      como la notificación de las  órdenes  de  ejecución  mientras  estaban</w:t>
        <w:br/>
        <w:t xml:space="preserve">      supuestamente pendientes sus apelaciones domésticas y su petición ante</w:t>
        <w:br/>
        <w:t xml:space="preserve">      la Comisión Interamericana;</w:t>
        <w:br/>
        <w:br/>
        <w:br/>
        <w:t xml:space="preserve">   b) Frank Thornhill, testigo propuesto por el Estado,  se  desempeña  como</w:t>
        <w:br/>
        <w:t xml:space="preserve">      Oficial Técnico en Jefe en el  Ministerio  de  Transporte  y  Trabajos</w:t>
        <w:br/>
        <w:t xml:space="preserve">      Públicos de  Barbados.  Declaró  sobre  los  procedimientos  mecánicos</w:t>
        <w:br/>
        <w:t xml:space="preserve">      relacionados con la horca judicial en Barbados.</w:t>
        <w:br/>
        <w:br/>
        <w:t xml:space="preserve">   c) Baronesa Vivien Stern, perito propuesta por la Comisión Interamericana</w:t>
        <w:br/>
        <w:t xml:space="preserve">      y  los  representantes,  es  Investigadora  Principal  en  el   Centro</w:t>
        <w:br/>
        <w:t xml:space="preserve">      Internacional  de  Estudios  sobre  Prisiones  de  la  Universidad  de</w:t>
        <w:br/>
        <w:t xml:space="preserve">      Londres.  Rindió dictamen sobre los instrumentos  internacionales  que</w:t>
        <w:br/>
        <w:t xml:space="preserve">      rigen las detenciones, las condiciones generales de  la  detención  en</w:t>
        <w:br/>
        <w:t xml:space="preserve">      Barbados, las condiciones de prisión en  la  Prisión  Glendairy  y  en</w:t>
        <w:br/>
        <w:t xml:space="preserve">      Harrison's Point y su cumplimiento con los estándares  internacionales</w:t>
        <w:br/>
        <w:t xml:space="preserve">      en la materia;</w:t>
        <w:br/>
        <w:br/>
        <w:t xml:space="preserve">   d) Harold Hillman, perito propuesto por los representantes, se  desempeñó</w:t>
        <w:br/>
        <w:t xml:space="preserve">      como Director del Laboratorio  de  Unidad  de  Neurobiología  Aplicada</w:t>
        <w:br/>
        <w:t xml:space="preserve">      (“Unity Laboratory  of  Applied  Neurobiology”)  y  es  médico  en  la</w:t>
        <w:br/>
        <w:t xml:space="preserve">      Fundación Médica para el Cuidado de Víctimas  de  Tortura.  Emitió  su</w:t>
        <w:br/>
        <w:t xml:space="preserve">      dictamen respecto de la muerte por horca,  desde  el  punto  de  vista</w:t>
        <w:br/>
        <w:t xml:space="preserve">      médico;</w:t>
        <w:br/>
        <w:br/>
        <w:t xml:space="preserve">   e) Roger Hood, perito  propuesto  por  los  representantes,  es  Profesor</w:t>
        <w:br/>
        <w:t xml:space="preserve">      Emérito de Criminología en la Universidad de Oxford y Becario  Emérito</w:t>
        <w:br/>
        <w:t xml:space="preserve">      de All Souls College, de Oxford.  Emitió dictamen sobre el  estado  de</w:t>
        <w:br/>
        <w:t xml:space="preserve">      la pena de muerte obligatoria en estados que aún la conservan, y</w:t>
        <w:br/>
        <w:br/>
        <w:t xml:space="preserve">   f) Deryk Simon James, perito propuesto por los representantes, es miembro</w:t>
        <w:br/>
        <w:t xml:space="preserve">      del Colegio Real de Patología  (“Royal  College  of  Pathologists)”  y</w:t>
        <w:br/>
        <w:t xml:space="preserve">      Profesor Titular  en  Patología  Forense  en  el  Instituto  Wales  de</w:t>
        <w:br/>
        <w:t xml:space="preserve">      Medicina Forense de la Universidad de Cardiff. Emitió su  dictamen  en</w:t>
        <w:br/>
        <w:t xml:space="preserve">      relación  con  la  horca,  su  historia,  las  variables  que   pueden</w:t>
        <w:br/>
        <w:t xml:space="preserve">      influenciar las causas de muerte en los mecanismos de horca,  revisión</w:t>
        <w:br/>
        <w:t xml:space="preserve">      de prueba presentada en otros casos y el método de  ejecución  que  se</w:t>
        <w:br/>
        <w:t xml:space="preserve">      utiliza en Barbados.</w:t>
        <w:br/>
        <w:br/>
        <w:t xml:space="preserve">  36. Durante la audiencia pública del presente caso, la  Corte  recibió  la</w:t>
        <w:br/>
        <w:t xml:space="preserve">      declaración de los siguientes testigos y peritos:</w:t>
        <w:br/>
        <w:br/>
        <w:t xml:space="preserve">   a) Adrian King, testigo propuesto por la Comisión y  los  representantes,</w:t>
        <w:br/>
        <w:t xml:space="preserve">      se desempeña  como  abogado  y  declaró  sobre  la  legislación  y  el</w:t>
        <w:br/>
        <w:t xml:space="preserve">      procedimiento  existente  de  la  pena  de  muerte  en  Barbados,   la</w:t>
        <w:br/>
        <w:t xml:space="preserve">      naturaleza de la pena de muerte  obligatoria  y  el  ejercicio  de  la</w:t>
        <w:br/>
        <w:t xml:space="preserve">      prerrogativa de clemencia  en  Barbados  según  su  aplicación  en  el</w:t>
        <w:br/>
        <w:t xml:space="preserve">      presente caso y en otros casos de su conocimiento personal;</w:t>
        <w:br/>
        <w:br/>
        <w:br/>
        <w:t xml:space="preserve">   b) Alliston Seale, testigo propuesto por el Estado, es abogado en Colegio</w:t>
        <w:br/>
        <w:t xml:space="preserve">      de Abogados de Barbados y declaró sobre el procedimiento legal seguido</w:t>
        <w:br/>
        <w:t xml:space="preserve">      en los enjuiciamientos por homicidio y el ejercicio de la prerrogativa</w:t>
        <w:br/>
        <w:t xml:space="preserve">      de clemencia en Barbados;</w:t>
        <w:br/>
        <w:br/>
        <w:t xml:space="preserve">   c) John Nurse,  testigo  propuesto  por  el  Estado,  se  desempeña  como</w:t>
        <w:br/>
        <w:t xml:space="preserve">      Superintendente de las Penitenciarias del  Servicio  Penitenciario  de</w:t>
        <w:br/>
        <w:t xml:space="preserve">      Barbados. Su declaración versó sobre las  condiciones  de  la  Prisión</w:t>
        <w:br/>
        <w:t xml:space="preserve">      Glendairy y la Prisión Temporal de Harrison's Point,  el  rol  de  los</w:t>
        <w:br/>
        <w:t xml:space="preserve">      agentes de la policía y del Superintendente dentro de dichas prisiones</w:t>
        <w:br/>
        <w:t xml:space="preserve">      y los procedimientos de  reclamos  disponibles  en  relación  con  las</w:t>
        <w:br/>
        <w:t xml:space="preserve">      condiciones de detención, y</w:t>
        <w:br/>
        <w:br/>
        <w:t xml:space="preserve">   d) Andrew Coyle, perito propuesto por la Comisión y  los  representantes,</w:t>
        <w:br/>
        <w:t xml:space="preserve">      es profesor de Estudios Penitenciarios en la Facultad  de  Derecho  de</w:t>
        <w:br/>
        <w:t xml:space="preserve">      King’s  College,  Universidad  de  Londres  y  asesor  en   cuestiones</w:t>
        <w:br/>
        <w:t xml:space="preserve">      correccionales en Naciones Unidas y otros organismos  internacionales.</w:t>
        <w:br/>
        <w:t xml:space="preserve">      Emitió dictamen sobre  las  condiciones  de  la  penitenciaria  en  la</w:t>
        <w:br/>
        <w:t xml:space="preserve">      Prisión Glendairy y la Prisión  Temporaria  de  Harrison’s  Point,  el</w:t>
        <w:br/>
        <w:t xml:space="preserve">      incendio que destruyó la Prisión Glendairy y las condiciones generales</w:t>
        <w:br/>
        <w:t xml:space="preserve">      de las instalaciones de las prisiones en otros países.</w:t>
        <w:br/>
        <w:br/>
        <w:br/>
        <w:br/>
        <w:br/>
        <w:t>B)    Valoración de la Prueba</w:t>
        <w:br/>
        <w:br/>
        <w:br/>
        <w:t xml:space="preserve">  37. En este caso, como en otros[28], en aplicación  del  artículo  45.1  y</w:t>
        <w:br/>
        <w:t xml:space="preserve">      45.2 del  Reglamento,  el  Tribunal  admite  el  valor  probatorio  de</w:t>
        <w:br/>
        <w:t xml:space="preserve">      aquellos documentos y declaraciones remitidos por  las  partes  en  su</w:t>
        <w:br/>
        <w:t xml:space="preserve">      oportunidad procesal o como prueba para mejor resolver, que no  fueron</w:t>
        <w:br/>
        <w:t xml:space="preserve">      controvertidos ni objetados, ni cuya autenticidad fue puesta en  duda.</w:t>
        <w:br/>
        <w:br/>
        <w:br/>
        <w:br/>
        <w:t xml:space="preserve">  38. La Corte agrega al acervo probatorio, de conformidad con  el  artículo</w:t>
        <w:br/>
        <w:t xml:space="preserve">      45.2 del Reglamento y por estimar que  son  útiles  para  resolver  el</w:t>
        <w:br/>
        <w:t xml:space="preserve">      caso, la documentación solicitada por el  Tribunal  como  prueba  para</w:t>
        <w:br/>
        <w:t xml:space="preserve">      mejor  resolver,  particularmente  los  comprobantes  de  los   gastos</w:t>
        <w:br/>
        <w:t xml:space="preserve">      presentados por los representantes y las directivas  emitidas  por  el</w:t>
        <w:br/>
        <w:t xml:space="preserve">      señor John Nurse en junio de 2007 en relación con el procedimiento  de</w:t>
        <w:br/>
        <w:t xml:space="preserve">      las horcas judiciales en Barbados (supra párrs. 8 y 9).</w:t>
        <w:br/>
        <w:br/>
        <w:t xml:space="preserve">  39. En cuanto a los recortes de prensa presentados por  las  partes,  este</w:t>
        <w:br/>
        <w:t xml:space="preserve">      Tribunal ha considerado que  podrían  ser  apreciados  cuando  recojan</w:t>
        <w:br/>
        <w:t xml:space="preserve">      hechos públicos y notorios o declaraciones de funcionarios del  Estado</w:t>
        <w:br/>
        <w:t xml:space="preserve">      que  no  hayan  sido  modificadas,  o   cuando   corroboren   aspectos</w:t>
        <w:br/>
        <w:t xml:space="preserve">      relacionados con el caso ya comprobados por otros medios[29].</w:t>
        <w:br/>
        <w:br/>
        <w:t xml:space="preserve">  40. En cuanto a los testimonios y dictámenes rendidos por los  testigos  y</w:t>
        <w:br/>
        <w:t xml:space="preserve">      peritos, la Corte los estima  pertinentes  en  cuanto  se  ajusten  al</w:t>
        <w:br/>
        <w:t xml:space="preserve">      objeto que fue definido por el Presidente en la Resolución en la  cual</w:t>
        <w:br/>
        <w:t xml:space="preserve">      ordenó recibirlos (supra párrs. 6, 35 y 36) y tomando  en  cuenta  las</w:t>
        <w:br/>
        <w:t xml:space="preserve">      observaciones presentadas por las partes.  Este  Tribunal  estima  que</w:t>
        <w:br/>
        <w:t xml:space="preserve">      las declaraciones testimoniales presentadas por las víctimas no pueden</w:t>
        <w:br/>
        <w:t xml:space="preserve">      ser valoradas aisladamente dado que dichas personas tienen un  interés</w:t>
        <w:br/>
        <w:t xml:space="preserve">      directo en este caso, razón por la cual  serán  valoradas  dentro  del</w:t>
        <w:br/>
        <w:t xml:space="preserve">      conjunto de las pruebas del proceso[30].</w:t>
        <w:br/>
        <w:br/>
        <w:t xml:space="preserve">  41. Asimismo, la Corte agrega al acervo probatorio, de conformidad con  el</w:t>
        <w:br/>
        <w:t xml:space="preserve">      artículo 45.1 del Reglamento y por estimarlo  útil  para  resolver  el</w:t>
        <w:br/>
        <w:t xml:space="preserve">      caso, el diagrama presentado por el Profesor  Coyle  al  finalizar  la</w:t>
        <w:br/>
        <w:t xml:space="preserve">      audiencia pública celebrada el 11 de julio de 2007.</w:t>
        <w:br/>
        <w:br/>
        <w:t xml:space="preserve">  42. Adicionalmente, el Estado presentó una “[c]arta del  21  de  enero  de</w:t>
        <w:br/>
        <w:t xml:space="preserve">      2003 de la Comisión Interamericana de Derechos Humanos, en la cual  se</w:t>
        <w:br/>
        <w:t xml:space="preserve">      adjunta el Acta de la Audiencia Nº 55, Pena  de  Muerte  en  Barbados,</w:t>
        <w:br/>
        <w:t xml:space="preserve">      lunes, 18 de octubre  de  2002”  al  presentar  sus  observaciones  al</w:t>
        <w:br/>
        <w:t xml:space="preserve">      escrito adicional de los representantes.  La Corte  considera  que  el</w:t>
        <w:br/>
        <w:t xml:space="preserve">      documento antes mencionado presentado por el Estado,  el  cual  no  ha</w:t>
        <w:br/>
        <w:t xml:space="preserve">      sido impugnado ni cuestionada su autenticidad, es  útil  y  relevante;</w:t>
        <w:br/>
        <w:t xml:space="preserve">      por  lo  tanto,  la  Corte  lo  incorpora  al  acervo  probatorio,  de</w:t>
        <w:br/>
        <w:t xml:space="preserve">      conformidad con el artículo 45.1 del Reglamento.</w:t>
        <w:br/>
        <w:br/>
        <w:t xml:space="preserve">  43. Asimismo, el  Estado  presentó  prueba  documental  adicional  en  sus</w:t>
        <w:br/>
        <w:t xml:space="preserve">      alegatos finales.  El Tribunal considera que  dichos  documentos,  los</w:t>
        <w:br/>
        <w:t xml:space="preserve">      cuales no han sido impugnados  ni  su  autenticidad  cuestionada,  son</w:t>
        <w:br/>
        <w:t xml:space="preserve">      útiles y relevantes y se relacionan con las  aclaraciones  solicitadas</w:t>
        <w:br/>
        <w:t xml:space="preserve">      por los Jueces durante la audiencia pública  del  presente  caso.  Por</w:t>
        <w:br/>
        <w:t xml:space="preserve">      ello, la Corte los incorpora al conjunto de pruebas  del  proceso,  de</w:t>
        <w:br/>
        <w:t xml:space="preserve">      acuerdo con el artículo 45.1 del Reglamento.</w:t>
        <w:br/>
        <w:br/>
        <w:t xml:space="preserve">  44. Los representantes impugnaron la declaración  jurada  rendida  por  el</w:t>
        <w:br/>
        <w:t xml:space="preserve">      señor Frank Thornhill, alegando que dicha presentación  no  concordaba</w:t>
        <w:br/>
        <w:t xml:space="preserve">      con el objeto establecido.  La Corte, sin embargo, admite esta  prueba</w:t>
        <w:br/>
        <w:t xml:space="preserve">      en tanto se relaciona con el objeto establecido en la  Resolución  del</w:t>
        <w:br/>
        <w:t xml:space="preserve">      Presidente (supra párr. 7), teniendo en cuenta  las  observaciones  de</w:t>
        <w:br/>
        <w:t xml:space="preserve">      los representantes, y será valorada conforme a las reglas de  la  sana</w:t>
        <w:br/>
        <w:t xml:space="preserve">      crítica y al conjunto de pruebas  del proceso.</w:t>
        <w:br/>
        <w:br/>
        <w:t xml:space="preserve">  45. Efectuado el examen de los elementos probatorios  que  constan  en  el</w:t>
        <w:br/>
        <w:t xml:space="preserve">      expediente del presente caso, la Corte pasa a analizar las violaciones</w:t>
        <w:br/>
        <w:t xml:space="preserve">      de la Convención Americana alegadas, en consideración  de  los  hechos</w:t>
        <w:br/>
        <w:t xml:space="preserve">      que la Corte considere probados, así  como  de  los  alegatos  de  las</w:t>
        <w:br/>
        <w:t xml:space="preserve">      partes.</w:t>
        <w:br/>
        <w:br/>
        <w:t xml:space="preserve">                                    VIII</w:t>
        <w:br/>
        <w:br/>
        <w:t xml:space="preserve">      Violación de los artículos  4(1)[31] y 4(2)[32] de la Convención</w:t>
        <w:br/>
        <w:br/>
        <w:t xml:space="preserve">          En Relación con el Artículo 1(1)[33] de dicho instrumento</w:t>
        <w:br/>
        <w:br/>
        <w:t xml:space="preserve">  46. En este capítulo, la Corte procederá a tratar los argumentos expuestos</w:t>
        <w:br/>
        <w:t xml:space="preserve">      por las partes respecto de si la  imposición  de  la  pena  de  muerte</w:t>
        <w:br/>
        <w:t xml:space="preserve">      obligatoria respecto de las cuatro presuntas víctimas ha  violado  sus</w:t>
        <w:br/>
        <w:t xml:space="preserve">      derechos a la vida.</w:t>
        <w:br/>
        <w:br/>
        <w:br/>
        <w:t>A.    Pena de Muerte Obligatoria</w:t>
        <w:br/>
        <w:br/>
        <w:br/>
        <w:t xml:space="preserve">  47. La Comisión y los representantes alegaron que el Estado ha violado los</w:t>
        <w:br/>
        <w:t xml:space="preserve">      artículos 4.1, 4.2, 5.1, 5.2 y 8.1 de la Convención, en  relación  con</w:t>
        <w:br/>
        <w:t xml:space="preserve">      el artículo 1.1 de ésta, respecto de  la  imposición  de  la  pena  de</w:t>
        <w:br/>
        <w:t xml:space="preserve">      muerte de manera obligatoria a las cuatro presuntas víctimas por haber</w:t>
        <w:br/>
        <w:t xml:space="preserve">      sido condenadas del delito de homicidio.  Particularmente, la Comisión</w:t>
        <w:br/>
        <w:t xml:space="preserve">      alegó que una ley que automáticamente asigna una pena  de  muerte  sin</w:t>
        <w:br/>
        <w:t xml:space="preserve">      revisión jurídica ni consideración de la naturaleza del delito  y  las</w:t>
        <w:br/>
        <w:t xml:space="preserve">      circunstancias individuales del acusado viola  el  derecho  a  no  ser</w:t>
        <w:br/>
        <w:t xml:space="preserve">      privado de manera arbitraria de la vida, el derecho  a  la  integridad</w:t>
        <w:br/>
        <w:t xml:space="preserve">      personal y las garantías judiciales.  Los representantes alegaron que:</w:t>
        <w:br/>
        <w:t xml:space="preserve">      “contrario al artículo 4.1 de la Convención, que prohíbe la  privación</w:t>
        <w:br/>
        <w:t xml:space="preserve">      arbitraria de la vida, la pena de muerte  obligatoria  condenó  a  los</w:t>
        <w:br/>
        <w:t xml:space="preserve">      peticionarios sin considerar su  humanidad  individual;  contrario  al</w:t>
        <w:br/>
        <w:t xml:space="preserve">      artículo 4.2 de la Convención que requiere que la pena  de  muerte  se</w:t>
        <w:br/>
        <w:t xml:space="preserve">      aplique únicamente a  los  delitos  más  serios,  la  pena  de  muerte</w:t>
        <w:br/>
        <w:t xml:space="preserve">      obligatoria condenó a los peticionarios sin una determinación judicial</w:t>
        <w:br/>
        <w:t xml:space="preserve">      de las circunstancias mitigantes o agravantes del delito; contrario al</w:t>
        <w:br/>
        <w:t xml:space="preserve">      artículo  8.1  de  la  Convención,  que  requiere  que  la  pena   sea</w:t>
        <w:br/>
        <w:t xml:space="preserve">      determinada por un tribunal competente, independiente e imparcial,  la</w:t>
        <w:br/>
        <w:t xml:space="preserve">      ley impuso una pena de  muerte  obligatoria  a  los  peticionarios;  y</w:t>
        <w:br/>
        <w:t xml:space="preserve">      contrario a los artículos 5.1 y 5.2 de la Convención, que prohíben  el</w:t>
        <w:br/>
        <w:t xml:space="preserve">      trato cruel, inhumano y degradante,  la  pena  de  muerte  obligatoria</w:t>
        <w:br/>
        <w:t xml:space="preserve">      impuesta a los peticionarios degradó su dignidad inherente como  seres</w:t>
        <w:br/>
        <w:t xml:space="preserve">      humanos”.</w:t>
        <w:br/>
        <w:br/>
        <w:t xml:space="preserve">  48. Barbados refutó  los  argumentos  expuestos  por  la  Comisión  y  los</w:t>
        <w:br/>
        <w:t xml:space="preserve">      representantes y sostuvo que no ha violado los artículos 1, 4, 5  y  8</w:t>
        <w:br/>
        <w:t xml:space="preserve">      de  la  Convención  Americana  porque  “muchas  de   estas   presuntas</w:t>
        <w:br/>
        <w:t xml:space="preserve">      violaciones se basan en una interpretación incorrecta del  artículo  4</w:t>
        <w:br/>
        <w:t xml:space="preserve">      de la Convención, como que prohíbe la  pena  de  muerte  obligatoria”.</w:t>
        <w:br/>
        <w:t xml:space="preserve">      Asimismo, uno de los argumentos centrales del Estado se basa  en  que,</w:t>
        <w:br/>
        <w:t xml:space="preserve">      según las reglas internacionalmente reconocidas para la interpretación</w:t>
        <w:br/>
        <w:t xml:space="preserve">      de tratados, la pena de muerte obligatoria  sigue  estando  legalmente</w:t>
        <w:br/>
        <w:t xml:space="preserve">      permitida tanto conforme a la Carta,  interpretada  a  la  luz  de  la</w:t>
        <w:br/>
        <w:t xml:space="preserve">      Declaración Americana, como a la Convención Americana.  Por  ello,  el</w:t>
        <w:br/>
        <w:t xml:space="preserve">      Estado afirmó que la pena de muerte, la cual está  constitucionalmente</w:t>
        <w:br/>
        <w:t xml:space="preserve">      protegida en Barbados, no entra en conflicto con sus  obligaciones  de</w:t>
        <w:br/>
        <w:t xml:space="preserve">      derechos humanos ante el sistema interamericano.  El Estado alegó  que</w:t>
        <w:br/>
        <w:t xml:space="preserve">      se debe leer el artículo 4  de  manera  estricta  y  que  su  correcta</w:t>
        <w:br/>
        <w:t xml:space="preserve">      interpretación no puede apoyar a un régimen  abolicionista  ni  a  una</w:t>
        <w:br/>
        <w:t xml:space="preserve">      restricción del derecho de los Estados de imponer la  pena  de  muerte</w:t>
        <w:br/>
        <w:t xml:space="preserve">      obligatoria.  El Estado alegó que las decisiones de esta Corte  y  los</w:t>
        <w:br/>
        <w:t xml:space="preserve">      informes de la Comisión en este punto están incorrectas  en  cuanto  a</w:t>
        <w:br/>
        <w:t xml:space="preserve">      derecho y por lo tanto, dichas interpretaciones estarían fuera  de  la</w:t>
        <w:br/>
        <w:t xml:space="preserve">      competencia de cada órgano como  ultra  vires.   En  consecuencia,  el</w:t>
        <w:br/>
        <w:t xml:space="preserve">      Estado alegó que la  jurisprudencia  en  este  sentido  no  puede  ser</w:t>
        <w:br/>
        <w:t xml:space="preserve">      vinculante o aún sentar un  precedente  persuasivo  y  que  todas  las</w:t>
        <w:br/>
        <w:t xml:space="preserve">      cuestiones atinentes a las formas permisibles de  pena  capital  deben</w:t>
        <w:br/>
        <w:t xml:space="preserve">      ser reconsideradas por esta Corte.</w:t>
        <w:br/>
        <w:br/>
        <w:t xml:space="preserve">  49. La Corte considera que no existe controversia alguna respecto  de  que</w:t>
        <w:br/>
        <w:t xml:space="preserve">      las  cuatro  presuntas  víctimas,  los  señores   Boyce,   Joseph,[34]</w:t>
        <w:br/>
        <w:t xml:space="preserve">      Atkins[35] y Huggins[36] fueron sentenciados a la pena capital[37]  de</w:t>
        <w:br/>
        <w:t xml:space="preserve">      conformidad con el artículo 2 de la Ley de Delitos contra las Personas</w:t>
        <w:br/>
        <w:t xml:space="preserve">      de 1994 de Barbados, según la cual: “[c]ualquier persona condenada por</w:t>
        <w:br/>
        <w:t xml:space="preserve">      homicidio será sentenciada  a,  y  sufrirá,  la  muerte”[38].  Tampoco</w:t>
        <w:br/>
        <w:t xml:space="preserve">      existe controversia respecto a que dicha legislación impone  una  pena</w:t>
        <w:br/>
        <w:t xml:space="preserve">      de muerte obligatoriamente para todas  aquellas  personas  encontradas</w:t>
        <w:br/>
        <w:t xml:space="preserve">      culpables  del  delito   de   homicidio[39].   Sin   embargo,   existe</w:t>
        <w:br/>
        <w:t xml:space="preserve">      controversia respecto del hecho de si la imposición obligatoria de  la</w:t>
        <w:br/>
        <w:t xml:space="preserve">      pena de muerte es contraria  a  las  disposiciones  de  la  Convención</w:t>
        <w:br/>
        <w:t xml:space="preserve">      Americana[40].</w:t>
        <w:br/>
        <w:br/>
        <w:t xml:space="preserve">  50. Al interpretar la cuestión de la pena de muerte en general,  la  Corte</w:t>
        <w:br/>
        <w:t xml:space="preserve">      ha observado que el artículo 4.2 de la Convención permite la privación</w:t>
        <w:br/>
        <w:t xml:space="preserve">      del derecho a la vida mediante la imposición de la pena de  muerte  en</w:t>
        <w:br/>
        <w:t xml:space="preserve">      aquellos países en los cuales no está  abolida.   Es  decir,  la  pena</w:t>
        <w:br/>
        <w:t xml:space="preserve">      capital no es per se incompatible con la Convención Americana ni  está</w:t>
        <w:br/>
        <w:t xml:space="preserve">      prohibida por ella.  Sin embargo, la  Convención  fija  un  número  de</w:t>
        <w:br/>
        <w:t xml:space="preserve">      limitaciones estrictas para la  aplicación  de  la  pena  capital[41].</w:t>
        <w:br/>
        <w:t xml:space="preserve">      Primero, la aplicación de la pena de muerte debe estar limitada a  los</w:t>
        <w:br/>
        <w:t xml:space="preserve">      delitos  comunes  más  graves   y   no   relacionados   con   agravios</w:t>
        <w:br/>
        <w:t xml:space="preserve">      políticos[42]. Segundo, se debe individualizar la pena de  conformidad</w:t>
        <w:br/>
        <w:t xml:space="preserve">      con las características del delito y la participación  y  culpabilidad</w:t>
        <w:br/>
        <w:t xml:space="preserve">      del acusado[43].  Por último, la aplicación de la  pena  capital  está</w:t>
        <w:br/>
        <w:t xml:space="preserve">      sujeta a ciertas garantías procesales  cuyo  cumplimiento  deberá  ser</w:t>
        <w:br/>
        <w:t xml:space="preserve">      estrictamente observado y revisado[44].</w:t>
        <w:br/>
        <w:br/>
        <w:t xml:space="preserve">  51. En especial, al abordar el tema de la aplicación de la pena capital en</w:t>
        <w:br/>
        <w:t xml:space="preserve">      otros casos, la Corte ha sostenido que las referencias a los  términos</w:t>
        <w:br/>
        <w:t xml:space="preserve">      “arbitrariamente” en el artículo 4.1 de la Convención y a “los delitos</w:t>
        <w:br/>
        <w:t xml:space="preserve">      más graves” en el  artículo  4.2  tornan  incompatible  la  imposición</w:t>
        <w:br/>
        <w:t xml:space="preserve">      obligatoria de la pena capital con aquellas disposiciones en tanto  la</w:t>
        <w:br/>
        <w:t xml:space="preserve">      misma pena se aplica a conductas que pueden variar considerablemente y</w:t>
        <w:br/>
        <w:t xml:space="preserve">      cuando no se restringe su aplicación a los delitos más graves[45].</w:t>
        <w:br/>
        <w:br/>
        <w:t xml:space="preserve">  52. Las disposiciones de la Convención respecto de  la  aplicación  de  la</w:t>
        <w:br/>
        <w:t xml:space="preserve">      pena de muerte deben interpretarse (supra párrs. 16 y 17) conforme  al</w:t>
        <w:br/>
        <w:t xml:space="preserve">      principio pro persona, es decir, a  favor  del  individuo[46],  en  el</w:t>
        <w:br/>
        <w:t xml:space="preserve">      sentido de “limitar definitivamente su aplicación y su ámbito, de modo</w:t>
        <w:br/>
        <w:t xml:space="preserve">      que ést[a] se vaya reduciendo hasta su supresión final”[47].</w:t>
        <w:br/>
        <w:br/>
        <w:br/>
        <w:t xml:space="preserve">      A.1) La limitación de la aplicación de la pena de muerte a únicamente</w:t>
        <w:br/>
        <w:t xml:space="preserve">      “los delitos más graves”</w:t>
        <w:br/>
        <w:br/>
        <w:br/>
        <w:t xml:space="preserve">  53. La Corte ha sostenido en otras ocasiones que</w:t>
        <w:br/>
        <w:br/>
        <w:br/>
        <w:t xml:space="preserve">      la  privación  intencional  e  ilícita  de  la  vida  de  una  persona</w:t>
        <w:br/>
        <w:t xml:space="preserve">      (homicidio intencional o doloso, en sentido amplio) puede y  debe  ser</w:t>
        <w:br/>
        <w:t xml:space="preserve">      reconocida  y  contemplada  en  la  legislación  penal  bajo  diversas</w:t>
        <w:br/>
        <w:t xml:space="preserve">      categorías (tipos penales) que correspondan a la diversa  gravedad  de</w:t>
        <w:br/>
        <w:t xml:space="preserve">      los hechos, tomando en  cuenta  los  distintos  elementos  que  pueden</w:t>
        <w:br/>
        <w:t xml:space="preserve">      concurrir en ellos:  especiales relaciones entre el delincuente  y  la</w:t>
        <w:br/>
        <w:t xml:space="preserve">      víctima [e.g. infanticidio], móvil de la conducta [e.g. por recompensa</w:t>
        <w:br/>
        <w:t xml:space="preserve">      o promesa de remuneración], circunstancias en la que ésta  se  realiza</w:t>
        <w:br/>
        <w:t xml:space="preserve">      [e.g. con brutalidad], medios empleados por el sujeto activo [e.g. con</w:t>
        <w:br/>
        <w:t xml:space="preserve">      veneno], etc. De esta  forma  se  establecerá  una  graduación  en  la</w:t>
        <w:br/>
        <w:t xml:space="preserve">      gravedad de los hechos, a la que corresponderá una graduación  de  los</w:t>
        <w:br/>
        <w:t xml:space="preserve">      niveles de severidad de la pena aplicable[48].</w:t>
        <w:br/>
        <w:br/>
        <w:t xml:space="preserve">  54. Por lo tanto, la Convención reserva la forma  más  severa  de  castigo</w:t>
        <w:br/>
        <w:t xml:space="preserve">      para aquellos hechos ilícitos más graves. Sin embargo, tal y  como  se</w:t>
        <w:br/>
        <w:t xml:space="preserve">      afirmó anteriormente, el Artículo 2 de la Ley  de  Delitos  Contra  la</w:t>
        <w:br/>
        <w:t xml:space="preserve">      Persona simplemente  establece  que  cuando  se  declara  culpable  de</w:t>
        <w:br/>
        <w:t xml:space="preserve">      homicidio a una  persona,  esa  persona  será  sentenciada  a  muerte.</w:t>
        <w:br/>
        <w:t xml:space="preserve">      Independientemente del modo en que se cometió el  delito  o  el  medio</w:t>
        <w:br/>
        <w:t xml:space="preserve">      empleado, se aplica la misma pena para todos los casos de homicidio en</w:t>
        <w:br/>
        <w:t xml:space="preserve">      Barbados.  Es decir, la Ley de Delitos en  Contra  de  la  Persona  no</w:t>
        <w:br/>
        <w:t xml:space="preserve">      diferencia entre homicidios cuya pena es la muerte  y  homicidios  (no</w:t>
        <w:br/>
        <w:t xml:space="preserve">      meramente “manslaughter” u otra forma menos  grave  de  homicidio)[49]</w:t>
        <w:br/>
        <w:t xml:space="preserve">      cuya pena no es la muerte. Más bien,  la  Ley  de  Delitos  contra  la</w:t>
        <w:br/>
        <w:t xml:space="preserve">      Persona “se limita a imponer, de modo indiscriminado, la misma sanción</w:t>
        <w:br/>
        <w:t xml:space="preserve">      para conductas que pueden ser muy diferentes entre sí”[50].</w:t>
        <w:br/>
        <w:br/>
        <w:t xml:space="preserve">  55. Consecuentemente, la Corte considera que el Artículo 2 de  la  Ley  de</w:t>
        <w:br/>
        <w:t xml:space="preserve">      Delitos Contra la Persona de Barbados no limita la  aplicación  de  la</w:t>
        <w:br/>
        <w:t xml:space="preserve">      pena de muerte para los delitos más graves, en  contravención  con  el</w:t>
        <w:br/>
        <w:t xml:space="preserve">      artículo 4.2 de la Convención.</w:t>
        <w:br/>
        <w:br/>
        <w:br/>
        <w:t xml:space="preserve">      A.2) Carácter arbitrario de la pena de muerte obligatoria</w:t>
        <w:br/>
        <w:br/>
        <w:br/>
        <w:t xml:space="preserve">  56. El Estado alegó que la aplicación de la pena de muerte obligatoria por</w:t>
        <w:br/>
        <w:t xml:space="preserve">      el delito de homicidio  en  Barbados  no  es  arbitraria  precisamente</w:t>
        <w:br/>
        <w:t xml:space="preserve">      porque está legalmente aprobada, en oposición a  “las  ejecuciones  ad</w:t>
        <w:br/>
        <w:t xml:space="preserve">      hoc  aplicadas  fuera  del  contexto  de  la  ley”.   Para  apoyar  su</w:t>
        <w:br/>
        <w:t xml:space="preserve">      argumento, el Estado afirmó que “el sistema judicial penal de Barbados</w:t>
        <w:br/>
        <w:t xml:space="preserve">      brinda a toda persona acusada del delito de homicidio o traición pleno</w:t>
        <w:br/>
        <w:t xml:space="preserve">      derecho al debido proceso judicial,  incluyendo  una  amplia  gama  de</w:t>
        <w:br/>
        <w:t xml:space="preserve">      defensas legales establecidas por ley o por jurisprudencia,  así  como</w:t>
        <w:br/>
        <w:t xml:space="preserve">      justificaciones que previenen la imposición de la pena  de  muerte,  y</w:t>
        <w:br/>
        <w:t xml:space="preserve">      juzga la inocencia o culpabilidad de cada persona a nivel  individual.</w:t>
        <w:br/>
        <w:t xml:space="preserve">      Asimismo,  el  Consejo  Privado   de   Barbados   evalúa   todas   las</w:t>
        <w:br/>
        <w:t xml:space="preserve">      consideraciones que se podrían aplicar  al  individuo  -  teniendo  en</w:t>
        <w:br/>
        <w:t xml:space="preserve">      cuentas circunstancias particulares de la persona - a fin  de  decidir</w:t>
        <w:br/>
        <w:t xml:space="preserve">      si se debe conmutar la pena de muerte”.</w:t>
        <w:br/>
        <w:br/>
        <w:t xml:space="preserve">  57. Aunque la Corte concuerde con que las ejecuciones extrajudiciales son,</w:t>
        <w:br/>
        <w:t xml:space="preserve">      por definición,  arbitrarias  y  contrarias  al  artículo  4.1  de  la</w:t>
        <w:br/>
        <w:t xml:space="preserve">      Convención[51], el Estado incorrectamente asume que una pena de muerte</w:t>
        <w:br/>
        <w:t xml:space="preserve">      legalmente impuesta no podría ser también  arbitraria.   Una  pena  de</w:t>
        <w:br/>
        <w:t xml:space="preserve">      muerte obligatoria legalmente impuesta puede ser arbitraria cuando  la</w:t>
        <w:br/>
        <w:t xml:space="preserve">      ley no distingue  entre  los  distintos  grados  de  culpabilidad  del</w:t>
        <w:br/>
        <w:t xml:space="preserve">      acusado ni toma en consideración las  circunstancias  particulares  de</w:t>
        <w:br/>
        <w:t xml:space="preserve">      cada delito.  La Ley de Delitos contra la Persona de Barbados prevé la</w:t>
        <w:br/>
        <w:t xml:space="preserve">      pena de muerte como la única forma posible de castigo para  el  delito</w:t>
        <w:br/>
        <w:t xml:space="preserve">      de homicidio[52] y no permite la aplicación de una pena menor teniendo</w:t>
        <w:br/>
        <w:t xml:space="preserve">      en cuenta las características específicas del delito (supra párrs. 49-</w:t>
        <w:br/>
        <w:t xml:space="preserve">      61) y la participación y culpabilidad del acusado.</w:t>
        <w:br/>
        <w:br/>
        <w:t xml:space="preserve">  58. Al  respecto,  la  Corte  ha  sostenido  en  otras  oportunidades  que</w:t>
        <w:br/>
        <w:t xml:space="preserve">      considerar a todas las personas que hayan sido  encontradas  culpables</w:t>
        <w:br/>
        <w:t xml:space="preserve">      por homicidio como merecedoras de la pena de muerte “significa  tratar</w:t>
        <w:br/>
        <w:t xml:space="preserve">      a las personas condenadas de un delito en  particular  no  como  seres</w:t>
        <w:br/>
        <w:t xml:space="preserve">      humanos  únicos,  sino  como  miembros  de  una  masa   anónima,   sin</w:t>
        <w:br/>
        <w:t xml:space="preserve">      diferencias, sujeta a la imposición ciega de la pena de muerte”[53].</w:t>
        <w:br/>
        <w:br/>
        <w:t xml:space="preserve">  59. Evidentemente, el Estado  está  en  lo  correcto  al  afirmar  que  el</w:t>
        <w:br/>
        <w:t xml:space="preserve">      estricto cumplimiento de ciertas garantías procesales es esencial para</w:t>
        <w:br/>
        <w:t xml:space="preserve">      evaluar si la pena de muerte se ha aplicado de manera  arbitraria[54].</w:t>
        <w:br/>
        <w:t xml:space="preserve">      Sin embargo, se debería hacer una distinción entre, por  un  lado,  la</w:t>
        <w:br/>
        <w:t xml:space="preserve">      disponibilidad y el cumplimiento de dichos procedimientos  durante  el</w:t>
        <w:br/>
        <w:t xml:space="preserve">      proceso de un caso de  pena  capital,  incluido  el  procedimiento  de</w:t>
        <w:br/>
        <w:t xml:space="preserve">      apelación, y, por otro lado, la etapa en la cual se  impone  la  pena.</w:t>
        <w:br/>
        <w:t xml:space="preserve">      Conforme a la ley de  Barbados,  la  disponibilidad  de  las  defensas</w:t>
        <w:br/>
        <w:t xml:space="preserve">      legales y jurisprudenciales  para  los  acusados  en  casos  capitales</w:t>
        <w:br/>
        <w:t xml:space="preserve">      tienen incidencia  únicamente  en  la  determinación  de  la  culpa  o</w:t>
        <w:br/>
        <w:t xml:space="preserve">      inocencia de la persona y no en la determinación del castigo  adecuado</w:t>
        <w:br/>
        <w:t xml:space="preserve">      que debería aplicarse una vez que la persona ha  sido  condenada.   Es</w:t>
        <w:br/>
        <w:t xml:space="preserve">      decir, el acusado  en  un  caso  capital  podría  intentar  evitar  el</w:t>
        <w:br/>
        <w:t xml:space="preserve">      veredicto de culpabilidad interponiendo ciertas defensas con  respecto</w:t>
        <w:br/>
        <w:t xml:space="preserve">      a la imputación del homicidio[55].   Estas  defensas  buscan,  por  un</w:t>
        <w:br/>
        <w:t xml:space="preserve">      lado, evitar condenas por homicidio y reemplazarlas con  condenas  por</w:t>
        <w:br/>
        <w:t xml:space="preserve">      “manslaughter”, por ejemplo, que acarrea una pena de  cadena  perpetua</w:t>
        <w:br/>
        <w:t xml:space="preserve">      o, por otro lado, excluir  totalmente  la  responsabilidad  penal  del</w:t>
        <w:br/>
        <w:t xml:space="preserve">      acusado por  el  homicidio[56].  Sin  embargo,  siempre  y  cuando  se</w:t>
        <w:br/>
        <w:t xml:space="preserve">      encuentre que el acusado ha sido culpable del delito de homicidio,  la</w:t>
        <w:br/>
        <w:t xml:space="preserve">      ley no permite que el juez considere  el  grado  de  culpabilidad  del</w:t>
        <w:br/>
        <w:t xml:space="preserve">      acusado u otras formas de  castigo  que  serían  más  aptas  para  ese</w:t>
        <w:br/>
        <w:t xml:space="preserve">      individuo dadas las circunstancias particulares del caso.   Es  decir,</w:t>
        <w:br/>
        <w:t xml:space="preserve">      los tribunales no tienen  facultad  para  individualizar  la  pena  de</w:t>
        <w:br/>
        <w:t xml:space="preserve">      conformidad con la información concerniente al delito (supra párr. 54)</w:t>
        <w:br/>
        <w:t xml:space="preserve">      y al acusado.</w:t>
        <w:br/>
        <w:br/>
        <w:t xml:space="preserve">  60. El Estado alegó  que  el  poder  ejecutivo  toma  en  cuenta  aquellas</w:t>
        <w:br/>
        <w:t xml:space="preserve">      circunstancias únicas del individuo y el delito, las cuales, a  través</w:t>
        <w:br/>
        <w:t xml:space="preserve">      de la recomendación del Consejo Privado de Barbados[57], pueden ayudar</w:t>
        <w:br/>
        <w:t xml:space="preserve">      a decidir sobre la conmutación de la pena de muerte (supra párr.  20).</w:t>
        <w:br/>
        <w:t xml:space="preserve">      Al respecto, la Corte considera que se debería realizar una distinción</w:t>
        <w:br/>
        <w:t xml:space="preserve">      entre el  derecho  que  tiene  toda  persona  condenada,  conforme  al</w:t>
        <w:br/>
        <w:t xml:space="preserve">      artículo 4.6 de la Convención, a “solicitar amnistía, el indulto o  la</w:t>
        <w:br/>
        <w:t xml:space="preserve">      conmutación de la pena” y el derecho reconocido en el artículo 4.2  de</w:t>
        <w:br/>
        <w:t xml:space="preserve">      solicitar a un “tribunal competente”  que  determine  si  la  pena  de</w:t>
        <w:br/>
        <w:t xml:space="preserve">      muerte es el castigo apropiado en cada caso,  de  conformidad  con  la</w:t>
        <w:br/>
        <w:t xml:space="preserve">      legislación  interna  y  la  Convención  Americana.   Es   decir,   la</w:t>
        <w:br/>
        <w:t xml:space="preserve">      imposición de una pena es una función judicial.   El  poder  ejecutivo</w:t>
        <w:br/>
        <w:t xml:space="preserve">      puede otorgar indulto o conmutar una pena ya impuesta por un  tribunal</w:t>
        <w:br/>
        <w:t xml:space="preserve">      competente,  pero  no  se  puede  privar  al  poder  judicial  de   la</w:t>
        <w:br/>
        <w:t xml:space="preserve">      responsabilidad de aplicar la pena más  adecuada  para  un  delito  en</w:t>
        <w:br/>
        <w:t xml:space="preserve">      particular.  En el presente caso,  el  poder  judicial  no  tuvo  otra</w:t>
        <w:br/>
        <w:t xml:space="preserve">      opción más que imponer la  pena  de  muerte  a  las  cuatro  presuntas</w:t>
        <w:br/>
        <w:t xml:space="preserve">      víctimas cuando  las  encontraron  culpables  de  homicidio  y  no  se</w:t>
        <w:br/>
        <w:t xml:space="preserve">      permitió una revisión judicial de la imposición de dicho  castigo,  ya</w:t>
        <w:br/>
        <w:t xml:space="preserve">      que éste debe ser impuesto de manera obligatoria por ley[58].</w:t>
        <w:br/>
        <w:br/>
        <w:t xml:space="preserve">  61. En resumen, independientemente de las  defensas  disponibles  para  la</w:t>
        <w:br/>
        <w:t xml:space="preserve">      determinación de una condena por  homicidio  y  sin  perjuicio  de  la</w:t>
        <w:br/>
        <w:t xml:space="preserve">      posibilidad de solicitar al poder ejecutivo la conmutación de la  pena</w:t>
        <w:br/>
        <w:t xml:space="preserve">      de muerte, la Corte considera que “en lo que toca a  la  determinación</w:t>
        <w:br/>
        <w:t xml:space="preserve">      de la sanción, [la Ley de Delitos contra la Persona] impone de  manera</w:t>
        <w:br/>
        <w:t xml:space="preserve">      mecánica y genérica la aplicación de  la  pena  de  muerte  para  todo</w:t>
        <w:br/>
        <w:t xml:space="preserve">      culpable de homicidio”[59].  Esto constituye una contravención  de  la</w:t>
        <w:br/>
        <w:t xml:space="preserve">      prohibición de privar del derecho  a  la  vida  en  forma  arbitraria,</w:t>
        <w:br/>
        <w:t xml:space="preserve">      reconocido en el artículo 4.1 de la Convención, ya que no  permite  la</w:t>
        <w:br/>
        <w:t xml:space="preserve">      individualización de la pena de conformidad  con  las  características</w:t>
        <w:br/>
        <w:t xml:space="preserve">      del delito, así como la participación y culpabilidad del acusado[60].</w:t>
        <w:br/>
        <w:br/>
        <w:t xml:space="preserve">                                      *</w:t>
        <w:br/>
        <w:br/>
        <w:t xml:space="preserve">  62. De todo lo expuesto, la Corte concluye que, en tanto el efecto  de  la</w:t>
        <w:br/>
        <w:t xml:space="preserve">      llamada Ley de Delitos contra la Persona consiste en someter  a  quien</w:t>
        <w:br/>
        <w:t xml:space="preserve">      sea acusado de homicidio a  un  proceso  judicial  en  el  que  no  se</w:t>
        <w:br/>
        <w:t xml:space="preserve">      consideran  las  circunstancias  particulares  del  acusado   ni   las</w:t>
        <w:br/>
        <w:t xml:space="preserve">      específicas del delito, la mencionada  Ley  viola  la  prohibición  de</w:t>
        <w:br/>
        <w:t xml:space="preserve">      privación arbitraria de la vida y no limita la aplicación de  la  pena</w:t>
        <w:br/>
        <w:t xml:space="preserve">      de muerte a los delitos más graves, en contravención del artículo  4.1</w:t>
        <w:br/>
        <w:t xml:space="preserve">      y 4.2 de la Convención.</w:t>
        <w:br/>
        <w:br/>
        <w:t xml:space="preserve">  63. Por lo tanto, la Corte considera que Barbados ha violado  el  artículo</w:t>
        <w:br/>
        <w:t xml:space="preserve">      4.1 y 4.2 de la Convención, en relación con el artículo 1.1  de  ésta,</w:t>
        <w:br/>
        <w:t xml:space="preserve">      en perjuicio de los señores Boyce, Joseph, Huggins y Atkins.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64. En cuanto a los alegatos de  la  Comisión  y  los  representantes  que</w:t>
        <w:br/>
        <w:t xml:space="preserve">      versan en torno a que  la  pena  de  muerte  obligatoria  en  Barbados</w:t>
        <w:br/>
        <w:t xml:space="preserve">      conlleva también a una  violación  de  los  artículos  5  y  8  de  la</w:t>
        <w:br/>
        <w:t xml:space="preserve">      Convención, esta Corte considera, tal y como  lo  ha  hecho  en  casos</w:t>
        <w:br/>
        <w:t xml:space="preserve">      anteriores[61], que los hechos relacionados con dichos argumentos  han</w:t>
        <w:br/>
        <w:t xml:space="preserve">      sido  analizados  en  los  párrafos  anteriores  en  relación  con  la</w:t>
        <w:br/>
        <w:t xml:space="preserve">      violación del artículo 4 de la Convención (supra,  párrs.  49  a  63).</w:t>
        <w:br/>
        <w:t xml:space="preserve">      Por ello, no es  necesario  que  la  Corte  aborde  dichos  argumentos</w:t>
        <w:br/>
        <w:t xml:space="preserve">      adicionales.</w:t>
        <w:br/>
        <w:br/>
        <w:t xml:space="preserve">                                     IX</w:t>
        <w:br/>
        <w:br/>
        <w:t xml:space="preserve">        Falta de Cumplimiento con el artículo 2[62] de la Convención</w:t>
        <w:br/>
        <w:br/>
        <w:t xml:space="preserve"> en Relación con los Artículos 1.1, 4.1, 4.2 y 25.1[63] de dicho Instrumento</w:t>
        <w:br/>
        <w:br/>
        <w:t xml:space="preserve">  65. En este capítulo, la Corte procederá a tratar los argumentos expuestos</w:t>
        <w:br/>
        <w:t xml:space="preserve">      por las partes respecto  de  las  siguientes  dos  cuestiones:  si  la</w:t>
        <w:br/>
        <w:t xml:space="preserve">      legislación que regula la pena de muerte y  la  llamada  “cláusula  de</w:t>
        <w:br/>
        <w:t xml:space="preserve">      exclusión”  (savings  clause)  de  la  Constitución  de  Barbados  son</w:t>
        <w:br/>
        <w:t xml:space="preserve">      incompatibles con la Convención Americana.</w:t>
        <w:br/>
        <w:br/>
        <w:t xml:space="preserve">  66. La Comisión alegó que “el incumplimiento de  Barbados  de  enmendar  o</w:t>
        <w:br/>
        <w:t xml:space="preserve">      anular el artículo 2 de la Ley de Delitos Contra la Persona a  fin  de</w:t>
        <w:br/>
        <w:t xml:space="preserve">      lograr que dicha ley cumpla con la Convención Americana constituye una</w:t>
        <w:br/>
        <w:t xml:space="preserve">      violación per  se  del  artículo  2  de  la  Convención”,  ya  que  es</w:t>
        <w:br/>
        <w:t xml:space="preserve">      incompatible con los artículos 4, 5, 8 y  1.1  de  dicho  instrumento.</w:t>
        <w:br/>
        <w:t xml:space="preserve">      Asimismo, la Comisión argumentó que el Estado es  responsable  por  el</w:t>
        <w:br/>
        <w:t xml:space="preserve">      incumplimiento del artículo 2 de la  Convención  en  relación  con  el</w:t>
        <w:br/>
        <w:t xml:space="preserve">      artículo 26 de  la  Constitución  de  Barbados,  el  cual  no  permite</w:t>
        <w:br/>
        <w:t xml:space="preserve">      impugnaciones acerca de la inconstitucionalidad de leyes vigentes  que</w:t>
        <w:br/>
        <w:t xml:space="preserve">      existían previamente a la adopción de la Constitución,  aún  si  ellas</w:t>
        <w:br/>
        <w:t xml:space="preserve">      supuestamente violaren derechos fundamentales.</w:t>
        <w:br/>
        <w:br/>
        <w:t xml:space="preserve">  67. Los representantes también alegaron que el Estado es  responsable  por</w:t>
        <w:br/>
        <w:t xml:space="preserve">      el incumplimiento del artículo  2  de  la  Convención  ya  que  no  ha</w:t>
        <w:br/>
        <w:t xml:space="preserve">      adoptado las medidas necesarias para lograr que el artículo  2  de  la</w:t>
        <w:br/>
        <w:t xml:space="preserve">      Ley de Delitos Contra la Persona sea compatible con dicho instrumento.</w:t>
        <w:br/>
        <w:t xml:space="preserve">       Además,  los  representantes  manifestaron  que  la  Constitución  de</w:t>
        <w:br/>
        <w:t xml:space="preserve">      Barbados no permite la impugnación de cualquier ley que  se  considere</w:t>
        <w:br/>
        <w:t xml:space="preserve">      como una “ley existente”, según los términos del  artículo  26  de  la</w:t>
        <w:br/>
        <w:t xml:space="preserve">      Constitución, ya que impide que éstas  sean  declaradas  incompatibles</w:t>
        <w:br/>
        <w:t xml:space="preserve">      con  derechos  fundamentales.   En  particular,   los   representantes</w:t>
        <w:br/>
        <w:t xml:space="preserve">      alegaron que, dado que la Ley de Delitos Contra la Persona es una “ley</w:t>
        <w:br/>
        <w:t xml:space="preserve">      existente”, la pena de muerte obligatoria no puede  ser  impugnada,  a</w:t>
        <w:br/>
        <w:t xml:space="preserve">      nivel interno, por cuestiones de incompatibilidad con derechos humanos</w:t>
        <w:br/>
        <w:t xml:space="preserve">      fundamentales y, por lo tanto, esta Corte es el único fuero en el cual</w:t>
        <w:br/>
        <w:t xml:space="preserve">      se puede abordar dicha cuestión.</w:t>
        <w:br/>
        <w:br/>
        <w:t xml:space="preserve">  68. El Estado manifestó que sólo puede configurarse un incumplimiento  con</w:t>
        <w:br/>
        <w:t xml:space="preserve">      el artículo 2 de la Convención cuando  exista  la  violación  de  otro</w:t>
        <w:br/>
        <w:t xml:space="preserve">      derecho reconocido en dicho instrumento y, por ello, ya que el  Estado</w:t>
        <w:br/>
        <w:t xml:space="preserve">      ha alegado que no incurrió en  ninguna  violación  de  la  Convención,</w:t>
        <w:br/>
        <w:t xml:space="preserve">      tampoco se podría declarar un incumplimiento con el artículo 2  en  el</w:t>
        <w:br/>
        <w:t xml:space="preserve">      presente caso.   Asimismo, el Estado expresó que su legislación cumple</w:t>
        <w:br/>
        <w:t xml:space="preserve">      plenamente con los requisitos de la Convención.   Específicamente,  el</w:t>
        <w:br/>
        <w:t xml:space="preserve">      Estado sostuvo que el artículo 26 de la Constitución no es violatorio,</w:t>
        <w:br/>
        <w:t xml:space="preserve">      en sí mismo, del artículo 2 de la  Convención  ya  que  no  impide  la</w:t>
        <w:br/>
        <w:t xml:space="preserve">      enmienda, anulación o reemplazo de leyes existentes por el Parlamento,</w:t>
        <w:br/>
        <w:t xml:space="preserve">      el cual tiene libertad para modificar todo tipo de  ley.   Finalmente,</w:t>
        <w:br/>
        <w:t xml:space="preserve">      el Estado afirmó que “una ley existente [como el artículo 2 de la  Ley</w:t>
        <w:br/>
        <w:t xml:space="preserve">      de  Delitos  Contra  la  Persona]  jamás  puede  violar   un   derecho</w:t>
        <w:br/>
        <w:t xml:space="preserve">      constitucional, ya que toda las leyes existentes son  constitucionales</w:t>
        <w:br/>
        <w:t xml:space="preserve">      ipso facto”.</w:t>
        <w:br/>
        <w:br/>
        <w:t xml:space="preserve">  69. La Corte ha sostenido, en reiteradas ocasiones, que todo Estado  Parte</w:t>
        <w:br/>
        <w:t xml:space="preserve">      de la Convención  “ha  de  adoptar  todas  las  medidas  para  que  lo</w:t>
        <w:br/>
        <w:t xml:space="preserve">      establecido  en  la  Convención  sea  efectivamente  cumplido  en   su</w:t>
        <w:br/>
        <w:t xml:space="preserve">      ordenamiento jurídico interno, tal como lo requiere el artículo  2  de</w:t>
        <w:br/>
        <w:t xml:space="preserve">      la Convención”[64].  También  ha  afirmado  que  los  Estados,  en  el</w:t>
        <w:br/>
        <w:t xml:space="preserve">      cumplimiento del deber general de respetar y garantizar los  derechos,</w:t>
        <w:br/>
        <w:t xml:space="preserve">      “deben adoptar medidas positivas, evitar tomar iniciativas que limiten</w:t>
        <w:br/>
        <w:t xml:space="preserve">      o  conculquen  un  derecho  fundamental,  y  suprimir  las  medidas  y</w:t>
        <w:br/>
        <w:t xml:space="preserve">      prácticas que restrinjan o vulneren un  derecho  fundamental”[65].  Es</w:t>
        <w:br/>
        <w:t xml:space="preserve">      decir, conforme al artículo 2 de la Convención Americana, los  Estados</w:t>
        <w:br/>
        <w:t xml:space="preserve">      no sólo tienen la  obligación  de  adoptar  las  medidas  legislativas</w:t>
        <w:br/>
        <w:t xml:space="preserve">      necesarias para garantizar  el  ejercicio  de  los  derechos  en  ella</w:t>
        <w:br/>
        <w:t xml:space="preserve">      consagrados, sino que también deben evitar  promulgar  aquellas  leyes</w:t>
        <w:br/>
        <w:t xml:space="preserve">      que impidan el libre ejercicio de  estos  derechos  y  evitar  que  se</w:t>
        <w:br/>
        <w:t xml:space="preserve">      supriman  o  modifiquen  las  leyes  que  los   protegen[66].    Estas</w:t>
        <w:br/>
        <w:t xml:space="preserve">      obligaciones son una consecuencia natural de  la  ratificación  de  la</w:t>
        <w:br/>
        <w:t xml:space="preserve">      Convención Americana por parte del Estado.</w:t>
        <w:br/>
        <w:br/>
        <w:t xml:space="preserve">  70. A la luz de lo señalado, la Corte procederá a abordar los alegatos  de</w:t>
        <w:br/>
        <w:t xml:space="preserve">      las partes en el siguiente orden: primero, respecto del artículo 2  de</w:t>
        <w:br/>
        <w:t xml:space="preserve">      la Ley de Delitos contra la Persona y segundo, respecto  del  artículo</w:t>
        <w:br/>
        <w:t xml:space="preserve">      26 de la Constitución de Barbados.</w:t>
        <w:br/>
        <w:br/>
        <w:br/>
        <w:t>A.    Artículo 2 de la Ley de Delitos Contra la Persona</w:t>
        <w:br/>
        <w:br/>
        <w:br/>
        <w:t xml:space="preserve">  71. Conforme al artículo 2 de la Ley de Delitos Contra la Persona de  1994</w:t>
        <w:br/>
        <w:t xml:space="preserve">      (en adelante, “LDCP”): “[c]ualquier persona  condenada  por  homicidio</w:t>
        <w:br/>
        <w:t xml:space="preserve">      será sentenciada a,  y  sufrirá,  la  muerte”[67].   La  Corte  ya  ha</w:t>
        <w:br/>
        <w:t xml:space="preserve">      manifestado  que  dicha  imposición  arbitraria   de   la   máxima   e</w:t>
        <w:br/>
        <w:t xml:space="preserve">      irreversible pena de muerte, sin consideración de  las  circunstancias</w:t>
        <w:br/>
        <w:t xml:space="preserve">      individuales  del  delito  y  la  participación  y  culpabilidad   del</w:t>
        <w:br/>
        <w:t xml:space="preserve">      delincuente, viola los derechos consagrados en el artículo 4.1  y  4.2</w:t>
        <w:br/>
        <w:t xml:space="preserve">      de la Convención, en relación con el artículo 1.1 de dicho instrumento</w:t>
        <w:br/>
        <w:t xml:space="preserve">      (supra párrs. 62 y 63).</w:t>
        <w:br/>
        <w:br/>
        <w:t xml:space="preserve">  72. Al analizar la cuestión desde la perspectiva  del  artículo  2  de  la</w:t>
        <w:br/>
        <w:t xml:space="preserve">      Convención, el Tribunal considera que, salvo  por  la  existencia  del</w:t>
        <w:br/>
        <w:t xml:space="preserve">      artículo 2 de la LDCP, no se hubiese violado el derecho a la  vida  de</w:t>
        <w:br/>
        <w:t xml:space="preserve">      las presuntas víctimas (supra párrs. 49 a 63).  El artículo  2  de  la</w:t>
        <w:br/>
        <w:t xml:space="preserve">      LDCP es, por lo tanto, una norma que impide el ejercicio del derecho a</w:t>
        <w:br/>
        <w:t xml:space="preserve">      no ser privado arbitrariamente de la vida y,  de  este  modo,  es  per</w:t>
        <w:br/>
        <w:t xml:space="preserve">      se[68] contraria a la  Convención  y  el  Estado  tiene  el  deber  de</w:t>
        <w:br/>
        <w:t xml:space="preserve">      suprimirla o eliminarla de conformidad con  el  artículo  2  de  dicho</w:t>
        <w:br/>
        <w:t xml:space="preserve">      instrumento.</w:t>
        <w:br/>
        <w:br/>
        <w:t xml:space="preserve">  73. Asimismo, en  el  presente  caso,  la  norma  en  cuestión  no  existe</w:t>
        <w:br/>
        <w:t xml:space="preserve">      meramente de manera formal, lo cual es suficiente para que la Corte la</w:t>
        <w:br/>
        <w:t xml:space="preserve">      declare en violación de la Convención.  Se le ha aplicado a las cuatro</w:t>
        <w:br/>
        <w:t xml:space="preserve">      presuntas víctimas a través de una sentencia.  El Estado efectivamente</w:t>
        <w:br/>
        <w:t xml:space="preserve">      decidió que las  vidas  de  estos  cuatro  individuos  “será”  tomada.</w:t>
        <w:br/>
        <w:t xml:space="preserve">      Asimismo, el Estado adoptó medidas adicionales para llevar a cabo esta</w:t>
        <w:br/>
        <w:t xml:space="preserve">      pena al leer las órdenes de ejecución a las presuntas víctimas en  dos</w:t>
        <w:br/>
        <w:t xml:space="preserve">      ocasiones a cada uno  (infra  párrs.  103  a  116).   En  esencia,  el</w:t>
        <w:br/>
        <w:t xml:space="preserve">      artículo 2 de la LDCP afectó a las presuntas víctimas de forma directa</w:t>
        <w:br/>
        <w:t xml:space="preserve">      en más de una ocasión.</w:t>
        <w:br/>
        <w:br/>
        <w:t xml:space="preserve">  74. Por lo tanto, la Corte considera que, aunque no se hayan  ejecutado  a</w:t>
        <w:br/>
        <w:t xml:space="preserve">      las presuntas víctimas, el Estado no ha cumplido con el artículo 2  de</w:t>
        <w:br/>
        <w:t xml:space="preserve">      la Convención dado que mantuvo, per  se,  y  aplicó  respecto  de  las</w:t>
        <w:br/>
        <w:t xml:space="preserve">      presuntas víctimas, una ley que restringe los derechos reconocidos  en</w:t>
        <w:br/>
        <w:t xml:space="preserve">      el artículo 4 de dicho instrumento (supra párrs. 49 a 63).</w:t>
        <w:br/>
        <w:br/>
        <w:br/>
        <w:t>B.    Artículo 26 de la Constitución de Barbados</w:t>
        <w:br/>
        <w:br/>
        <w:br/>
        <w:t xml:space="preserve">  75. El artículo  26[69]  de  la  Constitución  de  Barbados  previene  que</w:t>
        <w:br/>
        <w:t xml:space="preserve">      tribunales puedan declarar la inconstitucionalidad de leyes existentes</w:t>
        <w:br/>
        <w:t xml:space="preserve">      que hayan sido  promulgadas  antes  de  la  entrada  en  vigor  de  la</w:t>
        <w:br/>
        <w:t xml:space="preserve">      Constitución, esto es, antes del  30  de  noviembre  de  1966.   Dicho</w:t>
        <w:br/>
        <w:t xml:space="preserve">      artículo se conoce como  una  “cláusula  de  exclusión”  dado  que  no</w:t>
        <w:br/>
        <w:t xml:space="preserve">      permite  que   dichas   leyes   se   sometan   a   una   revisión   de</w:t>
        <w:br/>
        <w:t xml:space="preserve">      constitucionalidad de normas, y por lo tanto,  las  “excluye”  de  tal</w:t>
        <w:br/>
        <w:t xml:space="preserve">      proceso.  En efecto, el artículo  26  no  permite  la  impugnación  de</w:t>
        <w:br/>
        <w:t xml:space="preserve">      aquellas leyes vigentes, previas a la constitución, con  el  propósito</w:t>
        <w:br/>
        <w:t xml:space="preserve">      de revisar su constitucionalidad aún cuando el fin de  dicha  revisión</w:t>
        <w:br/>
        <w:t xml:space="preserve">      sea analizar si la ley  viola  derechos  y  libertades  fundamentales.</w:t>
        <w:br/>
        <w:t xml:space="preserve">      Este es el caso del artículo 2 de la  LDCP,  que  entró  en  vigor  al</w:t>
        <w:br/>
        <w:t xml:space="preserve">      momento de la promulgación de la Ley de Delitos Contra la  Persona  de</w:t>
        <w:br/>
        <w:t xml:space="preserve">      1868[70].  Es decir, el artículo 2 de la LDCP es una ley previa  a  la</w:t>
        <w:br/>
        <w:t xml:space="preserve">      constitución actual, y que continúa siendo ley en  Barbados.   Por  lo</w:t>
        <w:br/>
        <w:t xml:space="preserve">      tanto, en virtud de la “cláusula de exclusión”, la  constitucionalidad</w:t>
        <w:br/>
        <w:t xml:space="preserve">      del artículo 2 de la LDCP no puede ser impugnada a nivel interno.</w:t>
        <w:br/>
        <w:br/>
        <w:t xml:space="preserve">  76. Esta supuesta limitación al  derecho  a  la  protección  judicial  fue</w:t>
        <w:br/>
        <w:t xml:space="preserve">      tratada en el año 2004  por  el  máximo  tribunal  de  apelaciones  de</w:t>
        <w:br/>
        <w:t xml:space="preserve">      Barbados de aquél entonces, el Comité Judicial del Consejo Privado (en</w:t>
        <w:br/>
        <w:t xml:space="preserve">      adelante, "CJCP") el cual sostuvo en el caso Boyce  y  Joseph  vs.  La</w:t>
        <w:br/>
        <w:t xml:space="preserve">      Reina que los tribunales internos no podían declarar que el artículo 2</w:t>
        <w:br/>
        <w:t xml:space="preserve">      de la LDCP es inconsistente con el artículo 15.1 de la Constitución de</w:t>
        <w:br/>
        <w:t xml:space="preserve">      Barbados, el cual prohíbe el trato inhumano o degradante, dado que  la</w:t>
        <w:br/>
        <w:t xml:space="preserve">      LDCP es una “ley existente” conforme al significado del artículo 26 de</w:t>
        <w:br/>
        <w:t xml:space="preserve">      la Constitución[71].  Sin embargo,  el  Comité  Judicial  del  Consejo</w:t>
        <w:br/>
        <w:t xml:space="preserve">      Privado asimismo manifestó[72] que, si no fuera  por  la  cláusula  de</w:t>
        <w:br/>
        <w:t xml:space="preserve">      exclusión, hubiese declarado que la pena de muerte obligatoria  va  en</w:t>
        <w:br/>
        <w:t xml:space="preserve">      contra del derecho constitucional de no ser sometido a una pena cruel,</w:t>
        <w:br/>
        <w:t xml:space="preserve">      inhumana y degradante[73].</w:t>
        <w:br/>
        <w:br/>
        <w:t xml:space="preserve">  77. La Corte  observa  que  el  CJCP  llegó  a  la  conclusión  mencionada</w:t>
        <w:br/>
        <w:t xml:space="preserve">      anteriormente a través de un análisis puramente constitucional, en  el</w:t>
        <w:br/>
        <w:t xml:space="preserve">      cual no se tuvo  en  cuenta  las  obligaciones  que  tiene  el  Estado</w:t>
        <w:br/>
        <w:t xml:space="preserve">      conforme a la Convención Americana y según la jurisprudencia  de  esta</w:t>
        <w:br/>
        <w:t xml:space="preserve">      Corte.  De acuerdo  con  la  Convención  de  Viena  sobre  la  Ley  de</w:t>
        <w:br/>
        <w:t xml:space="preserve">      Tratados, Barbados debe cumplir de buena fe[74] con  sus  obligaciones</w:t>
        <w:br/>
        <w:t xml:space="preserve">      bajo la Convención Americana y no podrá invocar las  disposiciones  de</w:t>
        <w:br/>
        <w:t xml:space="preserve">      su derecho interno como justificación para el incumplimiento de dichas</w:t>
        <w:br/>
        <w:t xml:space="preserve">      obligaciones convencionales[75].  En el presente caso, el Estado  está</w:t>
        <w:br/>
        <w:t xml:space="preserve">      precisamente invocando disposiciones de su  derecho  interno  a  tales</w:t>
        <w:br/>
        <w:t xml:space="preserve">      fines.</w:t>
        <w:br/>
        <w:br/>
        <w:t xml:space="preserve">  78. El análisis del CJCP no debería haberse limitado a evaluar si la  LDCP</w:t>
        <w:br/>
        <w:t xml:space="preserve">      era inconstitucional.  Más bien, la cuestión debería haber  girado  en</w:t>
        <w:br/>
        <w:t xml:space="preserve">      torno a  si  la  ley  también  era  “convencional”.    Es  decir,  los</w:t>
        <w:br/>
        <w:t xml:space="preserve">      tribunales de Barbados, incluso el CJCP y ahora la Corte  de  Justicia</w:t>
        <w:br/>
        <w:t xml:space="preserve">      del Caribe, deben también decidir si la ley de  Barbados  restringe  o</w:t>
        <w:br/>
        <w:t xml:space="preserve">      viola los derechos reconocidos en la Convención. En este  sentido,  la</w:t>
        <w:br/>
        <w:t xml:space="preserve">      Corte ha afirmado, en otras ocasiones, que</w:t>
        <w:br/>
        <w:br/>
        <w:br/>
        <w:t xml:space="preserve">      el  Poder  Judicial  debe  ejercer  una   especie   de   “control   de</w:t>
        <w:br/>
        <w:t xml:space="preserve">      convencionalidad”  entre  las  normas  jurídicas  internas  […]  y  la</w:t>
        <w:br/>
        <w:t xml:space="preserve">      Convención Americana sobre Derechos Humanos.  En esta tarea, el  Poder</w:t>
        <w:br/>
        <w:t xml:space="preserve">      Judicial debe tener en cuenta no solamente el tratado, sino también la</w:t>
        <w:br/>
        <w:t xml:space="preserve">      interpretación  que  del  mismo  ha  hecho  la  Corte  Interamericana,</w:t>
        <w:br/>
        <w:t xml:space="preserve">      intérprete última de la Convención Americana.[76]</w:t>
        <w:br/>
        <w:br/>
        <w:t xml:space="preserve">  79. En concordancia con lo  expuesto,  la  Corte  ha  expresado  en  otras</w:t>
        <w:br/>
        <w:t xml:space="preserve">      oportunidades que una “cláusula de exclusión” que se encontraba en  la</w:t>
        <w:br/>
        <w:t xml:space="preserve">      Constitución de Trinidad y Tobago  tenía  el  efecto  de  excluir  del</w:t>
        <w:br/>
        <w:t xml:space="preserve">      escrutinio  judicial  ciertas  leyes  que,  de  otra   forma,   serían</w:t>
        <w:br/>
        <w:t xml:space="preserve">      violatorias de derechos fundamentales[77].  De manera similar,  en  el</w:t>
        <w:br/>
        <w:t xml:space="preserve">      presente caso, el artículo 26 de la Constitución de Barbados le  niega</w:t>
        <w:br/>
        <w:t xml:space="preserve">      a sus ciudadanos en general, y a las presuntas víctimas en particular,</w:t>
        <w:br/>
        <w:t xml:space="preserve">      el derecho de exigir protección judicial contra violaciones al derecho</w:t>
        <w:br/>
        <w:t xml:space="preserve">      a la vida.</w:t>
        <w:br/>
        <w:br/>
        <w:t xml:space="preserve">  80. En este sentido, a la luz de la jurisprudencia de la Corte y en  tanto</w:t>
        <w:br/>
        <w:t xml:space="preserve">      que el artículo 26 de la Constitución de Barbados impide el escrutinio</w:t>
        <w:br/>
        <w:t xml:space="preserve">      judicial sobre el artículo 2 de la Ley de Delitos contra  la  Persona,</w:t>
        <w:br/>
        <w:t xml:space="preserve">      que  a  su  vez  es  violatoria  del  derecho  a   no   ser   privado,</w:t>
        <w:br/>
        <w:t xml:space="preserve">      arbitrariamente, de la vida, la Corte considera que el  Estado  no  ha</w:t>
        <w:br/>
        <w:t xml:space="preserve">      cumplido con el deber establecido en el artículo 2 de la Convención en</w:t>
        <w:br/>
        <w:t xml:space="preserve">      relación con los artículos 1.1, 4.1, 4.2 y 25.1 de dicho instrumento.</w:t>
        <w:br/>
        <w:br/>
        <w:t xml:space="preserve">                                      X</w:t>
        <w:br/>
        <w:br/>
        <w:t xml:space="preserve"> Violación de los Artículos  5(1)[78] y 5(2)[79] de la Convención Americana</w:t>
        <w:br/>
        <w:t xml:space="preserve">            en relación con el artículo 1.1 de dicho instrumento</w:t>
        <w:br/>
        <w:br/>
        <w:br/>
        <w:t xml:space="preserve">  81. En este capítulo, la Corte procederá a tratar los argumentos expuestos</w:t>
        <w:br/>
        <w:t xml:space="preserve">      por las partes respecto de las siguientes tres cuestiones:  1)  si  el</w:t>
        <w:br/>
        <w:t xml:space="preserve">      método de ejecución por horca de  Barbados  viola  la  prohibición  de</w:t>
        <w:br/>
        <w:t xml:space="preserve">      tratos crueles, inhumanos o degradantes,  2)  si  las  condiciones  de</w:t>
        <w:br/>
        <w:t xml:space="preserve">      detención de las cuatro presuntas víctimas violaron su  derecho  a  la</w:t>
        <w:br/>
        <w:t xml:space="preserve">      integridad personal, y 3)  si  el  Estado  violó  el  derecho  de  las</w:t>
        <w:br/>
        <w:t xml:space="preserve">      presuntas víctimas a la vida y a  la  integridad  física  mediante  la</w:t>
        <w:br/>
        <w:t xml:space="preserve">      presunta notificación y lectura de sus órdenes de  ejecución  mientras</w:t>
        <w:br/>
        <w:t xml:space="preserve">      sus apelaciones se encontraban pendientes de resolución.</w:t>
        <w:br/>
        <w:br/>
        <w:t>A.    Método de Ejecución de la Pena de Muerte mediante la Horca</w:t>
        <w:br/>
        <w:br/>
        <w:br/>
        <w:t xml:space="preserve">  82. Los representantes alegaron que la ejecución en la horca,  conforme  a</w:t>
        <w:br/>
        <w:t xml:space="preserve">      la legislación de  Barbados,  constituye  un  trato  o  pena  cruel  e</w:t>
        <w:br/>
        <w:t xml:space="preserve">      inhumano en  violación  del  artículo  5.1  y  5.2  de  la  Convención</w:t>
        <w:br/>
        <w:t xml:space="preserve">      Americana “ya que expone a  la  persona  condenada  a  un  sufrimiento</w:t>
        <w:br/>
        <w:t xml:space="preserve">      prolongado  e  innecesario,  donde  existe  riesgo   de   una   muerte</w:t>
        <w:br/>
        <w:t xml:space="preserve">      extremadamente dolorosa, duradera y horrible debido a  la  posibilidad</w:t>
        <w:br/>
        <w:t xml:space="preserve">      de muerte por estrangulación o de decapitación total o parcial”.   Los</w:t>
        <w:br/>
        <w:t xml:space="preserve">      representantes  sostuvieron  que  aunque  ninguna  de  las   presuntas</w:t>
        <w:br/>
        <w:t xml:space="preserve">      víctimas fue ahorcada, se violó el derecho a no  ser  sometido  a  una</w:t>
        <w:br/>
        <w:t xml:space="preserve">      pena cruel e inhumana al momento de las notificaciones  y  lectura  de</w:t>
        <w:br/>
        <w:t xml:space="preserve">      las  órdenes  de  ejecución.   Respecto   del   señor   Huggins,   los</w:t>
        <w:br/>
        <w:t xml:space="preserve">      representantes manifestaron que aún continúa enfrentando la muerte por</w:t>
        <w:br/>
        <w:t xml:space="preserve">      horca, dado que no se ha conmutado su pena de muerte.</w:t>
        <w:br/>
        <w:br/>
        <w:t xml:space="preserve">  83. La Comisión Interamericana no alegó una violación de la Convención  en</w:t>
        <w:br/>
        <w:t xml:space="preserve">      base al método de ejecución utilizado en Barbados, es decir, la muerte</w:t>
        <w:br/>
        <w:t xml:space="preserve">      por la horca.  Sin embargo, conforme a la jurisprudencia del Tribunal,</w:t>
        <w:br/>
        <w:t xml:space="preserve">      una  vez  que  la  Comisión  ha   iniciado   el   procedimiento,   los</w:t>
        <w:br/>
        <w:t xml:space="preserve">      representantes  pueden  alegar  otras  violaciones  a  la   Convención</w:t>
        <w:br/>
        <w:t xml:space="preserve">      distintas a las alegadas por la Comisión, siempre que los  fundamentos</w:t>
        <w:br/>
        <w:t xml:space="preserve">      legales se  basen  en  los  hechos  establecidos  en  la  demanda[80].</w:t>
        <w:br/>
        <w:t xml:space="preserve">      Asimismo,  este  Tribunal  desea  puntualizar  que  el   Estado   tuvo</w:t>
        <w:br/>
        <w:t xml:space="preserve">      oportunidad para contestar todos los  argumentos  legales  presentados</w:t>
        <w:br/>
        <w:t xml:space="preserve">      por los representantes en todas las etapas del proceso.</w:t>
        <w:br/>
        <w:br/>
        <w:t xml:space="preserve">  84. El Estado alegó que se reservó el derecho de usar la horca como método</w:t>
        <w:br/>
        <w:t xml:space="preserve">      de ejecución en su reserva a la Convención Americana  y,  aparte,  que</w:t>
        <w:br/>
        <w:t xml:space="preserve">      las cuestiones relacionadas con la horca no son relevantes y son moot,</w:t>
        <w:br/>
        <w:t xml:space="preserve">      dado  que  ninguna  de  las  presuntas  víctimas  será   ahorcada[81].</w:t>
        <w:br/>
        <w:t xml:space="preserve">      Asimismo, el Estado argumentó que la prueba médica presentada por  los</w:t>
        <w:br/>
        <w:t xml:space="preserve">      representantes respecto de la muerte por  horca  “debería  tener  poco</w:t>
        <w:br/>
        <w:t xml:space="preserve">      peso” para la Corte, dado que “es principalmente anecdótica y  por  su</w:t>
        <w:br/>
        <w:t xml:space="preserve">      propia admisión es sumamente  subjetiva.   Además,  aún  asumiendo  su</w:t>
        <w:br/>
        <w:t xml:space="preserve">      valor probatorio, tal prueba médica no apoya el punto de vista que  la</w:t>
        <w:br/>
        <w:t xml:space="preserve">      horca es una forma cruel e inhumana de ejecución”.</w:t>
        <w:br/>
        <w:br/>
        <w:t xml:space="preserve">  85. La Corte ya ha declarado que la imposición obligatoria de la  pena  de</w:t>
        <w:br/>
        <w:t xml:space="preserve">      muerte violó el derecho de las presuntas víctimas a  que  no  les  sea</w:t>
        <w:br/>
        <w:t xml:space="preserve">      privada su vida arbitrariamente (supra párr. 62).  Tal  conclusión  no</w:t>
        <w:br/>
        <w:t xml:space="preserve">      se ve afectada por el método particular que se  elija  para  llevar  a</w:t>
        <w:br/>
        <w:t xml:space="preserve">      cabo la ejecución de la pena de muerte.  Por lo tanto, el Tribunal  no</w:t>
        <w:br/>
        <w:t xml:space="preserve">      considera necesario analizar si el método particular de ejecución  por</w:t>
        <w:br/>
        <w:t xml:space="preserve">      medio de la horca también sería violatorio de la Convención Americana.</w:t>
        <w:br/>
        <w:br/>
        <w:br/>
        <w:t>B.    Condiciones de Detención</w:t>
        <w:br/>
        <w:br/>
        <w:br/>
        <w:t xml:space="preserve">  86. La Comisión alegó que las condiciones  en  las  cuales  el  Estado  ha</w:t>
        <w:br/>
        <w:t xml:space="preserve">      detenido   a   las   presuntas   víctimas   “deben   ser   simplemente</w:t>
        <w:br/>
        <w:t xml:space="preserve">      caracterizadas como  inhumanas”  y,  por  lo  tanto,  constituyen  una</w:t>
        <w:br/>
        <w:t xml:space="preserve">      violación del artículo 5.1 y 5.2 de la Convención.   Del  mismo  modo,</w:t>
        <w:br/>
        <w:t xml:space="preserve">      los representantes argumentaron que “las condiciones en las cuales las</w:t>
        <w:br/>
        <w:t xml:space="preserve">      presuntas víctimas han sido detenidas y las actuales condiciones de su</w:t>
        <w:br/>
        <w:t xml:space="preserve">      detención, en particular la falta de privacidad, estar  encerrados  en</w:t>
        <w:br/>
        <w:t xml:space="preserve">      jaulas, la falta de contacto con el mundo externo, el  uso  de  baldes</w:t>
        <w:br/>
        <w:t xml:space="preserve">      como sanitario y la falta de luz natural y ejercicio,  constituyen  un</w:t>
        <w:br/>
        <w:t xml:space="preserve">      trato inhumano y degradante que no respeta la dignidad  humana  de  la</w:t>
        <w:br/>
        <w:t xml:space="preserve">      persona; por lo tanto, son contrarias al artículo 5 de la  [Convención</w:t>
        <w:br/>
        <w:t xml:space="preserve">      Americana]”.</w:t>
        <w:br/>
        <w:br/>
        <w:t xml:space="preserve">  87. El Estado sostuvo que “el sistema  estatal  de  prisiones  respeta  de</w:t>
        <w:br/>
        <w:t xml:space="preserve">      manera completa los derechos de los prisioneros a vivir en condiciones</w:t>
        <w:br/>
        <w:t xml:space="preserve">      de detención compatibles con su dignidad personal”.  Además, argumentó</w:t>
        <w:br/>
        <w:t xml:space="preserve">      que  aún  si  las  condiciones  de  las  penitenciarias  Glendairy   y</w:t>
        <w:br/>
        <w:t xml:space="preserve">      Harrison's Point no fueran perfectas, “no llegaría  a  significar  que</w:t>
        <w:br/>
        <w:t xml:space="preserve">      violan los estándares legales  internacionales,  dentro  o  fuera  del</w:t>
        <w:br/>
        <w:t xml:space="preserve">      hemisferio”.  Finalmente, Barbados sostuvo que “respeta las Reglas  de</w:t>
        <w:br/>
        <w:t xml:space="preserve">      Estándares Mínimos de Naciones  Unidas  para  el  Tratamiento  de  los</w:t>
        <w:br/>
        <w:t xml:space="preserve">      Reclusos  al  máximo  grado  permitido  por  su  nivel  de  desarrollo</w:t>
        <w:br/>
        <w:t xml:space="preserve">      económico”.</w:t>
        <w:br/>
        <w:br/>
        <w:t xml:space="preserve">  88. La Corte ya ha examinado en casos anteriores el deber que  tienen  los</w:t>
        <w:br/>
        <w:t xml:space="preserve">      Estados Partes de la Convención, como garantes de los derechos de toda</w:t>
        <w:br/>
        <w:t xml:space="preserve">      persona bajo su custodia, de garantizar a los reclusos  la  existencia</w:t>
        <w:br/>
        <w:t xml:space="preserve">      de condiciones que respeten el artículo 5 de la Convención  y  cumplan</w:t>
        <w:br/>
        <w:t xml:space="preserve">      con los estándares  mínimos  internacionales  en  esta  área[82].   De</w:t>
        <w:br/>
        <w:t xml:space="preserve">      conformidad con el artículo 5 de la Convención, toda  persona  privada</w:t>
        <w:br/>
        <w:t xml:space="preserve">      de  libertad  tiene  derecho  a  vivir  en  condiciones  de  detención</w:t>
        <w:br/>
        <w:t xml:space="preserve">      compatibles con la dignidad inherente de todo  ser  humano[83].   Esto</w:t>
        <w:br/>
        <w:t xml:space="preserve">      implica el deber del Estado de salvaguardar la salud y el bienestar de</w:t>
        <w:br/>
        <w:t xml:space="preserve">      los reclusos y garantizar que la manera y el método  de  privación  de</w:t>
        <w:br/>
        <w:t xml:space="preserve">      libertad no exceda el nivel inevitable de sufrimiento inherente  a  la</w:t>
        <w:br/>
        <w:t xml:space="preserve">      detención[84].  La falta de cumplimento con ello puede resultar en una</w:t>
        <w:br/>
        <w:t xml:space="preserve">      violación de la prohibición absoluta contra tratos  o  penas  crueles,</w:t>
        <w:br/>
        <w:t xml:space="preserve">      inhumanas o degradantes[85].  En este sentido, los Estados  no  pueden</w:t>
        <w:br/>
        <w:t xml:space="preserve">      invocar  privaciones  económicas  para   justificar   condiciones   de</w:t>
        <w:br/>
        <w:t xml:space="preserve">      detención que no cumplen con los estándares mínimos internacionales en</w:t>
        <w:br/>
        <w:t xml:space="preserve">      esta área y no respetan la dignidad del ser humano[86].</w:t>
        <w:br/>
        <w:br/>
        <w:t xml:space="preserve">  89. Con base en lo señalado anteriormente, la Corte procederá  a  analizar</w:t>
        <w:br/>
        <w:t xml:space="preserve">      las condiciones de prisión en los dos  centros  de  detención  en  los</w:t>
        <w:br/>
        <w:t xml:space="preserve">      cuales se encontraban las presuntas víctimas, a saber, la  Prisión  de</w:t>
        <w:br/>
        <w:t xml:space="preserve">      Glendairy y la Prisión Temporal de Harrison's Point.</w:t>
        <w:br/>
        <w:br/>
        <w:br/>
        <w:t xml:space="preserve">      B.1)  Condiciones de Detención en la Prisión de Glendairy</w:t>
        <w:br/>
        <w:br/>
        <w:br/>
        <w:t xml:space="preserve">  90. Las cuatro presuntas víctimas estuvieron detenidas en  la  Prisión  de</w:t>
        <w:br/>
        <w:t xml:space="preserve">      Glendairy desde el momento de sus respectivos arrestos o detención[87]</w:t>
        <w:br/>
        <w:t xml:space="preserve">      hasta el 29 de marzo de 2005, fecha en que la prisión  se  incendió  y</w:t>
        <w:br/>
        <w:t xml:space="preserve">      quedó  destruida[88].   Sin  embargo,  dado  que  Barbados  aceptó  la</w:t>
        <w:br/>
        <w:t xml:space="preserve">      competencia contenciosa de este Tribunal el 4 de  junio  de  2000,  la</w:t>
        <w:br/>
        <w:t xml:space="preserve">      Corte procederá a analizar las condiciones en la Prisión de  Glendairy</w:t>
        <w:br/>
        <w:t xml:space="preserve">      durante los cuatro años y medio  que  quedan  comprendidos  dentro  la</w:t>
        <w:br/>
        <w:t xml:space="preserve">      competencia ratione temporis de la Corte (supra párr. 30).</w:t>
        <w:br/>
        <w:br/>
        <w:t xml:space="preserve">  91. La Prisión de Glendairy fue construida en 1855 como la  única  prisión</w:t>
        <w:br/>
        <w:t xml:space="preserve">      para  adultos  en  Barbados  a  fin  de  albergar  entre  245  y   350</w:t>
        <w:br/>
        <w:t xml:space="preserve">      prisioneros, tanto mujeres como hombres[89]. Para marzo  de  2005,  la</w:t>
        <w:br/>
        <w:t xml:space="preserve">      población total de  prisioneros  en  la  Prisión  de  Glendairy  había</w:t>
        <w:br/>
        <w:t xml:space="preserve">      llegado a 994, es decir, más de tres veces su máxima capacidad, de los</w:t>
        <w:br/>
        <w:t xml:space="preserve">      cuales 942 eran hombres y 52 mujeres[90].  El sistema empleaba  a  282</w:t>
        <w:br/>
        <w:t xml:space="preserve">      personas[91].</w:t>
        <w:br/>
        <w:br/>
        <w:t xml:space="preserve">  92. Los prisioneros sentenciados a  muerte  en  la  Prisión  de  Glendairy</w:t>
        <w:br/>
        <w:t xml:space="preserve">      residían en la sección  de  máxima  seguridad.   Las  celdas  de  esta</w:t>
        <w:br/>
        <w:t xml:space="preserve">      sección medían diez pies y medio de longitud, cinco pies  de  ancho  y</w:t>
        <w:br/>
        <w:t xml:space="preserve">      diez pies y dos pulgadas de alto.  Las celdas estaban  iluminadas  con</w:t>
        <w:br/>
        <w:t xml:space="preserve">      un bombillo.  Las celdas externas,  donde  residía  el  señor  Atkins,</w:t>
        <w:br/>
        <w:t xml:space="preserve">      tenían ventanas. Los señores  Joseph,  Boyce  y  Huggins  residían  en</w:t>
        <w:br/>
        <w:t xml:space="preserve">      celdas internas que no tenían ventanas.  En las celdas  internas,  los</w:t>
        <w:br/>
        <w:t xml:space="preserve">      prisioneros recibían ventilación a través de la puerta de la celda, la</w:t>
        <w:br/>
        <w:t xml:space="preserve">      cual daba a un corredor[92].  Las presuntas víctimas tenían  que  usar</w:t>
        <w:br/>
        <w:t xml:space="preserve">      lo que se conoce como “balde de recolección” para orinar y  defecar  y</w:t>
        <w:br/>
        <w:t xml:space="preserve">      el mismo sólo podía ser vaciado dos veces al día, una vez en la mañana</w:t>
        <w:br/>
        <w:t xml:space="preserve">      y otra vez en la tarde, o en otro momento, si lo solicitaban[93].  Las</w:t>
        <w:br/>
        <w:t xml:space="preserve">      presuntas víctimas pasaban encerrados en sus celdas al menos 23  horas</w:t>
        <w:br/>
        <w:t xml:space="preserve">      al día[94].</w:t>
        <w:br/>
        <w:br/>
        <w:t xml:space="preserve">  93. La prueba presentada en este caso demuestra que para el año  2005,  la</w:t>
        <w:br/>
        <w:t xml:space="preserve">      población  carcelaria  en  Glendairy  había  excedido  tres  veces  su</w:t>
        <w:br/>
        <w:t xml:space="preserve">      capacidad.  Al respecto, la  Corte  observa  que  las  condiciones  de</w:t>
        <w:br/>
        <w:t xml:space="preserve">      hacinamiento  en  un  centro  de  detención  pueden   causar   efectos</w:t>
        <w:br/>
        <w:t xml:space="preserve">      perjudiciales  sobre  toda  la  población  carcelaria,  incluso  sobre</w:t>
        <w:br/>
        <w:t xml:space="preserve">      aquellos prisioneros que, como en el presente caso, residían en celdas</w:t>
        <w:br/>
        <w:t xml:space="preserve">      individuales. Dichas condiciones pueden resultar en una  reducción  de</w:t>
        <w:br/>
        <w:t xml:space="preserve">      las actividades que se  realizan  fuera  de  la  celda,  recargar  los</w:t>
        <w:br/>
        <w:t xml:space="preserve">      servicios de salud, y  causar  problemas  higiénicos  y  accesibilidad</w:t>
        <w:br/>
        <w:t xml:space="preserve">      reducida a las  instalaciones  de  lavatorios  e  inodoros[95].   Como</w:t>
        <w:br/>
        <w:t xml:space="preserve">      consecuencia  de  este  hacinamiento,  al  señor  Joseph  sólo  se  le</w:t>
        <w:br/>
        <w:t xml:space="preserve">      permitía, en algunas ocasiones, 15 minutos por día de ejercicio  y  al</w:t>
        <w:br/>
        <w:t xml:space="preserve">      señor Huggins, en algunas ocasiones, no se le permitió ejercitar[96].</w:t>
        <w:br/>
        <w:br/>
        <w:t xml:space="preserve">  94. La Corte considera que  la  suma  de  las  condiciones  de  detención,</w:t>
        <w:br/>
        <w:t xml:space="preserve">      particularmente el uso del balde de recolección, la  falta  de  luz  y</w:t>
        <w:br/>
        <w:t xml:space="preserve">      ventilación adecuada y el hecho de que las presuntas  víctimas  tenían</w:t>
        <w:br/>
        <w:t xml:space="preserve">      que estar en su celda 23 horas al día por más de cuatro años, así como</w:t>
        <w:br/>
        <w:t xml:space="preserve">      el hacinamiento, en su  conjunto  constituyen  trato  contrario  a  la</w:t>
        <w:br/>
        <w:t xml:space="preserve">      dignidad del ser humano y  por  lo  tanto,  entran  en  violación  del</w:t>
        <w:br/>
        <w:t xml:space="preserve">      artículo 5.1 y 5.2 de la Convención  Americana,  en  relación  con  el</w:t>
        <w:br/>
        <w:t xml:space="preserve">      artículo 1 de dicho instrumento, en perjuicio de  los  señores  Boyce,</w:t>
        <w:br/>
        <w:t xml:space="preserve">      Joseph, Atkins y Huggins[97].</w:t>
        <w:br/>
        <w:br/>
        <w:br/>
        <w:t xml:space="preserve">      B.2) Condiciones de Detención en la Prisión Temporal de Harrison’s</w:t>
        <w:br/>
        <w:t xml:space="preserve">      Point</w:t>
        <w:br/>
        <w:br/>
        <w:br/>
        <w:t xml:space="preserve">  95. Debido al incendio que destruyó la Prisión de Glendairy el 29 de marzo</w:t>
        <w:br/>
        <w:t xml:space="preserve">      de 2005, todos los prisioneros fueron trasladados a dos  instalaciones</w:t>
        <w:br/>
        <w:t xml:space="preserve">      temporales de detención[98].  Las  cuatro  presuntas  víctimas  fueron</w:t>
        <w:br/>
        <w:t xml:space="preserve">      primero trasladadas a la prisión temporal de St. Ann’s  Fort  y  luego</w:t>
        <w:br/>
        <w:t xml:space="preserve">      transferidos a la Prisión Temporal de Harrison’s Point el 18 de  junio</w:t>
        <w:br/>
        <w:t xml:space="preserve">      de 2005[99]. El señor Atkins  permaneció  detenido  en  dicha  prisión</w:t>
        <w:br/>
        <w:t xml:space="preserve">      hasta que fue transferido a un hospital el  23  de  octubre  de  2005,</w:t>
        <w:br/>
        <w:t xml:space="preserve">      donde siete días después falleció por motivos de enfermedad[100].  Los</w:t>
        <w:br/>
        <w:t xml:space="preserve">      señores Boyce, Joseph y Huggins  continúan  detenidos  en  la  Prisión</w:t>
        <w:br/>
        <w:t xml:space="preserve">      Temporal de Harrison’s Point.</w:t>
        <w:br/>
        <w:br/>
        <w:t xml:space="preserve">  96. La Prisión Temporal de Harrison’s Point fue, en  primer  momento,  una</w:t>
        <w:br/>
        <w:t xml:space="preserve">      base militar de Estados Unidos de Norteamérica.  Luego del incendio en</w:t>
        <w:br/>
        <w:t xml:space="preserve">      Glendairy, se convirtió rápidamente en una  prisión,  pero  no  es  un</w:t>
        <w:br/>
        <w:t xml:space="preserve">      centro de detención permanente[101].  Al 6 de julio de 2007  albergaba</w:t>
        <w:br/>
        <w:t xml:space="preserve">      990 hombres y 49 mujeres[102].  La prisión cuenta con 274 empleados  y</w:t>
        <w:br/>
        <w:t xml:space="preserve">      la Policía de Barbados brinda servicio  de  seguridad  fuera  de  cada</w:t>
        <w:br/>
        <w:t xml:space="preserve">      unidad[103].</w:t>
        <w:br/>
        <w:br/>
        <w:t xml:space="preserve">  97. El Tribunal considera que hay tres  aspectos  de  las  condiciones  de</w:t>
        <w:br/>
        <w:t xml:space="preserve">      detención  en  esta   prisión   temporal   que   son   particularmente</w:t>
        <w:br/>
        <w:t xml:space="preserve">      inquietantes.  En primer lugar, las presuntas  víctimas  han  residido</w:t>
        <w:br/>
        <w:t xml:space="preserve">      por más de dos años y medio en celdas que parecen jaulas[104]. No  hay</w:t>
        <w:br/>
        <w:t xml:space="preserve">      paredes o techo que puedan proporcionarles al menos cierta  medida  de</w:t>
        <w:br/>
        <w:t xml:space="preserve">      privacidad.   Más  bien,  los  prisioneros  y  los  oficiales   pueden</w:t>
        <w:br/>
        <w:t xml:space="preserve">      fácilmente observar a las presuntas víctimas en todo momento a  través</w:t>
        <w:br/>
        <w:t xml:space="preserve">      de las rejas, incluso cuando usan los baldes de recolección.   Aún  si</w:t>
        <w:br/>
        <w:t xml:space="preserve">      la privación de la libertad implica ciertas limitaciones al  goce  del</w:t>
        <w:br/>
        <w:t xml:space="preserve">      derecho de la privacidad personal, la Corte considera que  mantener  a</w:t>
        <w:br/>
        <w:t xml:space="preserve">      los detenidos en “jaulas” viola el derecho a ser tratado  humanamente.</w:t>
        <w:br/>
        <w:t xml:space="preserve">      En segundo lugar, durante este tiempo, las presuntas víctimas  no  han</w:t>
        <w:br/>
        <w:t xml:space="preserve">      tenido el tiempo adecuado para ejercitarse  o  abandonar  sus  celdas.</w:t>
        <w:br/>
        <w:t xml:space="preserve">      Como mucho, se les permite salir al patio una vez  a  la  semana[105].</w:t>
        <w:br/>
        <w:t xml:space="preserve">      Deben permanecer en sus celdas en  todo  momento,  salvo  por  los  15</w:t>
        <w:br/>
        <w:t xml:space="preserve">      minutos diarios que es cuando usan los baños y duchas[106].  En tercer</w:t>
        <w:br/>
        <w:t xml:space="preserve">      y último lugar, las presuntas víctimas no han tenido contacto  directo</w:t>
        <w:br/>
        <w:t xml:space="preserve">      con sus familiares y amigos desde, al menos, marzo de 2005  y  se  les</w:t>
        <w:br/>
        <w:t xml:space="preserve">      permite únicamente, en teoría,  tener  contacto  visual  limitado  con</w:t>
        <w:br/>
        <w:t xml:space="preserve">      ellos por medio del sistema de video conferencia[107].  En  reiteradas</w:t>
        <w:br/>
        <w:t xml:space="preserve">      ocasiones, la Corte  ha  dicho  que  las  restricciones  indebidas  al</w:t>
        <w:br/>
        <w:t xml:space="preserve">      régimen de visitas puede constituir violación del derecho a  un  trato</w:t>
        <w:br/>
        <w:t xml:space="preserve">      humano[108].  Del mismo modo, la Corte Europea de Derechos Humanos  ha</w:t>
        <w:br/>
        <w:t xml:space="preserve">      reconocido que</w:t>
        <w:br/>
        <w:br/>
        <w:t xml:space="preserve">      [l]a detención, como toda otra medida de privación de la  libertad  de</w:t>
        <w:br/>
        <w:t xml:space="preserve">      una persona, implica limitaciones inherentes sobre la vida  privada  y</w:t>
        <w:br/>
        <w:t xml:space="preserve">      familiar [del detenido].  Sin  embargo,  es  una  parte  esencial  del</w:t>
        <w:br/>
        <w:t xml:space="preserve">      derecho  al  respeto  de  la  vida  familiar  del  detenido  que   las</w:t>
        <w:br/>
        <w:t xml:space="preserve">      autoridades le permitan o,  si  lo  necesita,  lo  ayuden  a  mantener</w:t>
        <w:br/>
        <w:t xml:space="preserve">      contacto con su familia directa[109].</w:t>
        <w:br/>
        <w:br/>
        <w:t xml:space="preserve">  98. Esta Corte reconoce que la Prisión Temporal de Harrison’s Point no  ha</w:t>
        <w:br/>
        <w:t xml:space="preserve">      sido diseñada para funcionar como un centro de  detención  permanente.</w:t>
        <w:br/>
        <w:t xml:space="preserve">      Más bien, ha sido reconfigurada para convertirse en una prisión debido</w:t>
        <w:br/>
        <w:t xml:space="preserve">      al incendio que destruyó la Prisión de Glendairy el  29  de  marzo  de</w:t>
        <w:br/>
        <w:t xml:space="preserve">      2005.  El Estado ha informado  que  se  está  construyendo  una  nueva</w:t>
        <w:br/>
        <w:t xml:space="preserve">      moderna prisión permanente, la cual  tendrá  capacidad  para  albergar</w:t>
        <w:br/>
        <w:t xml:space="preserve">      1.200 prisioneros y se estima que estará  completada  para  agosto  de</w:t>
        <w:br/>
        <w:t xml:space="preserve">      2007[110].  A la fecha de  la  presente  Sentencia,  la  Corte  no  ha</w:t>
        <w:br/>
        <w:t xml:space="preserve">      recibido información sobre si las instalaciones de la prisión  se  han</w:t>
        <w:br/>
        <w:t xml:space="preserve">      completado o si se han transferido allí a las presuntas víctimas.</w:t>
        <w:br/>
        <w:br/>
        <w:t xml:space="preserve">  99. La Corte  también  reconoce  que  el  Estado  está  implementando  una</w:t>
        <w:br/>
        <w:t xml:space="preserve">      cantidad  de  políticas  que  supuestamente  mejorarán  no  sólo   las</w:t>
        <w:br/>
        <w:t xml:space="preserve">      condiciones de detención de  los  prisioneros,  sino  que  también  el</w:t>
        <w:br/>
        <w:t xml:space="preserve">      sistema penal en su conjunto.  Por ejemplo, el Estado ha afirmado  que</w:t>
        <w:br/>
        <w:t xml:space="preserve">      está intentando resolver el tema de hacinamiento a través de la Ley de</w:t>
        <w:br/>
        <w:t xml:space="preserve">      Reforma del Sistema Penal, la cual  proporcionaría  a  tribunales  una</w:t>
        <w:br/>
        <w:t xml:space="preserve">      gama más amplia de opciones de penas.  Esto, conforme a lo manifestado</w:t>
        <w:br/>
        <w:t xml:space="preserve">      por el Estado, estará acompañado de un “cambio filosófico”  hacia  una</w:t>
        <w:br/>
        <w:t xml:space="preserve">      “política basada en los principios de restauración, donde se reservará</w:t>
        <w:br/>
        <w:t xml:space="preserve">      la encarcelación para los delitos más graves y para aquellas  personas</w:t>
        <w:br/>
        <w:t xml:space="preserve">      que son una amenaza genuina a la seguridad pública”[111].  Además,  el</w:t>
        <w:br/>
        <w:t xml:space="preserve">      Estado afirma que continuará implementando un componente educativo  en</w:t>
        <w:br/>
        <w:t xml:space="preserve">      su nueva prisión, como lo había hecho anteriormente en la  Prisión  de</w:t>
        <w:br/>
        <w:t xml:space="preserve">      Glendairy.  Finalmente, el Estado aseguró a la  Corte  que  “la  nueva</w:t>
        <w:br/>
        <w:t xml:space="preserve">      instalación penitenciaria mejorará,  en  gran  medida,  los  servicios</w:t>
        <w:br/>
        <w:t xml:space="preserve">      disponibles y las condiciones de vida de los prisioneros de Barbados”.</w:t>
        <w:br/>
        <w:br/>
        <w:br/>
        <w:br/>
        <w:t xml:space="preserve"> 100. Aunque la Corte valora la voluntad política expresada  por  el  Estado</w:t>
        <w:br/>
        <w:t xml:space="preserve">      para mejorar  las  condiciones  de  detención  de  sus  prisioneros  y</w:t>
        <w:br/>
        <w:t xml:space="preserve">      reformar el sistema penal, el hecho  es  que  tres  de  las  presuntas</w:t>
        <w:br/>
        <w:t xml:space="preserve">      víctimas del presente caso han estado detenidas en la Prisión Temporal</w:t>
        <w:br/>
        <w:t xml:space="preserve">      de Harrison’s Point por más de dos años  y  medio,  donde  han  estado</w:t>
        <w:br/>
        <w:t xml:space="preserve">      sujetos a condiciones de detención que no  respetan  su  integridad  y</w:t>
        <w:br/>
        <w:t xml:space="preserve">      dignidad inherente.  Un cambio futuro en su régimen de detención no es</w:t>
        <w:br/>
        <w:t xml:space="preserve">      sólo deseable, sino que necesario; no obstante, tal cambio  futuro  no</w:t>
        <w:br/>
        <w:t xml:space="preserve">      les devolverá  el  tiempo  que  han  estado  viviendo  en  condiciones</w:t>
        <w:br/>
        <w:t xml:space="preserve">      deplorables, sin privacidad y con poco o ningún contacto con sus seres</w:t>
        <w:br/>
        <w:t xml:space="preserve">      queridos.</w:t>
        <w:br/>
        <w:br/>
        <w:t xml:space="preserve"> 101. En este sentido, la Prisión Temporal de Harrison's Point ya lleva  más</w:t>
        <w:br/>
        <w:t xml:space="preserve">      de dos años operando y,  durante  ese  tiempo,  no  han  mejorado  las</w:t>
        <w:br/>
        <w:t xml:space="preserve">      condiciones de la prisión ni se  ha  completado  la  construcción  del</w:t>
        <w:br/>
        <w:t xml:space="preserve">      nuevo centro de detención.  Por  tales  motivos,  los  señores  Boyce,</w:t>
        <w:br/>
        <w:t xml:space="preserve">      Joseph, Huggins y Atkins han soportado condiciones  inhumanas  por  un</w:t>
        <w:br/>
        <w:t xml:space="preserve">      lapso  irrazonable  de   tiempo.    Aún   teniendo   en   cuenta   las</w:t>
        <w:br/>
        <w:t xml:space="preserve">      circunstancias que  señala  el  Estado,  la  Corte  considera  que  la</w:t>
        <w:br/>
        <w:t xml:space="preserve">      ausencia total de privacidad,  junto  con  el  deficiente  régimen  de</w:t>
        <w:br/>
        <w:t xml:space="preserve">      ejercicio y una desconsideración  completa  de  la  necesidad  de  una</w:t>
        <w:br/>
        <w:t xml:space="preserve">      interacción real, no virtual, con miembros de sus familias  y  amigos,</w:t>
        <w:br/>
        <w:t xml:space="preserve">      son condiciones claramente incompatibles con el debido  respeto  a  la</w:t>
        <w:br/>
        <w:t xml:space="preserve">      dignidad del ser humano[112].</w:t>
        <w:br/>
        <w:br/>
        <w:t xml:space="preserve"> 102. Por lo tanto, la Corte concluye que  las  condiciones  en  las  cuales</w:t>
        <w:br/>
        <w:t xml:space="preserve">      estas tres presuntas víctimas han estado y continúan siendo detenidas,</w:t>
        <w:br/>
        <w:t xml:space="preserve">      en particular en relación con la falta de privacidad, contacto con  el</w:t>
        <w:br/>
        <w:t xml:space="preserve">      mundo exterior y falta de ejercicio, así como también el hecho de  que</w:t>
        <w:br/>
        <w:t xml:space="preserve">      residen en jaulas y están forzados a utilizar baldes de recolección  a</w:t>
        <w:br/>
        <w:t xml:space="preserve">      plena vista del resto de la gente, constituyen  un  trato  inhumano  y</w:t>
        <w:br/>
        <w:t xml:space="preserve">      degradante y una falta de respeto de la dignidad humana de la persona,</w:t>
        <w:br/>
        <w:t xml:space="preserve">      en contravención con el artículo  5.1  y  5.2  de  la  Convención,  en</w:t>
        <w:br/>
        <w:t xml:space="preserve">      perjuicio de los señores Boyce, Joseph, Atkins y Huggins.</w:t>
        <w:br/>
        <w:br/>
        <w:t>C.    Notificación y Lectura de las Órdenes de Ejecución</w:t>
        <w:br/>
        <w:br/>
        <w:br/>
        <w:t xml:space="preserve"> 103. El Estado leyó órdenes de ejecución a las cuatro presuntas víctimas en</w:t>
        <w:br/>
        <w:t xml:space="preserve">      dos  ocasiones  distintas  notificándoles  de  este  modo  que  serían</w:t>
        <w:br/>
        <w:t xml:space="preserve">      ejecutadas por medio de la horca en un plazo de siete días, contado  a</w:t>
        <w:br/>
        <w:t xml:space="preserve">      partir de tales notificaciones.  La primera notificación de órdenes de</w:t>
        <w:br/>
        <w:t xml:space="preserve">      ejecución supuestamente ocurrió cuando sus apelaciones a nivel interno</w:t>
        <w:br/>
        <w:t xml:space="preserve">      aún se encontraban pendiente de resolución.  La  segunda  notificación</w:t>
        <w:br/>
        <w:t xml:space="preserve">      supuestamente  ocurrió  cuando  sus  peticiones   ante   la   Comisión</w:t>
        <w:br/>
        <w:t xml:space="preserve">      Interamericana se encontraban pendientes de  resolución.   Aún  cuando</w:t>
        <w:br/>
        <w:t xml:space="preserve">      ninguna de las presuntas víctimas fue ejecutada, la  Comisión  sostuvo</w:t>
        <w:br/>
        <w:t xml:space="preserve">      que la presunta notificación de las órdenes de ejecución a cada una de</w:t>
        <w:br/>
        <w:t xml:space="preserve">      las  víctimas  en  estas  dos  ocasiones,  mientras   se   encontraban</w:t>
        <w:br/>
        <w:t xml:space="preserve">      pendientes la resolución de  las  apelaciones  internas  así  como  la</w:t>
        <w:br/>
        <w:t xml:space="preserve">      petición ante la Comisión, constituye una violación del artículo 5.1 y</w:t>
        <w:br/>
        <w:t xml:space="preserve">      5.2 en relación con el artículo  1  de  la  Convención.   La  Comisión</w:t>
        <w:br/>
        <w:t xml:space="preserve">      consideró esencial  que  “los  litigantes  deben  poder  completar  el</w:t>
        <w:br/>
        <w:t xml:space="preserve">      procedimiento  de  sus  apelaciones  a  nivel  nacional  así  como  el</w:t>
        <w:br/>
        <w:t xml:space="preserve">      procedimiento de sus demandas ante [la Comisión]  antes  de  llevar  a</w:t>
        <w:br/>
        <w:t xml:space="preserve">      cabo cualquier ejecución”.</w:t>
        <w:br/>
        <w:br/>
        <w:t xml:space="preserve"> 104. Los representantes también alegaron que los dos intentos por parte del</w:t>
        <w:br/>
        <w:t xml:space="preserve">      Estado de  ejecutar  a  las  cuatro  presuntas  víctimas  mientras  se</w:t>
        <w:br/>
        <w:t xml:space="preserve">      encontraban supuestamente pendientes la resolución de sus  apelaciones</w:t>
        <w:br/>
        <w:t xml:space="preserve">      a nivel interno y la petición ante la Comisión Interamericana,  violan</w:t>
        <w:br/>
        <w:t xml:space="preserve">      sus derechos a recurrir del fallo y derivó en un trato cruel que viola</w:t>
        <w:br/>
        <w:t xml:space="preserve">      los artículos 4.1, 4.2, 5.1, 5.2 y 8.2 de la Convención  Americana  en</w:t>
        <w:br/>
        <w:t xml:space="preserve">      relación  con  el  artículo  1.1  de  ese  mismo   instrumento.    Los</w:t>
        <w:br/>
        <w:t xml:space="preserve">      representantes  alegaron  que  se  leyeron  las  primeras  órdenes  de</w:t>
        <w:br/>
        <w:t xml:space="preserve">      ejecución aún cuando las presuntas víctimas habían  notificado  a  las</w:t>
        <w:br/>
        <w:t xml:space="preserve">      autoridades su intención de apelar ante el Comité Judicial del Consejo</w:t>
        <w:br/>
        <w:t xml:space="preserve">      Privado (en adelante,  “CJCP”)  y  le  habían  solicitado  al  Consejo</w:t>
        <w:br/>
        <w:t xml:space="preserve">      Privado  de  Barbados  (Comité  de  Clemencia)   que   considere   las</w:t>
        <w:br/>
        <w:t xml:space="preserve">      conmutaciones únicamente  luego  de  que  los  recursos  de  apelación</w:t>
        <w:br/>
        <w:t xml:space="preserve">      intentados fueran resueltos.  Asimismo,  los  representantes  alegaron</w:t>
        <w:br/>
        <w:t xml:space="preserve">      que confiaron razonablemente en una comunicación remitida por abogados</w:t>
        <w:br/>
        <w:t xml:space="preserve">      del Estado de Barbados en Londres mediante la cual se le  informaba  a</w:t>
        <w:br/>
        <w:t xml:space="preserve">      los señores Boyce y Joseph que podían presentar la apelación  ante  el</w:t>
        <w:br/>
        <w:t xml:space="preserve">      CJCP antes del 26 de julio de 2002, y que la  demanda  en  efecto  fue</w:t>
        <w:br/>
        <w:t xml:space="preserve">      presentada antes de dicha fecha.  Los representantes consideraron  que</w:t>
        <w:br/>
        <w:t xml:space="preserve">      la notificación de las órdenes de ejecución a Boyce y  a  Joseph  bajo</w:t>
        <w:br/>
        <w:t xml:space="preserve">      tales circunstancias constituyó una “injusticia manifiesta”.  Respecto</w:t>
        <w:br/>
        <w:t xml:space="preserve">      de  la  notificación  de  la   segunda   orden   de   ejecución,   los</w:t>
        <w:br/>
        <w:t xml:space="preserve">      representantes manifestaron que tanto el Tribunal  de  Apelaciones  de</w:t>
        <w:br/>
        <w:t xml:space="preserve">      Barbados como la Corte de Justicia del Caribe  han  dispuesto  que  el</w:t>
        <w:br/>
        <w:t xml:space="preserve">      Comité de Clemencia debería haber  esperado  a  la  conclusión  de  la</w:t>
        <w:br/>
        <w:t xml:space="preserve">      demanda interpuesta ante el sistema interamericano antes de considerar</w:t>
        <w:br/>
        <w:t xml:space="preserve">      la conmutación de las penas de muerte impuestas.</w:t>
        <w:br/>
        <w:br/>
        <w:t xml:space="preserve"> 105. El Estado consideró que la notificación de las  órdenes  de  ejecución</w:t>
        <w:br/>
        <w:t xml:space="preserve">      forman parte de las obligaciones del Estado para  llevar  a  cabo  las</w:t>
        <w:br/>
        <w:t xml:space="preserve">      ejecuciones oportunamente a fin de no  causar  un  tratamiento  cruel,</w:t>
        <w:br/>
        <w:t xml:space="preserve">      inhumano o degradante a aquellas personas  que  se  encuentran  en  el</w:t>
        <w:br/>
        <w:t xml:space="preserve">      corredor de la muerte.  Asimismo, el Estado sostuvo  que  los  señores</w:t>
        <w:br/>
        <w:t xml:space="preserve">      Joseph y Boyce interpusieron sus apelaciones ante el  Comité  Judicial</w:t>
        <w:br/>
        <w:t xml:space="preserve">      del Consejo Privado el 25 de julio de  2002,  aproximadamente  un  mes</w:t>
        <w:br/>
        <w:t xml:space="preserve">      después de que se les haya leído las órdenes de ejecución, de fecha 26</w:t>
        <w:br/>
        <w:t xml:space="preserve">      de junio de 2002.  En consecuencia, el Estado alegó que las órdenes de</w:t>
        <w:br/>
        <w:t xml:space="preserve">      ejecución fueron leídas con posterioridad a la fecha del  cumplimiento</w:t>
        <w:br/>
        <w:t xml:space="preserve">      del límite temporal para la interposición  de  la  apelación  ante  el</w:t>
        <w:br/>
        <w:t xml:space="preserve">      Comité Judicial  del  Consejo  Privado  y  que  otras  fechas  límites</w:t>
        <w:br/>
        <w:t xml:space="preserve">      sugeridas por terceros no estaban autorizadas ni se conformaban  a  la</w:t>
        <w:br/>
        <w:t xml:space="preserve">      ley.  El Estado también manifestó que no se les leyó a  las  presuntas</w:t>
        <w:br/>
        <w:t xml:space="preserve">      víctimas  ninguna  orden  de  ejecución   con   posterioridad   a   la</w:t>
        <w:br/>
        <w:t xml:space="preserve">      interposición de los recursos de apelación ante el Comité Judicial del</w:t>
        <w:br/>
        <w:t xml:space="preserve">      Consejo Privado.  Además, el Estado observó que la legislación interna</w:t>
        <w:br/>
        <w:t xml:space="preserve">      existente al momento de la notificación de dichas órdenes de ejecución</w:t>
        <w:br/>
        <w:t xml:space="preserve">      no le reconocía a las presuntas víctimas el derecho  a  presentar  una</w:t>
        <w:br/>
        <w:t xml:space="preserve">      petición ante la Comisión Interamericana ni a tener  “una  expectativa</w:t>
        <w:br/>
        <w:t xml:space="preserve">      legítima” a  no  ser  ejecutado  hasta  tanto  se  resolvieran  dichos</w:t>
        <w:br/>
        <w:t xml:space="preserve">      procedimientos.   Sin  embargo,  el   Estado   reconoció   que   dicha</w:t>
        <w:br/>
        <w:t xml:space="preserve">      “expectativa legítima” ahora existe en Barbados conforme a la reciente</w:t>
        <w:br/>
        <w:t xml:space="preserve">      decisión de la Corte de Justicia del Caribe en Fiscal General y  otros</w:t>
        <w:br/>
        <w:t xml:space="preserve">      vs. Jeffrey Joseph y Lennox Ricardo Boyce.</w:t>
        <w:br/>
        <w:br/>
        <w:br/>
        <w:br/>
        <w:t xml:space="preserve"> 106. La Corte primero analizará las notificaciones de las  dos  ordenes  de</w:t>
        <w:br/>
        <w:t xml:space="preserve">      ejecución a los señores Boyce y Joseph, y  luego  analizará  lo  mismo</w:t>
        <w:br/>
        <w:t xml:space="preserve">      respecto de los señores Huggins y Atkins.</w:t>
        <w:br/>
        <w:br/>
        <w:br/>
        <w:t xml:space="preserve">      C.1) Notificación  y lectura de órdenes de ejecución respecto de los</w:t>
        <w:br/>
        <w:t xml:space="preserve">      señores Boyce y Joseph</w:t>
        <w:br/>
        <w:br/>
        <w:br/>
        <w:t xml:space="preserve"> 107. Dos de las presuntas víctimas, los señores Boyce y Joseph, recurrieron</w:t>
        <w:br/>
        <w:t xml:space="preserve">      ante el Tribunal de  Apelaciones  de  Barbados  con  el  propósito  de</w:t>
        <w:br/>
        <w:t xml:space="preserve">      analizar, inter alia, si se les leyeron órdenes de ejecución en el año</w:t>
        <w:br/>
        <w:t xml:space="preserve">      2002 luego de que expresaron su intención de  apelar  ante  el  Comité</w:t>
        <w:br/>
        <w:t xml:space="preserve">      Judicial  del  Consejo  Privado,  y  en  el  año  2004,  mientras   se</w:t>
        <w:br/>
        <w:t xml:space="preserve">      encontraban pendientes sus peticiones ante la Comisión Interamericana.</w:t>
        <w:br/>
        <w:t xml:space="preserve">      Al respecto, el 31 de mayo de 2005,  el  Tribunal  de  Apelaciones  de</w:t>
        <w:br/>
        <w:t xml:space="preserve">      Barbados sostuvo lo siguiente:</w:t>
        <w:br/>
        <w:br/>
        <w:t xml:space="preserve">      El asesoramiento del [Consejo Privado de Barbados] en  el  2002  sobre</w:t>
        <w:br/>
        <w:t xml:space="preserve">      que se debía ejecutar a los [señores Boyce y Joseph] en un momento  en</w:t>
        <w:br/>
        <w:t xml:space="preserve">      el  que  no  habían  agotado  los  recursos  internos  y  que   habían</w:t>
        <w:br/>
        <w:t xml:space="preserve">      manifestado su intención  de  apelar  ante  el  [Comité  Judicial  del</w:t>
        <w:br/>
        <w:t xml:space="preserve">      Consejo Privado], lo cual hicieron, fue una injusticia manifiesta para</w:t>
        <w:br/>
        <w:t xml:space="preserve">      con los apelantes y constituyó un rechazo de la justicia natural.  Del</w:t>
        <w:br/>
        <w:t xml:space="preserve">      mismo modo, el asesoramiento del [Consejo Privado de Barbados]  en  el</w:t>
        <w:br/>
        <w:t xml:space="preserve">      2004 respecto de  que  la  orden  del  [Comité  Judicial  del  Consejo</w:t>
        <w:br/>
        <w:t xml:space="preserve">      Privado] se llevara a cabo sin tener en cuenta la intención  expresada</w:t>
        <w:br/>
        <w:t xml:space="preserve">      por  los  apelantes  de  interponer  una  demanda  ante  la  [Comisión</w:t>
        <w:br/>
        <w:t xml:space="preserve">      Interamericana], lo cual hicieron, contradice el precedente vinculante</w:t>
        <w:br/>
        <w:t xml:space="preserve">      establecido en Lewis[[113]], y es, por lo tanto, una negación  de  los</w:t>
        <w:br/>
        <w:t xml:space="preserve">      derechos de los apelantes.  Por lo tanto, las órdenes de ejecución  no</w:t>
        <w:br/>
        <w:t xml:space="preserve">      fueron leídas correctamente a los apelantes tanto en el 2002  como  en</w:t>
        <w:br/>
        <w:t xml:space="preserve">      el 2004.[114]</w:t>
        <w:br/>
        <w:br/>
        <w:t xml:space="preserve"> 108.  El  Tribunal  de  Apelaciones  de  Barbados  procedió  a  ordenar  la</w:t>
        <w:br/>
        <w:t xml:space="preserve">      conmutación de las penas de muerte de los señores  Boyce  y  Joseph  a</w:t>
        <w:br/>
        <w:t xml:space="preserve">      cadena perpetua[115].  Esa Corte llegó a la conclusión que dicha forma</w:t>
        <w:br/>
        <w:t xml:space="preserve">      de reparación  era  la  adecuada  en  vista  a  los  siguientes  cinco</w:t>
        <w:br/>
        <w:t xml:space="preserve">      factores: primero, el plazo de los cinco años en  el  cual  el  Estado</w:t>
        <w:br/>
        <w:t xml:space="preserve">      podría haber llevado a cabo  las  ejecuciones,  de  manera  legal,  de</w:t>
        <w:br/>
        <w:t xml:space="preserve">      conformidad con la norma establecida en Pratt (supra párr. 19)  estaba</w:t>
        <w:br/>
        <w:t xml:space="preserve">      a punto de expirar; segundo, a ambas presuntas víctimas se  les  había</w:t>
        <w:br/>
        <w:t xml:space="preserve">      leído en dos ocasiones las órdenes de ejecución y, por lo  tanto,  “no</w:t>
        <w:br/>
        <w:t xml:space="preserve">      sería deseable exponerlos a una tercer notificación de las órdenes  de</w:t>
        <w:br/>
        <w:t xml:space="preserve">      ejecución y  a  la  posibilidad  de  más  procedimientos  judiciales”;</w:t>
        <w:br/>
        <w:t xml:space="preserve">      tercero, la sentencia condenatoria impuesta, por el  mismo  delito,  a</w:t>
        <w:br/>
        <w:t xml:space="preserve">      los  co-acusados  que  se   declararon   culpables   del   delito   de</w:t>
        <w:br/>
        <w:t xml:space="preserve">      “manslaughter” era desproporcionada, y cuarto,  los  señores  Boyce  y</w:t>
        <w:br/>
        <w:t xml:space="preserve">      Joseph no tenían “fondos suficientes para ejercer, de manera efectiva,</w:t>
        <w:br/>
        <w:t xml:space="preserve">      el derecho a otras apelaciones que podrían haber tenido”[116].</w:t>
        <w:br/>
        <w:br/>
        <w:t xml:space="preserve"> 109. De igual manera, esta Corte considera que la cuestión referente  a  la</w:t>
        <w:br/>
        <w:t xml:space="preserve">      primera notificación y lectura de la orden de ejecución de los señores</w:t>
        <w:br/>
        <w:t xml:space="preserve">      Boyce  y  Joseph  violó  sus  derechos  a  la   integridad   personal,</w:t>
        <w:br/>
        <w:t xml:space="preserve">      reconocidos en el artículo 5.1 y 5.2 de la Convención, en relación con</w:t>
        <w:br/>
        <w:t xml:space="preserve">      el artículo 1.1 de dicho instrumento.  Además, el Tribunal observa que</w:t>
        <w:br/>
        <w:t xml:space="preserve">      el daño causado por  esta  violación  ya  ha  sido  analizado  por  el</w:t>
        <w:br/>
        <w:t xml:space="preserve">      Tribunal de Apelaciones de  Barbados  de  manera  favorable  para  las</w:t>
        <w:br/>
        <w:t xml:space="preserve">      presuntas víctimas, cuyas penas de muerte fueron conmutadas  a  cadena</w:t>
        <w:br/>
        <w:t xml:space="preserve">      perpetua.</w:t>
        <w:br/>
        <w:br/>
        <w:t xml:space="preserve"> 110. Posteriormente, el Estado interpuso un recurso de  apelación  ante  la</w:t>
        <w:br/>
        <w:t xml:space="preserve">      Corte de Justicia del Caribe[117] (en adelante, “CJC”) en contra de la</w:t>
        <w:br/>
        <w:t xml:space="preserve">      decisión del Tribunal de Apelaciones de Barbados. La Corte  toma  nota</w:t>
        <w:br/>
        <w:t xml:space="preserve">      que la Comisión interpuso la demanda en el  presente  caso  el  23  de</w:t>
        <w:br/>
        <w:t xml:space="preserve">      junio de 2006, antes que la CJC hubiera  emitido  una  decisión  final</w:t>
        <w:br/>
        <w:t xml:space="preserve">      sobre la cuestión de la notificación de las órdenes de ejecución.   El</w:t>
        <w:br/>
        <w:t xml:space="preserve">      8 de noviembre de 2006, la CJC desestimó la apelación interpuesta  por</w:t>
        <w:br/>
        <w:t xml:space="preserve">      el Estado e, inter alia, confirmó la conmutación de las penas de tanto</w:t>
        <w:br/>
        <w:t xml:space="preserve">      el señor Joseph como del señor Boyce. Asimismo, no dispuso ningún tipo</w:t>
        <w:br/>
        <w:t xml:space="preserve">      de compensación u otro tipo de reparación a su  favor[118].   La  CJC,</w:t>
        <w:br/>
        <w:t xml:space="preserve">      además, sostuvo que los señores Boyce y Joseph tenían una “expectativa</w:t>
        <w:br/>
        <w:t xml:space="preserve">      legítima” de no ser ejecutados- y  por  ello,  de  no  tener  que  ser</w:t>
        <w:br/>
        <w:t xml:space="preserve">      notificados de las órdenes de ejecución- hasta tanto  se  resolvieran,</w:t>
        <w:br/>
        <w:t xml:space="preserve">      dentro de un  “plazo  razonable”,  las  peticiones  interpuestas  ante</w:t>
        <w:br/>
        <w:t xml:space="preserve">      organismos internacionales de derechos humanos.[119]</w:t>
        <w:br/>
        <w:br/>
        <w:t xml:space="preserve"> 111.  En  este  sentido,  la  Corte  también  considera  que   la   segunda</w:t>
        <w:br/>
        <w:t xml:space="preserve">      notificación de las órdenes de ejecución a los señores Boyce y  Joseph</w:t>
        <w:br/>
        <w:t xml:space="preserve">      violó  el  derecho  a  la  integridad  personal  de  éstos,  según  lo</w:t>
        <w:br/>
        <w:t xml:space="preserve">      establecido en el artículo 5.1 y 5.2 de la Convención, en relación con</w:t>
        <w:br/>
        <w:t xml:space="preserve">      el artículo 1.1 de dicho instrumento. Asimismo, la Corte  observa  que</w:t>
        <w:br/>
        <w:t xml:space="preserve">      el daño causado por la violación al derecho a la  integridad  personal</w:t>
        <w:br/>
        <w:t xml:space="preserve">      de los señores Boyce y Joseph ya ha sido abordado por  los  tribunales</w:t>
        <w:br/>
        <w:t xml:space="preserve">      internos a su favor, resultando en la conmutación de  sus  sentencias.</w:t>
        <w:br/>
        <w:br/>
        <w:br/>
        <w:br/>
        <w:t xml:space="preserve"> 112. No obstante, el Tribunal abordará el tema que gira en torno  a  si  el</w:t>
        <w:br/>
        <w:t xml:space="preserve">      Estado debe esperar a que se complete el procedimiento ante el sistema</w:t>
        <w:br/>
        <w:t xml:space="preserve">      interamericano antes de poder emitir  las  órdenes  de  ejecución.  El</w:t>
        <w:br/>
        <w:t xml:space="preserve">      Estado alega que la mencionada “expectativa legítima” no formaba parte</w:t>
        <w:br/>
        <w:t xml:space="preserve">      de la legislación de Barbados hasta que la CJC emitió la sentencia del</w:t>
        <w:br/>
        <w:t xml:space="preserve">      8 de noviembre de 2006. La Corte no coincide con la interpretación que</w:t>
        <w:br/>
        <w:t xml:space="preserve">      el Estado realiza respecto de la decisión de la CJC.  Contrario  a  la</w:t>
        <w:br/>
        <w:t xml:space="preserve">      afirmación del Estado, la decisión de la CJC reconoció  la  naturaleza</w:t>
        <w:br/>
        <w:t xml:space="preserve">      obligatoria de las decisiones del Comité Judicial del Consejo  Privado</w:t>
        <w:br/>
        <w:t xml:space="preserve">      de Barbados,  “hasta  tanto  [la  CJC]  las  revoque”[120].   En  este</w:t>
        <w:br/>
        <w:t xml:space="preserve">      sentido, la decisión del CJCP en el caso Lewis[121],  en  el  cual  se</w:t>
        <w:br/>
        <w:t xml:space="preserve">      sostuvo que no se podían llevar a cabo ejecuciones  en  Jamaica  hasta</w:t>
        <w:br/>
        <w:t xml:space="preserve">      tanto se resolvieran los procedimientos pendientes ante  un  organismo</w:t>
        <w:br/>
        <w:t xml:space="preserve">      internacional de derechos humanos, era  vinculante  para  Barbados  al</w:t>
        <w:br/>
        <w:t xml:space="preserve">      momento de la notificación de las órdenes de ejecución a las presuntas</w:t>
        <w:br/>
        <w:t xml:space="preserve">      víctimas.  Sin embargo, la decisión de la CJC limitó la  decisión  del</w:t>
        <w:br/>
        <w:t xml:space="preserve">      caso  Lewis.   El  CJCP  declaró  en  Lewis  que  existe  un  “derecho</w:t>
        <w:br/>
        <w:t xml:space="preserve">      constitucional”  según  el  cual  se  deben  resolver   las   demandas</w:t>
        <w:br/>
        <w:t xml:space="preserve">      interpuestas ante organismos internacionales de derechos humanos antes</w:t>
        <w:br/>
        <w:t xml:space="preserve">      de llevar a cabo consideraciones de clemencia[122]. Más que un derecho</w:t>
        <w:br/>
        <w:t xml:space="preserve">      constitucional para finalizar  el  procedimiento  de  dichas  demandas</w:t>
        <w:br/>
        <w:t xml:space="preserve">      internacionales,  la  mayoría  de  la  CJC  sostuvo  que  existe   una</w:t>
        <w:br/>
        <w:t xml:space="preserve">      “expectativa  legítima”  en  tal  sentido[123].   Según  la  CJC,   la</w:t>
        <w:br/>
        <w:t xml:space="preserve">      notificación  de  las  órdenes  de  ejecución  con  antelación  a   la</w:t>
        <w:br/>
        <w:t xml:space="preserve">      resolución, dentro de un “plazo  razonable”,  de  peticiones  ante  el</w:t>
        <w:br/>
        <w:t xml:space="preserve">      sistema interamericano, “constituyó una contravención del  derecho  de</w:t>
        <w:br/>
        <w:t xml:space="preserve">      [los señores Boyce y Joseph] a la protección judicial”[124].</w:t>
        <w:br/>
        <w:br/>
        <w:t xml:space="preserve"> 113. Independientemente del hecho que un  peticionario  tenga  un  “derecho</w:t>
        <w:br/>
        <w:t xml:space="preserve">      constitucional” o una “expectativa legítima”, este Tribunal  considera</w:t>
        <w:br/>
        <w:t xml:space="preserve">      que  es  fundamental  que  los   litigantes   puedan   completar   sus</w:t>
        <w:br/>
        <w:t xml:space="preserve">      procedimientos de apelación a nivel interno así como las peticiones  y</w:t>
        <w:br/>
        <w:t xml:space="preserve">      demandas interpuestas ante la Comisión y  la  Corte,  respectivamente,</w:t>
        <w:br/>
        <w:t xml:space="preserve">      antes de que se pueda llevar a cabo alguna  ejecución.   Esto  es  una</w:t>
        <w:br/>
        <w:t xml:space="preserve">      consecuencia natural de la ratificación por parte de  Barbados  de  la</w:t>
        <w:br/>
        <w:t xml:space="preserve">      Convención Americana y del reconocimiento de la  competencia  de  esta</w:t>
        <w:br/>
        <w:t xml:space="preserve">      Corte.   Una  interpretación  diferente   de   la   Convención   sería</w:t>
        <w:br/>
        <w:t xml:space="preserve">      contradictoria con su objeto y fin, y dejaría sin  sentido  al  acceso</w:t>
        <w:br/>
        <w:t xml:space="preserve">      del individuo al sistema interamericano, así como a los artículos 62.3</w:t>
        <w:br/>
        <w:t xml:space="preserve">      y 63.1 de dicho instrumento.</w:t>
        <w:br/>
        <w:br/>
        <w:t xml:space="preserve"> 114. En el presente caso, el Estado ha reconocido que  no  puede  llevar  a</w:t>
        <w:br/>
        <w:t xml:space="preserve">      cabo ejecuciones, y que no lo ha hecho, luego de que esta Corte emitió</w:t>
        <w:br/>
        <w:t xml:space="preserve">      resoluciones de carácter obligatorio respecto de medidas provisionales</w:t>
        <w:br/>
        <w:t xml:space="preserve">      conforme al artículo 63.2 de la Convención.  Esta Corte ha  reiterado,</w:t>
        <w:br/>
        <w:t xml:space="preserve">      en distintas oportunidades, que es responsabilidad del Estado  adoptar</w:t>
        <w:br/>
        <w:t xml:space="preserve">      medidas a fin de proteger a las personas sometidas a su jurisdicción y</w:t>
        <w:br/>
        <w:t xml:space="preserve">      este deber es  particularmente  importante  en  el  caso  de  aquellas</w:t>
        <w:br/>
        <w:t xml:space="preserve">      personas cuyas demandas están aún pendientes de  resolución  ante  los</w:t>
        <w:br/>
        <w:t xml:space="preserve">      órganos de supervisión de la Convención Americana[125].  No  obstante,</w:t>
        <w:br/>
        <w:t xml:space="preserve">      la Corte observa que el deber de no llevar a cabo ejecuciones mientras</w:t>
        <w:br/>
        <w:t xml:space="preserve">      se encuentran pendientes de resolución las peticiones o  las  demandas</w:t>
        <w:br/>
        <w:t xml:space="preserve">      ante la Comisión o ante este Tribunal, respectivamente, deriva no sólo</w:t>
        <w:br/>
        <w:t xml:space="preserve">      de una orden directa  de  la  Corte  sino  que  también  de  la  misma</w:t>
        <w:br/>
        <w:t xml:space="preserve">      Convención Americana, según lo dispuesto en el artículo 1.1  de  ésta.</w:t>
        <w:br/>
        <w:t xml:space="preserve">      En consecuencia, toda notificación de  órdenes  de  ejecución  o  toda</w:t>
        <w:br/>
        <w:t xml:space="preserve">      ejecución de una persona cuya demanda  esté  pendiente  de  resolución</w:t>
        <w:br/>
        <w:t xml:space="preserve">      dentro del sistema interamericano podría constituir una violación  del</w:t>
        <w:br/>
        <w:t xml:space="preserve">      deber del Estado de garantizar el derecho a la vida de esa persona, en</w:t>
        <w:br/>
        <w:t xml:space="preserve">      los términos de los artículos 1.1 y 4 de la Convención,  así  como  el</w:t>
        <w:br/>
        <w:t xml:space="preserve">      derecho a no sujetarla a un trato cruel, conforme a los artículos  1.1</w:t>
        <w:br/>
        <w:t xml:space="preserve">      y 5 de la Convención.</w:t>
        <w:br/>
        <w:br/>
        <w:br/>
        <w:t xml:space="preserve">      C.2) Notificación y lectura de órdenes de ejecución respecto de los</w:t>
        <w:br/>
        <w:t xml:space="preserve">      señores Huggins y Atkins</w:t>
        <w:br/>
        <w:br/>
        <w:br/>
        <w:t xml:space="preserve"> 115.  El  5  y  17  de  abril  de  2002  los  señores  Atkins  y   Huggins,</w:t>
        <w:br/>
        <w:t xml:space="preserve">      respectivamente, informaron al Director de Procesos en Barbados de  su</w:t>
        <w:br/>
        <w:t xml:space="preserve">      intención de recurrir al CJCP  en  Londres  la  desestimación  de  sus</w:t>
        <w:br/>
        <w:t xml:space="preserve">      apelaciones por parte de la Corte de Apelaciones el  27  de  marzo  de</w:t>
        <w:br/>
        <w:t xml:space="preserve">      2002[126]. Además, el 16 de abril de 2002 ambas  personas  notificaron</w:t>
        <w:br/>
        <w:t xml:space="preserve">      al Gobernador General de Barbados de su intención de recurrir ante  el</w:t>
        <w:br/>
        <w:t xml:space="preserve">      CJCP y de que habían solicitado que abogados actuaran a su  favor  con</w:t>
        <w:br/>
        <w:t xml:space="preserve">      el propósito de tramitar tal recurso[127].   Sin  embargo,  el  26  de</w:t>
        <w:br/>
        <w:t xml:space="preserve">      junio de 2002 se  leyeron  órdenes  de  ejecución  a  ambas  presuntas</w:t>
        <w:br/>
        <w:t xml:space="preserve">      víctimas, luego de que éstas habían expresado una clara  intención  de</w:t>
        <w:br/>
        <w:t xml:space="preserve">      recurrir al CJCP[128].  Además, se leyó una segunda orden de ejecución</w:t>
        <w:br/>
        <w:t xml:space="preserve">      al señor Atkins el 9 de febrero de 2005[129] y al señor Huggins el  18</w:t>
        <w:br/>
        <w:t xml:space="preserve">      de mayo  de  2005,[130]  mientras  sus  peticiones  ante  la  Comisión</w:t>
        <w:br/>
        <w:t xml:space="preserve">      Interamericana se encontraban pendientes de resolución[131].</w:t>
        <w:br/>
        <w:br/>
        <w:t xml:space="preserve"> 116. A diferencia de la situación planteada respecto de los señores Boyce y</w:t>
        <w:br/>
        <w:t xml:space="preserve">      Joseph (supra párrs. 107-114), la Corte no tiene prueba ante ella  que</w:t>
        <w:br/>
        <w:t xml:space="preserve">      evidencie que una corte doméstica de Barbados haya conocido y resuelto</w:t>
        <w:br/>
        <w:t xml:space="preserve">      estos asuntos, u ordenado alguna reparación al respecto,  en  relación</w:t>
        <w:br/>
        <w:t xml:space="preserve">      con  los  señores  Atkins  y  Huggins.   Por  tanto,  la  Corte   debe</w:t>
        <w:br/>
        <w:t xml:space="preserve">      pronunciarse sobre este  tema  y  consecuentemente  reitera,  por  las</w:t>
        <w:br/>
        <w:t xml:space="preserve">      mismas razones señaladas anteriormente (supra párrs. 113 y 114) que es</w:t>
        <w:br/>
        <w:t xml:space="preserve">      fundamental que litigantes  puedan  completar  sus  procedimientos  de</w:t>
        <w:br/>
        <w:t xml:space="preserve">      apelación  a  nivel  interno  así  como  las  peticiones  y   demandas</w:t>
        <w:br/>
        <w:t xml:space="preserve">      interpuestas ante la Comisión y la Corte,  respectivamente,  antes  de</w:t>
        <w:br/>
        <w:t xml:space="preserve">      que se pueda llevar a cabo alguna ejecución.  Dado que esto no sucedió</w:t>
        <w:br/>
        <w:t xml:space="preserve">      en el presente caso, la Corte considera que la notificación y  lectura</w:t>
        <w:br/>
        <w:t xml:space="preserve">      de órdenes de ejecución a los señores Atkins  y  Huggins  mientras  se</w:t>
        <w:br/>
        <w:t xml:space="preserve">      encontraban pendiente de resolución sus apelaciones a nivel interno  y</w:t>
        <w:br/>
        <w:t xml:space="preserve">      su petición ante el sistema interamericano, constituyó un trato  cruel</w:t>
        <w:br/>
        <w:t xml:space="preserve">      en violación del artículo 5 de  la  Convención,  en  relación  con  el</w:t>
        <w:br/>
        <w:t xml:space="preserve">      artículo 1.1 de ésta.</w:t>
        <w:br/>
        <w:br/>
        <w:t xml:space="preserve">                                     XI</w:t>
        <w:br/>
        <w:br/>
        <w:t xml:space="preserve">                                Reparaciones</w:t>
        <w:br/>
        <w:br/>
        <w:t xml:space="preserve">       (Aplicación del artículo 63.1 de la Convención Americana)[132]</w:t>
        <w:br/>
        <w:br/>
        <w:br/>
        <w:t>A)    Obligación de Reparar</w:t>
        <w:br/>
        <w:br/>
        <w:br/>
        <w:t xml:space="preserve"> 117. Es un principio del Derecho Internacional que toda  violación  de  una</w:t>
        <w:br/>
        <w:t xml:space="preserve">      obligación internacional que haya producido un daño comporta el  deber</w:t>
        <w:br/>
        <w:t xml:space="preserve">      de repararlo adecuadamente[133].  Esa obligación de reparar se  regula</w:t>
        <w:br/>
        <w:t xml:space="preserve">      en todos los aspectos por el  Derecho Internacional[134].  La Corte ha</w:t>
        <w:br/>
        <w:t xml:space="preserve">      fundamentado sus decisiones en materia de reparaciones en el  artículo</w:t>
        <w:br/>
        <w:t xml:space="preserve">      63.1 de la Convención Americana.</w:t>
        <w:br/>
        <w:br/>
        <w:t xml:space="preserve"> 118. De conformidad con el criterio fijado y reiterado en la jurisprudencia</w:t>
        <w:br/>
        <w:t xml:space="preserve">      de la Corte respecto de la naturaleza y el alcance de la obligación de</w:t>
        <w:br/>
        <w:t xml:space="preserve">      reparar[135], así como de las consideraciones expuestas sobre el fondo</w:t>
        <w:br/>
        <w:t xml:space="preserve">      y  las  violaciones  a  la  Convención  declaradas  en  los  capítulos</w:t>
        <w:br/>
        <w:t xml:space="preserve">      anteriores, la Corte procederá a analizar los argumentos de las partes</w:t>
        <w:br/>
        <w:t xml:space="preserve">      relativos a las reparaciones, a fin de ordenar las medidas  relevantes</w:t>
        <w:br/>
        <w:t xml:space="preserve">      para reparar los daños.</w:t>
        <w:br/>
        <w:br/>
        <w:br/>
        <w:t>B)    Parte Lesionada</w:t>
        <w:br/>
        <w:br/>
        <w:br/>
        <w:t xml:space="preserve"> 119. La Corte procederá ahora a determinar qué personas deben  considerarse</w:t>
        <w:br/>
        <w:t xml:space="preserve">      “parte lesionada” en los términos del artículo 63.1 de  la  Convención</w:t>
        <w:br/>
        <w:t xml:space="preserve">      Americana y consecuentemente, acreedores de las reparaciones que  fije</w:t>
        <w:br/>
        <w:t xml:space="preserve">      el Tribunal.</w:t>
        <w:br/>
        <w:br/>
        <w:t xml:space="preserve"> 120. En el presente caso, la Corte considera parte lesionada a los  señores</w:t>
        <w:br/>
        <w:t xml:space="preserve">      Lennox Boyce, Jeffrey  Joseph,  Frederick  Atkins  y  Michael  Huggins</w:t>
        <w:br/>
        <w:t xml:space="preserve">      quienes, en su carácter de víctimas de las violaciones establecidas en</w:t>
        <w:br/>
        <w:t xml:space="preserve">      la presente Sentencia (supra párrs. 62, 63, 74, 80, 94, 102, 109,  111</w:t>
        <w:br/>
        <w:t xml:space="preserve">      y 116), son acreedores de las reparaciones que fije el Tribunal.</w:t>
        <w:br/>
        <w:br/>
        <w:br/>
        <w:t>C)    Medidas de Reparación</w:t>
        <w:br/>
        <w:br/>
        <w:br/>
        <w:br/>
        <w:t xml:space="preserve"> 121. La Corte procederá a resumir los argumentos de las partes respecto  de</w:t>
        <w:br/>
        <w:t xml:space="preserve">      las reparaciones y luego determinará las medidas a ordenarse a fin  de</w:t>
        <w:br/>
        <w:t xml:space="preserve">      reparar el daño producido  por  las  violaciones  establecidas  en  la</w:t>
        <w:br/>
        <w:t xml:space="preserve">      presente Sentencia.</w:t>
        <w:br/>
        <w:br/>
        <w:t xml:space="preserve"> 122. Sobre este particular, la Comisión manifestó en su escrito de alegatos</w:t>
        <w:br/>
        <w:t xml:space="preserve">      finales que los representantes no buscan indemnización económica en el</w:t>
        <w:br/>
        <w:t xml:space="preserve">      presente caso.  Asimismo,  la  Comisión  señaló  que  las  medidas  de</w:t>
        <w:br/>
        <w:t xml:space="preserve">      reparación adecuadas  para  el  caso  sub  judice  deben  incluir  las</w:t>
        <w:br/>
        <w:t xml:space="preserve">      siguientes medidas estructurales que garanticen la  no  repetición  de</w:t>
        <w:br/>
        <w:t xml:space="preserve">      las  violaciones  tratadas  en  este  caso:  1)  adopción  de  medidas</w:t>
        <w:br/>
        <w:t xml:space="preserve">      legislativas o de otra índole necesarias para asegurar que la pena  de</w:t>
        <w:br/>
        <w:t xml:space="preserve">      muerte no sea impuesta en  violación  de  los  derechos  y  libertades</w:t>
        <w:br/>
        <w:t xml:space="preserve">      garantizadas por la Convención; 2) adopción de medidas necesarias para</w:t>
        <w:br/>
        <w:t xml:space="preserve">      asegurar que la Constitución y legislación de Barbados cumplan con  la</w:t>
        <w:br/>
        <w:t xml:space="preserve">      Convención Americana  garantizando  que  actos  que  puedan  estar  en</w:t>
        <w:br/>
        <w:t xml:space="preserve">      violación de leyes nacionales o de la Convención  Americana  no  están</w:t>
        <w:br/>
        <w:t xml:space="preserve">      inmunes  a  la  revisión  y  protección  judicial  y  3)  adopción   e</w:t>
        <w:br/>
        <w:t xml:space="preserve">      implementación de medidas necesarias para asegurar que las condiciones</w:t>
        <w:br/>
        <w:t xml:space="preserve">      de detención en las cuales se encuentran las víctimas cumplan con  los</w:t>
        <w:br/>
        <w:t xml:space="preserve">      estándares  de  trato  humano  impuesto  por  el  artículo  5  de   la</w:t>
        <w:br/>
        <w:t xml:space="preserve">      Convención.  Finalmente, la Comisión señaló  que  corresponde  otorgar</w:t>
        <w:br/>
        <w:t xml:space="preserve">      una suma de dinero por las costas legales y gastos devengados  durante</w:t>
        <w:br/>
        <w:t xml:space="preserve">      el procedimiento del presente caso, tanto a nivel interno como ante el</w:t>
        <w:br/>
        <w:t xml:space="preserve">      sistema interamericano.</w:t>
        <w:br/>
        <w:br/>
        <w:t xml:space="preserve"> 123. Los representantes solicitaron a la Corte que declare que el Estado es</w:t>
        <w:br/>
        <w:t xml:space="preserve">      responsable por las violaciones de los derechos de las víctimas en  el</w:t>
        <w:br/>
        <w:t xml:space="preserve">      presente caso y “a fin de enfatizar que esta acción no [fue]  iniciada</w:t>
        <w:br/>
        <w:t xml:space="preserve">      para enriquecer a las presuntas  víctimas,  sino  para  preservar  sus</w:t>
        <w:br/>
        <w:t xml:space="preserve">      vidas y garantizarles trato humano,  [los  representantes]  no  buscan</w:t>
        <w:br/>
        <w:t xml:space="preserve">      indemnización económica con respecto a las  violaciones”.   Más  bien,</w:t>
        <w:br/>
        <w:t xml:space="preserve">      los representantes  pidieron a la Corte “una orden para que el  Estado</w:t>
        <w:br/>
        <w:t xml:space="preserve">      de Barbados conmute la pena de muerte del señor Michael Huggins  y  la</w:t>
        <w:br/>
        <w:t xml:space="preserve">      reemplace con cadena perpetua con oportunidad adecuada para  solicitar</w:t>
        <w:br/>
        <w:t xml:space="preserve">      libertad condicional”.  Además, los representantes  solicitaron  a  la</w:t>
        <w:br/>
        <w:t xml:space="preserve">      Corte que ordene al Estado adoptar las medidas legislativas o de  otra</w:t>
        <w:br/>
        <w:t xml:space="preserve">      índole que sean necesarias para: 1)  asegurar que la pena de muerte no</w:t>
        <w:br/>
        <w:t xml:space="preserve">      sea impuesta de manera inconsistente con  los  derechos  y  libertades</w:t>
        <w:br/>
        <w:t xml:space="preserve">      reconocidos en la Convención, especialmente, que  no  sea  impuesta  a</w:t>
        <w:br/>
        <w:t xml:space="preserve">      través de una pena obligatoria y que no sea  ejecutada  por  medio  de</w:t>
        <w:br/>
        <w:t xml:space="preserve">      muerte en la horca, 2) asegurar que las condiciones  de  detención  en</w:t>
        <w:br/>
        <w:t xml:space="preserve">      las cuales se  encuentran  detenidos  las  víctimas  cumplan  con  los</w:t>
        <w:br/>
        <w:t xml:space="preserve">      requisitos de la Convención Americana, incluso  el  derecho  al  trato</w:t>
        <w:br/>
        <w:t xml:space="preserve">      humano conforme al artículo 5 de  la  Convención,  y  3)  eliminar  el</w:t>
        <w:br/>
        <w:t xml:space="preserve">      efecto del artículo 26 de la Constitución de Barbados con  respecto  a</w:t>
        <w:br/>
        <w:t xml:space="preserve">      la inimpugnabilidad de las “leyes existentes”.  En cuanto a las costas</w:t>
        <w:br/>
        <w:t xml:space="preserve">      legales, los representantes enfatizaron que no  buscan  ninguna  costa</w:t>
        <w:br/>
        <w:t xml:space="preserve">      legal en relación con este caso; sin embargo, solicitan recuperar  los</w:t>
        <w:br/>
        <w:t xml:space="preserve">      gastos incurridos respecto de la audiencia ante  la  Corte,  incluidos</w:t>
        <w:br/>
        <w:t xml:space="preserve">      los viáticos y  la  asignación  per  diem,  el  alojamiento  para  los</w:t>
        <w:br/>
        <w:t xml:space="preserve">      representantes legales y los peritos que asistieron a la  audiencia  y</w:t>
        <w:br/>
        <w:t xml:space="preserve">      un monto adicional por los costos de los envíos  postales,  gastos  de</w:t>
        <w:br/>
        <w:t xml:space="preserve">      declaraciones juradas, fotocopias y gastos de viajes a las  prisiones.</w:t>
        <w:br/>
        <w:br/>
        <w:br/>
        <w:br/>
        <w:t xml:space="preserve"> 124. El Estado afirmó que no existe necesidad de ordenar  “ningún  tipo  de</w:t>
        <w:br/>
        <w:t xml:space="preserve">      reparación,  incluso  medidas   legislativas   o   de   otra   índole,</w:t>
        <w:br/>
        <w:t xml:space="preserve">      indemnización, costas legales y gastos” ya que el Estado no ha violado</w:t>
        <w:br/>
        <w:t xml:space="preserve">      la Convención Americana.  De manera alternativa, el  Estado  manifestó</w:t>
        <w:br/>
        <w:t xml:space="preserve">      que si la Corte ordena hacer responsable al Estado por  violaciones  a</w:t>
        <w:br/>
        <w:t xml:space="preserve">      la Convención, entonces “la única  forma  de  reparación  posible  que</w:t>
        <w:br/>
        <w:t xml:space="preserve">      puede otorgarse es  la  conmutación  de  la  pena  de  muerte  de  los</w:t>
        <w:br/>
        <w:t xml:space="preserve">      Peticionarios”.  Además, el Estado mencionó que  si  la  Corte  decide</w:t>
        <w:br/>
        <w:t xml:space="preserve">      “ordenar al Estado adoptar medidas  legislativas  o  de  otra  índole,</w:t>
        <w:br/>
        <w:t xml:space="preserve">      entonces […] dichas medidas deberían satisfacer,  en  forma  completa,</w:t>
        <w:br/>
        <w:t xml:space="preserve">      las obligaciones del Estado para corregir toda violación existente así</w:t>
        <w:br/>
        <w:t xml:space="preserve">      como garantizar que se respetarán las obligaciones de derechos humanos</w:t>
        <w:br/>
        <w:t xml:space="preserve">      en el futuro”.  Asimismo, el Estado enfatizó  que  los  representantes</w:t>
        <w:br/>
        <w:t xml:space="preserve">      han expresamente rechazado el pedido de indemnización y han renunciado</w:t>
        <w:br/>
        <w:t xml:space="preserve">      al derecho de solicitar costas legales y que, como  mucho,  se  deberá</w:t>
        <w:br/>
        <w:t xml:space="preserve">      otorgar un monto nominal de costas.</w:t>
        <w:br/>
        <w:br/>
        <w:t xml:space="preserve"> 125.  La  Corte  reconoce  que  los  representantes  no   solicitaron   una</w:t>
        <w:br/>
        <w:t xml:space="preserve">      indemnización económica en el presente  caso.   En  este  sentido,  la</w:t>
        <w:br/>
        <w:t xml:space="preserve">      Corte considera que las medidas adecuadas para reparar las violaciones</w:t>
        <w:br/>
        <w:t xml:space="preserve">      declaradas en la presente Sentencia deben  ser  aquellas  medidas  que</w:t>
        <w:br/>
        <w:t xml:space="preserve">      proporcionen una satisfacción a la parte lesionada y que garantice que</w:t>
        <w:br/>
        <w:t xml:space="preserve">      no se repetirán dichas violaciones.</w:t>
        <w:br/>
        <w:br/>
        <w:br/>
        <w:t xml:space="preserve">      C.1)  Medidas de Satisfacción</w:t>
        <w:br/>
        <w:br/>
        <w:br/>
        <w:t xml:space="preserve"> 126. En principio, la Corte considera que  la  presente  Sentencia  es  una</w:t>
        <w:br/>
        <w:t xml:space="preserve">      forma per se de reparación[136] que debería entenderse como una medida</w:t>
        <w:br/>
        <w:t xml:space="preserve">      de satisfacción que reconoce que el Estado ha violado los derechos  de</w:t>
        <w:br/>
        <w:t xml:space="preserve">      los señores  Boyce, Joseph, Huggins y Atkins tratados en  la  presente</w:t>
        <w:br/>
        <w:t xml:space="preserve">      Sentencia.</w:t>
        <w:br/>
        <w:br/>
        <w:br/>
        <w:t xml:space="preserve">      2)    Garantías de No Repetición</w:t>
        <w:br/>
        <w:br/>
        <w:br/>
        <w:t xml:space="preserve"> 127. A fin de garantizar la no repetición de las violaciones aducidas en la</w:t>
        <w:br/>
        <w:t xml:space="preserve">      presente Sentencia, el Estado deberá:</w:t>
        <w:br/>
        <w:br/>
        <w:br/>
        <w:t xml:space="preserve">      a)    conmutar, formalmente, la pena de muerte del señor Huggins;</w:t>
        <w:br/>
        <w:br/>
        <w:br/>
        <w:t xml:space="preserve">      b)    adoptar aquellas medidas legislativas o de otra índole que  sean</w:t>
        <w:br/>
        <w:t xml:space="preserve">      necesarias para asegurar que no se imponga la pena de muerte de manera</w:t>
        <w:br/>
        <w:t xml:space="preserve">      tal que contravenga los  derechos  y  libertades  garantizados  en  la</w:t>
        <w:br/>
        <w:t xml:space="preserve">      Convención y, en especial, que no se imponga a través de una sentencia</w:t>
        <w:br/>
        <w:t xml:space="preserve">      obligatoria;</w:t>
        <w:br/>
        <w:br/>
        <w:br/>
        <w:t xml:space="preserve">      c)    adoptar aquellas medidas legislativas o de otra índole que  sean</w:t>
        <w:br/>
        <w:t xml:space="preserve">      necesarias para asegurar que  la  Constitución  y  la  legislación  de</w:t>
        <w:br/>
        <w:t xml:space="preserve">      Barbados se conformen  a  la  Convención  Americana  y,  en  especial,</w:t>
        <w:br/>
        <w:t xml:space="preserve">      eliminar el efecto del artículo 26 de la Constitución de Barbados  con</w:t>
        <w:br/>
        <w:t xml:space="preserve">      respecto a la inimpugnabilidad de las “leyes existentes”, y</w:t>
        <w:br/>
        <w:br/>
        <w:br/>
        <w:t xml:space="preserve">      d)    adoptar e implementar aquellas medidas que sean necesarias  para</w:t>
        <w:br/>
        <w:t xml:space="preserve">      asegurar que las condiciones de detención en las cuales se  encuentran</w:t>
        <w:br/>
        <w:t xml:space="preserve">      las víctimas del presente caso cumplan con  los  requisitos  impuestos</w:t>
        <w:br/>
        <w:t xml:space="preserve">      por la Convención Americana.</w:t>
        <w:br/>
        <w:br/>
        <w:t xml:space="preserve"> 128. El Estado debe conmutar la pena del señor Huggins dentro de  un  plazo</w:t>
        <w:br/>
        <w:t xml:space="preserve">      de seis meses, contado a partir de la  fecha  de  notificación  de  la</w:t>
        <w:br/>
        <w:t xml:space="preserve">      presente Sentencia, y debe cumplir con el resto  de  las  obligaciones</w:t>
        <w:br/>
        <w:t xml:space="preserve">      mencionadas en los párrafos anteriores dentro de un  plazo  razonable,</w:t>
        <w:br/>
        <w:t xml:space="preserve">      contado a partir de dicha notificación.</w:t>
        <w:br/>
        <w:br/>
        <w:t xml:space="preserve"> 129. La Corte había ordenado al Estado que adoptara medidas provisionales a</w:t>
        <w:br/>
        <w:t xml:space="preserve">      favor de las cuatro víctimas con  el  propósito  de  salvaguardar  sus</w:t>
        <w:br/>
        <w:t xml:space="preserve">      “vidas e integridad física […] de manera tal que no  interfiriera  con</w:t>
        <w:br/>
        <w:t xml:space="preserve">      el procedimiento de sus casos ante el sistema  interamericano”  (supra</w:t>
        <w:br/>
        <w:t xml:space="preserve">      párrs. 31-33).  Dado que sus casos ya  han  sido  conocidos  por  este</w:t>
        <w:br/>
        <w:t xml:space="preserve">      Tribunal, el cual ha analizado los hechos y alegatos  al  respecto  de</w:t>
        <w:br/>
        <w:t xml:space="preserve">      conformidad con su competencia contenciosa, la Corte considera que  el</w:t>
        <w:br/>
        <w:t xml:space="preserve">      propósito de las medidas provisionales  ordenadas  ha  sido  cumplido.</w:t>
        <w:br/>
        <w:t xml:space="preserve">      Con base en lo anterior, y además teniendo  en  cuenta  que  el  señor</w:t>
        <w:br/>
        <w:t xml:space="preserve">      Atkins falleció en el año 2005, que a los señores Boyce  y  Joseph  se</w:t>
        <w:br/>
        <w:t xml:space="preserve">      les conmutó la pena de muerte a una condena de prisión perpetua, y que</w:t>
        <w:br/>
        <w:t xml:space="preserve">      la Corte ha ordenado al Estado que  formalmente  conmute  la  pena  de</w:t>
        <w:br/>
        <w:t xml:space="preserve">      muerte del señor Huggins, este Tribunal considera pertinente  levantar</w:t>
        <w:br/>
        <w:t xml:space="preserve">      las medidas provisionales ordenadas a favor de  las  cuatro  víctimas.</w:t>
        <w:br/>
        <w:t xml:space="preserve">      Consecuentemente, la Corte considera que las obligaciones  del  Estado</w:t>
        <w:br/>
        <w:t xml:space="preserve">      en el marco de las medidas provisionales quedan reemplazadas  por  las</w:t>
        <w:br/>
        <w:t xml:space="preserve">      que se ordenan en la presente Sentencia,  a  partir  de  la  fecha  de</w:t>
        <w:br/>
        <w:t xml:space="preserve">      notificación de esta última[137].</w:t>
        <w:br/>
        <w:br/>
        <w:t>D)    Costas y Gastos</w:t>
        <w:br/>
        <w:br/>
        <w:br/>
        <w:t xml:space="preserve"> 130. Como ya lo ha señalado  la  Corte  en  oportunidades  anteriores,  las</w:t>
        <w:br/>
        <w:t xml:space="preserve">      costas y gastos están comprendidos dentro del concepto  de  reparación</w:t>
        <w:br/>
        <w:t xml:space="preserve">      reconocido en el artículo 63.1 de la Convención Americana.[138]</w:t>
        <w:br/>
        <w:br/>
        <w:t xml:space="preserve"> 131. Los representantes solicitaron se le reintegren las costas  legales  y</w:t>
        <w:br/>
        <w:t xml:space="preserve">      los gastos incurridos respecto de la  audiencia  celebrada  ante  esta</w:t>
        <w:br/>
        <w:t xml:space="preserve">      Corte y se les otorgue un monto adicional a fin de cubrir  los  gastos</w:t>
        <w:br/>
        <w:t xml:space="preserve">      de  envíos  postales,  declaraciones  juradas,  fotocopias  y   viajes</w:t>
        <w:br/>
        <w:t xml:space="preserve">      incurridos  al  visitar  las  penitenciarias  donde   se   encontraban</w:t>
        <w:br/>
        <w:t xml:space="preserve">      detenidas las presuntas victimas.  Sin embargo, no buscan ningún  tipo</w:t>
        <w:br/>
        <w:t xml:space="preserve">      de reintegro en  concepto  de  honorarios  legales  incurridas  en  el</w:t>
        <w:br/>
        <w:t xml:space="preserve">      presente   caso.    A   fin   de   ser   consistente   con   prácticas</w:t>
        <w:br/>
        <w:t xml:space="preserve">      anteriores[139],  la  Corte  entiende  que   se   debe   otorgar   una</w:t>
        <w:br/>
        <w:t xml:space="preserve">      compensación por tales costas legales y gastos conforme a  lo  que  se</w:t>
        <w:br/>
        <w:t xml:space="preserve">      considere razonable y necesario por el procedimiento del caso ante  la</w:t>
        <w:br/>
        <w:t xml:space="preserve">      Corte.</w:t>
        <w:br/>
        <w:br/>
        <w:t xml:space="preserve"> 132. Al  respecto,  los  representantes  han  presentado  comprobantes  que</w:t>
        <w:br/>
        <w:t xml:space="preserve">      presuntamente respaldan dicha solicitud por  un  monto  total  de  US$</w:t>
        <w:br/>
        <w:t xml:space="preserve">      43.062,42.  El Estado y la Comisión presentaron sus  observaciones  al</w:t>
        <w:br/>
        <w:t xml:space="preserve">      respecto (supra párr. 11).  El Estado solicitó que la Corte tuviera en</w:t>
        <w:br/>
        <w:t xml:space="preserve">      cuenta “la situación  socio-económica  y  la  limitación  de  recursos</w:t>
        <w:br/>
        <w:t xml:space="preserve">      financieros de Barbados”, y observó que “costas  razonables,  en  este</w:t>
        <w:br/>
        <w:t xml:space="preserve">      contexto, únicamente cubrirían la participación de un  Abogado  Senior</w:t>
        <w:br/>
        <w:t xml:space="preserve">      (Abogado de la Reina) y un Abogado Junior, así como dos testigos,  tal</w:t>
        <w:br/>
        <w:t xml:space="preserve">      y como es la práctica del Caribe en casos  de  esta  naturaleza”.   La</w:t>
        <w:br/>
        <w:t xml:space="preserve">      Comisión no presentó observaciones al respecto.</w:t>
        <w:br/>
        <w:br/>
        <w:t xml:space="preserve"> 133.  Esta  Corte   analizó   dichos   comprobantes   remitidos   por   los</w:t>
        <w:br/>
        <w:t xml:space="preserve">      representantes y  considera que han presentado prueba suficiente  para</w:t>
        <w:br/>
        <w:t xml:space="preserve">      respaldar un reclamo de US$ 42.328,84.  Sin embargo, la  Corte  estima</w:t>
        <w:br/>
        <w:t xml:space="preserve">      que ordenar al  Estado  que  cubra  los  gastos  incurridos  por  seis</w:t>
        <w:br/>
        <w:t xml:space="preserve">      representantes legales no es razonable ni necesario en la presentación</w:t>
        <w:br/>
        <w:t xml:space="preserve">      de este caso.  Por ello, el Tribunal considera  razonable  ordenar  al</w:t>
        <w:br/>
        <w:t xml:space="preserve">      Estado que reintegre la suma de US$ 27,000.00 (veintisiete mil dólares</w:t>
        <w:br/>
        <w:t xml:space="preserve">      de los Estados Unidos de América) en relación con las costas y  gastos</w:t>
        <w:br/>
        <w:t xml:space="preserve">      devengados en el  procedimiento  interno  y  el  internacional  en  el</w:t>
        <w:br/>
        <w:t xml:space="preserve">      presente caso.  Teniendo en cuenta que las víctimas se  encuentran  en</w:t>
        <w:br/>
        <w:t xml:space="preserve">      prisión en Barbados y que sus representantes trabajan  en  Inglaterra,</w:t>
        <w:br/>
        <w:t xml:space="preserve">      el Estado deberá pagar dicho monto directamente a los  representantes,</w:t>
        <w:br/>
        <w:t xml:space="preserve">      en un plazo de seis meses contado a partir de la  notificación  de  la</w:t>
        <w:br/>
        <w:t xml:space="preserve">      presente Sentencia.</w:t>
        <w:br/>
        <w:br/>
        <w:br/>
        <w:t>D)    Modalidad de Cumplimiento del Pago de Costas Legales y Gastos</w:t>
        <w:br/>
        <w:br/>
        <w:br/>
        <w:t xml:space="preserve"> 134. El pago establecido en la presente Sentencia en concepto de  reintegro</w:t>
        <w:br/>
        <w:t xml:space="preserve">      de las costas legales y gastos no podrá ser  afectado  o  condicionado</w:t>
        <w:br/>
        <w:t xml:space="preserve">      por motivos fiscales actuales o futuros.</w:t>
        <w:br/>
        <w:br/>
        <w:t xml:space="preserve"> 135. El Estado deberá cumplir con las obligaciones monetarias  mediante  el</w:t>
        <w:br/>
        <w:t xml:space="preserve">      pago en dólares estadounidenses o en la cantidad equivalente en moneda</w:t>
        <w:br/>
        <w:t xml:space="preserve">      de Barbados, utilizando para el cálculo respectivo el tipo  de  cambio</w:t>
        <w:br/>
        <w:t xml:space="preserve">      que se encuentre vigente en la plaza de Nueva York, Estados Unidos  de</w:t>
        <w:br/>
        <w:t xml:space="preserve">      América, el día anterior al pago.</w:t>
        <w:br/>
        <w:br/>
        <w:t xml:space="preserve"> 136. En caso de que el Estado incurriera en mora, deberá pagar  un  interés</w:t>
        <w:br/>
        <w:t xml:space="preserve">      sobre  la  cantidad  adeudada,  correspondiente  al  interés  bancario</w:t>
        <w:br/>
        <w:t xml:space="preserve">      moratorio en Barbados.</w:t>
        <w:br/>
        <w:br/>
        <w:t xml:space="preserve"> 137. Conforme a su práctica constante, la  Corte  se  reserva  la  facultad</w:t>
        <w:br/>
        <w:t xml:space="preserve">      inherente a sus atribuciones y derivada, asimismo, del artículo 65  de</w:t>
        <w:br/>
        <w:t xml:space="preserve">      la Convención Americana, de supervisar el cumplimiento íntegro  de  la</w:t>
        <w:br/>
        <w:t xml:space="preserve">      presente Sentencia. El caso se dará  por  concluido  una  vez  que  el</w:t>
        <w:br/>
        <w:t xml:space="preserve">      Estado haya dado cabal cumplimiento a  lo  dispuesto  en  el  presente</w:t>
        <w:br/>
        <w:t xml:space="preserve">      fallo. Dentro del plazo de un año, contado a partir de la notificación</w:t>
        <w:br/>
        <w:t xml:space="preserve">      de esta Sentencia, Barbados deberá rendir a la Corte un informe  sobre</w:t>
        <w:br/>
        <w:t xml:space="preserve">      las medidas adoptadas para dar cumplimiento a la misma.</w:t>
        <w:br/>
        <w:br/>
        <w:br/>
        <w:br/>
        <w:br/>
        <w:t xml:space="preserve">                                     XII</w:t>
        <w:br/>
        <w:br/>
        <w:t xml:space="preserve">                             Puntos Resolutivos</w:t>
        <w:br/>
        <w:br/>
        <w:br/>
        <w:br/>
        <w:t xml:space="preserve"> 138. Por tanto,</w:t>
        <w:br/>
        <w:br/>
        <w:t>La Corte</w:t>
        <w:br/>
        <w:br/>
        <w:br/>
        <w:t>Declara,</w:t>
        <w:br/>
        <w:br/>
        <w:br/>
        <w:t>por unanimidad, que:</w:t>
        <w:br/>
        <w:br/>
        <w:t>1.    El Estado violó, en perjuicio de los  señores  Lennox  Ricardo  Boyce,</w:t>
        <w:br/>
        <w:t>Jeffrey Joseph, Frederick Benjamin Atkins y Michael  McDonald  Huggins,  los</w:t>
        <w:br/>
        <w:t>derechos reconocidos en el artículo 4.1 y 4.2  de  la  Convención  Americana</w:t>
        <w:br/>
        <w:t>sobre Derechos Humanos, en relación con el artículo 1.1 de la misma, en  los</w:t>
        <w:br/>
        <w:t>términos de los párrafos 49 a 63 de esta Sentencia.</w:t>
        <w:br/>
        <w:br/>
        <w:br/>
        <w:t>2.    El Estado no ha dado cumplimiento  al  artículo  2  de  la  Convención</w:t>
        <w:br/>
        <w:t>Americana sobre Derechos Humanos, en relación con los  artículos  1.1,  4.1,</w:t>
        <w:br/>
        <w:t>4.2 y 25.1 de la misma, en los términos de los párrafos  65  a  80  de  esta</w:t>
        <w:br/>
        <w:t>Sentencia.</w:t>
        <w:br/>
        <w:br/>
        <w:br/>
        <w:br/>
        <w:t>3.    El Estado violó, en perjuicio de los  señores  Lennox  Ricardo  Boyce,</w:t>
        <w:br/>
        <w:t>Jeffrey Joseph, Frederick Benjamin Atkins y Michael  McDonald  Huggins,  los</w:t>
        <w:br/>
        <w:t>derechos reconocidos en el artículo 5.1 y 5.2  de  la  Convención  Americana</w:t>
        <w:br/>
        <w:t>sobre Derechos Humanos, en relación con el artículo 1.1 de la misma, en  los</w:t>
        <w:br/>
        <w:t>términos de los párrafos 86 a 102 de esta Sentencia.</w:t>
        <w:br/>
        <w:br/>
        <w:br/>
        <w:br/>
        <w:t>4.    El Estado violó, en perjuicio de los  señores  Lennox  Ricardo  Boyce,</w:t>
        <w:br/>
        <w:t>Jeffrey Joseph, Frederick Benjamin Atkins y Michael  McDonald  Huggins,  los</w:t>
        <w:br/>
        <w:t>derechos reconocidos en el artículo 5.1 y 5.2  de  la  Convención  Americana</w:t>
        <w:br/>
        <w:t>sobre Derechos Humanos, en relación con el artículo 1.1 de la misma, en  los</w:t>
        <w:br/>
        <w:t>términos de los párrafos 103 a 116 de esta Sentencia.</w:t>
        <w:br/>
        <w:br/>
        <w:br/>
        <w:t>Y Dispone:</w:t>
        <w:br/>
        <w:br/>
        <w:t>por unanimidad, que:</w:t>
        <w:br/>
        <w:br/>
        <w:t>5.    Esta Sentencia constituye, per se, una forma  de  reparación,  en  los</w:t>
        <w:br/>
        <w:t>términos del párrafo 126 de la misma.</w:t>
        <w:br/>
        <w:br/>
        <w:t>6.    El Estado debe conmutar, formalmente, la  pena  de  muerte  del  señor</w:t>
        <w:br/>
        <w:t>Michael McDonald Huggins, dentro de  un  plazo  de  seis  meses,  contado  a</w:t>
        <w:br/>
        <w:t>partir de la  fecha  de  notificación  de  la  presente  Sentencia,  en  los</w:t>
        <w:br/>
        <w:t>términos de los párrafos 127(a) a 128 del presente Fallo.</w:t>
        <w:br/>
        <w:br/>
        <w:t>7.    El Estado debe adoptar,  dentro  de  un  plazo  razonable,  contado  a</w:t>
        <w:br/>
        <w:t>partir de la fecha  de  notificación  de  la  presente  Sentencia,  aquellas</w:t>
        <w:br/>
        <w:t>medidas legislativas o de otra índole que sean necesarias para asegurar  que</w:t>
        <w:br/>
        <w:t>no se imponga la pena de muerte de manera tal que contravenga  los  derechos</w:t>
        <w:br/>
        <w:t>y libertades garantizados en  la  Convención  y,  en  especial,  que  no  se</w:t>
        <w:br/>
        <w:t>imponga a través de una  sentencia  obligatoria,  en  los  términos  de  los</w:t>
        <w:br/>
        <w:t>párrafos 127(b) a 128 de este Fallo.</w:t>
        <w:br/>
        <w:br/>
        <w:br/>
        <w:t>8.    El Estado debe adoptar,  dentro  de  un  plazo  razonable,  contado  a</w:t>
        <w:br/>
        <w:t>partir de la fecha  de  notificación  de  la  presente  Sentencia,  aquellas</w:t>
        <w:br/>
        <w:t>medidas legislativas o de otra índole que sean necesarias para asegurar  que</w:t>
        <w:br/>
        <w:t>la Constitución y la legislación  de  Barbados  cumplan  con  la  Convención</w:t>
        <w:br/>
        <w:t>Americana y,  en  especial,  eliminar  el  efecto  del  artículo  26  de  la</w:t>
        <w:br/>
        <w:t>Constitución de Barbados con respecto a la inimpugnabilidad  de  las  “leyes</w:t>
        <w:br/>
        <w:t>existentes”, en los términos de los párrafos 127(c) a 128 de este Fallo.</w:t>
        <w:br/>
        <w:br/>
        <w:br/>
        <w:t>9.    El Estado debe implementar, dentro de un plazo  razonable,  contado  a</w:t>
        <w:br/>
        <w:t>partir de la fecha  de  notificación  de  la  presente  Sentencia,  aquellas</w:t>
        <w:br/>
        <w:t>medidas que sean necesarias para asegurar que las condiciones  de  detención</w:t>
        <w:br/>
        <w:t>en las cuales se encuentran las víctimas del presente caso cumplan  con  los</w:t>
        <w:br/>
        <w:t>requisitos impuestos por la Convención Americana, en  los  términos  de  los</w:t>
        <w:br/>
        <w:t>párrafos 127(d) a 128 del presente Fallo.</w:t>
        <w:br/>
        <w:br/>
        <w:t>10.   Las obligaciones del Estado en el marco de las  medidas  provisionales</w:t>
        <w:br/>
        <w:t>ordenadas por este Tribunal en el presente caso quedan reemplazadas por  las</w:t>
        <w:br/>
        <w:t>que se ordenan en esta Sentencia, a partir de la fecha  de  notificación  de</w:t>
        <w:br/>
        <w:t>la misma, en los términos del párrafo 129 de esta Sentencia.</w:t>
        <w:br/>
        <w:br/>
        <w:br/>
        <w:t>11.   El Estado debe efectuar el pago por concepto de  reintegro  de  gastos</w:t>
        <w:br/>
        <w:t>dentro del plazo de seis meses, contado a  partir  de  la  notificación  del</w:t>
        <w:br/>
        <w:t>presente fallo, en los términos del párrafo ** de esta Sentencia.</w:t>
        <w:br/>
        <w:br/>
        <w:br/>
        <w:t>12.   Supervisará el cumplimiento íntegro de esta  Sentencia,  en  ejercicio</w:t>
        <w:br/>
        <w:t>de sus  atribuciones  y  en  cumplimiento  de  sus  deberes  conforme  a  la</w:t>
        <w:br/>
        <w:t>Convención Americana, y dará por concluido el presente caso una vez  que  el</w:t>
        <w:br/>
        <w:t>Estado haya dado cabal cumplimiento a lo dispuesto en la misma.  Dentro  del</w:t>
        <w:br/>
        <w:t>plazo de un año, contado a partir de  la  notificación  de  esta  Sentencia,</w:t>
        <w:br/>
        <w:t>Barbados deberá rendir a la Corte un informe  sobre  las  medidas  adoptadas</w:t>
        <w:br/>
        <w:t>para la ejecución de la misma.</w:t>
        <w:br/>
        <w:br/>
        <w:t>Redactada en inglés y español, haciendo fe el texto en inglés, en San  José,</w:t>
        <w:br/>
        <w:t>Costa Rica, 20 de noviembre de 2007.</w:t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t xml:space="preserve">            Cecilia Medina Quiroga      Manuel E. Ventura Robles</w:t>
        <w:br/>
        <w:br/>
        <w:br/>
        <w:t xml:space="preserve">                 Diego García Sayán     Leonardo A. Franco</w:t>
        <w:br/>
        <w:br/>
        <w:br/>
        <w:t xml:space="preserve">            Margarette May Macaulay     Rhadys Abreu Blondet</w:t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t>Comuníquese y ejecútese,</w:t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t xml:space="preserve">                          Pablo Saavedra Alessandri</w:t>
        <w:br/>
        <w:t xml:space="preserve">                                 Secretario</w:t>
        <w:br/>
        <w:t xml:space="preserve">                           -----------------------</w:t>
        <w:br/>
        <w:t>[1]   En el informe, la Comisión concluyó  que  el  Estado  era  responsable</w:t>
        <w:br/>
        <w:t>por: la violación  de  los  artículos  4.1,  4.2,  5.1,  5.2  y  8.1  de  la</w:t>
        <w:br/>
        <w:t>Convención, en relación con la naturaleza obligatoria de la pena  de  muerte</w:t>
        <w:br/>
        <w:t>impuesta  sobre  las  presuntas  víctimas;  artículos  5.1  y  5.2   de   la</w:t>
        <w:br/>
        <w:t>Convención, en relación  con  las  condiciones  de  detención  y  método  de</w:t>
        <w:br/>
        <w:t>ejecución de las presuntas víctimas en Barbados; artículo 1.1, 5.1 y 5.2  de</w:t>
        <w:br/>
        <w:t>la Convención en relación con la notificación de las órdenes de ejecución  a</w:t>
        <w:br/>
        <w:t>las presuntas víctimas y en el caso de los señores Boyce y Joseph en más  de</w:t>
        <w:br/>
        <w:t>una ocasión; artículo 2, en relación con la cláusula  de  “exclusión”  y  el</w:t>
        <w:br/>
        <w:t>hecho de que no permite que los tribunales internos de Barbados declaren  la</w:t>
        <w:br/>
        <w:t>inconstitucionalidad de la pena  de  muerte  obligatoria  y  artículo  8  en</w:t>
        <w:br/>
        <w:t>relación  con  el  hecho  de  que  la  pena  de  muerte  obligatoria  impide</w:t>
        <w:br/>
        <w:t>considerar las circunstancias individuales de cada  caso.   Adicionalemente,</w:t>
        <w:br/>
        <w:t>la Comisión  hizo  algunas  recomendaciones  al  Estado  de  Barbados.  Cfr.</w:t>
        <w:br/>
        <w:t>Comisión Interamericana de Derechos Humanos, Informe No. 03/06, Fondo.  Caso</w:t>
        <w:br/>
        <w:t>12.480 Lennox Boyce, Jeffrey Joseph, Frederick  Benjamin  Atkins  y  Michael</w:t>
        <w:br/>
        <w:t>Huggins. Barbados. 28  de  febrero  de  2006  (expediente  de  anexos  a  la</w:t>
        <w:br/>
        <w:t>demanda, tomo IV, anexo E.1, folios 1597-1623).</w:t>
        <w:br/>
        <w:br/>
        <w:t>[2]   La Comisión designó a Paulo Sergio Pinheiro, Comisionado,  y  Santiago</w:t>
        <w:br/>
        <w:t>A. Canton, Secretario Ejecutivo como  delegados,  y  a  Ariel  E.  Dulitzky,</w:t>
        <w:br/>
        <w:t>Victor Madrigal Borloz, Brian  Tittemore  y  Manuela  Cuvi  Rodriguez,  como</w:t>
        <w:br/>
        <w:t>asesores legales.</w:t>
        <w:br/>
        <w:br/>
        <w:t>[3]   Cuando se notificó la demanda al Estado, la Corte le informó sobre  su</w:t>
        <w:br/>
        <w:t>derecho de designar a un Juez ad hoc para que  participara  en  el  presente</w:t>
        <w:br/>
        <w:t>caso.  El 18 de abril  de  2007  el  Estado  solicitó  "una  invitación  del</w:t>
        <w:br/>
        <w:t>Presidente de la Corte para designar un juez ad hoc” debido a  "la  reciente</w:t>
        <w:br/>
        <w:t>cesión  del  juez  de  nacionalidad  barbadense  que  integraba   la   Corte</w:t>
        <w:br/>
        <w:t>Interamericana".  El 11 de mayo de 2007 la  Corte  decidió  no  conceder  la</w:t>
        <w:br/>
        <w:t>solicitud del Estado ya  que,  de  conformidad  con  el  artículo  10.4  del</w:t>
        <w:br/>
        <w:t>Estatuto de la Corte, se consideró que a partir  del  21  de  septiembre  de</w:t>
        <w:br/>
        <w:t>2006 el Estado había renunciado al ejercicio de su  derecho  a  designar  un</w:t>
        <w:br/>
        <w:t>juez ad hoc para conocer del presente caso.</w:t>
        <w:br/>
        <w:t>[4]   Resolución del Presidente de la Corte Interamericana del  29  de  mayo</w:t>
        <w:br/>
        <w:t>de 2007.</w:t>
        <w:br/>
        <w:br/>
        <w:t>[5]   Resolución del Presidente de la Corte Interamericana del 14  de  junio</w:t>
        <w:br/>
        <w:t>de 2007.</w:t>
        <w:br/>
        <w:br/>
        <w:t>[6]   A esta audiencia comparecieron: (a) por  la  Comisión  Interamericana,</w:t>
        <w:br/>
        <w:t>Clare Roberts, Comisionado y  Delegado;  Santiago  A.  Canton,  Delegado,  y</w:t>
        <w:br/>
        <w:t>Elizabeth Abi-Mershed y  Manuela  Cuvi  Rodríguez,  asesores;  (b)  por  los</w:t>
        <w:br/>
        <w:t>representantes: Keir  Starmer,  Saul  Lehrfreund,  Parvais  Jabbar,  Douglas</w:t>
        <w:br/>
        <w:t>Mendes, Ruth  Brander  y  Alison  Gerry,  del  estudio  de  abogados  Simona</w:t>
        <w:br/>
        <w:t>Muirhead &amp; Burton, y (c) por el Estado: Jennifer Edwards, Agente;  David  S.</w:t>
        <w:br/>
        <w:t>Berry, Agente Alterno y  Nicole Thompson.</w:t>
        <w:br/>
        <w:br/>
        <w:t>[7]   Cfr. El Efecto de las Reservas sobre la  Entrada  en  Vigencia  de  la</w:t>
        <w:br/>
        <w:t>Convención Americana  sobre  Derechos  Humanos  (arts.  74  y  75).  Opinión</w:t>
        <w:br/>
        <w:t>Consultiva OC-2/82 del 24 de septiembre de 1982. Serie A No. 2, párr. 35,  y</w:t>
        <w:br/>
        <w:t>Restricciones a la Pena de Muerte (arts.  4.2  y  4.4  Convención  Americana</w:t>
        <w:br/>
        <w:t>sobre Derechos Humanos). Opinión Consultiva OC-3/83 del 8 de  septiembre  de</w:t>
        <w:br/>
        <w:t>1983. Serie A No. 3, párrs. 60/66.</w:t>
        <w:br/>
        <w:t>[8]   Cfr. artículo 75 de la  Convención  Americana  y  artículo  19  de  la</w:t>
        <w:br/>
        <w:t>Convención de Viena sobre la Ley de Tratados (en el cual se indica  que  las</w:t>
        <w:br/>
        <w:t>reservas a un tratado deben ser compatibles con el  objeto  y  el  propósito</w:t>
        <w:br/>
        <w:t>del tratado).</w:t>
        <w:br/>
        <w:t>[9]   El Efecto  de  las  Reservas  sobre  la  Entrada  en  Vigencia  de  la</w:t>
        <w:br/>
        <w:t>Convención Americana sobre Derechos Humanos (arts. 74 y 75), supra  nota  7,</w:t>
        <w:br/>
        <w:t>párr. 29, y Restricciones a la Pena de Muerte (arts. 4.2  y  4.4  Convención</w:t>
        <w:br/>
        <w:t>Americana sobre Derechos Humanos), supra nota 7, párr. 65.</w:t>
        <w:br/>
        <w:t>[10]  Cfr. Restricciones a la Pena de Muerte (arts.  4.2  y  4.4  Convención</w:t>
        <w:br/>
        <w:t>Americana sobre Derechos Humanos), supra nota 7, párr. 66.</w:t>
        <w:br/>
        <w:t>[11]  Cfr. Restricciones a la Pena de Muerte (arts.  4.2  y  4.4  Convención</w:t>
        <w:br/>
        <w:t>Americana sobre Derechos Humanos), supra nota 7, párr. 54.</w:t>
        <w:br/>
        <w:t>[12]  Cfr. Restricciones a la Pena de Muerte (arts.  4.2  y  4.4  Convención</w:t>
        <w:br/>
        <w:t>Americana sobre Derechos Humanos), supra nota 7, párr. 69.</w:t>
        <w:br/>
        <w:t>[13]  Cfr. Sentencia emitida por la Corte  de  Apelaciones  de  Barbados  en</w:t>
        <w:br/>
        <w:t>Jeffrey Joseph and Lennox Ricardo Boyce  v.  The  Attorney-General  et  al.,</w:t>
        <w:br/>
        <w:t>Civil Appeal No. 29 of 2004 (31 de mayo de 2005) (expediente de anexos a  la</w:t>
        <w:br/>
        <w:t>demanda, tomo II, anexo B.5, folios 908-981).</w:t>
        <w:br/>
        <w:t>[14]  Cfr. Sentencia emitida por  la  Corte  Caribeña  de  Justicia  en  The</w:t>
        <w:br/>
        <w:t>Attorney General et al. v. Jeffrey Joseph  and  Lennox  Ricardo  Boyce,  CCJ</w:t>
        <w:br/>
        <w:t>Appeal No CV 2 of 2005, BB Civil Appeal No 29 of 2004  (8  de  noviembre  de</w:t>
        <w:br/>
        <w:t>2006) (expediente de anexos a la contestación de la demanda, tomo II,  anexo</w:t>
        <w:br/>
        <w:t>32, folios 3172-3348).</w:t>
        <w:br/>
        <w:t>[15]  Cfr. Sentencia emitida por el Comité Judicial del Consejo  Privado  en</w:t>
        <w:br/>
        <w:t>Pratt and Morgan v. Attorney General for Jamaica et al. (November  2,  1993)</w:t>
        <w:br/>
        <w:t>(expediente de anexos a la contestación de la demanda, tomo  IV,  anexo  76,</w:t>
        <w:br/>
        <w:t>folios 5158-5184), y Sentencia emitida por el Comité  Judicial  del  Consejo</w:t>
        <w:br/>
        <w:t>Privado en Bradshaw v. Attorney General of Barbados et al.  (May  24,  1995)</w:t>
        <w:br/>
        <w:t>(expediente de anexos a la contestación de la demanda, tomo  II,  anexo  37,</w:t>
        <w:br/>
        <w:t>folios 3471-3478).</w:t>
        <w:br/>
        <w:t>[16]  Cfr. Michael McDonald Huggins v. The  Queen,  acta  del  procedimiento</w:t>
        <w:br/>
        <w:t>(expediente de anexos a la demanda, tomo III, anexo B.9, folios 1475-1476).</w:t>
        <w:br/>
        <w:t>[17]  La decisión en Pratt  and  Morgan  v.  Attorney  General  for  Jamaica</w:t>
        <w:br/>
        <w:t>impuso un límite de cinco años para ejecutar las sentencias de muerte a  fin</w:t>
        <w:br/>
        <w:t>de asegurar que las ejecuciones  sean  hechas  en  tiempo  oportuno  (“regla</w:t>
        <w:br/>
        <w:t>Pratt”).  La decisión en el caso Pratt se extendió a Barbados por  medio  de</w:t>
        <w:br/>
        <w:t>la decisión en el caso Bradshaw,  que  exigió  que  el  Consejo  Privado  de</w:t>
        <w:br/>
        <w:t>Barbados siguiera los mismos requisitos temporales  para  la  implementación</w:t>
        <w:br/>
        <w:t>de las sentencias de muerte. Cfr. Sentencia emitida por el  Comité  Judicial</w:t>
        <w:br/>
        <w:t>del Consejo Privado en Pratt and Morgan v. Attorney General for  Jamaica  et</w:t>
        <w:br/>
        <w:t>al., supra nota 15, y Sentencia emitida por el Comité Judicial  del  Consejo</w:t>
        <w:br/>
        <w:t>Privado en Bradshaw v. Attorney General of Barbados et al., supra nota 15.</w:t>
        <w:br/>
        <w:t>[18]  Cfr. Caso Velásquez Rodríguez Vs. Honduras. Excepciones  Preliminares.</w:t>
        <w:br/>
        <w:t>Sentencia de 26 de junio de 1987. Serie C No. 1, párr. 88; Caso Nogueira  de</w:t>
        <w:br/>
        <w:t>Carvalho y otros Vs. Brasil. Excepciones Preliminares y Fondo. Sentencia  de</w:t>
        <w:br/>
        <w:t>28 de noviembre de 20006. Serie C  No.  161,  párr.  51,  y  Caso  Almonacid</w:t>
        <w:br/>
        <w:t>Arellano y otros Vs. Chile. Excepciones Preliminares, Fondo, Reparaciones  y</w:t>
        <w:br/>
        <w:t>Costas. Sentencia de 26 de septiembre de 2006. Serie C No. 154, párr. 64.</w:t>
        <w:br/>
        <w:t>[19]  Cfr. Asunto de Viviana Gallardo y otros. Serie A  No.G  101/81,  párr.</w:t>
        <w:br/>
        <w:t>26; Caso Velásquez Rodríguez, supra nota 18,  párr.  88;  Caso  Nogueira  de</w:t>
        <w:br/>
        <w:t>Carvalho, supra nota 18, párr. 51, y Caso Almonacid Arellano y otros,  supra</w:t>
        <w:br/>
        <w:t>nota 18, párr. 64.</w:t>
        <w:br/>
        <w:t>[20]  Resolución emitida por el Presidente de la Corte Interamericana el  17</w:t>
        <w:br/>
        <w:t>de septiembre de 2004.</w:t>
        <w:br/>
        <w:t>[21]  Resolución emitida por la Corte Interamericana el 25 de  noviembre  de</w:t>
        <w:br/>
        <w:t>2004.</w:t>
        <w:br/>
        <w:t>[22]  Resoluciones emitidas por el Presidente de la Corte Interamericana  el</w:t>
        <w:br/>
        <w:t>11 de febrero y 20 de mayo de 2005.</w:t>
        <w:br/>
        <w:t>[23]  Resolución emitida por la Corte  Interamericana  el  14  de  junio  de</w:t>
        <w:br/>
        <w:t>2005, supra nota 5.</w:t>
        <w:br/>
        <w:t>[24]  Cfr. Caso de la Comunidad Mayagna (Sumo) Awas  Tingni  Vs.  Nicaragua.</w:t>
        <w:br/>
        <w:t>Fondo, Reparaciones y Costas. Sentencia de 31 de agosto  de  2001.  Serie  C</w:t>
        <w:br/>
        <w:t>No. 79, párr. 86; Caso de la “Panel Blanca” (Paniagua Morales y  otros)  Vs.</w:t>
        <w:br/>
        <w:t>Guatemala. Reparaciones y Costas. Sentencia de 25 de mayo de 2001.  Serie  C</w:t>
        <w:br/>
        <w:t>No. 76, párr. 50, y Caso Bámaca  Velásquez  Vs.  Guatemala.  Reparaciones  y</w:t>
        <w:br/>
        <w:t>Costas. Sentencia de 22 de febrero de 2002. Serie C No. 91, párr.  15.  Cfr.</w:t>
        <w:br/>
        <w:t>también Caso del Penal Miguel Castro Castro Vs. Perú. Fondo, Reparaciones  y</w:t>
        <w:br/>
        <w:t>Costas. Sentencia de 25 de noviembre de 2006. Serie C No. 160, párrs. 183  y</w:t>
        <w:br/>
        <w:t>184; Caso Almonacid Arellano y otros, supra nota 18, paras. 67, 68  and  69,</w:t>
        <w:br/>
        <w:t>y Caso Servellón García y otros Vs. Honduras. Fondo, Reparaciones y  Costas.</w:t>
        <w:br/>
        <w:t>Sentencia de 21 de septiembre de 2006. Serie C No. 152, párr. 34.</w:t>
        <w:br/>
        <w:t>[25]  Cfr. Caso de la “Panel Blanca” (Paniagua Morales y otros), supra  nota</w:t>
        <w:br/>
        <w:t>25, párr. 76; Caso Cantoral Huamaní y García Santa Cruz Vs. Perú.  Excepción</w:t>
        <w:br/>
        <w:t>Preliminar, Fondo, Reparaciones y Costas. Sentencia de 10 de julio de  2007.</w:t>
        <w:br/>
        <w:t>Serie C No. 167, párr. 38, y  Caso  Zambrano  Vélez  y  otros  Vs.  Ecuador.</w:t>
        <w:br/>
        <w:t>Fondo, Reparaciones y Costas. Sentencia de 4 de julio de 2007. Serie  C  No.</w:t>
        <w:br/>
        <w:t>166, párr. 32.</w:t>
        <w:br/>
        <w:t>[26]  Resoluciones emitidas por el Presidente de la Corte, supra notas  4  y</w:t>
        <w:br/>
        <w:t>5.</w:t>
        <w:br/>
        <w:t>[27]  En  su  comunicación  de  18  de  junio  de  2007  los  representantes</w:t>
        <w:br/>
        <w:t>informaron a la Corte que no iban a presentar la declaración ante  fedatario</w:t>
        <w:br/>
        <w:t>público (affidávit) de la testigo señora Cynthiere Atkin,s así como  tampoco</w:t>
        <w:br/>
        <w:t>la del perito Profesor William Schabas, quienes habían sido  convocados  por</w:t>
        <w:br/>
        <w:t>el Presidente mediante Resolución de 29 de mayo de 2007, supra nota 4.</w:t>
        <w:br/>
        <w:t>[28]  Cfr. Caso Loayza Tamayo Vs. Perú. Reparaciones y Costas. Sentencia  de</w:t>
        <w:br/>
        <w:t>27 de noviembre de 1998. Serie C No. 42, párr. 53; Caso Cantoral  Huamaní  y</w:t>
        <w:br/>
        <w:t>García Santa Cruz, supra nota 25, párr. 41, y Caso Zambrano Vélez  y  otros,</w:t>
        <w:br/>
        <w:t>supra nota 25, párr. 37.</w:t>
        <w:br/>
        <w:t>[29]  Cfr. Caso de la “Panel Blanca” (Paniagua Morales y otros), supra  nota</w:t>
        <w:br/>
        <w:t>25, párr. 75; Caso Cantoral Huamaní y García  Santa  Cruz,  supra  nota  25,</w:t>
        <w:br/>
        <w:t>párr. 41, y Caso Zambrano Vélez y otros, supra nota 25, párr. 38.</w:t>
        <w:br/>
        <w:t>[30]   Cfr.  Caso  Loayza  Tamayo  Vs.  Perú.  Fondo.  Sentencia  de  17  de</w:t>
        <w:br/>
        <w:t>septiembre de 1997. Serie C No.  33,  párr.  43;  Caso  Cantoral  Huamaní  y</w:t>
        <w:br/>
        <w:t>García Santa Cruz, supra nota 25,  párr.  44,  and  Caso  Zambrano  Vélez  y</w:t>
        <w:br/>
        <w:t>otros, supra nota 25, párr. 40.</w:t>
        <w:br/>
        <w:br/>
        <w:t>[31]  En lo pertinente el artículo 4.1 establece  que  “toda  persona  tiene</w:t>
        <w:br/>
        <w:t>derecho a que se respete su vida. Este derecho estará protegido por  la  ley</w:t>
        <w:br/>
        <w:t>y, en general, a partir del  momento  de  la  concepción.  Nadie  puede  ser</w:t>
        <w:br/>
        <w:t>privado de la vida arbitrariamente”.</w:t>
        <w:br/>
        <w:t>[32]  La parte relevante del artículo 4.2 establece que: “En los países  que</w:t>
        <w:br/>
        <w:t>no han abolido la pena de muerte, ésta sólo podrá imponerse por los  delitos</w:t>
        <w:br/>
        <w:t>más  graves,  en  cumplimiento  de  sentencia   ejecutoriada   de   tribunal</w:t>
        <w:br/>
        <w:t>competente y de conformidad con una ley que  establezca  tal  pena,  dictada</w:t>
        <w:br/>
        <w:t>con  anterioridad  a  la  comisión  del  delito.  Tampoco  se  extenderá  su</w:t>
        <w:br/>
        <w:t>aplicación a delitos a los cuales no se la aplique actualmente”.</w:t>
        <w:br/>
        <w:t>[33]  En su parte pertinente, el artículo 1.1  estipula  que:  “Los  Estados</w:t>
        <w:br/>
        <w:t>Partes  en  esta  Convención  se  comprometen  a  respetar 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social”.</w:t>
        <w:br/>
        <w:t>[34]  Jeffrey Joseph y  Lennox  Ricardo  Boyce  fueron  acusados  junto  con</w:t>
        <w:br/>
        <w:t>Rodney Murray y Romaine Bend de golpear  a  Marquelle  Hippolyte  el  10  de</w:t>
        <w:br/>
        <w:t>abril de 1999, lo cual eventualmente causó su  muerte  el  15  de  abril  de</w:t>
        <w:br/>
        <w:t>1999. El 10 de enero de 2001 fueron procesados por el delito  de  homicidio.</w:t>
        <w:br/>
        <w:t>El Fiscal ofreció una declaración de culpabilidad de  “manslaughter”  a  los</w:t>
        <w:br/>
        <w:t>cuatro acusados.  Rodney Murray y Romaine Bend se  declararon  culpables  de</w:t>
        <w:br/>
        <w:t>la ofensa menor de homicidio culposo (“manslaughter”). Boyce y  Joseph,  sin</w:t>
        <w:br/>
        <w:t>embargo, se declararon no culpables al cargo de homicidio. El 2  de  febrero</w:t>
        <w:br/>
        <w:t>de 2001 Lennox Boyce  y  Jeffrey  Joseph  fueron  encontrados  culpables  de</w:t>
        <w:br/>
        <w:t>homicidio y condenados a sufrir la muerte por medio de la horca  conforme  a</w:t>
        <w:br/>
        <w:t>la Ley de Delitos contra la Persona. Cfr. Lennox Ricardo Boyce  and  Jeffrey</w:t>
        <w:br/>
        <w:t>Joseph v. The Queen, acta  de  procedimiento  (expediente  de  anexos  a  la</w:t>
        <w:br/>
        <w:t>demanda, tomo II, anexo B.1, folios 502 and 814-815); Sentencia emitida  por</w:t>
        <w:br/>
        <w:t>la Corte de Apelaciones de Barbados en Jeffrey  Joseph  and  Lennox  Ricardo</w:t>
        <w:br/>
        <w:t>Boyce v. The Attorney-General et  al.,  supra  nota  13,  (folios  910-912);</w:t>
        <w:br/>
        <w:t>affidávit de Jeffrey Joseph, 17 de agosto de 2004 (expediente  de  anexos  a</w:t>
        <w:br/>
        <w:t>la demanda, tomo IV, anexo D.1, folios 1556), y affidávit de  Lennox  Boyce,</w:t>
        <w:br/>
        <w:t>17 de agosto de 2004 (expediente de anexos a  la  demanda,  tomo  IV,  anexo</w:t>
        <w:br/>
        <w:t>D.1, folio 1559)</w:t>
        <w:br/>
        <w:t>[35]  Frederick Benjamin Atkins  fue  acusado  del  homicidio  de  Sharmaine</w:t>
        <w:br/>
        <w:t>Hurley, quien falleció en algún momento entre el 10 y 13 de octubre  de1998,</w:t>
        <w:br/>
        <w:t>como resultado de dos puñaladas en el pecho. El señor Atkins se  declaró  no</w:t>
        <w:br/>
        <w:t>culpable al cargo de homicidio y el 21 de julio de  2000  fue  condenando  y</w:t>
        <w:br/>
        <w:t>sentenciado a sufrir la muerte por medio de la horca conforme a  la  Ley  de</w:t>
        <w:br/>
        <w:t>Delitos contra la Persona. Cfr. Her Majesty The Queen v. Frederick  Benjamin</w:t>
        <w:br/>
        <w:t>Atkins, transcripción del juicio (expediente de anexos a  la  demanda,  tomo</w:t>
        <w:br/>
        <w:t>III, anexo B.6, folios 1010, 1014, 1085 y 1325), y Sentencia emitida por  la</w:t>
        <w:br/>
        <w:t>Corte de Apelaciones de Barbados, Frederick Benjamin Atkins  v.  The  Queen,</w:t>
        <w:br/>
        <w:t>Criminal Appeal No. 21 of 2000 (expediente de  anexos  a  la  demanda,  tomo</w:t>
        <w:br/>
        <w:t>III, anexo B.7, folio 1328).</w:t>
        <w:br/>
        <w:t>[36]   Michael  McDonald  Huggins  fue  acusado  del  homicidio  de  Stephen</w:t>
        <w:br/>
        <w:t>Wharton, quien falleció a causa de un herida de bala el 30 de  noviembre  de</w:t>
        <w:br/>
        <w:t>1999. El señor Huggins se declaró no culpable al cargo de homicidio y el  19</w:t>
        <w:br/>
        <w:t>de julio de 2001 fue condenando y sentenciado a sufrir la muerte  por  medio</w:t>
        <w:br/>
        <w:t>de la horca conforme a la Ley de Delitos contra  la  Persona.  Cfr.  Michael</w:t>
        <w:br/>
        <w:t>McDonald Huggins v. The Queen, supra  nota  16,  (folios  1384  y  1476),  y</w:t>
        <w:br/>
        <w:t>Affidávit de Michael Huggins, 17 de agosto de 2004 (expediente de  anexos  a</w:t>
        <w:br/>
        <w:t>la demanda, tomo IV, anexo D.1, folio 1562).</w:t>
        <w:br/>
        <w:t>[37]  El Tribunal recuerda que no es un  tribunal  penal  ante  el  cual  se</w:t>
        <w:br/>
        <w:t>puede juzgar la responsabilidad penal de  un  individuo.  Esta  cuestión  le</w:t>
        <w:br/>
        <w:t>corresponde a los tribunales internos. Asimismo, la Corte reconoce el  deber</w:t>
        <w:br/>
        <w:t>del Estado de proteger a todas las personas bajo su  jurisdicción,  prevenir</w:t>
        <w:br/>
        <w:t>la comisión de delitos, castigar a aquéllos  responsables  y,  generalmente,</w:t>
        <w:br/>
        <w:t>mantener el orden público.  Sin embargo, la prevención de los delitos  y  el</w:t>
        <w:br/>
        <w:t>régimen de castigos del Estado deberá  llevarse  a  cabo  con  el  más  alto</w:t>
        <w:br/>
        <w:t>respeto hacia los derechos humanos de los individuos que se encuentren  bajo</w:t>
        <w:br/>
        <w:t>su jurisdicción y de  conformidad  con  los  tratados  de  derechos  humanos</w:t>
        <w:br/>
        <w:t>aplicables. Cfr. Caso Velásquez Rodríguez Vs. Honduras. Fondo. Sentencia  de</w:t>
        <w:br/>
        <w:t>29 de julio de 1988. Serie C No.  4,  párr.  154;  Caso  Suárez  Rosero  Vs.</w:t>
        <w:br/>
        <w:t>Ecuador. Fondo. Sentencia de 12 de noviembre de 1997. Serie C No. 35,  párr.</w:t>
        <w:br/>
        <w:t>37;  Caso  Raxcacó  Reyes  Vs.  Guatemala.  Fondo,  Reparaciones  y  Costas.</w:t>
        <w:br/>
        <w:t>Sentencia de 15 de septiembre de 2005. Serie C No. 133,  párr.  55,  y  Caso</w:t>
        <w:br/>
        <w:t>Fermín Ramírez Vs. Guatemala. Fondo, Reparaciones y Costas. Sentencia de  20</w:t>
        <w:br/>
        <w:t>de junio de 2005. Serie C No. 126, párr. 63.</w:t>
        <w:br/>
        <w:t>[38]  Ley de Delitos contra la Persona, Cap. 141 (expediente de anexos a  la</w:t>
        <w:br/>
        <w:t>contestación de la demanda, tomo I, anexo 23, folio 2980).</w:t>
        <w:br/>
        <w:t>[39]  Las únicas excepciones a esta regla incluyen casos  donde  la  persona</w:t>
        <w:br/>
        <w:t>condenada es menor de 18 años  de  edad  o  se  encuentra  embarazada.  Cfr.</w:t>
        <w:br/>
        <w:t>artículo 14 de la Ley de Delincuentes Menores de Edad (expediente de  anexos</w:t>
        <w:br/>
        <w:t>a la contestación de la demanda, tomo I, anexo 22, folio 2973) y artículo  2</w:t>
        <w:br/>
        <w:t>de la Ley de Pena de Muerte (Mujeres Embarazadas) (expediente  de  anexos  a</w:t>
        <w:br/>
        <w:t>la contestación de la demanda, tomo I, anexo 27, folio 3087).</w:t>
        <w:br/>
        <w:t>[40]  El Estado ha afirmado en varias oportunidades en el presente caso  que</w:t>
        <w:br/>
        <w:t>“el pueblo de Barbados cree firmemente en la efectividad y la validez de  la</w:t>
        <w:br/>
        <w:t>pena de muerte como un factor disuasivo criminal.  El  Gobierno  actual  fue</w:t>
        <w:br/>
        <w:t>elegido, en parte, por la plataforma explícita de la imposición de  la  pena</w:t>
        <w:br/>
        <w:t>de muerte.  Fue elegido para apoyar no  sólo  cualquier  forma  de  pena  de</w:t>
        <w:br/>
        <w:t>muerte, sino la forma actual y obligatoria de pena  capital”.  Enfatizó  que</w:t>
        <w:br/>
        <w:t>aún si en Barbados no se imponía la  pena  de  muerte  desde  el  año  1984,</w:t>
        <w:br/>
        <w:t>todavía existía un fuerte apoyo por parte del pueblo para  la  pena  capital</w:t>
        <w:br/>
        <w:t>obligatoria como un factor disuasivo criminal. En  este  sentido,  la  Corte</w:t>
        <w:br/>
        <w:t>reconoce la información presentada por el Estado respecto del  apoyo  de  la</w:t>
        <w:br/>
        <w:t>opinión pública a la pena de muerte en Barbados.  Sin  embargo,  conforme  a</w:t>
        <w:br/>
        <w:t>los artículos 62 de la Convención y 1 del Estatuto de la Corte, el  objetivo</w:t>
        <w:br/>
        <w:t>principal de este Tribunal, como institución judicial, es "la  aplicación  e</w:t>
        <w:br/>
        <w:t>interpretación de la Convención Americana de Derechos Humanos".   El  Estado</w:t>
        <w:br/>
        <w:t>de Barbados ratificó la Convención Americana de Derechos Humanos  el  27  de</w:t>
        <w:br/>
        <w:t>noviembre de 1982 y reconoció la competencia contenciosa de la  Corte  el  4</w:t>
        <w:br/>
        <w:t>de junio de 2000 (supra, parr. 30).  Consecuentemente,  de  conformidad  con</w:t>
        <w:br/>
        <w:t>su  deber  de  resolver  aquellos   casos   debidamente   sometidos   a   su</w:t>
        <w:br/>
        <w:t>conocimiento, la Corte debe analizar  si  el  sistema  de  pena  capital  de</w:t>
        <w:br/>
        <w:t>Barbados concuerda con las obligaciones legales que  el  Estado  ha  asumido</w:t>
        <w:br/>
        <w:t>conforme a la Convención Americana, teniendo  en  cuenta  la  jurisprudencia</w:t>
        <w:br/>
        <w:t>del Tribunal. En este sentido,  la  Corte,  como  ultimo  intérprete  de  la</w:t>
        <w:br/>
        <w:t>Convención, se asegura que el  efecto  útil  de  la  Convención  no  se  vea</w:t>
        <w:br/>
        <w:t>mermado o anulado por la aplicación de leyes  que,  aunque  sean  populares,</w:t>
        <w:br/>
        <w:t>son contrarias a sus disposiciones, objeto y  fin.  Cfr.  Caso  Trabajadores</w:t>
        <w:br/>
        <w:t>Cesados  del  Congreso  (Aguado  Alfaro  y  otros)  Vs.  Perú.   Excepciones</w:t>
        <w:br/>
        <w:t>Preliminares, Fondo, Reparaciones y Costas. Sentencia de 24 de noviembre  de</w:t>
        <w:br/>
        <w:t>2006. Serie C No. 158, párr. 128.</w:t>
        <w:br/>
        <w:t>[41]  Cfr. Restricciones a la Pena de Muerte (arts.  4.2  y  4.4  Convención</w:t>
        <w:br/>
        <w:t>Americana sobre Derechos Humanos), supra nota 7.</w:t>
        <w:br/>
        <w:t>[42]  Cfr. Caso Hilaire, Constantine y  Benjamin  y  otros  Vs.  Trinidad  y</w:t>
        <w:br/>
        <w:t>Tobago. Fondo, Reparaciones y Costas. Sentencia de  21  de  junio  de  2002.</w:t>
        <w:br/>
        <w:t>Serie C No. 94, párr. 106; Caso Raxcacó Reyes,  supra  nota  37,  párr.  68.</w:t>
        <w:br/>
        <w:t>Cfr. también Restricciones a la Pena de Muerte (arts. 4.2 y  4.4  Convención</w:t>
        <w:br/>
        <w:t>Americana sobre Derechos Humanos), supra nota 7, párr. 55.</w:t>
        <w:br/>
        <w:t>[43]  Cfr. Caso Hilaire, Constantine y Benjamin  y  otros,  supra  nota  42,</w:t>
        <w:br/>
        <w:t>párrs. 103, 106 y 108, y Caso Raxcacó Reyes, supra nota 37, párr.  81.  Cfr.</w:t>
        <w:br/>
        <w:t>también Restricciones a la Pena  de  Muerte  (arts.  4.2  y  4.4  Convención</w:t>
        <w:br/>
        <w:t>Americana sobre Derechos Humanos), supra nota 7, párr. 55.</w:t>
        <w:br/>
        <w:t>[44]  Cfr. Caso Fermín Ramírez,  supra  nota  37,  párr.  79.  Cfr.  también</w:t>
        <w:br/>
        <w:t>Restricciones a la Pena de Muerte (arts.  4.2  y  4.4  Convención  Americana</w:t>
        <w:br/>
        <w:t>sobre Derechos Humanos),  supra  nota  7,  párr.  55,  y  El  Derecho  a  la</w:t>
        <w:br/>
        <w:t>Información sobre la Asistencia Consular en el Marco de  las  Garantías  del</w:t>
        <w:br/>
        <w:t>Debido Proceso Legal. Opinión Consultiva OC-16/99 de 1 de octubre  de  1999.</w:t>
        <w:br/>
        <w:t>Serie A No. 16, párr. 135.</w:t>
        <w:br/>
        <w:t>[45]  Cfr. Caso Hilaire, Constantine y Benjamin  y  otros,  supra  nota  42,</w:t>
        <w:br/>
        <w:t>párrs. 103, 106 y 108, y Caso Raxcacó Reyes, supra nota 37, párrs. 81 y 82.</w:t>
        <w:br/>
        <w:t>[46]  Cfr. Caso 19 Comerciantes Vs. Colombia. Fondo, Reparaciones y  Costas.</w:t>
        <w:br/>
        <w:t>Sentencia de 5  de  julio  de  2004.  Serie  C  No.  109,  párr.  173;  Caso</w:t>
        <w:br/>
        <w:t>Trabajadores Cesados del Congreso (Aguado Alfaro y otros),  supra  nota  40,</w:t>
        <w:br/>
        <w:t>párr. 77 y Caso de  la  Masacre  de  Pueblo  Bello.  Fondo,  Reparaciones  y</w:t>
        <w:br/>
        <w:t>Costas. Sentencia de 31 de enero de 2006. Serie C No. 140, párr. 59.</w:t>
        <w:br/>
        <w:t>[47]  Cfr. Caso Hilaire, Constantine y Benjamin  y  otros,  supra  nota  42,</w:t>
        <w:br/>
        <w:t>párr. 99, y Caso Raxcacó  Reyes,  supra  nota  37  párr.  56.  Cfr.  también</w:t>
        <w:br/>
        <w:t>Restricciones a la Pena de Muerte (arts.  4.2  y  4.4  Convención  Americana</w:t>
        <w:br/>
        <w:t>sobre Derechos Humanos), supra nota 7, párr. 57.</w:t>
        <w:br/>
        <w:t>[48]  Caso Hilaire, Constantine y Benjamin y otros,  supra  nota  42,  párr.</w:t>
        <w:br/>
        <w:t>102.</w:t>
        <w:br/>
        <w:t>[49]  Los asesinatos que de otra forma constituirían homicidio en  Barbados,</w:t>
        <w:br/>
        <w:t>están sujetos a penas menos graves en  los  siguientes  casos:  atentado  de</w:t>
        <w:br/>
        <w:t>homicidio, amenaza de  homicidio  a  través  de  cartas,  conspiración  para</w:t>
        <w:br/>
        <w:t>cometer homicidio, asistencia en un suicidio, actuar a fin  de  cumplir  con</w:t>
        <w:br/>
        <w:t>un pacto suicida, o infanticidio. Ley de Delitos contra  la  Persona,  supra</w:t>
        <w:br/>
        <w:t>nota 38, ss. 2 y 9-14  (folios 2980 y 2983-2984).</w:t>
        <w:br/>
        <w:t>[50]  Cfr. Caso Hilaire, Constantine y Benjamin  y  otros,  supra  nota  42,</w:t>
        <w:br/>
        <w:t>párr. 103.</w:t>
        <w:br/>
        <w:t>[51]  Cfr. Caso Cantoral Huamaní y García Santa Cruz, supra  nota  25;  Caso</w:t>
        <w:br/>
        <w:t>Escué Zapata Vs. Colombia. Fondo, Reparaciones y Costas. Sentencia de  4  de</w:t>
        <w:br/>
        <w:t>julio de 2007. Serie C No. 165, y Caso de  la  Masacre  de  La  Rochela  Vs.</w:t>
        <w:br/>
        <w:t>Colombia. Fondo, Reparaciones y Costas. Sentencia de 11  de  mayo  de  2007.</w:t>
        <w:br/>
        <w:t>Serie C No. 163.</w:t>
        <w:br/>
        <w:t>[52]  La  definición  de  homicidio  no  está  establecida  en  ninguna  ley</w:t>
        <w:br/>
        <w:t>escrita, dado que continúa siendo un delito del derecho común y se  entiende</w:t>
        <w:br/>
        <w:t>que  “se  comete  homicidio  cuando  una  persona  sana  y  mayor  de   edad</w:t>
        <w:br/>
        <w:t>ilegalmente mata a otra persona, actuando con malicia premeditada  expresada</w:t>
        <w:br/>
        <w:t>por esa persona o implícita por ley, de modo que  la  persona  herida  muere</w:t>
        <w:br/>
        <w:t>como consecuencia de esa herida dentro de un año y un  día”  Cf.  Definición</w:t>
        <w:br/>
        <w:t>de homicidio. Alegatos Finales Escritos del Estado (fondo, tomo  III,  folio</w:t>
        <w:br/>
        <w:t>848). Adicionalmente, la Ley de Delitos Contra la Persona establece que  una</w:t>
        <w:br/>
        <w:t>persona que “asiste, aconseja, incita o provoca  a  otra  persona  para  que</w:t>
        <w:br/>
        <w:t>cometa homicidio es culpable de dicho  delito  y  se  le  puede  procesar  y</w:t>
        <w:br/>
        <w:t>castigar en carácter de autor principal” Ley de Delitos contra  la  Persona,</w:t>
        <w:br/>
        <w:t>supra nota 38, s. 45 (folio 2992).</w:t>
        <w:br/>
        <w:t>[53]  Cfr. Caso Hilaire, Constantine y Benjamin  y  otros,  supra  nota  42,</w:t>
        <w:br/>
        <w:t>párr. 105, citando a  Woodson vs. Carolina del  Norte,  428  U.S.  280,  304</w:t>
        <w:br/>
        <w:t>(1976). La Corte Suprema de Estados Unidos de Norteamérica  sostuvo  que  la</w:t>
        <w:br/>
        <w:t>pena de muerte obligatoria constituía una violación  de  las  garantías  del</w:t>
        <w:br/>
        <w:t>debido proceso consagradas en la 14º Enmienda y  del  derecho  de  no  estar</w:t>
        <w:br/>
        <w:t>sujeto al trato cruel e inusual viola la 8ª Enmienda de la  Constitución  de</w:t>
        <w:br/>
        <w:t>los Estados Unidos de Norteamérica.  La Corte, asimismo, indicó que,  a  fin</w:t>
        <w:br/>
        <w:t>de aplicar la pena de  muerte  es   generalmente  necesario  considerar  las</w:t>
        <w:br/>
        <w:t>facetas  relevantes  del  carácter  y  los  registros  del  acusado  y   las</w:t>
        <w:br/>
        <w:t>circunstancias del delito en particular.</w:t>
        <w:br/>
        <w:t>[54]  En la Opinión Consultiva OC-16 la  Corte  dejó  claro  que  cuando  se</w:t>
        <w:br/>
        <w:t>afectan las garantías del debido proceso,  la  “aplicación  de  la  pena  de</w:t>
        <w:br/>
        <w:t>muerte es una violación del derecho a no ser  privado  ‘arbitrariamente’  de</w:t>
        <w:br/>
        <w:t>la vida, en los términos de las disposiciones relevantes de los tratados  de</w:t>
        <w:br/>
        <w:t>derechos humanos (por ejemplo, la Convención Americana de Derechos  Humanos,</w:t>
        <w:br/>
        <w:t>en su artículo 4[…]) que conlleva las consecuencias jurídicas  inherentes  a</w:t>
        <w:br/>
        <w:t>una violación de ésta naturaleza; por ejemplo, aquellas pertenecientes a  la</w:t>
        <w:br/>
        <w:t>responsabilidad internacional del Estado y el deber de  reparar".   Cfr.  El</w:t>
        <w:br/>
        <w:t>Derecho a la Información sobre la Asistencia Consultar en el  Marco  de  las</w:t>
        <w:br/>
        <w:t>Garantías del Debido Proceso, supra nota 44, párr. 137.</w:t>
        <w:br/>
        <w:t>[55]  Cfr. Ley  de  Delitos  contra  la  Persona  (definiendo,  inter  alia,</w:t>
        <w:br/>
        <w:t>responsabilidad disminuida y provocación,  supra  nota  38,  ss.  4  and  5,</w:t>
        <w:br/>
        <w:t>(folios 2980-82).</w:t>
        <w:br/>
        <w:t>[56]  Ley de Delitos contra la Persona, supra nota 38, s. 6 (folio 2982).</w:t>
        <w:br/>
        <w:t>[57]  El artículo 78 de la Constitución de Barbados dispone que  el  Consejo</w:t>
        <w:br/>
        <w:t>Privado de Barbados puede asesorar al Gobernador  General  en  su  deber  de</w:t>
        <w:br/>
        <w:t>ejercer la prerrogativa de clemencia, a través  de  la  cual  el  Gobernador</w:t>
        <w:br/>
        <w:t>General puede otorgar un perdón, aplazamiento, sustituir  la  pena  por  una</w:t>
        <w:br/>
        <w:t>menos grave que la impuesta o condonar la pena en forma parcial o total.  El</w:t>
        <w:br/>
        <w:t>Gobernador General designa a los miembros del Consejo Privado  de  Barbados,</w:t>
        <w:br/>
        <w:t>también conocido como Comité de Clemencia, luego de consultar con el  Primer</w:t>
        <w:br/>
        <w:t>Ministro.  Actualmente, el Comité de Clemencia está compuesto  por  miembros</w:t>
        <w:br/>
        <w:t>de la rama ejecutiva y  el  sector  académico,  religioso  y  privado.   Los</w:t>
        <w:br/>
        <w:t>miembros ocupan el cargo un tiempo máximo de 15  años  o  hasta  cumplir  75</w:t>
        <w:br/>
        <w:t>años  de  edad.  Sin  embargo,  el  Gobernador  General  puede  revocar   su</w:t>
        <w:br/>
        <w:t>designación luego de consultar al  Primer  Ministro.  Cfr.  Constitución  de</w:t>
        <w:br/>
        <w:t>Barbados, Capítulo VI, Poderes Ejecutivos, ss. 76, 77 y  78  (expediente  de</w:t>
        <w:br/>
        <w:t>anexos a la contestación de la demanda,  tomo  I,  anexo  17,  folios  2840-</w:t>
        <w:br/>
        <w:t>2841), y alegatos finales escritos del Estado (fondo, tomo III, folio 874).</w:t>
        <w:br/>
        <w:t>[58]  Luego de una condena por homicidio, el condenado puede  apelar  contra</w:t>
        <w:br/>
        <w:t>la condena ante la Corte de Apelaciones de Barbados, y  posteriormente  ante</w:t>
        <w:br/>
        <w:t>el Comité Judicial del Consejo Privado. A  partir  del  año  2005  la  Corte</w:t>
        <w:br/>
        <w:t>Caribeña de Justicia reemplazó a este último. Las causales  de  apelación  a</w:t>
        <w:br/>
        <w:t>la Corte de Apelaciones se  basan  en  cuestiones  de:  derecho,  mixtas  de</w:t>
        <w:br/>
        <w:t>derecho y hecho, hecho, o cualquier otra causal suficiente  para  apelar,  y</w:t>
        <w:br/>
        <w:t>en casos en los cuales se aplica la pena de  muerte  obligatoria,  se  puede</w:t>
        <w:br/>
        <w:t>apelar la condena, no la imposición de la  pena  de  muerte,  la  cual  está</w:t>
        <w:br/>
        <w:t>específicamente  fijada  por  ley.  Las  causales  de  apelación  al  Comité</w:t>
        <w:br/>
        <w:t>Judicial del Consejo  Privado  están  basadas  en  cuestiones  de:  derecho,</w:t>
        <w:br/>
        <w:t>interpretación de la Constitución, importancia general o pública,  y  mixtas</w:t>
        <w:br/>
        <w:t>de derecho y hecho. Cfr. Ley Penal de Apelacio es, Cap. 113A (expediente  de</w:t>
        <w:br/>
        <w:t>anexos a los alegatos finales escritos presentados  por  todas  las  partes,</w:t>
        <w:br/>
        <w:t>folios 6867 y 6887).</w:t>
        <w:br/>
        <w:t>[59]  Caso Hilaire, Constantine y Benjamin y otros,  supra  nota  42,  párr.</w:t>
        <w:br/>
        <w:t>104. Cfr. Caso Raxcacó Reyes, supra nota 37 párr. 81.</w:t>
        <w:br/>
        <w:t>[60]  De igual manera, el Comité de Derechos Humanos  ha  resaltado  en  sus</w:t>
        <w:br/>
        <w:t>observaciones respecto de Barbados que “continúa  preocupado  por  el  hecho</w:t>
        <w:br/>
        <w:t>que las leyes de [Barbados] tornan obligatoria la imposición de la  pena  de</w:t>
        <w:br/>
        <w:t>muerte respecto de ciertos delitos, lo  cual  priva  al  juez  de  cualquier</w:t>
        <w:br/>
        <w:t>discreción para imponer una pena conforme a  todas  las  circunstancias  del</w:t>
        <w:br/>
        <w:t>caso”. UNHRC, Considerations of Reports Submitted by  States  Parties  under</w:t>
        <w:br/>
        <w:t>Article 40 of the Covenant, Concluding  Observations  on  Barbados  (Eighty-</w:t>
        <w:br/>
        <w:t>ninth session, 2007) CCPR/C/BRB/CO/3, May 11, 2007, párr. 9.</w:t>
        <w:br/>
        <w:t>[61]  Cfr. Caso Raxcacó Reyes, supra nota 37 párr. 106.</w:t>
        <w:br/>
        <w:t>[62]  En la parte relevante, el artículo 2 estipula que:</w:t>
        <w:br/>
        <w:t>Si el ejercicio de los derechos y libertades mencionados en  el  artículo  1</w:t>
        <w:br/>
        <w:t>no estuviere ya   garantizado  por  disposiciones  legislativas  o  de  otro</w:t>
        <w:br/>
        <w:t>carácter, los Estados Partes se  comprometen a  adoptar, con arreglo  a  sus</w:t>
        <w:br/>
        <w:t>procedimientos constitucionales y a las disposiciones de  esta   Convención,</w:t>
        <w:br/>
        <w:t>las medidas legislativas o de  otro  carácter  que  fueren  necesarias  para</w:t>
        <w:br/>
        <w:t>hacer  efectivos  tales derechos y libertades.</w:t>
        <w:br/>
        <w:t>[63]  En su parte relevante el artículo 25 estipula que:</w:t>
        <w:br/>
        <w:t>Toda persona tiene derecho a un  recurso sencillo y  rápido  o  a  cualquier</w:t>
        <w:br/>
        <w:t>otro recurso efectivo ante los jueces  o   tribunales  competentes,  que  la</w:t>
        <w:br/>
        <w:t>ampare contra actos que violen sus derechos  fundamentales  reconocidos  por</w:t>
        <w:br/>
        <w:t>la Constitución, la ley o la presente Convención, aun cuando tal   violación</w:t>
        <w:br/>
        <w:t>sea  cometida  por  personas  que  actúen  en  ejercicio  de  sus  funciones</w:t>
        <w:br/>
        <w:t>oficiales.</w:t>
        <w:br/>
        <w:t>[64]  Cfr. Caso “La Última Tentación de Cristo” (Olmedo Bustos y otros)  Vs.</w:t>
        <w:br/>
        <w:t>Chile. Fondo, Reparaciones y Costas. Sentencia de  5  de  febrero  de  2001.</w:t>
        <w:br/>
        <w:t>Serie C No. 73, párr. 87; Caso Zambrano Vélez y otros  Vs.  Ecuador.  Fondo,</w:t>
        <w:br/>
        <w:t>Reparaciones y Costas. Sentencia de 4 de julio de 2007.  Serie  C  No.  166,</w:t>
        <w:br/>
        <w:t>párr. 56, y  Caso  La  Cantuta  Vs.  Perú.  Fondo,  Reparaciones  y  Costas.</w:t>
        <w:br/>
        <w:t>Sentencia de 29 de noviembre de 2006. Serie C No. 162, párr. 171.</w:t>
        <w:br/>
        <w:t>[65]   Condición  Jurídica  y  Derechos  de  los  Migrantes  Indocumentados.</w:t>
        <w:br/>
        <w:t>Opinión Consultiva OC-18/03 de 17 de septiembre  de 2003. Serie  A  No.  18,</w:t>
        <w:br/>
        <w:t>párr. 81.</w:t>
        <w:br/>
        <w:t>[66]  Cfr. Caso Castillo Petruzzi y otros Vs. Perú.  Fondo,  Reparaciones  y</w:t>
        <w:br/>
        <w:t>Costas. Sentencia de 30 de mayo de 1999. Serie C No.  52,  párr.  207;  Caso</w:t>
        <w:br/>
        <w:t>Zambrano Vélez y otros, supra nota 64, párr. 57, y Caso  La  Cantuta,  supra</w:t>
        <w:br/>
        <w:t>nota 64, párr. 172.</w:t>
        <w:br/>
        <w:t>[67]  Ley de Delitos Contra las Personas, supra nota 38, (folio 2980).</w:t>
        <w:br/>
        <w:t>[68]  La Corte ha declarado en ocasiones previas que una ley  puede  per  se</w:t>
        <w:br/>
        <w:t>ser violatoria de la Convención Americana.  Cfr. Caso Suárez  Rosero,  supra</w:t>
        <w:br/>
        <w:t>nota 37, párr. 98; Caso La Cantuta, supra nota 64, párrs. 167 y 174, y  Caso</w:t>
        <w:br/>
        <w:t>Almonacid Arellano y otros, supra nota 18, párr. 119. Cfr.  también  Ciertas</w:t>
        <w:br/>
        <w:t>Atribuciones de la Comisión Interamericana de Derechos  Humanos  (arts.  41,</w:t>
        <w:br/>
        <w:t>42, 44, 46, 47, 50  y  51  Convención  Americana  sobre  Derechos  Humanos).</w:t>
        <w:br/>
        <w:t>Opinión Consultiva OC-13/93 del 16 de julio de 1993. Serie A No.  13,  párr.</w:t>
        <w:br/>
        <w:t>26, y Responsabilidad Internacional por Expedición  y  Aplicación  de  Leyes</w:t>
        <w:br/>
        <w:t>Violatorias de la  Convención  (arts.  1  y  2  Convención  Americana  sobre</w:t>
        <w:br/>
        <w:t>Derechos Humanos). Opinión Consultiva OC-14/94 del 9 de diciembre  de  1994.</w:t>
        <w:br/>
        <w:t>Serie A No. 14, párrs. 41-43.</w:t>
        <w:br/>
        <w:t>[69]   El  artículo  26  de  la  Constitución  de  Barbados  señala,  en  lo</w:t>
        <w:br/>
        <w:t>pertinente: “Nada de lo que se incluya en una  ley  escrita  ni  lo  que  se</w:t>
        <w:br/>
        <w:t>realice  conforme  a   ella   será   considerado   inconsistente   con   las</w:t>
        <w:br/>
        <w:t>disposiciones de los artículos 12 al 23 siempre que dicha ley – (a) sea  una</w:t>
        <w:br/>
        <w:t>ley (en este artículo, referido a "ley existente") que fue promulgada  antes</w:t>
        <w:br/>
        <w:t>del 30 de noviembre  de  1966  y  que  ha  continuado  siendo  parte  de  la</w:t>
        <w:br/>
        <w:t>legislación de Barbados desde ese entonces  [...]”.   Cfr.  Constitución  de</w:t>
        <w:br/>
        <w:t>Barbados, supra nota 57, s. 26 (folio 2310).</w:t>
        <w:br/>
        <w:t>[70]  Cfr. Sentencia emitida por el Comité Judicial del Consejo  Privado  en</w:t>
        <w:br/>
        <w:t>Lennox Ricardo Boyce and Jeffrey Joseph v. The Queen (July 7,  2004),  Privy</w:t>
        <w:br/>
        <w:t>Council Appeal No. 99 of  2002,  párrs.  8-9  (expediente  de  anexos  a  la</w:t>
        <w:br/>
        <w:t>demanda, tomo II, anexo B.2, folio 867).</w:t>
        <w:br/>
        <w:t>[71]  Cfr. Sentencia emitida por el Comité Judicial del Consejo  Privado  en</w:t>
        <w:br/>
        <w:t>Lennox Ricardo Boyce and  Jeffrey  Joseph  v.  The  Queen,  supra  nota  70,</w:t>
        <w:br/>
        <w:t>(folios 872-875).</w:t>
        <w:br/>
        <w:t>[72]  Cfr. la  opinión  mayoritaria  escrita  por  el  Lord  Hoffmann:  “Sus</w:t>
        <w:br/>
        <w:t>Señorías se consideran obligados a admitir esta apelación en base a  que  la</w:t>
        <w:br/>
        <w:t>pena  de  muerte  obligatoria  es   inconsistente   con   las   obligaciones</w:t>
        <w:br/>
        <w:t>internacionales de  Barbados[.]  Si  sus  Señorías  fueran  convocados  para</w:t>
        <w:br/>
        <w:t>interpretar el artículo 15.1 de la Constitución [la  prohibición  del  trato</w:t>
        <w:br/>
        <w:t>inhumano y degradante] considerarían que es  inconsistente  respecto  de  la</w:t>
        <w:br/>
        <w:t>pena de muerte obligatoria para el delito de homicidio.  El razonamiento  de</w:t>
        <w:br/>
        <w:t>la Junta en Reyes vs. La Reina [2002] 2 AC 235, que a la  vez  había  estado</w:t>
        <w:br/>
        <w:t>influenciado por el desarrollo del derecho  internacional  de  los  derechos</w:t>
        <w:br/>
        <w:t>humanos y la jurisprudencia de varios países, incluso  estados  del  Caribe,</w:t>
        <w:br/>
        <w:t>es aplicable y convincente[.] [Sin embargo] si se lee el artículo 26 [de  la</w:t>
        <w:br/>
        <w:t>Constitución] junto con el artículo 1 [de la Constitución],  se  revela  una</w:t>
        <w:br/>
        <w:t>clara política constitucional[.] No se puede sostener que una ley  existente</w:t>
        <w:br/>
        <w:t>sea inconsistente con los artículos 12 al 23 [las  disposiciones  sobre  los</w:t>
        <w:br/>
        <w:t>derechos fundamentales].  Por esas razones, las leyes existentes  no  pueden</w:t>
        <w:br/>
        <w:t>quedar sujetas a revisiones constitucionales”. Cfr.  Sentencia  emitida  por</w:t>
        <w:br/>
        <w:t>el Comité Judicial del Consejo Privado en Lennox Ricardo Boyce  and  Jeffrey</w:t>
        <w:br/>
        <w:t>Joseph v. The Queen, supra nota 70, párrs. 25, 27 y 31 (folios 872-875).</w:t>
        <w:br/>
        <w:t>[73]  Aunque esta Corte no ha declarado que la pena  de  muerte  obligatoria</w:t>
        <w:br/>
        <w:t>por el delito de homicidio en  Barbados  es  per  se  contraria  al  derecho</w:t>
        <w:br/>
        <w:t>fundamental a no  ser  sometido  a  tratos  o  penas  crueles,  inhumanos  o</w:t>
        <w:br/>
        <w:t>degradantes, el Tribunal coincide con el razonamiento  del  Comité  Judicial</w:t>
        <w:br/>
        <w:t>del Consejo Privado respecto de que se encuentra un derecho  fundamental  en</w:t>
        <w:br/>
        <w:t>juego, a saber, el derecho a no ser privado en forma arbitraria de la  vida.</w:t>
        <w:br/>
        <w:br/>
        <w:t>[74]  Artículo 26 de  la  Convención  de  Viena  sobre  el  Derecho  de  los</w:t>
        <w:br/>
        <w:t>Tratados, 23 de mayo de 1969, 1155 UNTS 331, art. 26, 8 ILM  679  (entró  en</w:t>
        <w:br/>
        <w:t>vigencia el 27 de enero de 1980).</w:t>
        <w:br/>
        <w:t>[75]  Artículo 26 de  la  Convención  de  Viena  sobre  el  Derecho  de  los</w:t>
        <w:br/>
        <w:t>Tratados, supra nota 74.</w:t>
        <w:br/>
        <w:t>[76]  Caso Almonacid Arellano y otros, supra nota 18, párr. 124,  Cfr.  Caso</w:t>
        <w:br/>
        <w:t>La Cantuta, supra nota 64, párr. 173.</w:t>
        <w:br/>
        <w:t>[77]  Cfr. Caso Hilaire, Constantine y Benjamin  y  otros,  supra  nota  42,</w:t>
        <w:br/>
        <w:t>párr. 152(c), y Caso Caesar Vs. Trinidad y  Tobago.  Fondo,  Reparaciones  y</w:t>
        <w:br/>
        <w:t>Costas. Sentencia de 11 de marzo de 2005. Serie C No. 123, párrs. 115-117.</w:t>
        <w:br/>
        <w:t>[78]  En su parte relevante, el  artículo  5  estipula  que:  “Toda  persona</w:t>
        <w:br/>
        <w:t>tiene derecho a que  se respete su integridad física, psíquica y moral”.</w:t>
        <w:br/>
        <w:t>[79]  El artículo 5 establece en su parte pertinente que:  “Nadie  debe  ser</w:t>
        <w:br/>
        <w:t xml:space="preserve">sometido a torturas ni a penas o tratos crueles, inhumanos  o  degradantes. </w:t>
        <w:br/>
        <w:t>Toda persona privada de libertad será tratada con el  respeto  debido  a  la</w:t>
        <w:br/>
        <w:t>dignidad inherente al ser humano”.</w:t>
        <w:br/>
        <w:t>[80]  Cfr.  Caso  “Cinco  Pensionistas”  Vs.  Perú.  Fondo,  Reparaciones  y</w:t>
        <w:br/>
        <w:t>Costas. Sentencia de 28 de febrero de 2003. Serie C No. 98, párr. 155;  Caso</w:t>
        <w:br/>
        <w:t>Escué Zapata, supra nota 51, párr. 92, y Caso  Bueno  Alves  Vs.  Argentina.</w:t>
        <w:br/>
        <w:t>Fondo, Reparaciones y Costas. Sentencia de 11 de mayo de 2007. Serie  C  No.</w:t>
        <w:br/>
        <w:t>164, párr. 121.</w:t>
        <w:br/>
        <w:t>[81]  Los argumentos del Estado respecto de los efectos de su reserva  a  la</w:t>
        <w:br/>
        <w:t>Convención, así como la presunta discusión respecto de  la  cuestión  de  la</w:t>
        <w:br/>
        <w:t>horca, han sido tratados por la Corte en el  capítulo  III  de  la  presente</w:t>
        <w:br/>
        <w:t>Sentencia (supra, párr. 17).  La Corte reitera que la reserva del Estado  no</w:t>
        <w:br/>
        <w:t>tenía la intención de excluir la cuestión  de  ejecución  por  horca  de  la</w:t>
        <w:br/>
        <w:t>competencia de la Corte; se hubiese configurado una violación  del  artículo</w:t>
        <w:br/>
        <w:t>5 de la Convención, en este contexto, no sólo al momento  de  la  ejecución,</w:t>
        <w:br/>
        <w:t>sino que también al momento de la notificación de las órdenes de ejecución.</w:t>
        <w:br/>
        <w:t>[82]  Cfr. Caso Neira Alegría y otros Vs. Perú. Fondo. Sentencia  de  19  de</w:t>
        <w:br/>
        <w:t>enero de 1995. Serie C No. 20,  párr.  60;  Caso  del  Penal  Miguel  Castro</w:t>
        <w:br/>
        <w:t>Castro, supra nota 24, párr. 315, y Caso Montero Aranguren  y  otros  (Retén</w:t>
        <w:br/>
        <w:t>de Catia) Vs. Venezuela. Fondo, Reparaciones y Costas.  Sentencia  de  5  de</w:t>
        <w:br/>
        <w:t>julio de 2006. Serie C No. 150, párrs. 85 y 87.</w:t>
        <w:br/>
        <w:t>[83]  Cfr. Caso Neira Alegría y otros, supra nota 82,  párr.  60;  Caso  del</w:t>
        <w:br/>
        <w:t>Penal Miguel Castro Castro,  supra  nota  24,  párr.  315,  y  Caso  Montero</w:t>
        <w:br/>
        <w:t>Aranguren y otros (Retén de Catia), supra nota 82, párr. 85.</w:t>
        <w:br/>
        <w:t>[84]   Cfr.  Caso  “Instituto  de  Reeducación  del  Menor”  Vs.   Paraguay.</w:t>
        <w:br/>
        <w:t>Excepciones Preliminares, Fondo, Reparaciones y Costas. Sentencia  de  2  de</w:t>
        <w:br/>
        <w:t>septiembre de 2004. Serie C No. 112, párr. 154;  Caso  Montero  Aranguren  y</w:t>
        <w:br/>
        <w:t>otros (Retén de Catia), supra nota 82, párr. 86, y Caso  López  Álvarez  Vs.</w:t>
        <w:br/>
        <w:t>Honduras. Fondo, Reparaciones y Costas. Sentencia de 1 de febrero  de  2006.</w:t>
        <w:br/>
        <w:t>Serie C No. 141, párr. 104.  Cfr. también Reglas  Mínimas  de  las  Naciones</w:t>
        <w:br/>
        <w:t>Unidas para el Tratamiento de Prisioneros, adoptada por el  Primer  Congreso</w:t>
        <w:br/>
        <w:t>de las Naciones Unidas para la Prevención del Crimen  y  el  Tratamiento  de</w:t>
        <w:br/>
        <w:t>los Ofensores, en Ginebra, 1955, y  aprobado  por  el  Consejo  Económico  y</w:t>
        <w:br/>
        <w:t>Social mediante resoluciones 663C (XXIV) del 31 de  julio  de  1957  y  2076</w:t>
        <w:br/>
        <w:t>(LXII) del 13 de mayo de 1977, Regla 57.</w:t>
        <w:br/>
        <w:t>[85]  Cfr. Caso Cantoral Benavides Vs.  Perú.  Fondo.  Sentencia  de  18  de</w:t>
        <w:br/>
        <w:t>agosto de 2000. Serie C No. 69, párr. 95; Caso Bueno Alves, supra  nota  80,</w:t>
        <w:br/>
        <w:t>párr. 76, y Caso del Penal Miguel Castro Castro, supra nota 24, párr. 271.</w:t>
        <w:br/>
        <w:t>[86]  Cfr. Caso Montero Aranguren y otros (Retén de Catia), supra  nota  82,</w:t>
        <w:br/>
        <w:t>párr. 85.  Cfr. también ECHR, Case of I.I v Bulgaria.  Judgment  of  9  June</w:t>
        <w:br/>
        <w:t>2005. Application No. 44082/98, párr. 77;  ECHR,  Case  of  Poltoratskiy  v.</w:t>
        <w:br/>
        <w:t>Ukraine. Judgment of 29 April 2003. Application No. 38812/97,  párr. 148,  y</w:t>
        <w:br/>
        <w:t>Comité  de  Derechos  Humanos  de  las  Naciones  Unidas,  Womah  Mukong  v.</w:t>
        <w:br/>
        <w:t>Cameroon,  Communication  No.  458/1991,  U.N.   Doc.   CCPR/C/51/D/458/1991</w:t>
        <w:br/>
        <w:t>(1994), párr. 9.3.</w:t>
        <w:br/>
        <w:br/>
        <w:t>[87]  Los señores Boyce y Joseph fueron arrestados el o alrededor del 11  de</w:t>
        <w:br/>
        <w:t>abril de 1999(expediente de anexos a la demanda, tomo II, anexo B.1,  folios</w:t>
        <w:br/>
        <w:t>497-500);  el  señor  Atkins  fue  arrestado  el  16  de  octubre  de   1998</w:t>
        <w:br/>
        <w:t>(expediente de anexos a la demanda, tomo III, anexo B.7, folios 1337), y  el</w:t>
        <w:br/>
        <w:t>señor Huggins el 6 de diciembre de 1999 (expediente de anexos a la  demanda,</w:t>
        <w:br/>
        <w:t>tomo III, anexo B.9, folios 1466-1467).</w:t>
        <w:br/>
        <w:t>[88] El incendio está siendo investigado actualmente  por  el  Estado.  Cfr.</w:t>
        <w:br/>
        <w:t>Affidávit de John Nurse, 14 de diciembre de 2006 (expediente de anexos a  la</w:t>
        <w:br/>
        <w:t>contestación de la demanda, tomo VII, anexo 172,  folio  6562),  y  dictamen</w:t>
        <w:br/>
        <w:t>del Prof. Andrew Coyle, audiencia pública en la Corte Interamericana  el  11</w:t>
        <w:br/>
        <w:t>de julio de 2007 (transcripción de audiencia pública, p. 55).</w:t>
        <w:br/>
        <w:t>[89]  Cfr. Affidávit de John Nurse,  8  de  marzo  de  2005  (expediente  de</w:t>
        <w:br/>
        <w:t>anexos a la contestación de la demanda, tomo VII, anexo  171,  folio  6555);</w:t>
        <w:br/>
        <w:t>Testimonio de John Nurse, supra nota  88,  (p.  43),  y  Estados  Unidos  de</w:t>
        <w:br/>
        <w:t>América: Informes por País sobre Prácticas  en  Derechos  Humanos:  Barbados</w:t>
        <w:br/>
        <w:t>2001 (expediente de anexos a la demanda, tomo IV, anexo C.4, folios 1542).</w:t>
        <w:br/>
        <w:t>[90]  Cfr. Affidávit de John  Nurse,  supra  nota  89,  (folios  6554-6555);</w:t>
        <w:br/>
        <w:t>Testimonio de John Nurse,  supra  nota  88,   (pp.  43-44);  Informe  de  la</w:t>
        <w:br/>
        <w:t>Comisión Nacional de Derecho y Orden, junio  2004  (designada  por  decisión</w:t>
        <w:br/>
        <w:t>del Gabinete de  Ministros  de  Barbados  el  19  de  septiembre  de  2002),</w:t>
        <w:br/>
        <w:t>Capítulo         7,         p.          123,          disponible          en</w:t>
        <w:br/>
        <w:t>http://www.publicworks.gov.bb/Docs/lawprind.pdf (visitada por última vez  el</w:t>
        <w:br/>
        <w:t>16 de octubre de 2007), y noticia de prensa, “Prison Roll Jumps to 900”,  10</w:t>
        <w:br/>
        <w:t>de octubre de 2002 (expediente de anexos a la demanda, tomo IV,  anexo  C.2,</w:t>
        <w:br/>
        <w:t>folios 1527-1528).</w:t>
        <w:br/>
        <w:t>[91]  Cfr. Affidávit de John Nurse, supra nota 89, (folio 6555),  e  Informe</w:t>
        <w:br/>
        <w:t>de la Comisión Nacional de Derecho y Orden, supra nota 90.</w:t>
        <w:br/>
        <w:t>[92]  Cfr. Affidávits de Lennox Boyce, Jeffrey Joseph,  Frederick  Atkins  y</w:t>
        <w:br/>
        <w:t>Michael Huggins sobre las condiciones de su detención, 17 de agosto de  2004</w:t>
        <w:br/>
        <w:t>(expediente de anexos a la demanda, tomo IV, anexo D.2,  folios  1566-1577);</w:t>
        <w:br/>
        <w:t>affidávit de John Nurse, supra nota 89, (folios 6554-6556), y testimonio  de</w:t>
        <w:br/>
        <w:t>John Nurse, supra nota 88, (pp. 48-49).</w:t>
        <w:br/>
        <w:t>[93]  Cfr. Affidávits de Lennox Boyce, Jeffrey Joseph,  Frederick  Atkins  y</w:t>
        <w:br/>
        <w:t>Michael Huggins sobre las condiciones de su  detención,  supra  nota  92,  y</w:t>
        <w:br/>
        <w:t>affidávit de John Nurse, supra nota 89, (folios 6555).</w:t>
        <w:br/>
        <w:t>[94]  Cfr. Affidávits de Lennox Boyce, Jeffrey Joseph,  Frederick  Atkins  y</w:t>
        <w:br/>
        <w:t>Michael Huggins sobre las condiciones de su  detención,  supra  nota  92,  y</w:t>
        <w:br/>
        <w:t>affidávit de John Nurse, supra nota 89, (folios 6556).</w:t>
        <w:br/>
        <w:t>[95]  Cfr. Caso Montero Aranguren y otros (Retén de Catia), supra  nota  82,</w:t>
        <w:br/>
        <w:t>párr. 90. Cfr. también CPT/Inf (92) 3 [EN], 2nd  General  Report,  13  April</w:t>
        <w:br/>
        <w:t>1992, párr. 50.</w:t>
        <w:br/>
        <w:t>[96]  Cfr. Affidávit de Jeffrey Joseph,  supra  nota  34,  (folio  1570),  y</w:t>
        <w:br/>
        <w:t>affidávit de Michael Huggins, supra nota 36, (folio 1576).</w:t>
        <w:br/>
        <w:t>[97]  Cfr. Caso Neira Alegría y otros, supra nota 82,  párr.  60;  Caso  del</w:t>
        <w:br/>
        <w:t>Penal Miguel Castro Castro,  supra  nota  24,  párr.  315,  y  Caso  Montero</w:t>
        <w:br/>
        <w:t>Aranguren y otros (Retén de Catia), supra nota 82, párr. 97.</w:t>
        <w:br/>
        <w:t>[98]  Affidávit de John Nurse, supra nota 88.</w:t>
        <w:br/>
        <w:t>[99]  Affidávit de John Nurse, supra nota 88.</w:t>
        <w:br/>
        <w:t>[100]       Certificado de Defunción  de  Frederick  Atkins  (expediente  de</w:t>
        <w:br/>
        <w:t>anexos a la contestación de la demanda, tomo VII, anexo  176,  folios  6579-</w:t>
        <w:br/>
        <w:t>6581).</w:t>
        <w:br/>
        <w:t>[101]       Cfr. Testimonio de  John  Nurse,  supra  nota  88,  (p.  42),  y</w:t>
        <w:br/>
        <w:t>dictamen del Prof. Andrew Coyle, supra nota 88, (pp. 52 y 54).</w:t>
        <w:br/>
        <w:t>[102]       Peritaje de Prof. Coyle, audiencia pública llevada a cabo el  11</w:t>
        <w:br/>
        <w:t>de julio de 2007 en la sede de la Corte, pág.  52 (transcripción).</w:t>
        <w:br/>
        <w:t>[103]       Cfr. Affidávit de John Nurse, supra nota  89,  (folio  6555),  y</w:t>
        <w:br/>
        <w:t>testimony de John Nurse, supra nota 88, (p. 41).</w:t>
        <w:br/>
        <w:t>[104]       Cfr. Affidávit de Lennox Boyce sobre las condiciones de prisión</w:t>
        <w:br/>
        <w:t>en Harrison’s Point, 1 de junio de 2007 (expediente de affidávits y</w:t>
        <w:br/>
        <w:t>observaciones, anexo 2, folio 6620); affidávit de Jeffrey Joseph sobre las</w:t>
        <w:br/>
        <w:t>condiciones de prisión en Harrison’s Point, 1 de junio de 2007 (expediente</w:t>
        <w:br/>
        <w:t>de affidávits y observaciones, anexo 3, folio 6630); affidávit de Michael</w:t>
        <w:br/>
        <w:t>Huggins sobre las condiciones de prisión en Harrison’s Point, 1 de junio de</w:t>
        <w:br/>
        <w:t>2007 (expediente de affidávits y observaciones, anexo 4, folio 6641);</w:t>
        <w:br/>
        <w:t>dictamen del Prof. Andrew Coyle, supra nota 88, (p. 52), y testimonio de</w:t>
        <w:br/>
        <w:t>John Nurse, supra nota 88, (p. 42).</w:t>
        <w:br/>
        <w:t>[105]       Cfr. Dictamen del Prof. Andrew Coyle, supra nota 88, (p. 53),</w:t>
        <w:br/>
        <w:t>affidávit de Lennox Boyce sobre condiciones de prisión en Harrison´s Point,</w:t>
        <w:br/>
        <w:t>supra nota 104, (folio 6622-6623); affidávit de Jeffrey Joseph sobre</w:t>
        <w:br/>
        <w:t>condiciones de prisión en Harrison´s Point, supra nota 104, (folio 6633), y</w:t>
        <w:br/>
        <w:t>affidávit de Michael Huggins sobre condiciones de prisión en Harrison´s</w:t>
        <w:br/>
        <w:t>Point, supra nota 104, (folio 6644).</w:t>
        <w:br/>
        <w:t>[106]       Cfr. Testimonio de John Nurse, supra nota 88, (p. 36);</w:t>
        <w:br/>
        <w:t>affidávit of Lennox Boyce sobre las condiciones de prisión en Harrison’s</w:t>
        <w:br/>
        <w:t>Point, supra nota 104, (folios 6621-6622); affidávit de Jeffrey Joseph</w:t>
        <w:br/>
        <w:t>sobre las condiciones de prisión en Harrison’s Point, supra nota 104,</w:t>
        <w:br/>
        <w:t>(folio 6632), y affidávit de Michael Huggins sobre las condiciones de</w:t>
        <w:br/>
        <w:t>prisión en Harrison’s Point, supra nota 104, (folio 6643)</w:t>
        <w:br/>
        <w:t>[107]       Cfr. Dictamen del Prof. Andrew Coyle, supra nota 88, (pp. 53-</w:t>
        <w:br/>
        <w:t>54); testimony de John Nurse, supra nota 88, (p. 42), y affidávit de Lennox</w:t>
        <w:br/>
        <w:t>Boyce sobre las condiciones de prisión en Harrison’s Point, supra nota 104,</w:t>
        <w:br/>
        <w:t>(folio 6623); affidávit de Jeffrey Joseph sobre las condiciones de prisión</w:t>
        <w:br/>
        <w:t>en Harrison’s Point, supra nota 104, (folio 6633), y affidávit de Michael</w:t>
        <w:br/>
        <w:t>Huggins sobre las condiciones de prisión en Harrison’s Point, supra nota</w:t>
        <w:br/>
        <w:t>104, (folio 6644)</w:t>
        <w:br/>
        <w:br/>
        <w:t>[108]  Cfr.  Caso  Loayza  Tamayo  Vs.  Perú.  Fondo.  Sentencia  de  17  de</w:t>
        <w:br/>
        <w:t>septiembre de 1997. Serie C  No.  33,  párr.  58;  Caso  del  “Instituto  de</w:t>
        <w:br/>
        <w:t>Reeducación del Menor”, supra nota 84, párr.  154;  Caso  del  Penal  Miguel</w:t>
        <w:br/>
        <w:t>Castro Castro, supra nota 24, párr. 315 y Caso García Asto y  Ramírez  Rojas</w:t>
        <w:br/>
        <w:t>Vs. Perú. Excepción Preliminar, Fondo, Reparaciones y Costas.  Sentencia  de</w:t>
        <w:br/>
        <w:t>25 de noviembre de 2005. Serie C No. 137, párr. 221. Del  mismo  modo,  cfr.</w:t>
        <w:br/>
        <w:t>N.U., Reglas Mínimas para el tratamiento de los  reclusos,  supra  nota  84,</w:t>
        <w:br/>
        <w:t>Reglas 10 y 11.</w:t>
        <w:br/>
        <w:br/>
        <w:t>[109]       CEDH, BagiD[pic]sky vs. Polonia. Sentencia de 11 de  octubre  de</w:t>
        <w:br/>
        <w:t>2005, Demanda No. 37444/97, párr. 89.</w:t>
        <w:br/>
        <w:t>[110]       Cfr. Affidávit de  John  Nur221.  Del  mismo  modo,  cfr.  N.U.,</w:t>
        <w:br/>
        <w:t>Reglas Mínimas para el tratamiento de los reclusos, supra  nota  84,  Reglas</w:t>
        <w:br/>
        <w:t>10 y 11.</w:t>
        <w:br/>
        <w:t>[111]       CEDH, Bagińsky vs. Polonia. Sentencia de 11 de octubre de 2005,</w:t>
        <w:br/>
        <w:t>Demanda No. 37444/97, párr. 89.</w:t>
        <w:br/>
        <w:t>[112]       Cfr. Affidávit de John Nurse, supra nota 88, (folio 6563), y</w:t>
        <w:br/>
        <w:t>dictamen del Prof. Andrew Coyle (expediente de anexos a los escritos</w:t>
        <w:br/>
        <w:t>finales de las partes, folio 6787).</w:t>
        <w:br/>
        <w:t>[113]       Cfr. Alegatos Finales Escritos  del  Estado  (fondo,  tomo  III,</w:t>
        <w:br/>
        <w:t>folio 888).</w:t>
        <w:br/>
        <w:t>[114]       Cfr. Caso Loayza Tamayo, supra nota  108,  párr.  58;  Caso  del</w:t>
        <w:br/>
        <w:t>“Instituto de Reeducación del Menor”, supra nota 84,  párr.  154;  Caso  del</w:t>
        <w:br/>
        <w:t>Penal Miguel Castro Castro, supra nota 24, párr. 315, y Caso García  Asto  y</w:t>
        <w:br/>
        <w:t>Ramírez Rojas, supra nota 108, párr. 221.</w:t>
        <w:br/>
        <w:t>[115]       Sentencia emitida por el Comité Judicial del Consejo Privado  en</w:t>
        <w:br/>
        <w:t>Neville Lewis v. Attorney General of Jamaica  (12  de  septiembre  de  2000)</w:t>
        <w:br/>
        <w:t>(declarando, en lo relevante, que  el  Consejo  Privado  de  Barbados  debía</w:t>
        <w:br/>
        <w:t>esperar a toda decisión que se encontrara pendiente de  resolución  ante  un</w:t>
        <w:br/>
        <w:t>organismo internacional de derechos  humanos  (expediente  de  anexos  a  la</w:t>
        <w:br/>
        <w:t>demanda, anexo A.7, folios 185-224).</w:t>
        <w:br/>
        <w:t>[116]       Sentencia emitida por la Corte de  Apelaciones  de  Barbados  en</w:t>
        <w:br/>
        <w:t>Jeffrey Joseph and Lennox Ricardo Boyce  v.  The  Attorney-General  et  al.,</w:t>
        <w:br/>
        <w:t>supra nota 13, (folios 965).</w:t>
        <w:br/>
        <w:t>[117]       Sentencia emitida por la Corte de  Apelaciones  de  Barbados  en</w:t>
        <w:br/>
        <w:t>Jeffrey Joseph and Lennox Ricardo Boyce  v.  The  Attorney-General  et  al.,</w:t>
        <w:br/>
        <w:t>supra nota 13, (folios 965).</w:t>
        <w:br/>
        <w:t>[118]       Cfr. Sentencia emitida por la Corte de Apelaciones de Barbados</w:t>
        <w:br/>
        <w:t>en Jeffrey Joseph and Lennox Ricardo Boyce v. The Attorney-General et al.,</w:t>
        <w:br/>
        <w:t>supra nota 13, párrs. 82 y 84, (folios 976-978).</w:t>
        <w:br/>
        <w:t>[119]       El 16  de  abril  de  2005  la  Corte  de  Justicia  del  Caribe</w:t>
        <w:br/>
        <w:t>reemplazo al Comité Judicial del Consejo Privado  en  carácter  de  tribunal</w:t>
        <w:br/>
        <w:t>supremo para los países angloparlantes del  Caribe  que  han  reconocido  su</w:t>
        <w:br/>
        <w:t>competencia.</w:t>
        <w:br/>
        <w:t>[120]       Cfr. Sentencia emitida por la Corte Caribeña de Justicia en  The</w:t>
        <w:br/>
        <w:t>Attorney General et al. v. Jeffrey Joseph and Lennox  Ricardo  Boyce,  supra</w:t>
        <w:br/>
        <w:t>nota 14, párr. 133, (folio 3231).</w:t>
        <w:br/>
        <w:t>[121]       Cfr. Sentencia emitida por la Corte Caribeña de Justicia en  The</w:t>
        <w:br/>
        <w:t>Attorney General  et  al.  v.  Jeffrey  Joseph  and  Lennox  Ricardo  Boyce,</w:t>
        <w:br/>
        <w:t>(sosteniendo  que  “el  [Consejo  Privado  de  Barbados]  no  debería  haber</w:t>
        <w:br/>
        <w:t>aconsejado al Gobernador General que procediera con  las  ejecuciones  antes</w:t>
        <w:br/>
        <w:t>de  permitir  a  los  demandados  un  plazo  razonable  para  completar   el</w:t>
        <w:br/>
        <w:t>procedimiento de sus demandas. Al dar este consejo  sin  esperar  un  tiempo</w:t>
        <w:br/>
        <w:t>razonable para el informe de la Comisión,  el  CPB  frustró  la  expectativa</w:t>
        <w:br/>
        <w:t>legítima de los demandados y se privó  a  si  misma  de  la  oportunidad  de</w:t>
        <w:br/>
        <w:t>considerar el informe de la Comisión o, si  el  asunto  era  referido  a  la</w:t>
        <w:br/>
        <w:t>Corte Interamericana, la sentencia de aquella  Corte.  La  notifilcación  de</w:t>
        <w:br/>
        <w:t>las ordenes de ejecución el 15  de  septiembre  de  2004  constituyeron  una</w:t>
        <w:br/>
        <w:t>violación al derecho de los demandados a la protección de  la  ley”),  supra</w:t>
        <w:br/>
        <w:t>nota 14, párr. 128, (folio 3229).</w:t>
        <w:br/>
        <w:t>[122]       Cfr. Sentencia emitida por la Corte Caribeña de Justicia en  The</w:t>
        <w:br/>
        <w:t>Attorney General et al. v. Jeffrey Joseph and Lennox  Ricardo  Boyce,  supra</w:t>
        <w:br/>
        <w:t>nota 14, párr. 18, (folio 3180).</w:t>
        <w:br/>
        <w:t>[123]       Cfr. Sentencia  emitida  por  el  Comité  Judicial  del  Consejo</w:t>
        <w:br/>
        <w:t>Privado en Neville Lewis v. Attorney General of Jamaica, supra nota 113).</w:t>
        <w:br/>
        <w:t>[124]       Cfr. Sentencia  emitida  por  el  Comité  Judicial  del  Consejo</w:t>
        <w:br/>
        <w:t>Privado en Neville Lewis v. Attorney General of Jamaica, supra nota 113.</w:t>
        <w:br/>
        <w:t>[125]       Sentencia emitida por la  Corte  Caribeña  de  Justicia  en  The</w:t>
        <w:br/>
        <w:t>Attorney General et al. v. Jeffrey Joseph and Lennox  Ricardo  Boyce,  supra</w:t>
        <w:br/>
        <w:t>nota 14, párr. 143, (folio 3180).</w:t>
        <w:br/>
        <w:t>[126]       Cfr. Sentencia emitida por la Corte Caribeña de Justicia en  The</w:t>
        <w:br/>
        <w:t>Attorney General et al. v. Jeffrey Joseph and Lennox  Ricardo  Boyce,  supra</w:t>
        <w:br/>
        <w:t>nota 14, párr. 128, (folio 3229).</w:t>
        <w:br/>
        <w:t>[127]       Cfr. Caso Veláquez  Rodríguez  y  otros.  Medidas  Provisionales</w:t>
        <w:br/>
        <w:t>Respecto a Honduras. Resolución  de  la  Corte  Interamericana  de  Derechos</w:t>
        <w:br/>
        <w:t>Humanos de 15 de enero de 1988, Considerando tercero; Asunto Carlos Nieto  y</w:t>
        <w:br/>
        <w:t>otros. Medidas Provisionales Respecto de Venezuela. Resolución de  la  Corte</w:t>
        <w:br/>
        <w:t>Interamericana de Derechos Humanos de  3  de  julio  de  2007,  considerando</w:t>
        <w:br/>
        <w:t>cuarto, y Asunto Ramírez Hinostroza y otros. Medidas Provisionales  Respecto</w:t>
        <w:br/>
        <w:t>del Perú. Resolución de la Corte Interamericana de Derechos  Humanos  de  17</w:t>
        <w:br/>
        <w:t>de mayo de 2007, considerando cuarto.</w:t>
        <w:br/>
        <w:t>[128]       Cfr. Affidávits de Frederick Atkins y Michael Huggins sobre  los</w:t>
        <w:br/>
        <w:t>efectos de la lectura de las órdenes de, supra nota 92, (folios 1553-1554  y</w:t>
        <w:br/>
        <w:t>1562-1563).</w:t>
        <w:br/>
        <w:t>[129]       Cfr. Affidávits de Frederick Atkins y Michael Huggins sobre  los</w:t>
        <w:br/>
        <w:t>efectos de la lectura de las órdenes de, supra nota 92, (folios 1553-1554  y</w:t>
        <w:br/>
        <w:t>1562-1563).</w:t>
        <w:br/>
        <w:t>[130]       Cfr. Affidávits de Frederick Atkins y Michael Huggins sobre  los</w:t>
        <w:br/>
        <w:t>efectos de la lectura de las órdenes de, supra nota 92, (folios 1553-1554  y</w:t>
        <w:br/>
        <w:t>1562-1563).</w:t>
        <w:br/>
        <w:t>[131]       Cfr. Alegatos finales escritos  del  Estado  (fondo,  tomo  III,</w:t>
        <w:br/>
        <w:t>folio 886).</w:t>
        <w:br/>
        <w:t>[132]       Cfr. Affidávit de Michael Huggins sobre la  segunda  lectura  de</w:t>
        <w:br/>
        <w:t>órdenes de ejecución, 18 de  mayo  de  2005,  (expediente  de  affidávits  y</w:t>
        <w:br/>
        <w:t>observaciones, anexo 4, folio 6648).</w:t>
        <w:br/>
        <w:t>[133]        Cfr.   Presentación   de   la   petición   ante   la   Comisión</w:t>
        <w:br/>
        <w:t>Interamericana de Derechos Humanos el 3 de septiembre  de  2004  (expediente</w:t>
        <w:br/>
        <w:t>ante la Comisión, Anexo E.2 a la demanda, tomo I, folios 1625-1627).</w:t>
        <w:br/>
        <w:t>[134]       El artículo 63(1)  establece  que:  “[c]uando  decida  que  hubo</w:t>
        <w:br/>
        <w:t>violación de un derecho o libertad protegidos en esta Convención,  la  Corte</w:t>
        <w:br/>
        <w:t>dispondrá que se garantice al lesionado en el goce de su derecho o  libertad</w:t>
        <w:br/>
        <w:t>conculcados. Dispondrá, asimismo, si ello fuera procedente, que  se  reparen</w:t>
        <w:br/>
        <w:t>las  consecuencias  de  la  medida  o  situación  que  ha   configurado   la</w:t>
        <w:br/>
        <w:t>vulneración de esos derechos y el pago  de  una  justa  indemnización  a  la</w:t>
        <w:br/>
        <w:t>parte lesionada.”</w:t>
        <w:br/>
        <w:t>[135] Cfr. Caso Velásquez Rodríguez Vs.  Honduras.  Reparaciones  y  Costas.</w:t>
        <w:br/>
        <w:t>Sentencia de 21 de julio de 1989. Serie C No. 7,  párr.  25;  Caso  Cantoral</w:t>
        <w:br/>
        <w:t>Huamaní y García Santa Cruz, supra nota  25,  párr.  156,  y  Caso  Zambrano</w:t>
        <w:br/>
        <w:t>Vélez y otros, supra nota 25, párr. 131.</w:t>
        <w:br/>
        <w:t>[136] Cfr. Caso Aloeboetoe y  otros  Vs.  Surinam.  Reparaciones  y  Costas.</w:t>
        <w:br/>
        <w:t>Sentencia de 10 de septiembre de 1993.  Serie  C  No.  15,  párr.  44;  Caso</w:t>
        <w:br/>
        <w:t>Cantoral Huamaní y García Santa Cruz, supra  nota  25,  párr.  165,  y  Caso</w:t>
        <w:br/>
        <w:t>Zambrano Vélez y otros, supra nota 25, párr. 131.</w:t>
        <w:br/>
        <w:br/>
        <w:t>[137]       Cfr. Caso Velásquez Rodríguez, supra  nota  133,  párrs.  25-26;</w:t>
        <w:br/>
        <w:t>Caso Garrido y Baigorria Vs. Argentina. Reparaciones y Costas. Sentencia  de</w:t>
        <w:br/>
        <w:t>27 de agosto de 1998. Serie C No. 39, párr. 43, y Caso de la “Panel  Blanca”</w:t>
        <w:br/>
        <w:t>(Paniagua Morales y otros), supra nota 24, párrs. 76/79. Cfr.  también  Caso</w:t>
        <w:br/>
        <w:t>La Cantuta, supra nota 64, párrs. 200-203, y Caso del  Penal  Miguel  Castro</w:t>
        <w:br/>
        <w:t>Castro, supra nota 24, párrs. 414-416.</w:t>
        <w:br/>
        <w:t>[138]       Cfr. Caso Suárez Rosero  Vs.  Ecuador.  Reparaciones  y  Costas.</w:t>
        <w:br/>
        <w:t>Sentencia de 20 de enero de 1999. Serie C No. 44, párr.  72;  Caso  Cantoral</w:t>
        <w:br/>
        <w:t>Huamaní y García Santa Cruz, supra nota  25,  párr.  180,  y  Caso  Zambrano</w:t>
        <w:br/>
        <w:t>Vélez y otros, supra nota 25, párr. 142.</w:t>
        <w:br/>
        <w:br/>
        <w:t>[139]        Cfr.  Caso  Herrera   Ulloa   Vs.   Costa   Rica.   Excepciones</w:t>
        <w:br/>
        <w:t>Preliminares, Fondo, Reparaciones y Costas.  Sentencia  de  2  de  julio  de</w:t>
        <w:br/>
        <w:t>2004. Serie C No. 107, párr. 196, y  Caso  Raxcacó  Reyes,  supra  nota  37,</w:t>
        <w:br/>
        <w:t>punto resolutivo 15.</w:t>
        <w:br/>
        <w:t>[140] Cfr. Caso Garrido y Baigorria, supra nota 135, párr. 79, y Caso de  la</w:t>
        <w:br/>
        <w:t>“Panel Blanca” (Paniagua Morales y otros), supra nota 24,  párr.  212.  Cfr.</w:t>
        <w:br/>
        <w:t>también Caso La Cantuta, supra nota 64, párr. 243, y Caso del  Penal  Miguel</w:t>
        <w:br/>
        <w:t>Castro Castro, supra nota 24, párr. 455.</w:t>
        <w:br/>
        <w:t>[141]       Cfr. Caso Garrido y Baigorria, supra nota 135,  párr.  82;  Caso</w:t>
        <w:br/>
        <w:t>Escué Zapata, supra nota 51, párr. 188, y Caso Bueno Alves, supra  nota  80,</w:t>
        <w:br/>
        <w:t>párr. 219.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