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Caso Gangaram Panday Vs. Surinam</w:t>
        <w:br/>
        <w:br/>
        <w:br/>
        <w:t xml:space="preserve">                      Sentencia de 21 de enero de 1994</w:t>
        <w:br/>
        <w:t xml:space="preserve">                       (Fondo, Reparaciones y Costas)</w:t>
        <w:br/>
        <w:br/>
        <w:br/>
        <w:t>En el caso Gangaram Panday,</w:t>
        <w:br/>
        <w:br/>
        <w:t>la Corte Interamericana de Derechos Humanos, integrada  por  los  siguientes</w:t>
        <w:br/>
        <w:t>jueces:</w:t>
        <w:br/>
        <w:br/>
        <w:t xml:space="preserve">      Rafael Nieto Navia, Presidente</w:t>
        <w:br/>
        <w:t xml:space="preserve">      Sonia Picado Sotela, Vicepresidenta</w:t>
        <w:br/>
        <w:t xml:space="preserve">      Héctor Fix-Zamudio, Juez</w:t>
        <w:br/>
        <w:t xml:space="preserve">      Alejandro Montiel Argüello, Juez</w:t>
        <w:br/>
        <w:t xml:space="preserve">      Hernán Salgado Pesantes, Juez</w:t>
        <w:br/>
        <w:t xml:space="preserve">      Asdrúbal Aguiar-Aranguren, Juez</w:t>
        <w:br/>
        <w:t xml:space="preserve">      Antônio A. Cançado Trindade, Juez ad hoc;</w:t>
        <w:br/>
        <w:br/>
        <w:t>presentes, además,</w:t>
        <w:br/>
        <w:br/>
        <w:t xml:space="preserve">      Manuel E. Ventura Robles, Secretario y</w:t>
        <w:br/>
        <w:t xml:space="preserve">      Ana María Reina, Secretaria adjunta</w:t>
        <w:br/>
        <w:br/>
        <w:t>de acuerdo con el artículo 44.1 del Reglamento de la Corte vigente hasta  el</w:t>
        <w:br/>
        <w:t>31 de julio de 1991 (en adelante “el Reglamento”), que  es  el  aplicable  a</w:t>
        <w:br/>
        <w:t>este caso, dicta la siguiente sentencia sobre el  caso  introducido  por  la</w:t>
        <w:br/>
        <w:t>Comisión Interamericana de Derechos  Humanos  (en  adelante  “la  Comisión”)</w:t>
        <w:br/>
        <w:t>contra el Estado de Suriname (en adelante “el Gobierno” o “Suriname”).</w:t>
        <w:br/>
        <w:br/>
        <w:br/>
        <w:t xml:space="preserve">                                      I</w:t>
        <w:br/>
        <w:br/>
        <w:t>1.    Este caso fue sometido a la Corte Interamericana de  Derechos  Humanos</w:t>
        <w:br/>
        <w:t>(en adelante “la Corte”) por la Comisión  el  27  de  agosto  de  1990.   Se</w:t>
        <w:br/>
        <w:t>originó en una denuncia (Nº  10.274)  contra  Suriname  presentada  ante  la</w:t>
        <w:br/>
        <w:t>Comisión el 17 de diciembre de 1988.</w:t>
        <w:br/>
        <w:br/>
        <w:t>2.    Al presentar el caso, la Comisión invocó los artículos 51 y 61  de  la</w:t>
        <w:br/>
        <w:t>Convención Americana sobre Derechos Humanos (en adelante “la  Convención”  o</w:t>
        <w:br/>
        <w:t>“la Convención Americana”) y el artículo 50 de su Reglamento.   La  Comisión</w:t>
        <w:br/>
        <w:t>sometió este caso contra Suriname en perjuicio del  señor  Choeramoenipersad</w:t>
        <w:br/>
        <w:t>Gangaram Panday (conocido también como Asok Gangaram Panday)  por  violación</w:t>
        <w:br/>
        <w:t>de los artículos 1 (Obligación  de  respetar  los  derechos),  2  (Deber  de</w:t>
        <w:br/>
        <w:t>adoptar disposiciones de derecho interno), 4.1 (Derecho a la vida), 5.1 y  2</w:t>
        <w:br/>
        <w:t>(Derecho a la integridad personal), 7.1,  2  y  3  (Derecho  a  la  libertad</w:t>
        <w:br/>
        <w:t>personal) y 25.1 y 2 (Protección judicial) de la Convención y  solicitó  que</w:t>
        <w:br/>
        <w:t>la Corte “decida  sobre  este  caso  conforme  a  las  disposiciones  de  la</w:t>
        <w:br/>
        <w:t>Convención, que determine la responsabilidad por  la  violación  señalada  y</w:t>
        <w:br/>
        <w:t>que otorgue  una  justa  compensación  a  los  familiares  de  la  víctima”.</w:t>
        <w:br/>
        <w:t>Designó como sus delegados para que la representen en este caso a Oliver  H.</w:t>
        <w:br/>
        <w:t>Jackman, miembro; Edith Márquez Rodríguez, Secretaria ejecutiva y  David  J.</w:t>
        <w:br/>
        <w:t>Padilla, Secretario ejecutivo adjunto.</w:t>
        <w:br/>
        <w:br/>
        <w:t>3.    La denuncia de 17 de diciembre de 1988, presentada ante  la  Comisión,</w:t>
        <w:br/>
        <w:t>se refiere a la detención y posterior muerte del señor Asok Gangaram  Panday</w:t>
        <w:br/>
        <w:t>en Suriname.  Dicha denuncia fue hecha por el  señor  Leo  Gangaram  Panday,</w:t>
        <w:br/>
        <w:t>hermano del muerto, en los términos que a continuación resume la Corte:</w:t>
        <w:br/>
        <w:br/>
        <w:t xml:space="preserve">      a.    El señor Asok  Gangaram  Panday  fue  detenido  por  la  Policía</w:t>
        <w:br/>
        <w:t xml:space="preserve">      Militar cuando llegó al Aeropuerto Zanderij, el sábado 5 de  noviembre</w:t>
        <w:br/>
        <w:t xml:space="preserve">      de 1988 a las 20:00 horas.  El señor Leo Gangaram Panday  expresó  que</w:t>
        <w:br/>
        <w:t xml:space="preserve">      vio “cuando la Policía  Militar  lo  condujo  a  una  habitación.   Su</w:t>
        <w:br/>
        <w:t xml:space="preserve">      esposa, Dropati, estaba conmigo y también lo vio (sic)  bajo  custodia</w:t>
        <w:br/>
        <w:t xml:space="preserve">      de la policía”.</w:t>
        <w:br/>
        <w:br/>
        <w:br/>
        <w:t xml:space="preserve">      b.    El domingo 6 de noviembre  Leo  Gangaram  Panday  reiteradamente</w:t>
        <w:br/>
        <w:t xml:space="preserve">      llamó a la Policía Militar en el aeropuerto.  A  las  16:30  horas  el</w:t>
        <w:br/>
        <w:t xml:space="preserve">      Comandante le informó que su hermano “iba a ser trasladado esa noche a</w:t>
        <w:br/>
        <w:t xml:space="preserve">      Fort Zeelandia, [debido a que se hallaba  arrestado  por  haber]  sido</w:t>
        <w:br/>
        <w:t xml:space="preserve">      expulsado de Holanda”.  Tras reiteradas e  infructuosas  llamadas,  el</w:t>
        <w:br/>
        <w:t xml:space="preserve">      día martes 8 la Policía  Militar  de  Fort  Zeelandia  le  informó  al</w:t>
        <w:br/>
        <w:t xml:space="preserve">      denunciante que su hermano se había ahorcado.</w:t>
        <w:br/>
        <w:br/>
        <w:br/>
        <w:t xml:space="preserve">      c.    Leo  Gangaram  Panday  y  su  abogado,  Geeta  Gangaram  Panday,</w:t>
        <w:br/>
        <w:t xml:space="preserve">      visitaron al Fiscal General Reeder quien nada sabía del  caso.   Todos</w:t>
        <w:br/>
        <w:t xml:space="preserve">      ellos y el señor Freitas, Auditor Militar, fueron juntos a la  morgue.</w:t>
        <w:br/>
        <w:t xml:space="preserve">      Allí encontraron el cuerpo  de  Asok  Gangaram  Panday  que  “[e]staba</w:t>
        <w:br/>
        <w:t xml:space="preserve">      cubierto solamente con su ropa interior.  Tenía hematomas en el  pecho</w:t>
        <w:br/>
        <w:t xml:space="preserve">      y el estómago y un orificio en su espalda.  Un ojo estaba amoratado  y</w:t>
        <w:br/>
        <w:t xml:space="preserve">      tenía cortado un labio.  Los hematomas  eran  grandes  [.  .  .]   [El</w:t>
        <w:br/>
        <w:t xml:space="preserve">      cadáver] tenía un cinturón corto en torno al cuello”.</w:t>
        <w:br/>
        <w:br/>
        <w:br/>
        <w:t xml:space="preserve">      d.    Continúa diciendo la denuncia que</w:t>
        <w:br/>
        <w:br/>
        <w:t xml:space="preserve">           [e]l dictamen de  la  primera  autopsia  sostuvo  que  se  había</w:t>
        <w:br/>
        <w:t xml:space="preserve">           suicidado.  El de la segunda indica que había muerto por asfixia</w:t>
        <w:br/>
        <w:t xml:space="preserve">           pero que no era  posible  atribuir  la  responsabilidad  por  su</w:t>
        <w:br/>
        <w:t xml:space="preserve">           deceso. La tercera autopsia  dictaminó  muerte por violencia.</w:t>
        <w:br/>
        <w:br/>
        <w:t xml:space="preserve">      e.    El denunciante grabó una videocinta del  cadáver  en  la  morgue</w:t>
        <w:br/>
        <w:t xml:space="preserve">      antes de la cremación y afirma que cuando quitaron la ropa interior al</w:t>
        <w:br/>
        <w:t xml:space="preserve">      cadáver observaron “que los testículos habían sido aplastados”.</w:t>
        <w:br/>
        <w:br/>
        <w:br/>
        <w:t xml:space="preserve">      f.    De acuerdo con la denuncia, el Fiscal General dijo personalmente</w:t>
        <w:br/>
        <w:t xml:space="preserve">      al abogado del denunciante que se trataba de un caso de  suicidio;  la</w:t>
        <w:br/>
        <w:t xml:space="preserve">      familia no recibió informe escrito alguno; el abogado del  denunciante</w:t>
        <w:br/>
        <w:t xml:space="preserve">      le dijo  a  éste  que  “no  deb[ía]  insistir  en  el  caso  ante  las</w:t>
        <w:br/>
        <w:t xml:space="preserve">      autoridades surinamesas porque e[ra] peligroso”.</w:t>
        <w:br/>
        <w:br/>
        <w:t>4.    Mediante nota de 21 de diciembre  de  1988  la  Comisión  solicitó  al</w:t>
        <w:br/>
        <w:t>Gobierno información acerca de las circunstancias  que  rodearon  la  muerte</w:t>
        <w:br/>
        <w:t>del señor Asok Gangaram  Panday,  otorgándole  un  plazo  de  90  días  para</w:t>
        <w:br/>
        <w:t>proporcionarla.  Solicitó, entre otros elementos, copias de  los  dictámenes</w:t>
        <w:br/>
        <w:t>de todas las autopsias e informes post  mortem  y  patológicos  relacionados</w:t>
        <w:br/>
        <w:t>con el caso.  Posteriormente, el 6 de febrero de 1989, la  Comisión  remitió</w:t>
        <w:br/>
        <w:t>al Gobierno el texto completo de la denuncia.</w:t>
        <w:br/>
        <w:br/>
        <w:t>5.     El  3  de  mayo  de  1989  la  Comisión  recibió  respuesta   a   sus</w:t>
        <w:br/>
        <w:t>comunicaciones de 21 de diciembre de  1988  y  de  6  de  febrero  de  1989,</w:t>
        <w:br/>
        <w:t>mediante nota del Gobierno fechada 2 de mayo de 1989.  En  dicha  misiva  el</w:t>
        <w:br/>
        <w:t>Ministro de Justicia y Policía señaló que efectivamente, el 5  de  noviembre</w:t>
        <w:br/>
        <w:t>de 1988, Asok Gangaram Panday “fue  [.  .  .  ]  llevad[o]  por  la  Policía</w:t>
        <w:br/>
        <w:t>Militar a un edificio  para  desalojados  (sic)  del  Aeropuerto  Zanderij”.</w:t>
        <w:br/>
        <w:t>Además indicó en esa carta:</w:t>
        <w:br/>
        <w:br/>
        <w:t xml:space="preserve">     a.    Que el Fiscal General después de que el abogado Gangaram Panday,</w:t>
        <w:br/>
        <w:t xml:space="preserve">     hermano del fallecido, informó sobre lo ocurrido, “dio la orden de que</w:t>
        <w:br/>
        <w:t xml:space="preserve">     se realizara una autopsia, y el Juez-Abogado,  junto  con  el  abogado</w:t>
        <w:br/>
        <w:t xml:space="preserve">     Gangaram Panday, tuvieron la oportunidad de visitar la morgue para  la</w:t>
        <w:br/>
        <w:t xml:space="preserve">     autopsia del cadáver”.</w:t>
        <w:br/>
        <w:br/>
        <w:br/>
        <w:t xml:space="preserve">     b.    Que en la nota del Gobierno de 2 de mayo de 1989, “se elaboró un</w:t>
        <w:br/>
        <w:t xml:space="preserve">     informe de la autopsia, y que el anatomopatólogo llegó a la conclusión</w:t>
        <w:br/>
        <w:t xml:space="preserve">     de que se trató de un caso de suicidio, hecho que  fue  notificado  al</w:t>
        <w:br/>
        <w:t xml:space="preserve">     hermano del difunto, abogado Gangaram Panday”.  Además indicó  que  no</w:t>
        <w:br/>
        <w:t xml:space="preserve">     se solicitó copia del informe de la autopsia y que</w:t>
        <w:br/>
        <w:br/>
        <w:t xml:space="preserve">           el Departamento de Investigación Técnico-Penal y el Departamento</w:t>
        <w:br/>
        <w:t xml:space="preserve">           de Identificación  elaboraron un informe,  en  relación  con  la</w:t>
        <w:br/>
        <w:t xml:space="preserve">           posibilidad de que ASOK GANGARAM PANDAY se hubiera ahorcado  con</w:t>
        <w:br/>
        <w:t xml:space="preserve">           su cinturón, hecho que fue confirmado por el  oficial  encargado</w:t>
        <w:br/>
        <w:t xml:space="preserve">           de la investigación. (Mayúsculas del original)</w:t>
        <w:br/>
        <w:br/>
        <w:t xml:space="preserve">      Finalmente comunicó que el Fiscal General</w:t>
        <w:br/>
        <w:br/>
        <w:t xml:space="preserve">           consider[ó]  necesario  investigar  la  posibilidad  de  que  el</w:t>
        <w:br/>
        <w:t xml:space="preserve">           oficial de la Policía Militar actuante en  el  arresto  de  ASOK</w:t>
        <w:br/>
        <w:t xml:space="preserve">           GANGARAM PANDAY, fuera culpable de privación  ilegítima  de   la</w:t>
        <w:br/>
        <w:t xml:space="preserve">           libertad o de detención ilícita  [y  que  él]  ordenó  al  Juez-</w:t>
        <w:br/>
        <w:t xml:space="preserve">           Abogado la citación del Oficial de la Policía  Militar  ante  la</w:t>
        <w:br/>
        <w:t xml:space="preserve">           Corte Marcial. (Mayúsculas del original)</w:t>
        <w:br/>
        <w:br/>
        <w:t>6.    Según la demanda presentada por la Comisión ante la  Corte  el  14  de</w:t>
        <w:br/>
        <w:t>setiembre  de  1989  el  profesor  Claudio   Grossman,   representante   del</w:t>
        <w:br/>
        <w:t>peticionante ante la Comisión, le solicitó a ésta una audiencia, la  que  se</w:t>
        <w:br/>
        <w:t>celebró ese mismo mes durante el 76° Período Ordinario  de  Sesiones  de  la</w:t>
        <w:br/>
        <w:t>Comisión.  En ella  reiteró  la  naturaleza  de  la  denuncia  y  pidió  una</w:t>
        <w:br/>
        <w:t>solución amistosa.  A pesar de  haberse  reunido  el  profesor  Grossman  en</w:t>
        <w:br/>
        <w:t>noviembre de 1989 con el Ministro de Relaciones Exteriores de  Suriname,  en</w:t>
        <w:br/>
        <w:t>presencia del doctor David Padilla,  no  se  pudo  arribar  a  una  solución</w:t>
        <w:br/>
        <w:t>amistosa de este caso.</w:t>
        <w:br/>
        <w:br/>
        <w:t>7.    Por carta del 29 de enero de 1990  transcrita  en  el  informe  de  la</w:t>
        <w:br/>
        <w:t>Comisión Nº 04/90 de 15  de  mayo  de  1990  que  acompaña  la  demanda,  el</w:t>
        <w:br/>
        <w:t>denunciante indicó conocer a algunos miembros  de  la  Policía  Militar  que</w:t>
        <w:br/>
        <w:t>sostuvieron que</w:t>
        <w:br/>
        <w:br/>
        <w:t xml:space="preserve">           Asok fue torturado en Fort Zeelandia,  no  en  Zanderij,  [pero]</w:t>
        <w:br/>
        <w:t xml:space="preserve">           tienen miedo de prestar testimonio, y [t]ambién conoce a algunas</w:t>
        <w:br/>
        <w:t xml:space="preserve">           personas de la morgue que afirman que Asok  murió  antes  de  la</w:t>
        <w:br/>
        <w:t xml:space="preserve">           fecha mencionada oficialmente [. .  .]  [que  ha]  remitido  una</w:t>
        <w:br/>
        <w:t xml:space="preserve">           copia del dictamen  de  la  tercera  autopsia,  firmado  por  el</w:t>
        <w:br/>
        <w:t xml:space="preserve">           Patólogo [y que] [n]o hay copias de los otros dos, aunque en  la</w:t>
        <w:br/>
        <w:t xml:space="preserve">           prensa se hizo referencia a ellos.</w:t>
        <w:br/>
        <w:br/>
        <w:t>8.    Mediante comunicación de  4  de  febrero  de  1990,  que  acompaña  la</w:t>
        <w:br/>
        <w:t>demanda, el doctor Richard Baltaro, Ph.D., M.D.,  anatomopatólogo,  comunicó</w:t>
        <w:br/>
        <w:t>al profesor Grossman su evaluación profesional de la videocinta que éste  le</w:t>
        <w:br/>
        <w:t>remitió, grabada durante la  higienización  del  cadáver  de  Asok  Gangaram</w:t>
        <w:br/>
        <w:t>Panday.  El doctor Baltaro opinó que si bien la calidad de la videocinta  es</w:t>
        <w:br/>
        <w:t>insatisfactoria</w:t>
        <w:br/>
        <w:br/>
        <w:t xml:space="preserve">      [e]l tipo de muerte no es natural.  La causa del deceso es la  asfixia</w:t>
        <w:br/>
        <w:t xml:space="preserve">      por suspensión.  Tiendo a concluir, en función de las pruebas  que  se</w:t>
        <w:br/>
        <w:t xml:space="preserve">      me proporcionaron, que la persona murió ahorcada, pero en cuanto a  la</w:t>
        <w:br/>
        <w:t xml:space="preserve">      modalidad de la muerte, no puede establecerse si  fue  por  accidente,</w:t>
        <w:br/>
        <w:t xml:space="preserve">      suicidio u homicidio.  Dadas las pruebas que me fueron proporcionadas,</w:t>
        <w:br/>
        <w:t xml:space="preserve">      si tuviera que hacerlo, suscribiría el certificado de  defunción  como</w:t>
        <w:br/>
        <w:t xml:space="preserve">      ‘por  causa  indeterminada’  pero  preferiría  indagar  el  caso   más</w:t>
        <w:br/>
        <w:t xml:space="preserve">      profundamente.</w:t>
        <w:br/>
        <w:br/>
        <w:t>Este informe del doctor Baltaro fue remitido por el profesor Grossman  a  la</w:t>
        <w:br/>
        <w:t>Comisión el 21 de marzo de 1990.  También adjuntó una copia del  certificado</w:t>
        <w:br/>
        <w:t>de defunción  firmado  por  el  doctor  M.  A.  Vrede,  anatomopatólogo  del</w:t>
        <w:br/>
        <w:t>Hospital Anatómico de Paramaribo, quien certificó que Asok  Gangaram  Panday</w:t>
        <w:br/>
        <w:t>murió “de muerte violenta”.</w:t>
        <w:br/>
        <w:br/>
        <w:t>9.    La Comisión remitió al Gobierno el  23  de  marzo  de  1990  la  parte</w:t>
        <w:br/>
        <w:t>pertinente de la carta del profesor Grossman junto con los informes  citados</w:t>
        <w:br/>
        <w:t>de los doctores Baltaro y Vrede y le otorgó un plazo de  30  días  para  que</w:t>
        <w:br/>
        <w:t>presentara toda la información relevante que tuviera sobre el caso.</w:t>
        <w:br/>
        <w:br/>
        <w:t>10.   El 11 de mayo de 1990 el Gobierno  remitió  a  la  Comisión  la  misma</w:t>
        <w:br/>
        <w:t>copia del certificado de defunción firmada por el doctor  M.  A.  Vrede  que</w:t>
        <w:br/>
        <w:t>dice “[l]a muerte se produjo por  medios  violentos  y  en  el  momento  del</w:t>
        <w:br/>
        <w:t>deceso  [.  .  .]  el  sujeto  no  padecía  de  ningún  tipo  de  enfermedad</w:t>
        <w:br/>
        <w:t>infecciosa” y un dictamen de autopsia dado  por  el  mismo  patólogo  doctor</w:t>
        <w:br/>
        <w:t>Vrede en el cual afirma que “[s]e presume que la  causa  de  la  muerte  fue</w:t>
        <w:br/>
        <w:t>asfixia debido al ahorcamiento”.</w:t>
        <w:br/>
        <w:br/>
        <w:t>11.   En esa misma fecha, la  Comisión  recibió  en  audiencia  al  profesor</w:t>
        <w:br/>
        <w:t>Claudio Grossman quien explicó  que  había  sido  imposible  arribar  a  una</w:t>
        <w:br/>
        <w:t>solución amistosa sobre el presente caso  y  pidió  a  la  Comisión  que  lo</w:t>
        <w:br/>
        <w:t>sometiera a la consideración de la Corte.</w:t>
        <w:br/>
        <w:br/>
        <w:t>12.   La Comisión adoptó, de acuerdo con el artículo 50  de  la  Convención,</w:t>
        <w:br/>
        <w:t>el 15 de mayo de 1990 el informe Nº 04/90, en el cual resolvió:</w:t>
        <w:br/>
        <w:br/>
        <w:t xml:space="preserve">            1.   Declarar admisible el presente caso.</w:t>
        <w:br/>
        <w:br/>
        <w:br/>
        <w:t xml:space="preserve">            2.   Declarar que las partes no pudieron concretizar un  arreglo</w:t>
        <w:br/>
        <w:t xml:space="preserve">      amistoso.</w:t>
        <w:br/>
        <w:br/>
        <w:br/>
        <w:t xml:space="preserve">            3.   Declarar que el Gobierno de Suriname faltó a  su  deber  de</w:t>
        <w:br/>
        <w:t xml:space="preserve">      proteger  los  derechos  y  libertades  contenidas  en  la  Convención</w:t>
        <w:br/>
        <w:t xml:space="preserve">      Americana sobre Derechos Humanos y asegurar el goce de éstos, tal como</w:t>
        <w:br/>
        <w:t xml:space="preserve">      lo prevéen (sic) los artículos 1 y 2 del instrumento mencionado.</w:t>
        <w:br/>
        <w:br/>
        <w:br/>
        <w:t xml:space="preserve">            4.   Declarar  que  el  Gobierno  de  Suriname  ha  violado  los</w:t>
        <w:br/>
        <w:t xml:space="preserve">      derechos humanos de la persona a que se refiere este caso, tal como lo</w:t>
        <w:br/>
        <w:t xml:space="preserve">      proveen los artículos 1, 2, 4(01) (sic), 5(1), 5(2), 7(1), 7(2), 7(3),</w:t>
        <w:br/>
        <w:t xml:space="preserve">      25(1) y 25(2) de la Convención Americana sobre Derechos Humanos.</w:t>
        <w:br/>
        <w:br/>
        <w:br/>
        <w:t xml:space="preserve">            5.   Recomendar al Gobierno de Suriname que tome las  siguientes</w:t>
        <w:br/>
        <w:t xml:space="preserve">      medidas:</w:t>
        <w:br/>
        <w:br/>
        <w:br/>
        <w:t xml:space="preserve">            a.   De  (sic)  cumplimiento  a  los  artículos  1  y  2  de  la</w:t>
        <w:br/>
        <w:t xml:space="preserve">      Convención, asegurando el respeto y goce de los derechos contenidos en</w:t>
        <w:br/>
        <w:t xml:space="preserve">      ella.</w:t>
        <w:br/>
        <w:br/>
        <w:br/>
        <w:t xml:space="preserve">            b.   Realice una investigación sobre los hechos  denunciados,  a</w:t>
        <w:br/>
        <w:t xml:space="preserve">      fin de procesar y sancionar a los responsables.</w:t>
        <w:br/>
        <w:br/>
        <w:br/>
        <w:t xml:space="preserve">            c.   Adopte las medidas necesarias para evitar  la  comisión  de</w:t>
        <w:br/>
        <w:t xml:space="preserve">      hechos similares en lo sucesivo.</w:t>
        <w:br/>
        <w:br/>
        <w:br/>
        <w:t xml:space="preserve">            d.   Pague una justa compensación a las partes lesionadas.</w:t>
        <w:br/>
        <w:br/>
        <w:br/>
        <w:t xml:space="preserve">            6.   Transmitir el presente informe al Gobierno de Suriname para</w:t>
        <w:br/>
        <w:t xml:space="preserve">      que éste se pronuncie sobre las medidas adoptadas para cumplir con las</w:t>
        <w:br/>
        <w:t xml:space="preserve">      recomendaciones contenidas en este informe, dentro  del  plazo  de  90</w:t>
        <w:br/>
        <w:t xml:space="preserve">      días contados a partir de la fecha de remisión.  El Gobierno  no  está</w:t>
        <w:br/>
        <w:t xml:space="preserve">      facultado para publicar el presente informe, conforme a lo  estipulado</w:t>
        <w:br/>
        <w:t xml:space="preserve">      en el artículo 47.6 del Reglamento de la Comisión.</w:t>
        <w:br/>
        <w:br/>
        <w:br/>
        <w:t xml:space="preserve">            7.   Someter el presente caso a  la  jurisdicción  de  la  Corte</w:t>
        <w:br/>
        <w:t xml:space="preserve">      Interamericana de Derechos Humanos,  si  el  Gobierno  no  cumple  las</w:t>
        <w:br/>
        <w:t xml:space="preserve">      recomendaciones señaladas en el inciso 5.</w:t>
        <w:br/>
        <w:br/>
        <w:t xml:space="preserve">                                     II</w:t>
        <w:br/>
        <w:br/>
        <w:t>13.   La demanda ante la Corte fue introducida por  la  Comisión  el  27  de</w:t>
        <w:br/>
        <w:t>agosto de 1990.  La Secretaría de la Corte (en adelante “la Secretaría”)  la</w:t>
        <w:br/>
        <w:t>remitió al Gobierno junto con sus anexos  mediante  comunicación  de  17  de</w:t>
        <w:br/>
        <w:t>setiembre de 1990, de acuerdo con  lo  que  dispone  el  artículo  26.3  del</w:t>
        <w:br/>
        <w:t>Reglamento.</w:t>
        <w:br/>
        <w:br/>
        <w:t>14.   El 6  de  noviembre  de  1990  el  Gobierno  designó  como  agente  al</w:t>
        <w:br/>
        <w:t>Licenciado Carlos Vargas Pizarro.</w:t>
        <w:br/>
        <w:br/>
        <w:t>15.   El Presidente de la Corte  (en  adelante  “el  Presidente”),  mediante</w:t>
        <w:br/>
        <w:t>resolución de 12 de noviembre de 1990, de común acuerdo  con  el  agente  de</w:t>
        <w:br/>
        <w:t>Suriname y los delegados de la  Comisión  y  en  consulta  con  la  Comisión</w:t>
        <w:br/>
        <w:t>Permanente de la Corte, (en adelante “la  Comisión  Permanente”)  señaló  el</w:t>
        <w:br/>
        <w:t>día 29 de marzo de 1991 como fecha límite para que  la  Comisión  presentara</w:t>
        <w:br/>
        <w:t>la memoria a que se refiere el artículo 29 del Reglamento y el 28  de  junio</w:t>
        <w:br/>
        <w:t>de 1991 para que el Gobierno presentara su contra-memoria.</w:t>
        <w:br/>
        <w:br/>
        <w:t>16.   Por nota de  12  de  noviembre  de  1990  el  Presidente  solicitó  al</w:t>
        <w:br/>
        <w:t>Gobierno designar Juez ad hoc para este caso.  En  comunicación  del  13  de</w:t>
        <w:br/>
        <w:t>diciembre de 1990, el agente informó a la Corte que el Gobierno nombró  Juez</w:t>
        <w:br/>
        <w:t>ad hoc al profesor Antônio A. Cançado Trindade, de Brasilia, Brasil.</w:t>
        <w:br/>
        <w:br/>
        <w:t>17.   Por nota de 7 de febrero de 1991,  la  Comisión  designó  al  profesor</w:t>
        <w:br/>
        <w:t>Claudio  Grossman  como  asesor  legal   para   el   presente   caso.    Con</w:t>
        <w:br/>
        <w:t>posterioridad, por nota de  23  de  diciembre  de  1993,  la  Comisión  dejó</w:t>
        <w:br/>
        <w:t>constancia de que el profesor Grossman, además de asesor  de  ella,  actuaba</w:t>
        <w:br/>
        <w:t>en su capacidad de abogado del denunciante original y que en caso de que  la</w:t>
        <w:br/>
        <w:t>Corte no lo considerara así, solicitaba una audiencia pública  para  que  se</w:t>
        <w:br/>
        <w:t>escucharan sus argumentos.  El Presidente, por nota de 11 de enero de  1994,</w:t>
        <w:br/>
        <w:t>oído el parecer de la Corte, respondió que la audiencia  pública  solicitada</w:t>
        <w:br/>
        <w:t>“no se llevará a cabo.  Posiblemente el tema sea tratado por el Tribunal  en</w:t>
        <w:br/>
        <w:t>su pronunciamiento sobre el fondo de este caso”.</w:t>
        <w:br/>
        <w:br/>
        <w:t>18.   El 1 de abril de 1991, la Comisión presentó la memoria  del  caso  con</w:t>
        <w:br/>
        <w:t>la prueba pertinente.  En ella solicitó que la Corte</w:t>
        <w:br/>
        <w:br/>
        <w:t xml:space="preserve">      acepte las pruebas presentadas ante la Comisión  y  concluya  que  los</w:t>
        <w:br/>
        <w:t xml:space="preserve">      hechos  fueron  comprobados  de  acuerdo  a  las  normas  y  criterios</w:t>
        <w:br/>
        <w:t xml:space="preserve">      jurídicos vigentes [. . .] [y que si llegare a considerar]  que  tales</w:t>
        <w:br/>
        <w:t xml:space="preserve">      pruebas no son suficientes  reserve  el  derecho  de  la  Comisión  de</w:t>
        <w:br/>
        <w:t xml:space="preserve">      ofrecer pruebas adicionales; [que] decida que el Estado de Suriname es</w:t>
        <w:br/>
        <w:t xml:space="preserve">      responsable de la muerte del señor Asok Gangaram Panday,  mientras  se</w:t>
        <w:br/>
        <w:t xml:space="preserve">      encontraba detenido, y que  dicha  muerte  es  una  violación  de  los</w:t>
        <w:br/>
        <w:t xml:space="preserve">      artículos 1 (1) (2), 4, 5, 7 y 25 de  la  Convención  Americana  sobre</w:t>
        <w:br/>
        <w:t xml:space="preserve">      Derechos Humanos.</w:t>
        <w:br/>
        <w:br/>
        <w:t>También pidió que la Corte decida que Suriname</w:t>
        <w:br/>
        <w:br/>
        <w:t xml:space="preserve">      debe reparar adecuadamente a los familiares del  señor  Asok  Gangaram</w:t>
        <w:br/>
        <w:t xml:space="preserve">      Panday y que, por lo tanto, ordene: el pago de una  indemnización  por</w:t>
        <w:br/>
        <w:t xml:space="preserve">      daño emergente y lucro cesante, reparación del daño moral,  incluyendo</w:t>
        <w:br/>
        <w:t xml:space="preserve">      el pago de indemnización y la adopción de  medidas  de  rehabilitación</w:t>
        <w:br/>
        <w:t xml:space="preserve">      del buen nombre de la víctima, y que se investigue el crimen  cometido</w:t>
        <w:br/>
        <w:t xml:space="preserve">      y se provea el castigo de quienes sean encontrados culpables [.  .  .]</w:t>
        <w:br/>
        <w:t xml:space="preserve">      [q]ue  ordene  que  Suriname  pague  las  costas  incurridas   en   la</w:t>
        <w:br/>
        <w:t xml:space="preserve">      tramitación del presente caso, incluyendo  los  honorarios  razonables</w:t>
        <w:br/>
        <w:t xml:space="preserve">      del abogado de la víctima.</w:t>
        <w:br/>
        <w:br/>
        <w:t>19.   El Gobierno presentó su contra-memoria y prueba sobre el  caso  el  28</w:t>
        <w:br/>
        <w:t>de junio de 1991.  En dicho escrito pidió a la Corte que manifestara que:</w:t>
        <w:br/>
        <w:br/>
        <w:t xml:space="preserve">            a) No se puede tener como responsable a Suriname de la muerte de</w:t>
        <w:br/>
        <w:t xml:space="preserve">      Asok Gangaram Panday.</w:t>
        <w:br/>
        <w:br/>
        <w:br/>
        <w:t xml:space="preserve">            b) Que por no haberse demostrado  la  gestión  de  la  violación</w:t>
        <w:br/>
        <w:t xml:space="preserve">      imputada a Suriname, no se  le  obligue  a  pago  de  ningún  tipo  de</w:t>
        <w:br/>
        <w:t xml:space="preserve">      indemnización.</w:t>
        <w:br/>
        <w:br/>
        <w:br/>
        <w:t xml:space="preserve">            c) Que se le permita a Suriname reservarse el derecho de aportar</w:t>
        <w:br/>
        <w:t xml:space="preserve">      más evidencia en respaldo de su posición si la Corte así lo determina.</w:t>
        <w:br/>
        <w:br/>
        <w:br/>
        <w:t xml:space="preserve">            d) Que se condene al demandante al pago de las  costas  de  esta</w:t>
        <w:br/>
        <w:t xml:space="preserve">      contención.</w:t>
        <w:br/>
        <w:br/>
        <w:t>20.   En esa misma fecha el agente  interpuso  excepciones  preliminares  al</w:t>
        <w:br/>
        <w:t>amparo  de  lo  dispuesto  en  el  artículo  27  del  Reglamento.   Mediante</w:t>
        <w:br/>
        <w:t>sentencia de 4 de diciembre de 1991, la Corte resolvió  por  unanimidad  las</w:t>
        <w:br/>
        <w:t>excepciones preliminares de la siguiente manera:</w:t>
        <w:br/>
        <w:br/>
        <w:t xml:space="preserve">      1.    Desestima las excepciones preliminares opuestas por el  Gobierno</w:t>
        <w:br/>
        <w:t xml:space="preserve">      de Suriname.</w:t>
        <w:br/>
        <w:br/>
        <w:br/>
        <w:t xml:space="preserve">      [. . .]</w:t>
        <w:br/>
        <w:br/>
        <w:br/>
        <w:t xml:space="preserve">      2.    Continúa con el conocimiento del presente caso.</w:t>
        <w:br/>
        <w:br/>
        <w:br/>
        <w:t xml:space="preserve">      [. . .]</w:t>
        <w:br/>
        <w:br/>
        <w:br/>
        <w:t xml:space="preserve">      3.    Reserva el pronunciamiento sobre costas para  decidirlo  con  la</w:t>
        <w:br/>
        <w:t xml:space="preserve">      cuestión de fondo  (Caso Gangaram  Panday,  Excepciones  Preliminares,</w:t>
        <w:br/>
        <w:t xml:space="preserve">      Sentencia  de  4  de  diciembre  de  1991.   Serie  C  Nº  12.   Parte</w:t>
        <w:br/>
        <w:t xml:space="preserve">      resolutiva).</w:t>
        <w:br/>
        <w:br/>
        <w:t>21.   El Presidente, por resolución de 3 de agosto de 1991 y con  el  objeto</w:t>
        <w:br/>
        <w:t>de ordenar el procedimiento sobre el fondo, otorgó a  las  partes  un  plazo</w:t>
        <w:br/>
        <w:t>hasta el 11 de setiembre de 1991, para que ofrecieran  y  presentaran  a  la</w:t>
        <w:br/>
        <w:t>Corte pruebas adicionales y el 15 de octubre de  1991  para  que  formularan</w:t>
        <w:br/>
        <w:t>sus observaciones sobre las pruebas presentadas.  La Comisión y el  Gobierno</w:t>
        <w:br/>
        <w:t>presentaron el 11 de setiembre de 1991 sus escritos correspondientes.</w:t>
        <w:br/>
        <w:br/>
        <w:t>22.   El 15 de octubre  de  1991  el  Gobierno  hizo  sus  observaciones  al</w:t>
        <w:br/>
        <w:t>escrito de la Comisión.  Asimismo, ésta remitió el 18  de  octubre  de  1991</w:t>
        <w:br/>
        <w:t>sus observaciones al del Gobierno.</w:t>
        <w:br/>
        <w:br/>
        <w:t>23.   Por resolución del Presidente  de  fecha  18  de  enero  de  1992,  se</w:t>
        <w:br/>
        <w:t>convocó a las partes a las audiencias públicas que se celebrarían  a  partir</w:t>
        <w:br/>
        <w:t>del 24 de junio de 1992 para escuchar los alegatos de las  partes  sobre  la</w:t>
        <w:br/>
        <w:t>recusación hecha por el Gobierno, mediante escritos de 11 de setiembre y  de</w:t>
        <w:br/>
        <w:t>15 de octubre de 1991, de los testigos Richard J. Baltaro y Stanley  Rensch,</w:t>
        <w:br/>
        <w:t>respectivamente y resolver lo pertinente; recibir sus declaraciones en  caso</w:t>
        <w:br/>
        <w:t>de que la Corte lo considerara pertinente, así  como  las  de  Ramón  A.  de</w:t>
        <w:br/>
        <w:t>Freitas, M. A. Vrede y Juan Gerardo Ugalde Lobo y escuchar los  alegatos  de</w:t>
        <w:br/>
        <w:t>las partes sobre el fondo del presente asunto.</w:t>
        <w:br/>
        <w:br/>
        <w:t>24.   La Comisión, por escrito de 31 de enero de 1992 solicitó  a  la  Corte</w:t>
        <w:br/>
        <w:t>que se incluyeran dentro de la lista de los testigos a  los  señores  Leo  y</w:t>
        <w:br/>
        <w:t>Dropati Gangaram Panday, hermano y viuda respectivamente  de  Asok  Gangaram</w:t>
        <w:br/>
        <w:t>Panday,  quienes  no  habían  podido  ser  ubicados  con  anterioridad   por</w:t>
        <w:br/>
        <w:t>imposibilidad de dar con sus paraderos.  El Gobierno, por escrito de  14  de</w:t>
        <w:br/>
        <w:t>febrero de 1992, expresó su disconformidad con dicha solicitud  y  pidió  la</w:t>
        <w:br/>
        <w:t>denegatoria de la misma.</w:t>
        <w:br/>
        <w:br/>
        <w:t>25.   El 7 de febrero de 1992, la Comisión solicitó a la Corte posponer  las</w:t>
        <w:br/>
        <w:t>audiencias sobre el fondo del asunto.  El Gobierno, mediante escrito  de  14</w:t>
        <w:br/>
        <w:t>de febrero de 1992, estuvo anuente a que las audiencias se pospusieran.</w:t>
        <w:br/>
        <w:br/>
        <w:t>26.   El Presidente, por resolución de 24 de  marzo  de  1992,  modificó  su</w:t>
        <w:br/>
        <w:t>resolución de 18 de enero de 1992 en los siguientes términos:</w:t>
        <w:br/>
        <w:br/>
        <w:t xml:space="preserve">      1.     Convocar  a  las  partes  a  las  audiencias  públicas  que  se</w:t>
        <w:br/>
        <w:t xml:space="preserve">      celebrarán en la sede de la Corte a partir de las 10:00 horas del  día</w:t>
        <w:br/>
        <w:t xml:space="preserve">      8 de julio de 1992 para:</w:t>
        <w:br/>
        <w:br/>
        <w:br/>
        <w:t xml:space="preserve">            a.   Escuchar los alegatos  del  Gobierno  de  la  República  de</w:t>
        <w:br/>
        <w:t xml:space="preserve">      Suriname y las observaciones de la Comisión Interamericana de Derechos</w:t>
        <w:br/>
        <w:t xml:space="preserve">      Humanos sobre la recusación de testigos en este  caso  y  resolver  lo</w:t>
        <w:br/>
        <w:t xml:space="preserve">      pertinente.</w:t>
        <w:br/>
        <w:br/>
        <w:br/>
        <w:t xml:space="preserve">            b.    Recibir,  si  procede  las  declaraciones  de  Richard  J.</w:t>
        <w:br/>
        <w:t xml:space="preserve">      Baltaro, Stanley Rensch, Ramón  A.  de  Freitas,  M.  A.  Vrede,  Juan</w:t>
        <w:br/>
        <w:t xml:space="preserve">      Gerardo Ugalde Lobo, Leo Gangaram Panday y  Dropati  Gangaram  Panday,</w:t>
        <w:br/>
        <w:t xml:space="preserve">      todos ellos en los términos del  artículo  35  del  Reglamento  de  la</w:t>
        <w:br/>
        <w:t xml:space="preserve">      Corte, de acuerdo con el cual los testigos deben ser  presentados  por</w:t>
        <w:br/>
        <w:t xml:space="preserve">      la parte que ofrece su declaración.</w:t>
        <w:br/>
        <w:br/>
        <w:br/>
        <w:t xml:space="preserve">            c.   Escuchar los alegatos de las  partes  sobre  el  fondo  del</w:t>
        <w:br/>
        <w:t xml:space="preserve">      presente asunto.</w:t>
        <w:br/>
        <w:br/>
        <w:t>27.   Mediante resolución de 7 de julio  de  1992,  la  Corte  resolvió  por</w:t>
        <w:br/>
        <w:t>unanimidad “[q]ue el conocimiento de este caso lo continúe la Corte  con  la</w:t>
        <w:br/>
        <w:t>[nueva] composición posterior al 1 de enero de 1992”.</w:t>
        <w:br/>
        <w:br/>
        <w:t>28.   Habiendo renunciado el Gobierno a las tachas  que  había  interpuesto,</w:t>
        <w:br/>
        <w:t>los días 8 y 9 de julio de  1992  se  celebraron  audiencias  públicas  para</w:t>
        <w:br/>
        <w:t>recibir los testimonios de los testigos y peritos ofrecidos por  las  partes</w:t>
        <w:br/>
        <w:t>y para escuchar los alegatos sobre el fondo.</w:t>
        <w:br/>
        <w:t>Comparecieron ante la Corte:</w:t>
        <w:br/>
        <w:br/>
        <w:t>a.    por el Gobierno de Suriname</w:t>
        <w:br/>
        <w:br/>
        <w:t xml:space="preserve">      Carlos Vargas Pizarro, agente</w:t>
        <w:br/>
        <w:br/>
        <w:t xml:space="preserve">      Fred M. Reid,  representante del Ministerio de Relaciones</w:t>
        <w:br/>
        <w:t xml:space="preserve">      Exteriores de Suriname</w:t>
        <w:br/>
        <w:br/>
        <w:t xml:space="preserve">      Jorge Ross Araya, abogado asesor</w:t>
        <w:br/>
        <w:br/>
        <w:t xml:space="preserve">      Joaquín Tacsan Chen, abogado asesor</w:t>
        <w:br/>
        <w:br/>
        <w:t>b.    por la Comisión Interamericana de Derechos Humanos</w:t>
        <w:br/>
        <w:br/>
        <w:t xml:space="preserve">      Oliver H. Jackman, delegado</w:t>
        <w:br/>
        <w:br/>
        <w:t xml:space="preserve">      David J. Padilla, delegado</w:t>
        <w:br/>
        <w:br/>
        <w:t xml:space="preserve">      Claudio Grossman, asesor</w:t>
        <w:br/>
        <w:br/>
        <w:t>c.    testigos presentados por la Comisión</w:t>
        <w:br/>
        <w:br/>
        <w:t xml:space="preserve">      Leo Gangaram Panday</w:t>
        <w:br/>
        <w:br/>
        <w:t xml:space="preserve">      Dropati Gangaram Panday</w:t>
        <w:br/>
        <w:br/>
        <w:t xml:space="preserve">      Stanley Rensch, Director del Human Rights Bureau,</w:t>
        <w:br/>
        <w:t xml:space="preserve">      Moiwana 86</w:t>
        <w:br/>
        <w:br/>
        <w:t>d.    testigos presentados por el Gobierno</w:t>
        <w:br/>
        <w:br/>
        <w:t xml:space="preserve">      Ramón A. de Freitas, representante de la Procuraduría de</w:t>
        <w:br/>
        <w:t xml:space="preserve">      la República de Suriname</w:t>
        <w:br/>
        <w:br/>
        <w:t xml:space="preserve">      M. A. Vrede, anatomopatólogo y experto.</w:t>
        <w:br/>
        <w:br/>
        <w:t>El Gobierno declinó presentar al experto doctor Juan Gerardo Ugalde Lobo;  y</w:t>
        <w:br/>
        <w:t>el  doctor  Richard  J.  Baltaro,  perito  ofrecido  por  la  Comisión,   no</w:t>
        <w:br/>
        <w:t>compareció a estas audiencias.</w:t>
        <w:br/>
        <w:br/>
        <w:t>29.   Durante la audiencia, la Corte solicitó al  Gobierno  la  presentación</w:t>
        <w:br/>
        <w:t>de las estadísticas de suicidios entre la población  de  religión  hindú  en</w:t>
        <w:br/>
        <w:t>Suriname y el porcentaje correspondiente a hombres y mujeres.  Dicha  prueba</w:t>
        <w:br/>
        <w:t>no fue aportada por el Gobierno.</w:t>
        <w:br/>
        <w:br/>
        <w:t>30.   Después de haber escuchado a  los  testigos  y  peritos  y  oídos  los</w:t>
        <w:br/>
        <w:t>alegatos de las partes sobre el fondo, el Presidente, por resolución  de  10</w:t>
        <w:br/>
        <w:t>de julio de 1992, ordenó las siguientes pruebas adicionales con  el  fin  de</w:t>
        <w:br/>
        <w:t>esclarecer los hechos:</w:t>
        <w:br/>
        <w:br/>
        <w:t xml:space="preserve">      1.    Solicitar opiniones técnicas sobre  los  aspectos  criminales  y</w:t>
        <w:br/>
        <w:t xml:space="preserve">      psiquiátricos del caso y las traducciones, las  que  serán  requeridas</w:t>
        <w:br/>
        <w:t xml:space="preserve">      por el Juez Asdrúbal  Aguiar-Aranguren  a  personal  especializado  en</w:t>
        <w:br/>
        <w:t xml:space="preserve">      Venezuela.</w:t>
        <w:br/>
        <w:br/>
        <w:br/>
        <w:t xml:space="preserve">      2.    Solicitar opinión interpretativa, a través de la  Secretaría  de</w:t>
        <w:br/>
        <w:t xml:space="preserve">      la Corte,  a  la  Sección  de  Medicatura  Forense  del  Organismo  de</w:t>
        <w:br/>
        <w:t xml:space="preserve">      Investigación Judicial de Costa Rica acerca de  los  informes  médicos</w:t>
        <w:br/>
        <w:t xml:space="preserve">      que cursan en autos, incluida la cinta de video y las diapositivas.</w:t>
        <w:br/>
        <w:br/>
        <w:t>31.   Por escrito recibido en la Secretaría el 4 de noviembre de 1992  y  de</w:t>
        <w:br/>
        <w:t>conformidad con el artículo 41.2 del nuevo Reglamento de la Corte vigente  a</w:t>
        <w:br/>
        <w:t>partir del 1 de agosto de 1991, la Comisión solicitó que se le reservara  el</w:t>
        <w:br/>
        <w:t>derecho de examinar en audiencia  cualquier  experto  o  testimonio  que  la</w:t>
        <w:br/>
        <w:t>Corte  pudiera  proveer  de  conformidad  con  la  prueba  ordenada  por  el</w:t>
        <w:br/>
        <w:t>Presidente en el párrafo anterior.  Por resolución del Presidente de  15  de</w:t>
        <w:br/>
        <w:t>marzo de 1993, oído el parecer de la Comisión Permanente,  se  desestimó  el</w:t>
        <w:br/>
        <w:t>petitorio de la Comisión dado que las experticias ordenadas por la Corte  lo</w:t>
        <w:br/>
        <w:t>fueron para mejor proveer y acerca de hechos ya debatidos  y  conocidos  por</w:t>
        <w:br/>
        <w:t>las partes.  También pidió la Comisión se le brindara a los  peritos  de  la</w:t>
        <w:br/>
        <w:t>Corte el testimonio  oral  del  doctor  M.  A.  Vrede,  rendido  durante  la</w:t>
        <w:br/>
        <w:t>audiencia pública, sobre  la  presencia  de  sangre  en  el  escroto  de  la</w:t>
        <w:br/>
        <w:t>víctima, ante lo cual el Presidente ordenó lo conducente.</w:t>
        <w:br/>
        <w:br/>
        <w:t>32.   El 25 de noviembre de 1992  la  Secretaría  de  la  Corte  Suprema  de</w:t>
        <w:br/>
        <w:t>Justicia de Costa Rica remitió un informe  médico  forense  con  la  opinión</w:t>
        <w:br/>
        <w:t>interpretativa de su Departamento de Medicina Legal, emitido de acuerdo  con</w:t>
        <w:br/>
        <w:t>la solicitud a que se refiere el párrafo 30 supra.</w:t>
        <w:br/>
        <w:br/>
        <w:t>33.   El 4 de febrero de 1993, la Corte resolvió comunicar a las  partes  el</w:t>
        <w:br/>
        <w:t>texto de las actuaciones ya evacuadas, otorgándoles  un  plazo  de  30  días</w:t>
        <w:br/>
        <w:t>para que formularan observaciones.  El  1  de  marzo  de  1993  la  Comisión</w:t>
        <w:br/>
        <w:t>presentó sus observaciones.  El Gobierno no lo hizo.</w:t>
        <w:br/>
        <w:br/>
        <w:t>También solicitó la Corte al Gobierno el  envío  de  los  textos  oficiales,</w:t>
        <w:br/>
        <w:t>debidamente traducidos al castellano, de la Constitución de  Suriname  y  de</w:t>
        <w:br/>
        <w:t>las leyes sustantivas y sobre procedimiento criminal  que  regían  para  los</w:t>
        <w:br/>
        <w:t>casos de detenciones el 7 de noviembre de 1988, dándole un  plazo  hasta  el</w:t>
        <w:br/>
        <w:t>19 de marzo de 1993 para su  presentación.   El  Gobierno  no  aportó  dicha</w:t>
        <w:br/>
        <w:t>documentación.</w:t>
        <w:br/>
        <w:br/>
        <w:t>34.   Por nota de 9 de febrero de 1993, se envió al  Jefe  del  Departamento</w:t>
        <w:br/>
        <w:t>de Medicina Legal  de  la  Corte  Suprema  de  Justicia  de  Costa  Rica  la</w:t>
        <w:br/>
        <w:t>trascripción de las partes pertinentes de  la  audiencia  pública  sobre  el</w:t>
        <w:br/>
        <w:t>fondo, con el fin de que determinara si las afirmaciones en ella  contenidas</w:t>
        <w:br/>
        <w:t>afectaban, y en su caso en qué forma, las conclusiones  de  su  dictamen  de</w:t>
        <w:br/>
        <w:t>noviembre de 1992 (supra 32).  El  22  de febrero de 1993 el  jefe  de   ese</w:t>
        <w:br/>
        <w:t>departamento consignó la documentación, la cual fue puesta  en  conocimiento</w:t>
        <w:br/>
        <w:t>de las  partes  para  que  presentaran  sus  observaciones.   Únicamente  la</w:t>
        <w:br/>
        <w:t>Comisión presentó observaciones.</w:t>
        <w:br/>
        <w:br/>
        <w:t>35.   La Corte recibió el 30 de noviembre de 1993 el dictamen  médico  legal</w:t>
        <w:br/>
        <w:t>practicado por la División de Medicina Legal del Cuerpo Técnico  de  Policía</w:t>
        <w:br/>
        <w:t>Judicial de Venezuela.</w:t>
        <w:br/>
        <w:br/>
        <w:t>36.   El 9 de diciembre de 1993, la Corte envió a  la  División  Médica  que</w:t>
        <w:br/>
        <w:t>practicó la experticia médico legal en Venezuela, las partes pertinentes  de</w:t>
        <w:br/>
        <w:t>la audiencia pública sobre el testimonio del doctor M. A.  Vrede,  para  que</w:t>
        <w:br/>
        <w:t>determinara si las afirmaciones en ella contenidas afectaban, y en  su  caso</w:t>
        <w:br/>
        <w:t>en qué forma, las conclusiones iniciales.  El  dictamen  complementario  fue</w:t>
        <w:br/>
        <w:t>remitido a esta Corte con oficio del 5 de enero  de  1994  por  el  Director</w:t>
        <w:br/>
        <w:t>General   del   Cuerpo   Técnico   de   Policía   Judicial   de   Venezuela.</w:t>
        <w:br/>
        <w:t>Oportunamente, se dio traslado a las partes de su contenido.</w:t>
        <w:br/>
        <w:br/>
        <w:t>37.   Las siguientes organizaciones  hicieron  llegar  escritos  como  amici</w:t>
        <w:br/>
        <w:t>curiae: International  Human  Rights  Law  Institute  of  DePaul  University</w:t>
        <w:br/>
        <w:t>College of Law, Netherlands Institute of Human Rigths (SIM) e  International</w:t>
        <w:br/>
        <w:t>Human Rights Law Group.</w:t>
        <w:br/>
        <w:br/>
        <w:br/>
        <w:t xml:space="preserve">                                     III</w:t>
        <w:br/>
        <w:br/>
        <w:t>38.   La Corte es competente para conocer del presente  caso.   Suriname  es</w:t>
        <w:br/>
        <w:t>Estado Parte en la Convención desde el 12 de noviembre de 1987 y  aceptó  en</w:t>
        <w:br/>
        <w:t>esa misma fecha la competencia contenciosa de la Corte a que se  refiere  el</w:t>
        <w:br/>
        <w:t>artículo 62 de la Convención.</w:t>
        <w:br/>
        <w:br/>
        <w:br/>
        <w:t xml:space="preserve">                                     IV</w:t>
        <w:br/>
        <w:br/>
        <w:br/>
        <w:t>39.   Afirmó la Comisión durante el proceso, lo siguiente:</w:t>
        <w:br/>
        <w:br/>
        <w:t xml:space="preserve">      [. . .] La Corte tiene poderes  por  su  calidad  jurisdiccional  para</w:t>
        <w:br/>
        <w:t xml:space="preserve">      formarse su propia apreciación sobre la legalidad del procedimiento  y</w:t>
        <w:br/>
        <w:t xml:space="preserve">      la verificación y alcance de los hechos efectuada por la Comisión (ver</w:t>
        <w:br/>
        <w:t xml:space="preserve">      Artículo 62.3).  En  los  casos  en  que  la  Corte  concluya  que  el</w:t>
        <w:br/>
        <w:t xml:space="preserve">      procedimiento ante la Comisión violó la Convención y/o los  hechos  no</w:t>
        <w:br/>
        <w:t xml:space="preserve">      fueron válidamente establecidos, puede sin duda ordenar  la  rendición</w:t>
        <w:br/>
        <w:t xml:space="preserve">      de prueba pertinente.</w:t>
        <w:br/>
        <w:br/>
        <w:br/>
        <w:t xml:space="preserve">            La Comisión respetuosamente sostiene  ante  la  Corte,  que  los</w:t>
        <w:br/>
        <w:t xml:space="preserve">      hechos en el presente caso fueron válidamente comprobados y  que,  por</w:t>
        <w:br/>
        <w:t xml:space="preserve">      tanto, la apertura de un probatorio no es apropiada.</w:t>
        <w:br/>
        <w:br/>
        <w:br/>
        <w:t>En su apoyo, la Comisión cita la  jurisprudencia  de  la  Corte  Europea  de</w:t>
        <w:br/>
        <w:t>Derechos Humanos en el caso Stocké v. Germany, de la siguiente manera:</w:t>
        <w:br/>
        <w:br/>
        <w:t xml:space="preserve">             La  Corte  recuerda  que  bajo  el  sistema  de  la  Convención</w:t>
        <w:br/>
        <w:t xml:space="preserve">      [Europea],  el  establecimiento  y  verificación  de  los  hechos   es</w:t>
        <w:br/>
        <w:t xml:space="preserve">      fundamentalmente un asunto de la Comisión [Europea] (véanse  artículos</w:t>
        <w:br/>
        <w:t xml:space="preserve">      28 § 1 y 31).  Por lo  tanto,  sólo  en  circunstancias  excepcionales</w:t>
        <w:br/>
        <w:t xml:space="preserve">      empleará la Corte sus facultades  en  este  campo  (Eur.  Court  H.R.,</w:t>
        <w:br/>
        <w:t xml:space="preserve">      Stocké judgment  of 19 March 1991, Series A no. 199, párr. 53).</w:t>
        <w:br/>
        <w:br/>
        <w:t>Al hacer la presentación de su prueba, la Comisión dijo:</w:t>
        <w:br/>
        <w:br/>
        <w:t xml:space="preserve">            Sin perjuicio de la petición de  la  Comisión  presentada  a  la</w:t>
        <w:br/>
        <w:t xml:space="preserve">      Ilustre Corte para que ésta concluya que los hechos fueron comprobados</w:t>
        <w:br/>
        <w:t xml:space="preserve">      en el procedimiento ante la Comisión, se  procede  a  ofrecer  pruebas</w:t>
        <w:br/>
        <w:t xml:space="preserve">      para el caso improbable que la Corte decida que existen circunstancias</w:t>
        <w:br/>
        <w:t xml:space="preserve">      excepcionales que requieren que actúe como ‘juez de los hechos’.</w:t>
        <w:br/>
        <w:br/>
        <w:t>40.   Por su parte, el agente de Suriname, señaló:</w:t>
        <w:br/>
        <w:br/>
        <w:t xml:space="preserve">      [. . .]</w:t>
        <w:br/>
        <w:br/>
        <w:br/>
        <w:t xml:space="preserve">      [E]s evidente que la Corte en aplicación de las  normas  relativas  al</w:t>
        <w:br/>
        <w:t xml:space="preserve">      marco de su competencia, estipuladas en los artículos 62(3) y 63 de la</w:t>
        <w:br/>
        <w:t xml:space="preserve">      Convención está facultada  para  considerar,  revisar  y  revaluar  la</w:t>
        <w:br/>
        <w:t xml:space="preserve">      totalidad de los hechos involucrados en el caso, independientemente de</w:t>
        <w:br/>
        <w:t xml:space="preserve">      si la Comisión los ha tenido por establecidos previamente.</w:t>
        <w:br/>
        <w:br/>
        <w:t>41.   Observa la Corte que ella y la Comisión ejercen funciones  diferentes,</w:t>
        <w:br/>
        <w:t>si  bien  complementarias,  cuando  conocen  de  los  asuntos  atinentes  al</w:t>
        <w:br/>
        <w:t>cumplimiento de la Convención  por  los  Estados  Partes.   Respecto  de  su</w:t>
        <w:br/>
        <w:t>función la Corte considera aplicable a este caso lo que ya  ha  señalado  en</w:t>
        <w:br/>
        <w:t>su jurisprudencia al establecer que</w:t>
        <w:br/>
        <w:br/>
        <w:br/>
        <w:t xml:space="preserve">      [ella] ejerce  una  jurisdicción  plena  sobre  todas  las  cuestiones</w:t>
        <w:br/>
        <w:t xml:space="preserve">      relativas a un caso [. . .] [y] [e]n el ejercicio de esas atribuciones</w:t>
        <w:br/>
        <w:t xml:space="preserve">      la Corte no está vinculada con lo que  previamente  haya  decidido  la</w:t>
        <w:br/>
        <w:t xml:space="preserve">      Comisión, sino que está  habilitada  para  sentenciar  libremente,  de</w:t>
        <w:br/>
        <w:t xml:space="preserve">      acuerdo con su propia apreciación [. . .] [L]a  Corte  no  actúa,  con</w:t>
        <w:br/>
        <w:t xml:space="preserve">      respecto a la Comisión, en un procedimiento de revisión, de  apelación</w:t>
        <w:br/>
        <w:t xml:space="preserve">      u otro semejante.  Su jurisdicción plena para considerar y revisar  in</w:t>
        <w:br/>
        <w:t xml:space="preserve">      toto lo precedentemente actuado y decidido por la Comisión, resulta de</w:t>
        <w:br/>
        <w:t xml:space="preserve">      su carácter  de  único  órgano  jurisdiccional  de  la  materia  (Caso</w:t>
        <w:br/>
        <w:t xml:space="preserve">      Velásquez Rodríguez, Excepciones  Preliminares,  Sentencia  de  26  de</w:t>
        <w:br/>
        <w:t xml:space="preserve">      junio de 1987.  Serie C No. 1, párr. 29; Caso  Fairén  Garbi  y  Solís</w:t>
        <w:br/>
        <w:t xml:space="preserve">      Corrales, Excepciones Preliminares, Sentencia de 26 de junio de  1987,</w:t>
        <w:br/>
        <w:t xml:space="preserve">      Serie C Nº 2, párr. 34 y Caso Godínez Cruz, Excepciones  Preliminares,</w:t>
        <w:br/>
        <w:t xml:space="preserve">      Sentencia de 26 de junio de 1987,  Serie C Nº 3, párr. 32).</w:t>
        <w:br/>
        <w:br/>
        <w:br/>
        <w:t xml:space="preserve">                                      V</w:t>
        <w:br/>
        <w:br/>
        <w:t>42.   Para decidir el fondo de  esta  causa,  la  Corte  considera  que  los</w:t>
        <w:br/>
        <w:t>hechos  acerca  de  los  cuales  quedó  trabada  la  presente  controversia,</w:t>
        <w:br/>
        <w:t>referida  a  “la  detención  y  posterior   muerte   de    Choeramoenipersad</w:t>
        <w:br/>
        <w:t>(también conocido como  Asok)  Gangaram  Panday”  en  Suriname,  y  que,  en</w:t>
        <w:br/>
        <w:t>consecuencia, ameritan de su consideración y posterior pronunciamiento,  son</w:t>
        <w:br/>
        <w:t>los siguientes:</w:t>
        <w:br/>
        <w:br/>
        <w:t xml:space="preserve">      a.    La detención presuntamente ilegal y arbitraria  de  la  víctima,</w:t>
        <w:br/>
        <w:t xml:space="preserve">      por  parte  de  la  Policía  Militar  de  Suriname,  cuando  llegó  al</w:t>
        <w:br/>
        <w:t xml:space="preserve">      Aeropuerto de Zanderij el sábado 5 de noviembre de  1988,  proveniente</w:t>
        <w:br/>
        <w:t xml:space="preserve">      de Holanda, habiendo sido supuestamente recluida e incomunicada en  un</w:t>
        <w:br/>
        <w:t xml:space="preserve">      recinto especial destinado a personas expulsadas.</w:t>
        <w:br/>
        <w:br/>
        <w:br/>
        <w:t xml:space="preserve">      b.    El presunto sometimiento de la víctima  a  torturas  durante  su</w:t>
        <w:br/>
        <w:t xml:space="preserve">      detención.</w:t>
        <w:br/>
        <w:br/>
        <w:br/>
        <w:t xml:space="preserve">      c.    El fallecimiento  de  la  víctima,  por  presunto  ahorcamiento,</w:t>
        <w:br/>
        <w:t xml:space="preserve">      encontrándose  detenida  y  bajo  custodia  de  la   Policía   Militar</w:t>
        <w:br/>
        <w:t xml:space="preserve">      surinamesa.</w:t>
        <w:br/>
        <w:br/>
        <w:br/>
        <w:br/>
        <w:br/>
        <w:br/>
        <w:br/>
        <w:t xml:space="preserve">                                     VI</w:t>
        <w:br/>
        <w:br/>
        <w:t>43.   En cuanto a la detención de Asok Gangaram Panday, según  se  desprende</w:t>
        <w:br/>
        <w:t>de los diversos elementos probatorios  no  controvertidos  por  las  partes,</w:t>
        <w:br/>
        <w:t>esta Corte considera demostrado lo siguiente:</w:t>
        <w:br/>
        <w:br/>
        <w:t xml:space="preserve">      a.    Que la víctima llegó al Aeropuerto  de  Zanderij,  en  Suriname,</w:t>
        <w:br/>
        <w:t xml:space="preserve">      procedente de Holanda, el sábado 5 de noviembre  de  1988  (cfr.  nota</w:t>
        <w:br/>
        <w:t xml:space="preserve">      verbal de la Misión Permanente de la República  de  Suriname  ante  la</w:t>
        <w:br/>
        <w:t xml:space="preserve">      Organización de los Estados Americanos, emitida en Washington D.C., el</w:t>
        <w:br/>
        <w:t xml:space="preserve">      2  de  mayo  de  1989;  denuncia  escrita  de  Leo  Gangaram   Panday;</w:t>
        <w:br/>
        <w:t xml:space="preserve">      testimonios en la audiencia pública de los señores Leo Gangaram Panday</w:t>
        <w:br/>
        <w:t xml:space="preserve">      y Dropati Gangaram Panday; tiquete aéreo de la víctima; nota  y  sello</w:t>
        <w:br/>
        <w:t xml:space="preserve">      en el pasaporte de la víctima, estampado por la autoridad del Reino de</w:t>
        <w:br/>
        <w:t xml:space="preserve">      los Países  Bajos;  informe  del  Cuerpo  de  la  Policía  Militar  de</w:t>
        <w:br/>
        <w:t xml:space="preserve">      Suriname, suscrito por Achong J. G., Alférez de la Policía Militar  el</w:t>
        <w:br/>
        <w:t xml:space="preserve">      17 de noviembre de 1988).</w:t>
        <w:br/>
        <w:br/>
        <w:br/>
        <w:t xml:space="preserve">      b.    Que la víctima, a su llegada al  aeropuerto,  fue  detenida  por</w:t>
        <w:br/>
        <w:t xml:space="preserve">      miembros de la Policía Militar, bajo el alegato de que ameritaban  ser</w:t>
        <w:br/>
        <w:t xml:space="preserve">      investigadas las  razones  de  su  expulsión  desde  Holanda;  y  que,</w:t>
        <w:br/>
        <w:t xml:space="preserve">      seguidamente, fue depositada en una celda dentro de un  albergue  para</w:t>
        <w:br/>
        <w:t xml:space="preserve">      deportados, situado en la Brigada Militar en Zanderij  (cfr.  denuncia</w:t>
        <w:br/>
        <w:t xml:space="preserve">      de Leo Gangaram Panday; dicho del agente del Gobierno  en  su  contra-</w:t>
        <w:br/>
        <w:t xml:space="preserve">      memoria; informe del Cuerpo de Policía Militar  de  Suriname  suscrito</w:t>
        <w:br/>
        <w:t xml:space="preserve">      por Achong J. G., Alférez del Cuerpo de la  Policía  Militar;  proceso</w:t>
        <w:br/>
        <w:t xml:space="preserve">      verbal instruido por R. S. Wolfram, Inspector de Policía, del Servicio</w:t>
        <w:br/>
        <w:t xml:space="preserve">      Técnico de Pesquisas y Reconocimiento de Paramaribo, suscrito  el  día</w:t>
        <w:br/>
        <w:t xml:space="preserve">      15 de noviembre de 1988).</w:t>
        <w:br/>
        <w:br/>
        <w:br/>
        <w:t xml:space="preserve">      c.    Que la víctima permaneció recluída, sin haber sido puesta a  las</w:t>
        <w:br/>
        <w:t xml:space="preserve">      órdenes de  un  tribunal,   desde  la  noche  del  día  sábado  5   de</w:t>
        <w:br/>
        <w:t xml:space="preserve">      noviembre  hasta  la madrugada del martes  8  de  noviembre  de  1988,</w:t>
        <w:br/>
        <w:t xml:space="preserve">      cuando se encontró su cuerpo sin vida (cfr. denuncia de  Leo  Gangaram</w:t>
        <w:br/>
        <w:t xml:space="preserve">      Panday; queja presentada ante el Procurador General  de  la  Corte  de</w:t>
        <w:br/>
        <w:t xml:space="preserve">      Justicia, por Dropatie Sewcharan, viuda de  la  víctima,  suscrita  en</w:t>
        <w:br/>
        <w:t xml:space="preserve">      Suriname el 11 de noviembre de 1988; dicho del agente del Gobierno  en</w:t>
        <w:br/>
        <w:t xml:space="preserve">      su contra-memoria;  informe  del  Cuerpo  de  la  Policía  Militar  de</w:t>
        <w:br/>
        <w:t xml:space="preserve">      Suriname suscrito por Achong J. G., Alférez del Cuerpo de  la  Policía</w:t>
        <w:br/>
        <w:t xml:space="preserve">      Militar).</w:t>
        <w:br/>
        <w:br/>
        <w:t>44.   Observa la Corte, de  manera  preliminar,  que  no  existen  en  autos</w:t>
        <w:br/>
        <w:t>evidencias  suficientes  que   permitan   dar   por   ciertas   determinadas</w:t>
        <w:br/>
        <w:t>afirmaciones contenidas en la memoria de la  Comisión  y  al  tenor  de  las</w:t>
        <w:br/>
        <w:t>cuales, a la víctima y a la familia de la víctima se los mantuvo  ignorantes</w:t>
        <w:br/>
        <w:t>de las razones de la detención, en abierta  violación  a  la  previsión  del</w:t>
        <w:br/>
        <w:t>artículo 7.4 de la Convención.  Antes bien,  consta  en  los  autos  que  la</w:t>
        <w:br/>
        <w:t>propia víctima, una vez detenida en el aeropuerto, dijo  a  sus  familiares:</w:t>
        <w:br/>
        <w:t>“tengo problemas”; que su hermano  Leo  Gangaram  Panday,  en  las  primeras</w:t>
        <w:br/>
        <w:t>horas del día siguiente a la detención de referencia, fue informado  por  la</w:t>
        <w:br/>
        <w:t>Policía Militar de que la causa de la misma era la expulsión de  Holanda  de</w:t>
        <w:br/>
        <w:t>Asok Gangaram Panday y además, que éste le había comunicado  al  guarda  del</w:t>
        <w:br/>
        <w:t>albergue   “que  había  sido  expulsado  de  Holanda,  aunque  él  se  había</w:t>
        <w:br/>
        <w:t>reportado con la Policía de Extranjería por su propia voluntad”.</w:t>
        <w:br/>
        <w:br/>
        <w:t>45.   La Corte debe determinar  ahora  si  la  detención  de  Asok  Gangaram</w:t>
        <w:br/>
        <w:t>Panday por miembros  de  la  Policía  Militar  de  Suriname,  configura  los</w:t>
        <w:br/>
        <w:t>supuestos de ilegalidad o de arbitrariedad o una violación  del  derecho  de</w:t>
        <w:br/>
        <w:t>la víctima de haber sido llevada sin demora ante un juez u otro  funcionario</w:t>
        <w:br/>
        <w:t>autorizado por la ley para el ejercicio de funciones judiciales, si  procede</w:t>
        <w:br/>
        <w:t>la  imputación  de  tales  hechos  a  Suriname  y,   en   consecuencia,   la</w:t>
        <w:br/>
        <w:t>declaratoria de su responsabilidad internacional tipificados en el  artículo</w:t>
        <w:br/>
        <w:t xml:space="preserve"> 7.2, 7.3 y 7.5 de la Convención.</w:t>
        <w:br/>
        <w:br/>
        <w:t>46.   Señala el artículo 7 de la Convención lo siguiente:</w:t>
        <w:br/>
        <w:br/>
        <w:t xml:space="preserve">            1. Toda persona tiene derecho a la libertad  y  a  la  seguridad</w:t>
        <w:br/>
        <w:t xml:space="preserve">      personales.</w:t>
        <w:br/>
        <w:br/>
        <w:br/>
        <w:t xml:space="preserve">            2. Nadie puede ser privado de su libertad física, salvo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      3. Nadie  puede  ser  sometido  a  detención  o  encarcelamiento</w:t>
        <w:br/>
        <w:t xml:space="preserve">      arbitrario.</w:t>
        <w:br/>
        <w:br/>
        <w:br/>
        <w:t xml:space="preserve">            [. . .]</w:t>
        <w:br/>
        <w:br/>
        <w:br/>
        <w:t xml:space="preserve">            5. Toda persona  detenida  o  retenida  debe  ser  llevada,  sin</w:t>
        <w:br/>
        <w:t xml:space="preserve">      demora, ante un juez u otro funcionario autorizado  por  la  ley  para</w:t>
        <w:br/>
        <w:t xml:space="preserve">      ejercer funciones judiciales [. . .]</w:t>
        <w:br/>
        <w:br/>
        <w:t>47.   Esta disposición contiene como  garantías  específicas,  descritas  en</w:t>
        <w:br/>
        <w:t>sus incisos 2 y 3, la prohibición  de  detenciones  o  arrestos  ilegales  o</w:t>
        <w:br/>
        <w:t>arbitrarios,  respectivamente.   Según  el  primero   de  tales    supuestos</w:t>
        <w:br/>
        <w:t>normativos,  nadie puede verse privado de la libertad personal sino por  las</w:t>
        <w:br/>
        <w:t>causas, casos o circunstancias expresamente tipificadas en la  ley  (aspecto</w:t>
        <w:br/>
        <w:t>material),  pero,  además,  con  estricta  sujeción  a  los   procedimientos</w:t>
        <w:br/>
        <w:t>objetivamente definidos por  la  misma  (aspecto  formal).   En  el  segundo</w:t>
        <w:br/>
        <w:t>supuesto, se está en presencia de una condición según la  cual  nadie  puede</w:t>
        <w:br/>
        <w:t>ser sometido a detención o encarcelamiento por causas  y  métodos  que  -aún</w:t>
        <w:br/>
        <w:t>calificados de legales- puedan reputarse como incompatibles con  el  respeto</w:t>
        <w:br/>
        <w:t>a los derechos fundamentales del  individuo  por  ser,  entre  otras  cosas,</w:t>
        <w:br/>
        <w:t>irrazonables, imprevisibles, o faltos de proporcionalidad.</w:t>
        <w:br/>
        <w:br/>
        <w:t>48.   En el caso sub judice, le resulta imposible a la Corte  determinar  si</w:t>
        <w:br/>
        <w:t>la detención de Asok Gangaram  Panday,  fue  o  no  por  “causas  y  en  las</w:t>
        <w:br/>
        <w:t>condiciones fijadas de antemano”  por  la  Constitución  Política  de  dicho</w:t>
        <w:br/>
        <w:t>Estado o por leyes dictadas conforme a ella, o si tal Constitución  o  leyes</w:t>
        <w:br/>
        <w:t>eran  compatibles  con  las  ideas  de   razonabilidad,   previsibilidad   y</w:t>
        <w:br/>
        <w:t>proporcionalidad que deben caracterizar a toda detención o  retención  legal</w:t>
        <w:br/>
        <w:t>a fin de que no se les considere  arbitrarias.   No  constan  en  autos,  en</w:t>
        <w:br/>
        <w:t>efecto, elementos de convicción que obren en favor  de  una  u  otra  tesis,</w:t>
        <w:br/>
        <w:t>salvo los señalamientos de las partes, a saber:</w:t>
        <w:br/>
        <w:br/>
        <w:t xml:space="preserve">      a.    La afirmación de la Comisión, en el sentido de  que  “[h]a  sido</w:t>
        <w:br/>
        <w:t xml:space="preserve">      fehacientemente comprobado que su detención fue ilegal, desde que duró</w:t>
        <w:br/>
        <w:t xml:space="preserve">      más de las seis horas que autoriza el derecho de Suriname [. . .]”.</w:t>
        <w:br/>
        <w:br/>
        <w:br/>
        <w:t xml:space="preserve">      b.    La afirmación del  agente  del  Gobierno,  según  la  cual  “las</w:t>
        <w:br/>
        <w:t xml:space="preserve">      autoridades de Suriname, procedieron en aplicación de  lo  establecido</w:t>
        <w:br/>
        <w:t xml:space="preserve">      en los artículos 52 inciso 2) y 48 y 56 del  Código  de  Procedimiento</w:t>
        <w:br/>
        <w:t xml:space="preserve">      Criminal [. . . ]”.</w:t>
        <w:br/>
        <w:br/>
        <w:t>49.   La Corte ha sostenido que “en los procesos sobre  violaciones  de  los</w:t>
        <w:br/>
        <w:t>derechos humanos,  la  defensa  del  Estado  no  puede  descansar  sobre  la</w:t>
        <w:br/>
        <w:t>imposibilidad del demandante de allegar pruebas que,  en  muchos  casos,  no</w:t>
        <w:br/>
        <w:t>pueden obtenerse sin la cooperación del Estado” (Caso  Velásquez  Rodríguez,</w:t>
        <w:br/>
        <w:t>Sentencia de 29 de julio de 1988. Serie C No. 4,  párr.  135;  Caso  Godínez</w:t>
        <w:br/>
        <w:t>Cruz, Sentencia de 20 de enero de 1989.  Serie C  No.  5,  párr.  141).   La</w:t>
        <w:br/>
        <w:t>Corte,  en  ejercicio  de  su  función  jurisdiccional,  tratándose  de   la</w:t>
        <w:br/>
        <w:t>obtención y valoración de las pruebas necesarias para  la  decisión  de  los</w:t>
        <w:br/>
        <w:t>casos que conoce puede, en determinadas circunstancias, utilizar  tanto  las</w:t>
        <w:br/>
        <w:t>pruebas circunstanciales como los indicios o las presunciones como  base  de</w:t>
        <w:br/>
        <w:t>sus pronunciamientos,  cuando  de  aquéllas  puedan  inferirse  conclusiones</w:t>
        <w:br/>
        <w:t>consistentes sobre los hechos, en  particular  cuando  el  Estado  demandado</w:t>
        <w:br/>
        <w:t>haya asumido una conducta renuente en sus actuaciones ante la Corte.</w:t>
        <w:br/>
        <w:br/>
        <w:t>50.   Consta en el  expediente  que  el  Gobierno  fue  requerido,  mediante</w:t>
        <w:br/>
        <w:t>resolución del Presidente de 10 de  julio  de  1992,  para  suministrar  los</w:t>
        <w:br/>
        <w:t>textos oficiales de la Constitución y  de  las  leyes  sustantivas  y  sobre</w:t>
        <w:br/>
        <w:t>procedimiento criminal que  regían  en  su  territorio  para  los  casos  de</w:t>
        <w:br/>
        <w:t>detenciones en la fecha en que tuvo lugar  la  detención  de  Asok  Gangaram</w:t>
        <w:br/>
        <w:t>Panday.  El Gobierno no allegó al  expediente  tales  textos  ni  suministró</w:t>
        <w:br/>
        <w:t>explicación alguna acerca de su omisión.</w:t>
        <w:br/>
        <w:br/>
        <w:t>51.   Por lo antes dicho, la Corte infiere de la actitud  del  Gobierno  que</w:t>
        <w:br/>
        <w:t>el señor Asok Gangaram Panday fue detenido ilegalmente por  miembros  de  la</w:t>
        <w:br/>
        <w:t>Policía  Militar  de  Suriname  cuando  llegó  procedente  de   Holanda   al</w:t>
        <w:br/>
        <w:t>Aeropuerto de  Zanderij,  no  siéndole  necesario,  por  ende,  pronunciarse</w:t>
        <w:br/>
        <w:t>acerca de la denunciada arbitrariedad de tal medida y de su no traslado  sin</w:t>
        <w:br/>
        <w:t>demora ante la autoridad judicial competente.  Y así lo declara.</w:t>
        <w:br/>
        <w:br/>
        <w:br/>
        <w:t xml:space="preserve">                                     VII</w:t>
        <w:br/>
        <w:br/>
        <w:t>52.   En cuanto a las presuntas torturas de que fuera objeto el  señor  Asok</w:t>
        <w:br/>
        <w:t>Gangaram Panday, durante el tiempo en que permaneció bajo detención por  las</w:t>
        <w:br/>
        <w:t>autoridades de la Policía Militar, la Corte encuentra lo siguiente:</w:t>
        <w:br/>
        <w:br/>
        <w:t xml:space="preserve">     a.    La videocinta suministrada por la Comisión como soporte  de  sus</w:t>
        <w:br/>
        <w:t xml:space="preserve">     alegatos y que muestra la preparación del  cadáver  de  Asok  Gangaram</w:t>
        <w:br/>
        <w:t xml:space="preserve">     Panday, fue registrada el día 15 de noviembre de 1988, es  decir,  una</w:t>
        <w:br/>
        <w:t xml:space="preserve">     semana después del fallecimiento  de  la  víctima,  al  tenor  de  una</w:t>
        <w:br/>
        <w:t xml:space="preserve">     afirmación no contradicha del testigo doctor M. A.  Vrede  durante  la</w:t>
        <w:br/>
        <w:t xml:space="preserve">     audiencia pública.  El testigo  denunciante  Leo  Gangaram  Panday  se</w:t>
        <w:br/>
        <w:t xml:space="preserve">     contradijo respecto de la fecha de grabación.</w:t>
        <w:br/>
        <w:br/>
        <w:br/>
        <w:t xml:space="preserve">     b.    El dictamen, presentado por la Comisión,  del  patólogo  forense</w:t>
        <w:br/>
        <w:t xml:space="preserve">     Richard  J.  Baltaro,  no  ratificado  ante  la  Corte,   afirma   que</w:t>
        <w:br/>
        <w:t xml:space="preserve">     “[l]amentablemente, la mala  calidad  de  la  cinta  hace  difícil  un</w:t>
        <w:br/>
        <w:t xml:space="preserve">     diagnóstico preciso”. Y esto lo corroboran los informes médico-legales</w:t>
        <w:br/>
        <w:t xml:space="preserve">     solicitados por la Corte mediante auto  para  mejor  proveer,  en  los</w:t>
        <w:br/>
        <w:t xml:space="preserve">     cuales se dice que: “Dado lo  malo  de  la  calidad  de  las  imágenes</w:t>
        <w:br/>
        <w:t xml:space="preserve">     propias del cassette, [. .  .]  sus  vistas  en  su  totalidad  fueron</w:t>
        <w:br/>
        <w:t xml:space="preserve">     desechadas por ser técnicamente no confiables  para  el  análisis  del</w:t>
        <w:br/>
        <w:t xml:space="preserve">     caso” (Informe del Departamento de Medicina  Legal  del  Organismo  de</w:t>
        <w:br/>
        <w:t xml:space="preserve">     Investigación Judicial de Costa Rica); y que “[l]a video cinta  es  de</w:t>
        <w:br/>
        <w:t xml:space="preserve">     pobre calidad técnica, con fenómenos putrefactivos agregados,  lo  que</w:t>
        <w:br/>
        <w:t xml:space="preserve">     no permite una apreciación fidedigna, por lo cual  nos  abstenemos  de</w:t>
        <w:br/>
        <w:t xml:space="preserve">     comentarla” (Informe de la División  General  de  Medicina  Legal  del</w:t>
        <w:br/>
        <w:t xml:space="preserve">     Cuerpo Técnico de Policía Judicial de Venezuela).</w:t>
        <w:br/>
        <w:br/>
        <w:br/>
        <w:t xml:space="preserve">     c.    En el proceso verbal instruido el 15 de noviembre de 1988, R. S.</w:t>
        <w:br/>
        <w:t xml:space="preserve">     Wolfram,  Inspector  de  Policía  destacado  al  Servicio  Técnico  de</w:t>
        <w:br/>
        <w:t xml:space="preserve">     Pesquisas y Reconocimientos de Paramaribo, declara que “[h]asta  donde</w:t>
        <w:br/>
        <w:t xml:space="preserve">     se pudo observar, no se encontraron huellas de violencia externa en el</w:t>
        <w:br/>
        <w:t xml:space="preserve">     cuerpo” de la víctima.</w:t>
        <w:br/>
        <w:br/>
        <w:br/>
        <w:t xml:space="preserve">     d.    En la carta del Ministro de Relaciones Exteriores del  Reino  de</w:t>
        <w:br/>
        <w:t xml:space="preserve">     los Países Bajos, dirigida a la Cámara Baja de los  Estados  Generales</w:t>
        <w:br/>
        <w:t xml:space="preserve">     en La Haya el 18 de noviembre de 1988, que fue consignada como  prueba</w:t>
        <w:br/>
        <w:t xml:space="preserve">     por la Comisión, se dice que “[e]l examen post  mortem  fue  realizado</w:t>
        <w:br/>
        <w:t xml:space="preserve">     por un médico de  buena  reputación.  Según  informes,  el  cuerpo  no</w:t>
        <w:br/>
        <w:t xml:space="preserve">     mostraba señales de violencia física”.</w:t>
        <w:br/>
        <w:br/>
        <w:t>53.   Sin perjuicio de lo anterior, la Corte no puede  dejar  de  considerar</w:t>
        <w:br/>
        <w:t>que en el curso de la audiencia pública la  Comisión  introdujo  como  nuevo</w:t>
        <w:br/>
        <w:t>elemento de debate, no  contenido  en  su  demanda  ni  en  su  memoria,  la</w:t>
        <w:br/>
        <w:t>existencia de presuntos  daños  en  los  testículos  de  la  víctima,  según</w:t>
        <w:br/>
        <w:t>testimonio rendido por el denunciante Leo Gangaram Panday y el  dictamen  de</w:t>
        <w:br/>
        <w:t>la autopsia médico forense practicada  a  la  víctima,  suscrito  el  11  de</w:t>
        <w:br/>
        <w:t>noviembre de 1988 por el patólogo doctor M. A. Vrede, en el que éste,  luego</w:t>
        <w:br/>
        <w:t>de certificar que el cadáver no presentaba otras  peculiaridades  o  señales</w:t>
        <w:br/>
        <w:t>de  extravasación,  hizo  constar   la   existencia   en   el   escroto   de</w:t>
        <w:br/>
        <w:t>“extravasación en la  izquierda  y  derecha;  más  pronunciada  en  el  lado</w:t>
        <w:br/>
        <w:t>izquierdo”.</w:t>
        <w:br/>
        <w:br/>
        <w:t>54.   En su deposición personal ante  la  Corte,  el  doctor  M.  A.  Vrede,</w:t>
        <w:br/>
        <w:t>promovido como testigo por el Gobierno y con vistas a la exhibición  pública</w:t>
        <w:br/>
        <w:t>del contenido de la videocinta sobre el cuerpo de la  víctima  acotó,  entre</w:t>
        <w:br/>
        <w:t>otras cosas y sobre el particular, lo siguiente:</w:t>
        <w:br/>
        <w:br/>
        <w:t xml:space="preserve">            Sí había daños en la piel pero no de los testículos.</w:t>
        <w:br/>
        <w:br/>
        <w:br/>
        <w:t xml:space="preserve">            Esta hemorragia [en la parte púbica] pudo haber sido creada  por</w:t>
        <w:br/>
        <w:t xml:space="preserve">      golpes violentos [. . .] fuerza bruta, o por un golpe contra la parte,</w:t>
        <w:br/>
        <w:t xml:space="preserve">      donde están los testículos y la parte púbica.  La hemorragia  en  esta</w:t>
        <w:br/>
        <w:t xml:space="preserve">      parte era muy superficial [. . .]  Era una hemorragia  fresca  que  se</w:t>
        <w:br/>
        <w:t xml:space="preserve">      creó poco tiempo antes de la muerte.  Esta hemorragia debió  de  haber</w:t>
        <w:br/>
        <w:t xml:space="preserve">      aparecido poco tiempo antes de la muerte.  Era una hemorragia fresca.</w:t>
        <w:br/>
        <w:br/>
        <w:t>55.   En los dictámenes médico legales, solicitados por  la  Corte  mediante</w:t>
        <w:br/>
        <w:t>auto para mejor proveer al Departamento de Medicina Legal del  Organismo  de</w:t>
        <w:br/>
        <w:t>Investigación Judicial (OIJ) de Costa Rica y al Cuerpo  Técnico  de  Policía</w:t>
        <w:br/>
        <w:t>Judicial de Venezuela, contentivos de una evaluación técnica  de  todos  los</w:t>
        <w:br/>
        <w:t>elementos probatorios, constan apreciaciones de valor interpretativo  acerca</w:t>
        <w:br/>
        <w:t>de las presuntas torturas a que habría sido sometida  la  víctima  según  el</w:t>
        <w:br/>
        <w:t>dicho de la Comisión, así como de  los  alegados  daños  en  el  escroto  de</w:t>
        <w:br/>
        <w:t>aquella y que la Corte ha tenido en consideración.</w:t>
        <w:br/>
        <w:br/>
        <w:t xml:space="preserve">      a.    En el dictamen del OIJ de Costa Rica se dice que:</w:t>
        <w:br/>
        <w:br/>
        <w:br/>
        <w:t xml:space="preserve">            El examen de autopsia [. . .] describió equimosis en  escroto  y</w:t>
        <w:br/>
        <w:t xml:space="preserve">      un infiltrado hemorrágico en la grasa prepúbica, así  como  congestión</w:t>
        <w:br/>
        <w:t xml:space="preserve">      de  los  vasos  del  cordón  espermático  [y]  [m]encionó   erupciones</w:t>
        <w:br/>
        <w:t xml:space="preserve">      postmortem (sic) en piel  que  nosotros  interpretamos  (con  base  en</w:t>
        <w:br/>
        <w:t xml:space="preserve">      nuestra propia traducción del holandés) como livideces cadavéricas.</w:t>
        <w:br/>
        <w:br/>
        <w:br/>
        <w:t xml:space="preserve">            [Y, en cuanto a las lesiones,] la equimosis en  el  pubis  y  en</w:t>
        <w:br/>
        <w:t xml:space="preserve">      escroto, con una pequeña hemorragia interna de la grasa  subcutánea  y</w:t>
        <w:br/>
        <w:t xml:space="preserve">      congestión de estructuras internas de los genitales,  habla  en  favor</w:t>
        <w:br/>
        <w:t xml:space="preserve">      del efecto mecánico de un traumatismo que  le  produjo  esa  contusión</w:t>
        <w:br/>
        <w:t xml:space="preserve">      simple.</w:t>
        <w:br/>
        <w:t xml:space="preserve">            Diagnóstico:</w:t>
        <w:br/>
        <w:t xml:space="preserve">                 [. . .]</w:t>
        <w:br/>
        <w:t xml:space="preserve">                 2- Contusión simple de escroto.</w:t>
        <w:br/>
        <w:t xml:space="preserve">                 3- Contusión simple de tejido</w:t>
        <w:br/>
        <w:t xml:space="preserve">                       prepúbico.</w:t>
        <w:br/>
        <w:br/>
        <w:t xml:space="preserve">      b.    En nota complementaria del 22 de  febrero  de  1993,  el  citado</w:t>
        <w:br/>
        <w:t xml:space="preserve">      Departamento de Medicina Legal agrega que “la contusión descrita en el</w:t>
        <w:br/>
        <w:t xml:space="preserve">      área genital y púbica del señor Ganday (sic) traduce una acción vital,</w:t>
        <w:br/>
        <w:t xml:space="preserve">      lo que quiere decir que fue producida estando él  con  vida  y  es  de</w:t>
        <w:br/>
        <w:t xml:space="preserve">      origen traumático”.</w:t>
        <w:br/>
        <w:br/>
        <w:br/>
        <w:t xml:space="preserve">      c.    En el Informe de la  División  General  de  Medicina  Legal  del</w:t>
        <w:br/>
        <w:t xml:space="preserve">      Cuerpo Técnico de Policía Judicial de Venezuela, se deja constancia de</w:t>
        <w:br/>
        <w:t xml:space="preserve">      que</w:t>
        <w:br/>
        <w:br/>
        <w:t xml:space="preserve">             [En  cuanto  al  material  fotográfico]  [e]s  muy  notoria  la</w:t>
        <w:br/>
        <w:t xml:space="preserve">      disposición de las livideces cadavéricas  [.  .  .]   No  se  observan</w:t>
        <w:br/>
        <w:t xml:space="preserve">      hematomas, equímosis (sic) u otra evidencia de  traumatismo,  sino  el</w:t>
        <w:br/>
        <w:t xml:space="preserve">      fenómeno conocido como livideces [. . .] pobremente definible  por  la</w:t>
        <w:br/>
        <w:t xml:space="preserve">      calidad del material fotográfico y por  la  distancia  a  la  que  fue</w:t>
        <w:br/>
        <w:t xml:space="preserve">      tomada la foto; en todo caso impresiona  como  una  excoriación  (sic)</w:t>
        <w:br/>
        <w:t xml:space="preserve">      pequeña [en la región escapular] probablemente producida por  el  peso</w:t>
        <w:br/>
        <w:t xml:space="preserve">      del cuerpo al chocar contra la  pared  una  vez  que  se  lanzó   para</w:t>
        <w:br/>
        <w:t xml:space="preserve">      ahorcarse.</w:t>
        <w:br/>
        <w:br/>
        <w:br/>
        <w:t xml:space="preserve">                 No hay evidencias físicas  [.  .  .]  [de  que  había  sido</w:t>
        <w:br/>
        <w:t xml:space="preserve">      torturado] en el material fotográfico del cadáver.</w:t>
        <w:br/>
        <w:br/>
        <w:t xml:space="preserve">     d.    En el dictamen complementario de la División General de Medicina</w:t>
        <w:br/>
        <w:t xml:space="preserve">     Legal  antes mencionada acerca de los comentarios  del  doctor  M.  A.</w:t>
        <w:br/>
        <w:t xml:space="preserve">     Vrede formulados durante la audiencia pública, se dice que:</w:t>
        <w:br/>
        <w:br/>
        <w:t xml:space="preserve">            La mayor parte  de  los  comentarios  y  contradicciones  en  la</w:t>
        <w:br/>
        <w:t xml:space="preserve">      información que suministra el video [durante  la  audiencia  pública],</w:t>
        <w:br/>
        <w:t xml:space="preserve">      por ser éste de baja calidad técnica y en fecha  muy  posterior  a  la</w:t>
        <w:br/>
        <w:t xml:space="preserve">      muerte, [. . .] fue que nos abstuvimos  de dar comentarios, razón  por</w:t>
        <w:br/>
        <w:t xml:space="preserve">      lo cual resulta riesgoso emitir opiniones en función de este material.</w:t>
        <w:br/>
        <w:br/>
        <w:t>56.    Vistos  integralmente  todos  los  elementos  anteriores,  la   Corte</w:t>
        <w:br/>
        <w:t>considera  que  no  surgen  de  su  evaluación  indicios   concluyentes   ni</w:t>
        <w:br/>
        <w:t>convincentes que le permitan determinar la veracidad de  la  denuncia  según</w:t>
        <w:br/>
        <w:t>la cual el señor Asok Gangaram Panday fue  objeto  de  torturas  durante  su</w:t>
        <w:br/>
        <w:t>detención por la Policía Militar de  Suriname.   Así  las  cosas,  no  puede</w:t>
        <w:br/>
        <w:t>concluir la Corte como lo solicita la Comisión, que en el  caso  sub  judice</w:t>
        <w:br/>
        <w:t>se está en la presencia de un supuesto de violación del artículo 5.2  de  la</w:t>
        <w:br/>
        <w:t>Convención sobre el derecho a la integridad personal.  Y así lo declara.</w:t>
        <w:br/>
        <w:br/>
        <w:br/>
        <w:t xml:space="preserve">                                    VIII</w:t>
        <w:br/>
        <w:br/>
        <w:t>57.   En lo que se refiere a la  muerte  del  señor  Asok  Gangaram  Panday,</w:t>
        <w:br/>
        <w:t>encontrándose detenido y recluido en el “albergue para  deportados,  que  se</w:t>
        <w:br/>
        <w:t>encuentra en [el] complejo de la Brigada de Zanderij”, aprecia la  Corte  lo</w:t>
        <w:br/>
        <w:t>siguiente:</w:t>
        <w:br/>
        <w:br/>
        <w:t xml:space="preserve">      a.    Encuentra la Corte demostrado que el señor Asok Gangaram  Panday</w:t>
        <w:br/>
        <w:t xml:space="preserve">      falleció encontrándose recluido y bajo la custodia de miembros  de  la</w:t>
        <w:br/>
        <w:t xml:space="preserve">      Policía Militar de  Suriname  (cfr.  informe  del  cuerpo  de  Policía</w:t>
        <w:br/>
        <w:t xml:space="preserve">      Militar de Suriname, suscrito por Achong J. G., Alférez de la  Policía</w:t>
        <w:br/>
        <w:t xml:space="preserve">      Militar el 17 de noviembre de 1988;  proceso verbal instruido  por  R.</w:t>
        <w:br/>
        <w:t xml:space="preserve">      S. Wolfram, Inspector de Policía del Servicio Técnico de  Pesquisas  y</w:t>
        <w:br/>
        <w:t xml:space="preserve">      Reconocimientos de Paramaribo,  de  fecha  8  de  noviembre  de  1988;</w:t>
        <w:br/>
        <w:t xml:space="preserve">      informe  de  la  autopsia  y  certificado  de  defunción   del   señor</w:t>
        <w:br/>
        <w:t xml:space="preserve">      Choeramoenipersad (Asok)  Gangaram  Panday,  suscritos  ambos  por  el</w:t>
        <w:br/>
        <w:t xml:space="preserve">      patólogo doctor M. A. Vrede, los días 11 y 14 de  noviembre  de  1988,</w:t>
        <w:br/>
        <w:t xml:space="preserve">      respectivamente).</w:t>
        <w:br/>
        <w:br/>
        <w:br/>
        <w:t xml:space="preserve">      b.    También está demostrado que  la  víctima  falleció  por  asfixia</w:t>
        <w:br/>
        <w:t xml:space="preserve">      mecánica debida a suspensión (ahorcamiento) (cfr. informe de autopsia,</w:t>
        <w:br/>
        <w:t xml:space="preserve">      suscrito por el doctor M. A. Vrede; opinión,  dada  a  instancias  del</w:t>
        <w:br/>
        <w:t xml:space="preserve">      profesor Claudio Grossman asesor de la Comisión, del doctor Richard J.</w:t>
        <w:br/>
        <w:t xml:space="preserve">      Baltaro, anatomopatólogo, el 4 de  febrero  de  1990;  informe  médico</w:t>
        <w:br/>
        <w:t xml:space="preserve">      forense  del  Departamento  de  Medicina  Legal   del   Organismo   de</w:t>
        <w:br/>
        <w:t xml:space="preserve">      Investigación Judicial de Costa Rica, expedido en noviembre  de  1992;</w:t>
        <w:br/>
        <w:t xml:space="preserve">      experticia médico legal preparada por la División General de  Medicina</w:t>
        <w:br/>
        <w:t xml:space="preserve">      Legal del Cuerpo Técnico de Policía Judicial de Venezuela; fotografías</w:t>
        <w:br/>
        <w:t xml:space="preserve">      del cadáver suspendido de la víctima).</w:t>
        <w:br/>
        <w:br/>
        <w:br/>
        <w:t>58.   En lo relativo a la etiología de la muerte de Asok Gangaram  Panday  y</w:t>
        <w:br/>
        <w:t>en favor de una  probable  hipótesis  de  homicidio,  en  los  términos  que</w:t>
        <w:br/>
        <w:t>sugiere el texto de la memoria de la Comisión cuando dice que “el  mismo  20</w:t>
        <w:br/>
        <w:t>de marzo [de 1990] el Profesor Grossman remitió a la Comisión una copia  del</w:t>
        <w:br/>
        <w:t>certificado del Dr. Vrede del día 14 de noviembre de  1988,  en  el  que  se</w:t>
        <w:br/>
        <w:t>señala que Asok Gangaram Panday murió por  asfixia  causada  por  violencia”</w:t>
        <w:br/>
        <w:t>(subrayado de la Corte), no aparecen de los autos indicios al respecto.</w:t>
        <w:br/>
        <w:br/>
        <w:t>59.   Consta en el certificado de  defunción  con  fines  de  cremación,  la</w:t>
        <w:br/>
        <w:t>declaratoria del forense de que “la víctima pereció de  muerte  violenta”  y</w:t>
        <w:br/>
        <w:t>también consta que dicho certificado fue emitido sobre un modelo  o  machote</w:t>
        <w:br/>
        <w:t>del Laboratorio Patológico Anatómico del Hospital Académico  de  Paramaribo,</w:t>
        <w:br/>
        <w:t>en otro de cuyos ejemplares, anexo al  expediente,  por  vía  contraria,  se</w:t>
        <w:br/>
        <w:t>indica “[n]o ha habido muerte  violenta”.   De  suyo,  entonces,  siendo  la</w:t>
        <w:br/>
        <w:t>causa  determinada  de  la  muerte  de  Asok  Gangaram  Panday  asfixia  por</w:t>
        <w:br/>
        <w:t>suspensión, mal podía certificarse su muerte como  no  violenta,  es  decir,</w:t>
        <w:br/>
        <w:t>por causas naturales.</w:t>
        <w:br/>
        <w:br/>
        <w:t>60.   El suicidio es  la  hipótesis  más  probable  dentro  del  expediente,</w:t>
        <w:br/>
        <w:t>avalada  por  el  Departamento  de   Medicina   Legal   del   Organismo   de</w:t>
        <w:br/>
        <w:t>Investigación Judicial de Costa Rica y por la experticia  Médico  Legal  del</w:t>
        <w:br/>
        <w:t>Cuerpo Técnico de Policía Judicial  de  Venezuela.   En  el  texto  de  este</w:t>
        <w:br/>
        <w:t>último se lee lo siguiente:</w:t>
        <w:br/>
        <w:br/>
        <w:t xml:space="preserve">      Basándonos en la absoluta ausencia de violencia  física,  la  posición</w:t>
        <w:br/>
        <w:t xml:space="preserve">      del cadáver al ser hallado, las características del lazo y su posición</w:t>
        <w:br/>
        <w:t xml:space="preserve">      con respecto al lavamanos, la aparente  ausencia  de  lesiones  en  la</w:t>
        <w:br/>
        <w:t xml:space="preserve">      laringe o tráquea con la excepción de la 'hemorragia en  los  músculos</w:t>
        <w:br/>
        <w:t xml:space="preserve">      del cuello' y la presencia de congestión y edema pulmonar,  concluímos</w:t>
        <w:br/>
        <w:t xml:space="preserve">      que la causa  de  muerte  fue:  'ASFIXIA  MECANICA  POR  AHORCAMIENTO,</w:t>
        <w:br/>
        <w:t xml:space="preserve">      SECUNDARIA  A  SINDROME  VASO-VAGAL  O  A  INSUFICIENCIA  CIRCULATORIA</w:t>
        <w:br/>
        <w:t xml:space="preserve">      CEREBRAL  AGUDA  POR  COMPRESION  DE  VENAS  YUGULARES  Y/O   ARTERIAS</w:t>
        <w:br/>
        <w:t xml:space="preserve">      CAROTIDAS.  LAS  EVIDENCIAS  MOSTRADAS  PARA  EL   ESTUDIO:   MATERIAL</w:t>
        <w:br/>
        <w:t xml:space="preserve">      FOTOGRAFICO Y  PROTOCOLO  DE  AUTOPSIA,  FAVORECEN  AL  SUICIDIO  COMO</w:t>
        <w:br/>
        <w:t xml:space="preserve">      MOVIL'. (Mayúsculas en el original)</w:t>
        <w:br/>
        <w:br/>
        <w:t>61.   La Corte considera que si bien se encuentran suficientes elementos  en</w:t>
        <w:br/>
        <w:t>los autos que de manera concordante dicen acerca del  ahorcamiento  de  Asok</w:t>
        <w:br/>
        <w:t>Gangaram Panday, no obran pruebas convincentes acerca de la etiología de  su</w:t>
        <w:br/>
        <w:t>muerte que permitan responsabilizar de la misma a Suriname.  No modifica  la</w:t>
        <w:br/>
        <w:t>conclusión anterior la circunstancia de que el agente del  Gobierno  hubiera</w:t>
        <w:br/>
        <w:t>reconocido, en la contra-memoria, que la víctima estuviera  afectada  en  su</w:t>
        <w:br/>
        <w:t>estado de ánimo por la expulsión de los Países Bajos  y  que  esa  situación</w:t>
        <w:br/>
        <w:t>psicológica se hubiera acrecentado por la  detención.   En  efecto,  resulta</w:t>
        <w:br/>
        <w:t>forzado deducir de una  manifestación  semejante  reconocimiento  alguno  de</w:t>
        <w:br/>
        <w:t>responsabilidad del Gobierno y, en cambio, sí es posible  concluir  de  ella</w:t>
        <w:br/>
        <w:t>su opinión de que se sumaron en  la  mente  de  la  víctima  otros  factores</w:t>
        <w:br/>
        <w:t>anteriores a su detención.</w:t>
        <w:br/>
        <w:br/>
        <w:t>62.   Podría, sin embargo, argumentarse  que  la  circunstancia  de  que  la</w:t>
        <w:br/>
        <w:t>Corte considere, por vía de inferencia, que la detención de la  víctima  fue</w:t>
        <w:br/>
        <w:t>ilegal, debería llevarla, igualmente, a concluir que hubo una violación  del</w:t>
        <w:br/>
        <w:t>derecho a la vida por parte de Suriname porque, de no  haber  sido  detenida</w:t>
        <w:br/>
        <w:t>la persona, probablemente no habría  perdido  la  vida.   Sin   embargo,  la</w:t>
        <w:br/>
        <w:t>Corte piensa que en materia de responsabilidad internacional de los  Estados</w:t>
        <w:br/>
        <w:t>por violación de la Convención</w:t>
        <w:br/>
        <w:br/>
        <w:t xml:space="preserve">      [l]o decisivo es dilucidar si una determinada violación a los derechos</w:t>
        <w:br/>
        <w:t xml:space="preserve">      humanos reconocidos por la Convención ha tenido lugar con el  apoyo  o</w:t>
        <w:br/>
        <w:t xml:space="preserve">      tolerancia del poder público o si éste ha actuado  de  manera  que  la</w:t>
        <w:br/>
        <w:t xml:space="preserve">      transgresión  se  haya  cumplido  en  defecto  de  toda  prevención  o</w:t>
        <w:br/>
        <w:t xml:space="preserve">      impunemente.  En definitiva, de lo que se trata es de determinar si la</w:t>
        <w:br/>
        <w:t xml:space="preserve">      violación a los derechos humanos resulta de la inobservancia por parte</w:t>
        <w:br/>
        <w:t xml:space="preserve">      de un Estado de sus deberes de respetar y garantizar dichos  derechos,</w:t>
        <w:br/>
        <w:t xml:space="preserve">      que le impone  el  artículo  1.1  de  la  Convención  (Caso  Velásquez</w:t>
        <w:br/>
        <w:t xml:space="preserve">      Rodríguez, supra 49, párr. 173;  Caso Godínez Cruz,  supra  49,  párr.</w:t>
        <w:br/>
        <w:t xml:space="preserve">      183).</w:t>
        <w:br/>
        <w:br/>
        <w:t>En las circunstancias de este caso, no es posible fijar  la  responsabilidad</w:t>
        <w:br/>
        <w:t>del Estado en los términos descritos, en virtud,  entre  otras  razones,  de</w:t>
        <w:br/>
        <w:t>que la Corte está determinando una responsabilidad por detención ilegal  por</w:t>
        <w:br/>
        <w:t>inferencia y no porque  haya  sido  demostrado  que  la  detención  fue,  en</w:t>
        <w:br/>
        <w:t>efecto, ilegal o arbitraria o que el detenido haya sido torturado. Y así  lo</w:t>
        <w:br/>
        <w:t>declara.</w:t>
        <w:br/>
        <w:br/>
        <w:br/>
        <w:br/>
        <w:br/>
        <w:br/>
        <w:t xml:space="preserve">                                     IX</w:t>
        <w:br/>
        <w:br/>
        <w:t>63.   Finalmente, la Comisión, también denunció una  presunta  violación  de</w:t>
        <w:br/>
        <w:t>los artículos 2 y 25 de la Convención, en los términos que  seguidamente  se</w:t>
        <w:br/>
        <w:t>transcriben:</w:t>
        <w:br/>
        <w:br/>
        <w:t xml:space="preserve">            El caso del señor Gangaram Panday revela que en Suriname no está</w:t>
        <w:br/>
        <w:t xml:space="preserve">      garantizado el ejercicio de los derechos y libertades  mencionados  en</w:t>
        <w:br/>
        <w:t xml:space="preserve">      la Convención cuando se trata de violaciones  cometidas  por  personal</w:t>
        <w:br/>
        <w:t xml:space="preserve">      militar.</w:t>
        <w:br/>
        <w:br/>
        <w:br/>
        <w:t xml:space="preserve">            [. . .]</w:t>
        <w:br/>
        <w:br/>
        <w:br/>
        <w:t xml:space="preserve">            Las violaciones  a  los  derechos  humanos  de  las  autoridades</w:t>
        <w:br/>
        <w:t xml:space="preserve">      militares de Suriname frente a las cuales la población se encuentra en</w:t>
        <w:br/>
        <w:t xml:space="preserve">      indefensión  plena,  como  es  el  caso  del  señor  Gangaram  Panday,</w:t>
        <w:br/>
        <w:t xml:space="preserve">      configura una violación clara de la obligación de protección  judicial</w:t>
        <w:br/>
        <w:t xml:space="preserve">      [. . .]</w:t>
        <w:br/>
        <w:br/>
        <w:t>64.   La Corte observa que la sola constatación de  un  caso  individual  de</w:t>
        <w:br/>
        <w:t>violación de los derechos humanos por parte de las autoridades de un  Estado</w:t>
        <w:br/>
        <w:t>no es, en principio, base  suficiente  para  que  se  presuma  o  colija  la</w:t>
        <w:br/>
        <w:t>existencia dentro del mismo de prácticas masivas y colectivas  en  perjuicio</w:t>
        <w:br/>
        <w:t>de los derechos de otros ciudadanos.</w:t>
        <w:br/>
        <w:br/>
        <w:t>65.   Pero, además, en el caso sub  judice,  evaluadas  como  han  sido  las</w:t>
        <w:br/>
        <w:t>distintas  pruebas  promovidas  y  evacuadas  por  las  partes,  consta   lo</w:t>
        <w:br/>
        <w:t>siguiente:</w:t>
        <w:br/>
        <w:br/>
        <w:t xml:space="preserve">      a.    Que en el Primer y Segundo Informes sobre la  Situación  de  los</w:t>
        <w:br/>
        <w:t xml:space="preserve">      Derechos Humanos en Suriname, correspondientes a los años 1983 y 1985,</w:t>
        <w:br/>
        <w:t xml:space="preserve">      la Comisión declara haber constatado  que  “el  Gobierno  de  Suriname</w:t>
        <w:br/>
        <w:t xml:space="preserve">      continúa violando diversos derechos humanos fundamentales establecidos</w:t>
        <w:br/>
        <w:t xml:space="preserve">      en la Declaración Americana”;  más, en  su  Informe  Anual  1987-1988,</w:t>
        <w:br/>
        <w:t xml:space="preserve">      aprobado por la Comisión en su 74° período de  sesiones,  se  reconoce</w:t>
        <w:br/>
        <w:t xml:space="preserve">      expresamente que</w:t>
        <w:br/>
        <w:br/>
        <w:br/>
        <w:t xml:space="preserve">      Suriname ha dado pasos significativos para  consolidar  el  estado  de</w:t>
        <w:br/>
        <w:t xml:space="preserve">      derecho y las instituciones  democráticas  y  ha  asumido  compromisos</w:t>
        <w:br/>
        <w:t xml:space="preserve">      internacionales  en  el  ámbito  interamericano,  al   suscribir   los</w:t>
        <w:br/>
        <w:t xml:space="preserve">      instrumentos que se mencionan más arriba, lo cual es una muestra de su</w:t>
        <w:br/>
        <w:t xml:space="preserve">      voluntad de cumplir con el respeto y promoción de los derechos humanos</w:t>
        <w:br/>
        <w:t xml:space="preserve">      (Subrayado de la Corte).</w:t>
        <w:br/>
        <w:br/>
        <w:br/>
        <w:t xml:space="preserve">      b.    Que la señora Dropatie Sewcharan, viuda de la víctima, interpuso</w:t>
        <w:br/>
        <w:t xml:space="preserve">      denuncia sobre los hechos a que se contrae este expediente por ante el</w:t>
        <w:br/>
        <w:t xml:space="preserve">      Procurador General de la Corte de Justicia, en Paramaribo,  el  11  de</w:t>
        <w:br/>
        <w:t xml:space="preserve">      noviembre de 1988.</w:t>
        <w:br/>
        <w:br/>
        <w:br/>
        <w:t xml:space="preserve">      c.    Que el hermano  de  la  víctima,  Leo  Gangaram  Panday,  en  su</w:t>
        <w:br/>
        <w:t xml:space="preserve">      deposición ante la Corte y a la pregunta sobre si “¿[h]a experimentado</w:t>
        <w:br/>
        <w:t xml:space="preserve">      usted falta de cooperación  de  las  autoridades  de  Suriname  en  su</w:t>
        <w:br/>
        <w:t xml:space="preserve">      esfuerzo para lograr justicia?”, respondió “yo dejé todo en  manos  de</w:t>
        <w:br/>
        <w:t xml:space="preserve">      mi abogado”.  Y, seguidamente, al ser interpelado sobre si “[h]a  sido</w:t>
        <w:br/>
        <w:t xml:space="preserve">      posible obtener decisiones en Suriname sobre este caso”, se  limitó  a</w:t>
        <w:br/>
        <w:t xml:space="preserve">      señalar vagamente “[n]o volví a oir nada sobre el asunto”.</w:t>
        <w:br/>
        <w:br/>
        <w:br/>
        <w:t xml:space="preserve">      d.    Que en la nota suscrita por el Ministro de Justicia y Policía de</w:t>
        <w:br/>
        <w:t xml:space="preserve">      Suriname, remitida a la  Comisión  el  2  de  mayo  de  1989  ante  el</w:t>
        <w:br/>
        <w:t xml:space="preserve">      requerimiento realizado por ésta en su nota de 6 de febrero  de  1989,</w:t>
        <w:br/>
        <w:t xml:space="preserve">      se afirma que:</w:t>
        <w:br/>
        <w:br/>
        <w:t xml:space="preserve">      [E]l Fiscal General dió la orden de que se realizara una autopsia;  el</w:t>
        <w:br/>
        <w:t xml:space="preserve">      Fiscal General [. . .] investigó las circunstancias y las  razones  de</w:t>
        <w:br/>
        <w:t xml:space="preserve">      la detención; [q]ue además de lo  que  antecede,  el  Departamento  de</w:t>
        <w:br/>
        <w:t xml:space="preserve">      Investigación  Técnico  Penal  y  el  Departamento  de  Identificación</w:t>
        <w:br/>
        <w:t xml:space="preserve">      elaboraron un informe; [y,] [q]ue el Fiscal General había  considerado</w:t>
        <w:br/>
        <w:t xml:space="preserve">      necesario investigar la posibilidad de que el Oficial  de  la  Policía</w:t>
        <w:br/>
        <w:t xml:space="preserve">      Militar [. . .] fuera culpable de privación ilegítima de la libertad o</w:t>
        <w:br/>
        <w:t xml:space="preserve">      de detención ilícita.</w:t>
        <w:br/>
        <w:br/>
        <w:t>66.   La afirmación de la Comisión, en los considerandos  de  su  resolución</w:t>
        <w:br/>
        <w:t>sobre el presente caso de que el Gobierno “promulgó un Decreto  de  amnistía</w:t>
        <w:br/>
        <w:t>liberando a todos los culpables de responsabilidad criminal”, no cuenta  con</w:t>
        <w:br/>
        <w:t>otro respaldo en el expediente que el mero dicho de la parte acusadora.</w:t>
        <w:br/>
        <w:br/>
        <w:t>67.   Por lo expuesto, esta Corte concluye  que  no  existen  elementos  que</w:t>
        <w:br/>
        <w:t>demuestren  la  violación  denunciada  de  los  artículos  2  y  25  de   la</w:t>
        <w:br/>
        <w:t>Convención.  Y así lo declara.</w:t>
        <w:br/>
        <w:br/>
        <w:br/>
        <w:t xml:space="preserve">                                      X</w:t>
        <w:br/>
        <w:br/>
        <w:t>68.   Habiendo concluido la Corte, por inferencia, que Asok Gangaram  Panday</w:t>
        <w:br/>
        <w:t>fue ilegalmente detenido por miembros de la  Policía  Militar  de  Suriname,</w:t>
        <w:br/>
        <w:t>debe atribuir tal violación de la Convención a ese Estado.</w:t>
        <w:br/>
        <w:br/>
        <w:t>69.   En consecuencia, es aplicable la disposición del artículo 63.1  de  la</w:t>
        <w:br/>
        <w:t>Convención.  Observa la Corte que en el caso sub judice, habiendo  fallecido</w:t>
        <w:br/>
        <w:t>la víctima, resulta imposible garantizarle el goce de su derecho  o  reparar</w:t>
        <w:br/>
        <w:t>integralmente las consecuencias de la medida violatoria del mismo.  De  allí</w:t>
        <w:br/>
        <w:t>que proceda, de acuerdo  con  la  señalada  norma,  el  pago  de  una  justa</w:t>
        <w:br/>
        <w:t>indemnización.</w:t>
        <w:br/>
        <w:br/>
        <w:t>70.   En virtud de que la responsabilidad de Suriname es inferida, la  Corte</w:t>
        <w:br/>
        <w:t>resuelve fijar una indemnización de carácter nominal  que  debe  ser  pagada</w:t>
        <w:br/>
        <w:t>una mitad para la viuda y  otra  para  los  hijos  de  la  víctima,  si  los</w:t>
        <w:br/>
        <w:t>hubiere.  Si no hubiere hijos, la parte de éstos acrecerá  la  mitad  de  la</w:t>
        <w:br/>
        <w:t>viuda.</w:t>
        <w:br/>
        <w:br/>
        <w:t>71.   En virtud, igualmente,  de  que  la  responsabilidad  de  Suriname  es</w:t>
        <w:br/>
        <w:t>inferida,  la  Corte  considera  que  debe  desestimar   la   solicitud   de</w:t>
        <w:br/>
        <w:t>condenatoria en costas.</w:t>
        <w:br/>
        <w:br/>
        <w:br/>
        <w:t xml:space="preserve">                                     XI</w:t>
        <w:br/>
        <w:br/>
        <w:t>Por lo tanto,</w:t>
        <w:br/>
        <w:br/>
        <w:t>LA CORTE,</w:t>
        <w:br/>
        <w:br/>
        <w:t>por unanimidad</w:t>
        <w:br/>
        <w:br/>
        <w:t>1.    Declara que Suriname ha violado en perjuicio de Asok  Gangaram  Panday</w:t>
        <w:br/>
        <w:t>los deberes de respeto y de garantía del  derecho  a  la  libertad  personal</w:t>
        <w:br/>
        <w:t>reconocido en el artículo 7.2 de la Convención, en conexión con el  artículo</w:t>
        <w:br/>
        <w:t>1.1 de la misma.</w:t>
        <w:br/>
        <w:br/>
        <w:t>por unanimidad</w:t>
        <w:br/>
        <w:br/>
        <w:t>2.    Desestima la solicitud de la Comisión para que se declare  responsable</w:t>
        <w:br/>
        <w:t>al Estado de Suriname de haber violado en perjuicio del señor Asok  Gangaram</w:t>
        <w:br/>
        <w:t>Panday los artículos 5.1, 5.2, 25.1 y 25.2 de la Convención.</w:t>
        <w:br/>
        <w:br/>
        <w:t>por cuatro votos contra tres</w:t>
        <w:br/>
        <w:br/>
        <w:t>3.    Desestima la solicitud de la Comisión para que se declare  responsable</w:t>
        <w:br/>
        <w:t>al Estado de Suriname de haber violado en perjuicio del señor Asok  Gangaram</w:t>
        <w:br/>
        <w:t>Panday, el artículo 4.1 de la Convención.</w:t>
        <w:br/>
        <w:br/>
        <w:t>Disienten los  jueces  Sonia  Picado  Sotela,  Asdrúbal  Aguiar-Aranguren  y</w:t>
        <w:br/>
        <w:t>Antônio A. Cançado Trindade.</w:t>
        <w:br/>
        <w:br/>
        <w:t>por unanimidad</w:t>
        <w:br/>
        <w:br/>
        <w:t>4.    Fija en US$  10.000  (diez  mil  dólares  de  los  Estados  Unidos  de</w:t>
        <w:br/>
        <w:t>América) o su equivalente en florines holandeses, el monto que el Estado  de</w:t>
        <w:br/>
        <w:t>Suriname debe pagar dentro de los seis meses de la fecha de esta  sentencia,</w:t>
        <w:br/>
        <w:t>a las personas y en la forma indicadas en el párrafo 70 de esta sentencia.</w:t>
        <w:br/>
        <w:br/>
        <w:t>por unanimidad</w:t>
        <w:br/>
        <w:br/>
        <w:t>5.    Resuelve que supervisará el cumplimiento de la indemnización  acordada</w:t>
        <w:br/>
        <w:t>y que sólo después archivará el expediente.</w:t>
        <w:br/>
        <w:br/>
        <w:t>por unanimidad</w:t>
        <w:br/>
        <w:br/>
        <w:t>6.    Decide que no hay condena en costas.</w:t>
        <w:br/>
        <w:br/>
        <w:t>Redactada en castellano y en inglés, haciendo fe el texto en castellano,  en</w:t>
        <w:br/>
        <w:t>San José, Costa Rica, el día 21 de enero de 1994.</w:t>
        <w:br/>
        <w:br/>
        <w:br/>
        <w:t xml:space="preserve">                             Rafael Nieto Navia</w:t>
        <w:br/>
        <w:t xml:space="preserve">                                 Presidente</w:t>
        <w:br/>
        <w:br/>
        <w:br/>
        <w:t xml:space="preserve">      Sonia Picado Sotela   Héctor Fix-Zamudio</w:t>
        <w:br/>
        <w:br/>
        <w:br/>
        <w:t xml:space="preserve">      Alejandro Montiel Argüello  Hernán Salgado Pesantes</w:t>
        <w:br/>
        <w:br/>
        <w:br/>
        <w:t xml:space="preserve">      Asdrúbal Aguiar-Aranguren   Antônio A. Cançado Trindade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t xml:space="preserve">      Rafael Nieto Navia</w:t>
        <w:br/>
        <w:t xml:space="preserve">      Presidente</w:t>
        <w:br/>
        <w:t xml:space="preserve">      Manuel E. Ventura Robles</w:t>
        <w:br/>
        <w:t xml:space="preserve">      Secretario</w:t>
        <w:br/>
        <w:br/>
        <w:br/>
        <w:t>________________</w:t>
        <w:br/>
        <w:t xml:space="preserve">      El Juez Máximo Pacheco Gómez, quien estuvo presente en las  audiencias</w:t>
        <w:br/>
        <w:t>de fondo, se excusó de participar en el período de sesiones en  el  cual  se</w:t>
        <w:br/>
        <w:t>elaboró y firmó esta sentencia.</w:t>
        <w:br/>
        <w:br/>
        <w:t xml:space="preserve">                 VOTO DISIDENTE DE LOS JUECES PICADO SOTELA,</w:t>
        <w:br/>
        <w:t xml:space="preserve">                     AGUIAR-ARANGUREN Y CANÇADO TRINDADE</w:t>
        <w:br/>
        <w:br/>
        <w:t>1.    Los suscritos Jueces disentimos de la opinión de  mayoría,  en  cuanto</w:t>
        <w:br/>
        <w:t>al punto resolutivo número 3 de la sentencia, en el  cual  se  desestima  la</w:t>
        <w:br/>
        <w:t>responsabilidad del Estado demandado por violación del  derecho  a  la  vida</w:t>
        <w:br/>
        <w:t>del señor Asok Gangaram Panday.</w:t>
        <w:br/>
        <w:br/>
        <w:t>2.    En nuestro criterio, a partir del momento en que la Corte  estableció,</w:t>
        <w:br/>
        <w:t>aun por inferencia, la responsabilidad del Estado demandado,  por  detención</w:t>
        <w:br/>
        <w:t>ilegal del señor Gangaram  Panday,  era  necesario  que  ella  aceptara  las</w:t>
        <w:br/>
        <w:t>consecuencias que dicha determinación conlleva en  cuanto  a  la  protección</w:t>
        <w:br/>
        <w:t>del derecho a la vida de la víctima.  Tanto más cuanto  que,  en  su  propia</w:t>
        <w:br/>
        <w:t>contra-memoria, el  Estado  demandado  admitió  que  la  detención  de  Asok</w:t>
        <w:br/>
        <w:t>Gangaram Panday “[acrecentó ] su depresión y desprecio a la  vida”,  lo  que</w:t>
        <w:br/>
        <w:t>no puede desligarse de la causa mortis.  Y, en todo caso, fue por  no  haber</w:t>
        <w:br/>
        <w:t>contado con los textos legislativos que expresamente le  solicitó  la  Corte</w:t>
        <w:br/>
        <w:t>al Estado demandado, que  ésta  no  pudo  extenderse  en  sus  razonamientos</w:t>
        <w:br/>
        <w:t>relativos a la ilegalidad o no, a la arbitrariedad  o  no  de  la  detención</w:t>
        <w:br/>
        <w:t>denunciada.</w:t>
        <w:br/>
        <w:br/>
        <w:t>3.    El derecho a la vida y su garantía y respeto por los Estados no  puede</w:t>
        <w:br/>
        <w:t>ser concebido de modo restrictivo.  El mismo, no sólo supone que a nadie  se</w:t>
        <w:br/>
        <w:t>le puede privar arbitrariamente de la vida (obligación negativa).  Exige  de</w:t>
        <w:br/>
        <w:t>los Estados, todavía más,  tomar  todas  las  providencias  apropiadas  para</w:t>
        <w:br/>
        <w:t>protegerla y preservarla (obligación positiva).</w:t>
        <w:br/>
        <w:br/>
        <w:t>4.    La protección internacional de los derechos humanos, en  relación  con</w:t>
        <w:br/>
        <w:t>el artículo 4.1 de la Convención Americana  sobre  Derechos  Humanos,  tiene</w:t>
        <w:br/>
        <w:t>una dimensión preventiva en donde el deber de debida  diligencia  asume,  en</w:t>
        <w:br/>
        <w:t>los casos de detención ilegal, connotaciones más severas.  Esta,  la  debida</w:t>
        <w:br/>
        <w:t>diligencia, impone a los Estados el deber de  una  prevención  razonable  en</w:t>
        <w:br/>
        <w:t>aquellas situaciones -como ahora en el sub judice-  que  pudieran  conducir,</w:t>
        <w:br/>
        <w:t>incluso por omisión, a la supresión de la inviolabilidad del  derecho  a  la</w:t>
        <w:br/>
        <w:t>vida.</w:t>
        <w:br/>
        <w:br/>
        <w:t>5.    Con base en lo anterior, los suscritos  Jueces  consideramos  que,  en</w:t>
        <w:br/>
        <w:t>este caso, la responsabilidad del Estado demandado debió determinarse  a  la</w:t>
        <w:br/>
        <w:t>luz, conjuntamente, de los artículos 7.2 y 4.1, en conexión con el  artículo</w:t>
        <w:br/>
        <w:t>1.1, de la Convención Americana.</w:t>
        <w:br/>
        <w:br/>
        <w:br/>
        <w:br/>
        <w:t xml:space="preserve">      Sonia Picado Sotela   Asdrúbal Aguiar Aranguren</w:t>
        <w:br/>
        <w:br/>
        <w:br/>
        <w:br/>
        <w:t xml:space="preserve">                         Antônio A. Cançado Trindade</w:t>
        <w:br/>
        <w:br/>
        <w:br/>
        <w:br/>
        <w:t xml:space="preserve">                          Manuel E. Ventura Robles</w:t>
        <w:br/>
        <w:t xml:space="preserve">                                  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