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t xml:space="preserve">                    Caso del Pueblo Saramaka vs. Surinam</w:t>
        <w:br/>
        <w:br/>
        <w:br/>
        <w:t xml:space="preserve">                    Sentencia del 28 de noviembre de 2007</w:t>
        <w:br/>
        <w:br/>
        <w:t xml:space="preserve">          (Excepciones Preliminares, Fondo, Reparaciones y Costas)</w:t>
        <w:br/>
        <w:br/>
        <w:br/>
        <w:br/>
        <w:t>En el Caso del Pueblo Saramaka,</w:t>
        <w:br/>
        <w:br/>
        <w:t>la Corte Interamericana de Derechos Humanos (en adelante,  "la  Corte",  "la</w:t>
        <w:br/>
        <w:t>Corte  Interamericana"  o  "el  Tribunal"),  integrada  por  los  siguientes</w:t>
        <w:br/>
        <w:t>jueces*:</w:t>
        <w:br/>
        <w:br/>
        <w:t xml:space="preserve">      Sergio García Ramírez, Presidente;</w:t>
        <w:br/>
        <w:t xml:space="preserve">      Cecilia Medina Quiroga, Vicepresidente;</w:t>
        <w:br/>
        <w:t xml:space="preserve">      Manuel E. Ventura Robles, Juez;</w:t>
        <w:br/>
        <w:t xml:space="preserve">      Diego García Sayán, Juez</w:t>
        <w:br/>
        <w:t xml:space="preserve">      Leonardo A. Franco, Juez;</w:t>
        <w:br/>
        <w:t xml:space="preserve">      Margarette May Macaulay, Jueza, y</w:t>
        <w:br/>
        <w:t xml:space="preserve">      Rhadys Abreu Blondet, Jueza;</w:t>
        <w:br/>
        <w:br/>
        <w:t>presentes además,</w:t>
        <w:br/>
        <w:br/>
        <w:t xml:space="preserve">      Pablo Saavedra Alessandri, Secretario, y</w:t>
        <w:br/>
        <w:t xml:space="preserve">      Emilia Segares Rodríguez, Secretaria Adjunta;</w:t>
        <w:br/>
        <w:br/>
        <w:t>de conformidad con los artículos 62.3 y  63.1  de  la  Convención  Americana</w:t>
        <w:br/>
        <w:t>sobre Derechos Humanos  (en  adelante,  “la  Convención”  o  “la  Convención</w:t>
        <w:br/>
        <w:t>Americana”) y con los artículos 29, 31, 37, 56 y 58  del  Reglamento  de  la</w:t>
        <w:br/>
        <w:t>Corte (en adelante, "el Reglamento"), dicta la presente Sentencia.</w:t>
        <w:br/>
        <w:br/>
        <w:t xml:space="preserve">                                      I</w:t>
        <w:br/>
        <w:t xml:space="preserve">            Introducción de la Causa y Objeto de la Controversia</w:t>
        <w:br/>
        <w:br/>
        <w:t>1. El 23 de junio de 2006, de conformidad con lo dispuesto en los  artículos</w:t>
        <w:br/>
        <w:t xml:space="preserve">   50 y 61  de  la  Convención  Americana,  la  Comisión  Interamericana  de</w:t>
        <w:br/>
        <w:t xml:space="preserve">   Derechos  Humanos  (en   adelante,   "la   Comisión"   o   "la   Comisión</w:t>
        <w:br/>
        <w:t xml:space="preserve">   Interamericana") presentó ante la Corte una demanda en contra del  Estado</w:t>
        <w:br/>
        <w:t xml:space="preserve">   de Surinam (en adelante  “el  Estado"  o  "Surinam").  Dicha  demanda  se</w:t>
        <w:br/>
        <w:t xml:space="preserve">   originó en la denuncia número 12.338  remitida  a  la  Secretaría  de  la</w:t>
        <w:br/>
        <w:t xml:space="preserve">   Comisión el 27 de octubre  de  2000  por  la  Asociación  de  Autoridades</w:t>
        <w:br/>
        <w:t xml:space="preserve">   Saramaka (en adelante “AAS”) y doce capitanes Saramaka en su  nombre  así</w:t>
        <w:br/>
        <w:t xml:space="preserve">   como en nombre del pueblo Saramaka que vive en la región superior del Río</w:t>
        <w:br/>
        <w:t xml:space="preserve">   Surinam.  El 2 de marzo  de  2006,  la  Comisión  aprobó  el  informe  de</w:t>
        <w:br/>
        <w:t xml:space="preserve">   admisibilidad y de fondo No. 9/06, en los términos del artículo 50 de  la</w:t>
        <w:br/>
        <w:t xml:space="preserve">   Convención1,  el  cual  contiene  determinadas  recomendaciones  para  el</w:t>
        <w:br/>
        <w:t xml:space="preserve">   Estado.  El 19 de junio de 2006, la Comisión concluyó que “el  asunto  no</w:t>
        <w:br/>
        <w:t xml:space="preserve">   había sido resuelto” y consecuentemente, sometió el presente  caso  a  la</w:t>
        <w:br/>
        <w:t xml:space="preserve">   jurisdicción de la Corte2.</w:t>
        <w:br/>
        <w:br/>
        <w:br/>
        <w:t>2.  La  demanda  somete  a  la  jurisdicción  de  la  Corte  las   presuntas</w:t>
        <w:br/>
        <w:t xml:space="preserve">   violaciones cometidas por  el  Estado  contra  los  miembros  del  pueblo</w:t>
        <w:br/>
        <w:t xml:space="preserve">   Saramaka - una supuesta comunidad tribal que vive en la  región  superior</w:t>
        <w:br/>
        <w:t xml:space="preserve">   del Río Surinam.  La Comisión alegó que el Estado no ha adoptado  medidas</w:t>
        <w:br/>
        <w:t xml:space="preserve">   efectivas para reconocer su derecho al uso y goce del territorio que  han</w:t>
        <w:br/>
        <w:t xml:space="preserve">   ocupado y usado tradicionalmente; que el Estado ha presuntamente  violado</w:t>
        <w:br/>
        <w:t xml:space="preserve">   el derecho a la protección judicial en perjuicio del pueblo  Saramaka  al</w:t>
        <w:br/>
        <w:t xml:space="preserve">   no brindarles acceso efectivo a la justicia para  la  protección  de  sus</w:t>
        <w:br/>
        <w:t xml:space="preserve">   derechos fundamentales, particularmente el derecho a poseer propiedad  de</w:t>
        <w:br/>
        <w:t xml:space="preserve">   acuerdo con sus tradiciones comunales, y que el Estado  supuestamente  no</w:t>
        <w:br/>
        <w:t xml:space="preserve">   ha cumplido con su deber de adoptar disposiciones de derecho interno para</w:t>
        <w:br/>
        <w:t xml:space="preserve">   asegurar y respetar estos derechos de los Saramakas.</w:t>
        <w:br/>
        <w:br/>
        <w:br/>
        <w:t>3. La  Comisión  solicitó  a  la  Corte  que  declarara  la  responsabilidad</w:t>
        <w:br/>
        <w:t xml:space="preserve">   internacional del Estado por la violación de los artículos 21 (Derecho  a</w:t>
        <w:br/>
        <w:t xml:space="preserve">   la Propiedad) y 25 (Derecho a la Protección Judicial)  de  la  Convención</w:t>
        <w:br/>
        <w:t xml:space="preserve">   Americana, en relación con los artículos 1.1 y 2 de la  misma.  Asimismo,</w:t>
        <w:br/>
        <w:t xml:space="preserve">   la Comisión solicitó a la Corte que ordenara al  Estado  la  adopción  de</w:t>
        <w:br/>
        <w:t xml:space="preserve">   varias medidas de reparación pecuniarias y no pecuniarias.</w:t>
        <w:br/>
        <w:br/>
        <w:br/>
        <w:t>4.  Los  representantes  de  las  presuntas  víctimas  (en  adelante,   “los</w:t>
        <w:br/>
        <w:t xml:space="preserve">   representantes”), a saber, el señor Fergus  MacKay,  del  Forest  Peoples</w:t>
        <w:br/>
        <w:t xml:space="preserve">   Programme, el señor David Padilla y la Asociación de Autoridades Saramaka</w:t>
        <w:br/>
        <w:t xml:space="preserve">   presentaron su escrito de solicitudes, argumentos y pruebas (en  adelante</w:t>
        <w:br/>
        <w:t xml:space="preserve">   “escrito de solicitudes y argumentos”), en los términos del  artículo  23</w:t>
        <w:br/>
        <w:t xml:space="preserve">   del Reglamento.  Los representantes solicitaron a la Corte que  declarara</w:t>
        <w:br/>
        <w:t xml:space="preserve">   que el Estado había cometido las mismas violaciones de derechos  alegadas</w:t>
        <w:br/>
        <w:t xml:space="preserve">   por la Comisión, y adicionalmente alegaron que el Estado había violado el</w:t>
        <w:br/>
        <w:t xml:space="preserve">   artículo 3 (Derecho al Reconocimiento  de  la  Persona  Jurídica)  de  la</w:t>
        <w:br/>
        <w:t xml:space="preserve">   Convención  al  “no  reconocer  la  personalidad  jurídica   del   pueblo</w:t>
        <w:br/>
        <w:t xml:space="preserve">   Saramaka”.  Adicionalmente,  los  representantes  presentaron  hechos   y</w:t>
        <w:br/>
        <w:t xml:space="preserve">   argumentos de derecho adicionales con relación a  los  supuestos  efectos</w:t>
        <w:br/>
        <w:t xml:space="preserve">   continuos asociados con la construcción de una represa hidroeléctrica  en</w:t>
        <w:br/>
        <w:t xml:space="preserve">   la  década  de  los  sesentas  que   supuestamente   inundó   territorios</w:t>
        <w:br/>
        <w:t xml:space="preserve">   tradicionales de los Saramakas.  Asimismo,  solicitaron  la  adopción  de</w:t>
        <w:br/>
        <w:t xml:space="preserve">   determinadas medidas de reparación y el reembolso de las costas y  gastos</w:t>
        <w:br/>
        <w:t xml:space="preserve">   incurridos en el procesamiento  del  caso  a  nivel  interno  y  a  nivel</w:t>
        <w:br/>
        <w:t xml:space="preserve">   internacional.</w:t>
        <w:br/>
        <w:br/>
        <w:br/>
        <w:t>5.  El  Estado  presentó  el  escrito  de  contestación  de  la  demanda   y</w:t>
        <w:br/>
        <w:t xml:space="preserve">   observaciones al  escrito  de  solicitudes  y  argumentos  (en  adelante,</w:t>
        <w:br/>
        <w:t xml:space="preserve">   “contestación de la demanda”).  En dicho escrito, el Estado alegó que “no</w:t>
        <w:br/>
        <w:t xml:space="preserve">   es responsable por la violación del derecho de propiedad en los  términos</w:t>
        <w:br/>
        <w:t xml:space="preserve">   del artículo 21  de  la  Convención,  porque  el  Estado  reconoce  a  la</w:t>
        <w:br/>
        <w:t xml:space="preserve">   comunidad Saramaka [un privilegio sobre la tierra que] ha ocupado y usado</w:t>
        <w:br/>
        <w:t xml:space="preserve">   tradicionalmente[;] que no ha violado el derecho a la protección judicial</w:t>
        <w:br/>
        <w:t xml:space="preserve">   porque la legislación de Surinam dispone de recursos legales  efectivos[,</w:t>
        <w:br/>
        <w:t xml:space="preserve">   y] el Estado  […]  ha  cumplido  con  sus  obligaciones  conforme  a  los</w:t>
        <w:br/>
        <w:t xml:space="preserve">   artículos 1 y 2 de la Convención  y,  por  ello,  no  ha  violado  dichos</w:t>
        <w:br/>
        <w:t xml:space="preserve">   artículos”.  Asimismo, el  Estado  presentó  las  siguientes  excepciones</w:t>
        <w:br/>
        <w:t xml:space="preserve">   preliminares,  las  cuales  la  Corte  ha  dividido  en  las   siguientes</w:t>
        <w:br/>
        <w:t xml:space="preserve">   categorías: falta de legitimación de los peticionarios originales ante la</w:t>
        <w:br/>
        <w:t xml:space="preserve">   Comisión; falta de legitimación de los representantes ante la  Corte;  no</w:t>
        <w:br/>
        <w:t xml:space="preserve">   agotamiento  de   recursos   internos;   duplicidad   de   procedimientos</w:t>
        <w:br/>
        <w:t xml:space="preserve">   internacionales,  y  la  falta  de  “legitimación  de  la  Comisión  para</w:t>
        <w:br/>
        <w:t xml:space="preserve">   presentar el [caso] ante la Corte”.  Finalmente, el Estado se  refirió  a</w:t>
        <w:br/>
        <w:t xml:space="preserve">   otros alegatos sobre admisibilidad en cuanto a la representación legal de</w:t>
        <w:br/>
        <w:t xml:space="preserve">   las presuntas víctimas  y el rol del señor David Padilla y del señor Hugo</w:t>
        <w:br/>
        <w:t xml:space="preserve">   Jabini en el presente caso.</w:t>
        <w:br/>
        <w:br/>
        <w:t xml:space="preserve">                                     II</w:t>
        <w:br/>
        <w:t xml:space="preserve">                         Procedimiento ante la Corte</w:t>
        <w:br/>
        <w:br/>
        <w:t>6. La demanda de la Comisión fue notificada al Estado el  12  de  septiembre</w:t>
        <w:br/>
        <w:t xml:space="preserve">   de 20063, y a los representantes, el 11 de septiembre de  2006.   Durante</w:t>
        <w:br/>
        <w:t xml:space="preserve">   el procedimiento ante este Tribunal, además de  la  presentación  de  los</w:t>
        <w:br/>
        <w:t xml:space="preserve">   escritos principales remitidos por las partes (supra párrs. 1, 4 y 5), la</w:t>
        <w:br/>
        <w:t xml:space="preserve">   Comisión  y  los  representantes   presentaron   argumentos   sobre   las</w:t>
        <w:br/>
        <w:t xml:space="preserve">   excepciones preliminares presentadas por el Estado. Asimismo,  el  26  de</w:t>
        <w:br/>
        <w:t xml:space="preserve">   marzo de 2007 el  Estado  presentó  un  escrito  adicional,  conforme  al</w:t>
        <w:br/>
        <w:t xml:space="preserve">   artículo 39 del Reglamento de la Corte, y el  18  de  abril  de  2007  la</w:t>
        <w:br/>
        <w:t xml:space="preserve">   Comisión y los representantes presentaron sus observaciones al respecto.</w:t>
        <w:br/>
        <w:br/>
        <w:t>7. El 30 de marzo de 2007 el  Presidente  de  la  Corte  (en  adelante,  “el</w:t>
        <w:br/>
        <w:t xml:space="preserve">   Presidente”)  ordenó  la  presentación  de  declaraciones  rendidas  ante</w:t>
        <w:br/>
        <w:t xml:space="preserve">   fedatario público (affidávit)  de  siete  testigos  y  de  cinco  peritos</w:t>
        <w:br/>
        <w:t xml:space="preserve">   propuestos por la Comisión, los representantes y el Estado, ante lo  cual</w:t>
        <w:br/>
        <w:t xml:space="preserve">   las  partes  tuvieron  la  oportunidad  de  presentar   sus   respectivas</w:t>
        <w:br/>
        <w:t xml:space="preserve">   observaciones[1]. Asimismo, debido a las particulares circunstancias  del</w:t>
        <w:br/>
        <w:t xml:space="preserve">   caso,  el  Presidente  convocó  a  la  Comisión  Interamericana,  a   los</w:t>
        <w:br/>
        <w:t xml:space="preserve">   representantes y al Estado a una  audiencia  pública  para  escuchar  las</w:t>
        <w:br/>
        <w:t xml:space="preserve">   declaraciones de tres de las  presuntas  víctimas,  dos  testigos  y  dos</w:t>
        <w:br/>
        <w:t xml:space="preserve">   peritos, así como los alegatos finales orales de  las  partes  sobre  las</w:t>
        <w:br/>
        <w:t xml:space="preserve">   excepciones preliminares,  así  como  eventuales  fondo,  reparaciones  y</w:t>
        <w:br/>
        <w:t xml:space="preserve">   costas. El Estado solicitó que se pospusiera la  fecha  de  la  audiencia</w:t>
        <w:br/>
        <w:t xml:space="preserve">   pública y, por lo tanto,  se  otorgó  a  las  partes  la  posibilidad  de</w:t>
        <w:br/>
        <w:t xml:space="preserve">   presentar observaciones al respecto.  El 14 de abril de 2007, tras  haber</w:t>
        <w:br/>
        <w:t xml:space="preserve">   considerado dichas observaciones,  el  Presidente  ratificó  su  decisión</w:t>
        <w:br/>
        <w:t xml:space="preserve">   anterior respecto de la fecha de la audiencia y  modificó,  parcialmente,</w:t>
        <w:br/>
        <w:t xml:space="preserve">   la Resolución de 30 de marzo, concediéndole a las partes más tiempo  para</w:t>
        <w:br/>
        <w:t xml:space="preserve">   presentar las declaraciones juardas de los testigos y peritos,  así  como</w:t>
        <w:br/>
        <w:t xml:space="preserve">   los  argumentos  finales  escritos  de  las  partes[2].   Se  celebró  la</w:t>
        <w:br/>
        <w:t xml:space="preserve">   audiencia pública el 9 y 10 de mayo  de  2007,  durante  el  75º  Período</w:t>
        <w:br/>
        <w:t xml:space="preserve">   Ordinario de Sesiones de la Corte[3].</w:t>
        <w:br/>
        <w:br/>
        <w:t>8. El 3 de julio de 2007 el Estado presentó su escrito de alegatos  finales.</w:t>
        <w:br/>
        <w:t xml:space="preserve">   El 9 de julio de 2007 la Comisión y los  representantes  presentaron  sus</w:t>
        <w:br/>
        <w:t xml:space="preserve">   respectivos escritos de alegatos finales.</w:t>
        <w:br/>
        <w:br/>
        <w:br/>
        <w:t>9. El 16 de julio de 2007 se solicitó a los representantes  que  presentaran</w:t>
        <w:br/>
        <w:t xml:space="preserve">   comprobantes y documentación en calidad de prueba respecto de las  costas</w:t>
        <w:br/>
        <w:t xml:space="preserve">   y gastos incurridos por Forest Peoples Programme  en  el  presente  caso.</w:t>
        <w:br/>
        <w:t xml:space="preserve">   Dicha prueba no fue presentada.</w:t>
        <w:br/>
        <w:br/>
        <w:t xml:space="preserve">                                     III</w:t>
        <w:br/>
        <w:t xml:space="preserve">                           Consideraciones Previas</w:t>
        <w:br/>
        <w:br/>
        <w:t>10. Antes de  analizar  las  excepciones  preliminares  presentadas  por  el</w:t>
        <w:br/>
        <w:t xml:space="preserve">   Estado y el posible fondo del caso, la Corte analizará si  este  Tribunal</w:t>
        <w:br/>
        <w:t xml:space="preserve">   es competente para conocer  sobre  los  argumentos  presentados  por  los</w:t>
        <w:br/>
        <w:t xml:space="preserve">   representantes  (supra  párr.  4)  respecto  de  los  presuntos   efectos</w:t>
        <w:br/>
        <w:t xml:space="preserve">   continuos producidos por la construcción de un dique y reserva dentro del</w:t>
        <w:br/>
        <w:t xml:space="preserve">   territorio tradicional Saramaka.</w:t>
        <w:br/>
        <w:br/>
        <w:t>A.    Los presuntos “efectos continuos”  relacionados  con  la  construcción</w:t>
        <w:br/>
        <w:t xml:space="preserve">      del dique Afobaka</w:t>
        <w:br/>
        <w:br/>
        <w:t>11. En la demanda ante la Corte la Comisión definió la base fáctica para  el</w:t>
        <w:br/>
        <w:t xml:space="preserve">   presente caso bajo el  título  "Declaración  de  los  Hechos".    En  esa</w:t>
        <w:br/>
        <w:t xml:space="preserve">   sección, la Comisión incluyó  la  siguiente  declaración:  “[d]urante  la</w:t>
        <w:br/>
        <w:t xml:space="preserve">   década del ’60, la inundación  proveniente  de  la  construcción  de  una</w:t>
        <w:br/>
        <w:t xml:space="preserve">   reserva hidroeléctrica desplazó al pueblo Saramaka y  creó  los  llamados</w:t>
        <w:br/>
        <w:t xml:space="preserve">   pueblos de ‘transmigración’”. Esta sola oración es la única referencia en</w:t>
        <w:br/>
        <w:t xml:space="preserve">   la demanda de la Comisión respecto del  presunto  desplazamiento  de  los</w:t>
        <w:br/>
        <w:t xml:space="preserve">   miembros del pueblo Saramaka debido a la construcción de un dique,  a  la</w:t>
        <w:br/>
        <w:t xml:space="preserve">   cual los representantes se refieren como dique Afobaka, en la década  del</w:t>
        <w:br/>
        <w:t xml:space="preserve">   '60 que supuestamente inundó el territorio tradicional de  los  Saramaka.</w:t>
        <w:br/>
        <w:t xml:space="preserve">   La Corte observa que la Comisión  no  desarrolló  en  su  demanda  ningún</w:t>
        <w:br/>
        <w:t xml:space="preserve">   argumento legal respecto de la presunta responsabilidad internacional del</w:t>
        <w:br/>
        <w:t xml:space="preserve">   Estado por estos actos.</w:t>
        <w:br/>
        <w:br/>
        <w:t>12. Los representantes, por otro  lado,  presentaron  un  relato  de  hechos</w:t>
        <w:br/>
        <w:t xml:space="preserve">   bastante detallado, de tres hojas y  media,  el  cual  no  figura  en  la</w:t>
        <w:br/>
        <w:t xml:space="preserve">   demanda, respecto de los  presuntos  “efectos  continuos  y  permanentes”</w:t>
        <w:br/>
        <w:t xml:space="preserve">   relacionados con la construcción del dique y reserva  Afobaka.   De  este</w:t>
        <w:br/>
        <w:t xml:space="preserve">   modo, bajo el título “Hechos” en su escrito de solicitudes y  argumentos,</w:t>
        <w:br/>
        <w:t xml:space="preserve">   los representantes describieron, inter  alia,  los  siguientes  presuntos</w:t>
        <w:br/>
        <w:t xml:space="preserve">   hechos: la  falta  de  consentimiento  del  pueblo  Saramaka  para  dicha</w:t>
        <w:br/>
        <w:t xml:space="preserve">   construcción; los nombres de las empresas involucradas en la construcción</w:t>
        <w:br/>
        <w:t xml:space="preserve">   de la reserva; algunas sumas de dinero respecto de la cantidad  del  área</w:t>
        <w:br/>
        <w:t xml:space="preserve">   inundada  y  la  cantidad  de  Saramakas   desplazados   del   área;   la</w:t>
        <w:br/>
        <w:t xml:space="preserve">   indemnización que se les otorgó a aquellos  que  fueron  desplazados;  la</w:t>
        <w:br/>
        <w:t xml:space="preserve">   falta  de  acceso  a  la  electricidad  en  los   llamados   pueblos   de</w:t>
        <w:br/>
        <w:t xml:space="preserve">   "transmigración"; el doloroso efecto que tuvo la construcción respecto de</w:t>
        <w:br/>
        <w:t xml:space="preserve">   la comunidad; la reducción en los recursos  de  subsistencia  del  pueblo</w:t>
        <w:br/>
        <w:t xml:space="preserve">   Saramaka; la destrucción de los sitios sagrados  Saramaka;  la  falta  de</w:t>
        <w:br/>
        <w:t xml:space="preserve">   respeto hacia los restos enterrados de las personas Saramaka  fallecidas;</w:t>
        <w:br/>
        <w:t xml:space="preserve">   el impacto ambiental causado por las empresas extranjeras a  las  que  se</w:t>
        <w:br/>
        <w:t xml:space="preserve">   les ha otorgado concesiones mineras en el área, y el plan del  Estado  de</w:t>
        <w:br/>
        <w:t xml:space="preserve">   incrementar el nivel de la  reserva  para  aumentar  los  suministros  de</w:t>
        <w:br/>
        <w:t xml:space="preserve">   energía, que presuntamente causaría  el  desplazamiento  forzoso  de  más</w:t>
        <w:br/>
        <w:t xml:space="preserve">   Saramakas, lo cual ha sido  objeto  de  un  reclamo  presentado  por  los</w:t>
        <w:br/>
        <w:t xml:space="preserve">   Saramaka ante las autoridades internas en el año 2003.</w:t>
        <w:br/>
        <w:br/>
        <w:t>13. A continuación, la Corte considerará si los hechos  en  los  cuales  los</w:t>
        <w:br/>
        <w:t xml:space="preserve">   representantes se basan para fundamentar sus argumentos respecto  de  los</w:t>
        <w:br/>
        <w:t xml:space="preserve">   presuntos  "efectos  continuos  y  permanentes"   relacionados   con   la</w:t>
        <w:br/>
        <w:t xml:space="preserve">   construcción del dique Afobaka tienen una relación directa con  el  marco</w:t>
        <w:br/>
        <w:t xml:space="preserve">   fáctico presentado por la Comisión ante  este  Tribunal  en  su  demanda,</w:t>
        <w:br/>
        <w:t xml:space="preserve">   documento que define el alcance  de  los  hechos  en  litigio  ante  este</w:t>
        <w:br/>
        <w:t xml:space="preserve">   Tribunal[4]. En este sentido, la Corte ha sostenido, en forma  constante,</w:t>
        <w:br/>
        <w:t xml:space="preserve">   que "[... los representantes] no pueden alegar nuevos hechos distintos de</w:t>
        <w:br/>
        <w:t xml:space="preserve">   los planteados en la demanda [de la Comisión], sin perjuicio  de  exponer</w:t>
        <w:br/>
        <w:t xml:space="preserve">   aquellos que permitan explicar, aclarar o desestimar  los  que  han  sido</w:t>
        <w:br/>
        <w:t xml:space="preserve">   mencionados en la demanda, o  bien,  responder  a  las  pretensiones  del</w:t>
        <w:br/>
        <w:t xml:space="preserve">   demandante”[5]. Por ende, la Corte debe  basarse  en  la  demanda  de  la</w:t>
        <w:br/>
        <w:t xml:space="preserve">   Comisión para determinar  si  ésta  es  una  cuestión  que  se  encuentra</w:t>
        <w:br/>
        <w:t xml:space="preserve">   comprendida dentro del alcance fáctico del caso que fue  presentado  ante</w:t>
        <w:br/>
        <w:t xml:space="preserve">   esta Corte para su resolución.</w:t>
        <w:br/>
        <w:br/>
        <w:t>14. La Corte observa que en la demanda presentada  por  la  Comisión  no  se</w:t>
        <w:br/>
        <w:t xml:space="preserve">   encuentran ninguna de las  afirmaciones  de  hecho  presentadas  por  los</w:t>
        <w:br/>
        <w:t xml:space="preserve">   representantes respecto del dique  Afobaka.   Asimismo,  algunas  de  las</w:t>
        <w:br/>
        <w:t xml:space="preserve">   cuestiones argumentadas por los representantes comprenden  controversias,</w:t>
        <w:br/>
        <w:t xml:space="preserve">   como lo es el presunto plan del Estado de  incrementar  el  nivel  de  la</w:t>
        <w:br/>
        <w:t xml:space="preserve">   reserva,  que  aún  se  encuentran  pendiente  de  resolución  ante   las</w:t>
        <w:br/>
        <w:t xml:space="preserve">   autoridades internas de Surinam.</w:t>
        <w:br/>
        <w:br/>
        <w:t>15. Asimismo, durante la audiencia pública celebrada en  el  presente  caso,</w:t>
        <w:br/>
        <w:t xml:space="preserve">   se  le  preguntó  a  la  Comisión  cómo  "caracterizaría  la  información</w:t>
        <w:br/>
        <w:t xml:space="preserve">   adicional que presentaron los representantes respecto  de  los  presuntos</w:t>
        <w:br/>
        <w:t xml:space="preserve">   efectos  de  la  reserva  sobre  el  pueblo  Saramaka"[6].   La  Comisión</w:t>
        <w:br/>
        <w:t xml:space="preserve">   respondió que “en la demanda y en el Informe del artículo 50 hay una sola</w:t>
        <w:br/>
        <w:t xml:space="preserve">   oración respecto de la reserva y sus efectos” y luego  caracterizó  dicha</w:t>
        <w:br/>
        <w:t xml:space="preserve">   información como "un hecho de contexto  histórico"[7].  A  diferencia  de</w:t>
        <w:br/>
        <w:t xml:space="preserve">   otros  casos[8],  la  Comisión  no  ha  alegado  que  estos  antecedentes</w:t>
        <w:br/>
        <w:t xml:space="preserve">   contextuales e históricos se relacionan con el objeto de la controversia.</w:t>
        <w:br/>
        <w:br/>
        <w:br/>
        <w:br/>
        <w:t>16. En consecuencia, de conformidad con la estructura  y  el  objeto  de  la</w:t>
        <w:br/>
        <w:t xml:space="preserve">   demanda, así como la propia aclaración de la Comisión respecto  del  modo</w:t>
        <w:br/>
        <w:t xml:space="preserve">   en que estos presuntos hechos deberían interpretarse en el presente caso,</w:t>
        <w:br/>
        <w:t xml:space="preserve">   la Corte considera que la Comisión sólo planteó  esta  cuestión  como  un</w:t>
        <w:br/>
        <w:t xml:space="preserve">   antecedente contextual concerniente a la historia de la  controversia  en</w:t>
        <w:br/>
        <w:t xml:space="preserve">   el presente caso, pero no como una cuestión para resolver por  la  Corte.</w:t>
        <w:br/>
        <w:t xml:space="preserve">   Por ello, de acuerdo con las limitaciones respecto de la participación de</w:t>
        <w:br/>
        <w:t xml:space="preserve">   las presuntas víctimas en el procedimiento ante esta Corte,  el  Tribunal</w:t>
        <w:br/>
        <w:t xml:space="preserve">   considera que los  fundamentos  de  hecho  para  los  argumentos  de  los</w:t>
        <w:br/>
        <w:t xml:space="preserve">   representantes al respecto no corresponden al alcance de la  controversia</w:t>
        <w:br/>
        <w:t xml:space="preserve">   de acuerdo al marco fáctico establecido por la Comisión en la demanda.</w:t>
        <w:br/>
        <w:br/>
        <w:t>17. A la luz de las consideraciones mencionadas y  a  fin  de  preservar  el</w:t>
        <w:br/>
        <w:t xml:space="preserve">   principio de certeza jurídica y el derecho  de  defensa  del  Estado,  la</w:t>
        <w:br/>
        <w:t xml:space="preserve">   Corte considera que los argumentos de los representantes en cuanto a  los</w:t>
        <w:br/>
        <w:t xml:space="preserve">   supuestos efectos continuos y permanentes asociados a la construcción  de</w:t>
        <w:br/>
        <w:t xml:space="preserve">   la reserva Afobaka no son admisibles.</w:t>
        <w:br/>
        <w:br/>
        <w:t xml:space="preserve">                                     IV</w:t>
        <w:br/>
        <w:t xml:space="preserve">                          Excepciones Preliminares</w:t>
        <w:br/>
        <w:br/>
        <w:t>18. En la contestación de la  demanda,  el  Estado  presentó  un  número  de</w:t>
        <w:br/>
        <w:t xml:space="preserve">   excepciones preliminares, las cuales serán analizadas por la Corte en  el</w:t>
        <w:br/>
        <w:t xml:space="preserve">   siguiente orden:</w:t>
        <w:br/>
        <w:br/>
        <w:t>A)    Primera Excepción Preliminar</w:t>
        <w:br/>
        <w:br/>
        <w:t xml:space="preserve">      Falta de legitimación de los peticionarios ante la Comisión</w:t>
        <w:br/>
        <w:t>Interamericana</w:t>
        <w:br/>
        <w:br/>
        <w:t>19. El Estado alegó en su primera excepción preliminar que  ninguno  de  los</w:t>
        <w:br/>
        <w:t xml:space="preserve">   dos peticionarios originales,  a  saber,  la  Asociación  de  Autoridades</w:t>
        <w:br/>
        <w:t xml:space="preserve">   Saramaka  y  los  doce  capitanes  Saramaka,  tenían  legitimación   para</w:t>
        <w:br/>
        <w:t xml:space="preserve">   presentar una petición ante la Comisión Interamericana.  Específicamente,</w:t>
        <w:br/>
        <w:t xml:space="preserve">   el Estado alegó que los peticionarios no consultaron al Gaa’man, quien es</w:t>
        <w:br/>
        <w:t xml:space="preserve">   la supuesta autoridad máxima de los Saramaka, sobre  la  presentación  de</w:t>
        <w:br/>
        <w:t xml:space="preserve">   dicha denuncia.  Esta presunta desconsideración hacia  las  costumbres  y</w:t>
        <w:br/>
        <w:t xml:space="preserve">   tradiciones  Saramaka  equivale,   de   acuerdo   con   el   Estado,   al</w:t>
        <w:br/>
        <w:t xml:space="preserve">   incumplimiento de los requisitos del artículo 44 de la  Convención,  dado</w:t>
        <w:br/>
        <w:t xml:space="preserve">   que los peticionarios, según se alega, no contaban  con  el  permiso  del</w:t>
        <w:br/>
        <w:t xml:space="preserve">   líder de  la  comunidad  y,  por  lo  tanto,  no  tenían  autoridad  para</w:t>
        <w:br/>
        <w:t xml:space="preserve">   peticionar a la Comisión en nombre de la comunidad Saramaka. Con  base  a</w:t>
        <w:br/>
        <w:t xml:space="preserve">   estos fundamentos, el Estado consideró  que  la  Comisión  debería  haber</w:t>
        <w:br/>
        <w:t xml:space="preserve">   declarado  la  petición  inadmisible.   Por   su   parte,   la   Comisión</w:t>
        <w:br/>
        <w:t xml:space="preserve">   Interamericana alegó que, de conformidad  con  los  artículos  44  de  la</w:t>
        <w:br/>
        <w:t xml:space="preserve">   Convención Americana  y  26.1  del  Reglamento  de  la  Comisión,  no  es</w:t>
        <w:br/>
        <w:t xml:space="preserve">   necesario que los peticionarios sean las víctimas o que posean  poder  de</w:t>
        <w:br/>
        <w:t xml:space="preserve">   representación o alguna otra autorización legal por parte de las víctimas</w:t>
        <w:br/>
        <w:t xml:space="preserve">   o sus familiares para  poder  someter  una  petición  ante  la  Comisión.</w:t>
        <w:br/>
        <w:t xml:space="preserve">   Asimismo,  los  representantes  alegaron  que  a   pesar   de   que   los</w:t>
        <w:br/>
        <w:t xml:space="preserve">   peticionarios consultaron con el Gaa´man, tanto antes como luego de haber</w:t>
        <w:br/>
        <w:t xml:space="preserve">   sometido la petición, no existe un requerimiento, explícito o  implícito,</w:t>
        <w:br/>
        <w:t xml:space="preserve">   en el artículo 44 de la Convención o en el artículo 23 del Reglamento  de</w:t>
        <w:br/>
        <w:t xml:space="preserve">   la Comisión de que el Gaa´man, quien el Estado considera ser el verdadero</w:t>
        <w:br/>
        <w:t xml:space="preserve">   representante de los peticionarios, tuviera que presentar la  petición  o</w:t>
        <w:br/>
        <w:t xml:space="preserve">   que los peticionarios tuvieran que obtener la  autorización  del  Gaa´man</w:t>
        <w:br/>
        <w:t xml:space="preserve">   para presentarla.</w:t>
        <w:br/>
        <w:br/>
        <w:t>20. Al respecto, la Corte debe analizar el alcance  de  la  disposición  del</w:t>
        <w:br/>
        <w:t xml:space="preserve">   artículo 44 de la Convención e interpretarlo conforme al objeto y al  fin</w:t>
        <w:br/>
        <w:t xml:space="preserve">   de dicho tratado, a saber, la protección de los derechos humanos[9], y de</w:t>
        <w:br/>
        <w:t xml:space="preserve">   acuerdo con el principio de efectividad  (effete  utile)  de  las  normas</w:t>
        <w:br/>
        <w:t xml:space="preserve">   legales[10].</w:t>
        <w:br/>
        <w:br/>
        <w:t>21. El artículo 44 de la Convención dispone que</w:t>
        <w:br/>
        <w:br/>
        <w:t xml:space="preserve">      [c]ualquier persona o grupo de personas, o  entidad  no  gubernamental</w:t>
        <w:br/>
        <w:t xml:space="preserve">      legalmente  reconocida  en  uno  o  más   Estados   miembros   de   la</w:t>
        <w:br/>
        <w:t xml:space="preserve">      Organización, puede presentar a la Comisión peticiones  que  contengan</w:t>
        <w:br/>
        <w:t xml:space="preserve">      denuncias o quejas de violación  de  esta  Convención  por  un  Estado</w:t>
        <w:br/>
        <w:t xml:space="preserve">      parte.</w:t>
        <w:br/>
        <w:br/>
        <w:t>22. El artículo 44 de  la  Convención  permite  a  todo  grupo  de  personas</w:t>
        <w:br/>
        <w:t xml:space="preserve">   presentar denuncias o quejas de violaciones de los derechos  establecidos</w:t>
        <w:br/>
        <w:t xml:space="preserve">   en la Convención.  Esta amplia facultad para presentar  una  petición  es</w:t>
        <w:br/>
        <w:t xml:space="preserve">   una  característica  particular  del  sistema  interamericano   para   la</w:t>
        <w:br/>
        <w:t xml:space="preserve">   protección de los derechos humanos[11].  Asimismo, toda persona  o  grupo</w:t>
        <w:br/>
        <w:t xml:space="preserve">   de personas que no sean  las  presuntas  víctimas  pueden  presentar  una</w:t>
        <w:br/>
        <w:t xml:space="preserve">   petición[12].</w:t>
        <w:br/>
        <w:br/>
        <w:t>23. En consideración de estas observaciones, este Tribunal encuentra que  no</w:t>
        <w:br/>
        <w:t xml:space="preserve">   existe un pre-requisito convencional  que  establezca  que  la  autoridad</w:t>
        <w:br/>
        <w:t xml:space="preserve">   principal de la comunidad deba dar  su  permiso  para  que  un  grupo  de</w:t>
        <w:br/>
        <w:t xml:space="preserve">   personas presenten una petición ante la Comisión Interamericana a fin  de</w:t>
        <w:br/>
        <w:t xml:space="preserve">   buscar protección de sus derechos o de los derechos de los miembros de la</w:t>
        <w:br/>
        <w:t xml:space="preserve">   comunidad a la cual pertenecen. Tal  como  se  mencionó  previamente,  la</w:t>
        <w:br/>
        <w:t xml:space="preserve">   posibilidad de presentar una petición ha sido ampliamente diseñada en  la</w:t>
        <w:br/>
        <w:t xml:space="preserve">   Convención y así lo ha entendido el Tribunal[13].</w:t>
        <w:br/>
        <w:br/>
        <w:t>24. Por lo tanto, a los fines del presente caso, la Corte considera  que  la</w:t>
        <w:br/>
        <w:t xml:space="preserve">   Asociación de Autoridades Saramaka, así como también los  doce  capitanes</w:t>
        <w:br/>
        <w:t xml:space="preserve">   Saramaka, pueden ser considerados como un  “grupo  de  personas”  en  los</w:t>
        <w:br/>
        <w:t xml:space="preserve">   términos del artículo 44 de la Convención y conforme a la  interpretación</w:t>
        <w:br/>
        <w:t xml:space="preserve">   que le ha dado la Corte a dicha disposición.  Asimismo, la Corte es de la</w:t>
        <w:br/>
        <w:t xml:space="preserve">   opinión que los peticionarios no necesitaban obtener permiso del  Gaa’man</w:t>
        <w:br/>
        <w:t xml:space="preserve">   o incluso de cada uno de los miembros de la comunidad a fin de  presentar</w:t>
        <w:br/>
        <w:t xml:space="preserve">   la petición ante la Comisión Interamericana.  Por estas razones, la Corte</w:t>
        <w:br/>
        <w:t xml:space="preserve">   rechaza la primera excepción preliminar.</w:t>
        <w:br/>
        <w:br/>
        <w:br/>
        <w:t>B)    Segunda Excepción Preliminar</w:t>
        <w:br/>
        <w:br/>
        <w:t xml:space="preserve">      Falta de legitimación de los representantes ante la Corte</w:t>
        <w:br/>
        <w:t>Interamericana</w:t>
        <w:br/>
        <w:br/>
        <w:t>25. Como segunda excepción preliminar, el Estado objetó el locus  standi  in</w:t>
        <w:br/>
        <w:t xml:space="preserve">   judicio  de  las  presuntas  víctimas  y  de  sus  representantes  en  el</w:t>
        <w:br/>
        <w:t xml:space="preserve">   procedimiento ante esta Corte.  El Estado alega que, en los  términos  de</w:t>
        <w:br/>
        <w:t xml:space="preserve">   los artículos 51 y 61  de  la  Convención,  únicamente  el  Estado  y  la</w:t>
        <w:br/>
        <w:t xml:space="preserve">   Comisión pueden someter un caso ante la  Corte  y  comparecer  ante  éste</w:t>
        <w:br/>
        <w:t xml:space="preserve">   órgano.  De acuerdo con el Estado,  toda  participación  independiente  o</w:t>
        <w:br/>
        <w:t xml:space="preserve">   individual de las presuntas víctimas o  de  sus  representantes  iría  en</w:t>
        <w:br/>
        <w:t xml:space="preserve">   contravención con la Convención y el principio de igualdad de  armas.  Ya</w:t>
        <w:br/>
        <w:t xml:space="preserve">   que solo existe un proyecto de Protocolo relacionado con la  legitimación</w:t>
        <w:br/>
        <w:t xml:space="preserve">   de los individuos ante la Corte y dado que el Reglamento de la  Corte  no</w:t>
        <w:br/>
        <w:t xml:space="preserve">   puede  prevalecer  sobre  la  Convención,  el  Estado  concluye  que  los</w:t>
        <w:br/>
        <w:t xml:space="preserve">   individuos aún no tienen legitimación legal para actuar  ante  la  Corte.</w:t>
        <w:br/>
        <w:t xml:space="preserve">   Por ende, la participación de las presuntas víctimas y sus representantes</w:t>
        <w:br/>
        <w:t xml:space="preserve">   sólo puede llevarse a cabo a través de la Comisión. Asimismo,  el  Estado</w:t>
        <w:br/>
        <w:t xml:space="preserve">   argumentó que los representantes no tienen legitimación, independiente  y</w:t>
        <w:br/>
        <w:t xml:space="preserve">   separada, para alegar ante la Corte que Surinam  ha  violado  el  derecho</w:t>
        <w:br/>
        <w:t xml:space="preserve">   consagrado en el artículo 3 de la Convención.  Por su parte, la  Comisión</w:t>
        <w:br/>
        <w:t xml:space="preserve">   y los representantes alegaron que una vez la Comisión somete un caso a la</w:t>
        <w:br/>
        <w:t xml:space="preserve">   Corte, las supuestas víctimas o sus representantes están legitimados para</w:t>
        <w:br/>
        <w:t xml:space="preserve">   someter autónomamente a la Corte sus solicitudes y argumentos,  con  base</w:t>
        <w:br/>
        <w:t xml:space="preserve">   en los hechos establecidos en la demanda de la Comisión.</w:t>
        <w:br/>
        <w:br/>
        <w:t>26. De hecho, conforme a lo estipulado en el artículo 61 de  la  Convención,</w:t>
        <w:br/>
        <w:t xml:space="preserve">   la Comisión  Interamericana  es  el  órgano  facultado  para  iniciar  un</w:t>
        <w:br/>
        <w:t xml:space="preserve">   procedimiento ante la Corte mediante la presentación de una demanda.   No</w:t>
        <w:br/>
        <w:t xml:space="preserve">   obstante, el Tribunal considera que evitar  que  las  presuntas  víctimas</w:t>
        <w:br/>
        <w:t xml:space="preserve">   presenten sus propios fundamentos  de  derecho  significaría  restringir,</w:t>
        <w:br/>
        <w:t xml:space="preserve">   indebidamente, su derecho de acceso a la justicia, el que  deriva  de  su</w:t>
        <w:br/>
        <w:t xml:space="preserve">   condición  de  sujetos  del  derecho  internacional   de   los   derechos</w:t>
        <w:br/>
        <w:t xml:space="preserve">   humanos[14].  En  la  etapa  actual   de   la   evolución   del   sistema</w:t>
        <w:br/>
        <w:t xml:space="preserve">   interamericano para la protección de los derechos humanos, la facultad de</w:t>
        <w:br/>
        <w:t xml:space="preserve">   las  presuntas  víctimas,  sus  familiares  o  sus  representantes   para</w:t>
        <w:br/>
        <w:t xml:space="preserve">   presentar, de forma autónoma, sus solicitudes, argumentos y prueba,  debe</w:t>
        <w:br/>
        <w:t xml:space="preserve">   interpretarse conforme  a  su  posición  de  titulares  de  los  derechos</w:t>
        <w:br/>
        <w:t xml:space="preserve">   reconocidos en la Convención y como beneficiarios de  la  protección  que</w:t>
        <w:br/>
        <w:t xml:space="preserve">   ofrece el  sistema[15].   Sin  embargo,  existen  ciertos  límites  a  la</w:t>
        <w:br/>
        <w:t xml:space="preserve">   participación de éstos en  este  procedimiento,  de  conformidad  con  lo</w:t>
        <w:br/>
        <w:t xml:space="preserve">   establecido en la Convención y en el ejercicio de la  competencia  de  la</w:t>
        <w:br/>
        <w:t xml:space="preserve">   Corte[16].  Es decir, el objetivo del escrito de solicitudes,  argumentos</w:t>
        <w:br/>
        <w:t xml:space="preserve">   y prueba de los representantes es hacer efectivo el atributo procesal  de</w:t>
        <w:br/>
        <w:t xml:space="preserve">   locus standi in judicio que  esta  Corte  ya  les  ha  reconocido  a  las</w:t>
        <w:br/>
        <w:t xml:space="preserve">   presuntas  víctimas,  sus  familiares  o   sus   representantes   en   su</w:t>
        <w:br/>
        <w:t xml:space="preserve">   jurisprudencia[17].</w:t>
        <w:br/>
        <w:br/>
        <w:t>27. También se encuentra bien establecido en la jurisprudencia del  Tribunal</w:t>
        <w:br/>
        <w:t xml:space="preserve">   que los representantes pueden informar al  Tribunal  sobre  los  llamados</w:t>
        <w:br/>
        <w:t xml:space="preserve">   hechos supervinientes, que podrán  alegar  ante  la  Corte  en  cualquier</w:t>
        <w:br/>
        <w:t xml:space="preserve">   momento del  procedimiento  antes  de  que  se  emita  la  sentencia[18].</w:t>
        <w:br/>
        <w:t xml:space="preserve">   Asimismo, vale la pena mencionar que, en cuanto  a  la  incorporación  de</w:t>
        <w:br/>
        <w:t xml:space="preserve">   otros derechos distintos de  aquellos  incluidos  en  la  demanda  de  la</w:t>
        <w:br/>
        <w:t xml:space="preserve">   Comisión, la Corte ha establecido que los  peticionarios  pueden  invocar</w:t>
        <w:br/>
        <w:t xml:space="preserve">   dichos derechos siempre que se refieran a los hechos ya  comprendidos  en</w:t>
        <w:br/>
        <w:t xml:space="preserve">   la demanda[19].  Finalmente, la Corte es el órgano que debe  decidir,  en</w:t>
        <w:br/>
        <w:t xml:space="preserve">   cada caso, sobre la admisibilidad de los argumentos de esta naturaleza  a</w:t>
        <w:br/>
        <w:t xml:space="preserve">   fin de salvaguardar la igualdad procesal  de  las  partes  (supra,  párr.</w:t>
        <w:br/>
        <w:t xml:space="preserve">   17)[20].</w:t>
        <w:br/>
        <w:br/>
        <w:t>28. El reconocimiento del locus standi in judicio de las presuntas  víctimas</w:t>
        <w:br/>
        <w:t xml:space="preserve">   así como su derecho a presentar argumentos legales distintos  a  aquellos</w:t>
        <w:br/>
        <w:t xml:space="preserve">   presentados por la Comisión, aunque basados  en  los  mismos  hechos,  no</w:t>
        <w:br/>
        <w:t xml:space="preserve">   viola el derecho de defensa del  Estado.   El  Estado  tiene  siempre  la</w:t>
        <w:br/>
        <w:t xml:space="preserve">   oportunidad, en todas las etapas del procedimiento ante este Tribunal, de</w:t>
        <w:br/>
        <w:t xml:space="preserve">   responder  a  los  planteamientos  formulados  por  la  Comisión  y   los</w:t>
        <w:br/>
        <w:t xml:space="preserve">   representantes.  El Estado tiene  esta  oportunidad  tanto  en  la  etapa</w:t>
        <w:br/>
        <w:t xml:space="preserve">   escrita como en la oral del  procedimiento.   Asimismo,  en  el  presente</w:t>
        <w:br/>
        <w:t xml:space="preserve">   caso, de conformidad con el artículo 39 del Reglamento de la Corte, se le</w:t>
        <w:br/>
        <w:t xml:space="preserve">   dio al Estado la oportunidad de presentar un escrito adicional a  fin  de</w:t>
        <w:br/>
        <w:t xml:space="preserve">   responder a la totalidad de los argumentos legales  presentados  por  los</w:t>
        <w:br/>
        <w:t xml:space="preserve">   representantes (supra párr. 6).  Por ello,  el  derecho  de  defensa  del</w:t>
        <w:br/>
        <w:t xml:space="preserve">   Estado contra los planteamientos formulados por los representantes en  el</w:t>
        <w:br/>
        <w:t xml:space="preserve">   presente caso ha sido respetado y salvaguardado en todo momento.</w:t>
        <w:br/>
        <w:br/>
        <w:t>29.  La  Corte,  por  lo  tanto,  considera  que,  de  conformidad  con   la</w:t>
        <w:br/>
        <w:t xml:space="preserve">   Convención, el Reglamento del Tribunal y su jurisprudencia, las presuntas</w:t>
        <w:br/>
        <w:t xml:space="preserve">   víctimas y sus representantes tienen derecho de participar en  todas  las</w:t>
        <w:br/>
        <w:t xml:space="preserve">   etapas del  presente  procedimiento  y  alegar  aquellas  violaciones  de</w:t>
        <w:br/>
        <w:t xml:space="preserve">   derechos que no fueron contempladas por la Comisión en su  demanda.   Por</w:t>
        <w:br/>
        <w:t xml:space="preserve">   estas razones, la Corte rechaza la segunda excepción preliminar.</w:t>
        <w:br/>
        <w:br/>
        <w:t>C)    Tercera Excepción Preliminar</w:t>
        <w:br/>
        <w:br/>
        <w:t xml:space="preserve">      Irregularidades en el procedimiento ante la Comisión Interamericana</w:t>
        <w:br/>
        <w:br/>
        <w:t>30. El Estado alegó que se cometieron diversas  irregularidades  durante  el</w:t>
        <w:br/>
        <w:t xml:space="preserve">   procedimiento ante la Comisión, incluyendo, inter alia, que  la  Comisión</w:t>
        <w:br/>
        <w:t xml:space="preserve">   supuestamente: (i) le dio a los peticionarios latitud para presentar  más</w:t>
        <w:br/>
        <w:t xml:space="preserve">   de once escritos en el transcurso del procedimiento; (ii) permitió que el</w:t>
        <w:br/>
        <w:t xml:space="preserve">   señor Padilla - antiguo Secretario Ejecutivo Adjunto  de  la  Comisión  -</w:t>
        <w:br/>
        <w:t xml:space="preserve">   actuara como asesor y abogado de los peticionarios; (iii) no  le  dio  al</w:t>
        <w:br/>
        <w:t xml:space="preserve">   Estado la oportunidad de asistir a la 119º sesión en marzo de 2004 al  no</w:t>
        <w:br/>
        <w:t xml:space="preserve">   haber invitado al Estado en tiempo oportuno; (iv) requirió que el  Estado</w:t>
        <w:br/>
        <w:t xml:space="preserve">   presentara una segunda solicitud  de  audiencia  pública  sobre  el  tema</w:t>
        <w:br/>
        <w:t xml:space="preserve">   porque la Comisión no respondió al primer pedido; (v) no trató al  Estado</w:t>
        <w:br/>
        <w:t xml:space="preserve">   con respeto durante la 121º sesión ya que un sólo Comisionado presidía la</w:t>
        <w:br/>
        <w:t xml:space="preserve">   audiencia pública mientras  que  un  segundo  miembro  se  fue  tras  las</w:t>
        <w:br/>
        <w:t xml:space="preserve">   primeras observaciones; (vi) no le  envió  al  Estado  las  actas  de  la</w:t>
        <w:br/>
        <w:t xml:space="preserve">   reunión u otra información relacionada con la  119º  sesión  a  pesar  de</w:t>
        <w:br/>
        <w:t xml:space="preserve">   varios pedidos realizados por el Estado, lo cual llevó a que el Estado no</w:t>
        <w:br/>
        <w:t xml:space="preserve">   tuviera  la  información  necesaria  durante  la  121º  sesión  y   causó</w:t>
        <w:br/>
        <w:t xml:space="preserve">   desventaja al Estado, y (vii)  no  respondió  a  las  presentaciones  del</w:t>
        <w:br/>
        <w:t xml:space="preserve">   Estado después de la adopción del informe del artículo 50  y,  por  ende,</w:t>
        <w:br/>
        <w:t xml:space="preserve">   engañó al Estado respecto del sometimiento de la demanda ante  la  Corte.</w:t>
        <w:br/>
        <w:t xml:space="preserve">   El Estado, por tanto, alegó que "[d]ado  que  la  Comisión  no  actuó  de</w:t>
        <w:br/>
        <w:t xml:space="preserve">   manera adecuada  en  el  transcurso  del  procedimiento,  la  Corte  debe</w:t>
        <w:br/>
        <w:t xml:space="preserve">   resolver esta situación y declarar que la Comisión no es competente  para</w:t>
        <w:br/>
        <w:t xml:space="preserve">   presentar este caso en particular ante la Corte. Si  se  declara  que  la</w:t>
        <w:br/>
        <w:t xml:space="preserve">   Comisión no es competente para presentar esta demanda/caso ante la  Corte</w:t>
        <w:br/>
        <w:t xml:space="preserve">   conforme a la aplicación del principio de la fruta del árbol  envenenado,</w:t>
        <w:br/>
        <w:t xml:space="preserve">   los peticionarios originales no tienen legitimación para  presentar  este</w:t>
        <w:br/>
        <w:t xml:space="preserve">   caso”.</w:t>
        <w:br/>
        <w:br/>
        <w:t>31. En respuesta, la Comisión  argumentó  que:  (i)  ambas  partes  tuvieron</w:t>
        <w:br/>
        <w:t xml:space="preserve">   amplia oportunidad de dirigirse a la Comisión, tanto en forma  oral  como</w:t>
        <w:br/>
        <w:t xml:space="preserve">   escrita, y el Estado  no  ha  demostrado  de  qué  forma  el  tratamiento</w:t>
        <w:br/>
        <w:t xml:space="preserve">   dispensado por la Comisión fue diferente o perjudicial  para  el  Estado;</w:t>
        <w:br/>
        <w:t xml:space="preserve">   (ii) la participación del ex Secretario Ejecutivo Adjunto de la  Comisión</w:t>
        <w:br/>
        <w:t xml:space="preserve">   en el presente caso estaba de acuerdo con lo establecido en el Reglamento</w:t>
        <w:br/>
        <w:t xml:space="preserve">   de la Comisión y no  se  le  ha  otorgado  trato  preferencial  al  señor</w:t>
        <w:br/>
        <w:t xml:space="preserve">   Padilla; (iii) le notificó debidamente al Estado respecto de la audiencia</w:t>
        <w:br/>
        <w:t xml:space="preserve">   convocada para el 119º Periodo de Sesiones en los términos  del  artículo</w:t>
        <w:br/>
        <w:t xml:space="preserve">   62.4  del  Reglamento  de  la  Comisión,  el  cual  permite  un  mes   de</w:t>
        <w:br/>
        <w:t xml:space="preserve">   anticipación para la notificación de las audiencias;  (iv)  la  audiencia</w:t>
        <w:br/>
        <w:t xml:space="preserve">   solicitada fue convocada en la primera oportunidad disponible después  de</w:t>
        <w:br/>
        <w:t xml:space="preserve">   la solicitud del Estado; (v) de acuerdo con lo establecido en el artículo</w:t>
        <w:br/>
        <w:t xml:space="preserve">   65 del Reglamento de la Comisión, el Presidente podrá  formar  grupos  de</w:t>
        <w:br/>
        <w:t xml:space="preserve">   trabajo por cuestiones  de  economía  procesal  y,  asimismo,  todas  las</w:t>
        <w:br/>
        <w:t xml:space="preserve">   audiencias son grabadas para que toda la Comisión se encuentre  informada</w:t>
        <w:br/>
        <w:t xml:space="preserve">   de lo acontecido durante la audiencia; (vi) en la demanda se  solicitó  a</w:t>
        <w:br/>
        <w:t xml:space="preserve">   la Corte que convoque las declaraciones de dos peritos escuchados  en  el</w:t>
        <w:br/>
        <w:t xml:space="preserve">   119º Periodo de Sesiones de  la  Comisión  para  permitir  al  Estado  la</w:t>
        <w:br/>
        <w:t xml:space="preserve">   oportunidad de escuchar y cuestionar  sus  declaraciones,  y  (vii)  tomó</w:t>
        <w:br/>
        <w:t xml:space="preserve">   plenamente en consideración la información provista por las partes en  el</w:t>
        <w:br/>
        <w:t xml:space="preserve">   período entre la emisión del informe del artículo 50 y  su  determinación</w:t>
        <w:br/>
        <w:t xml:space="preserve">   de que el caso debía ser enviado a  la  Corte.   En  dicha  decisión,  la</w:t>
        <w:br/>
        <w:t xml:space="preserve">   Comisión consideró sus deberes conforme a los artículos 44.1 y 44.2 de su</w:t>
        <w:br/>
        <w:t xml:space="preserve">   Reglamento, los cuales contemplan  si  el  Estado  ha  cumplido  con  las</w:t>
        <w:br/>
        <w:t xml:space="preserve">   recomendaciones emitidas y también considera la opinión del peticionario.</w:t>
        <w:br/>
        <w:t xml:space="preserve">   Los representantes apoyaron los argumentos  y  consideraciones  expuestos</w:t>
        <w:br/>
        <w:t xml:space="preserve">   por la Comisión.</w:t>
        <w:br/>
        <w:br/>
        <w:t>32. La Corte ha  sostenido  previamente  que  analizará  los  procedimientos</w:t>
        <w:br/>
        <w:t xml:space="preserve">   sometidos ante la Comisión cuando existiera un error que viole el derecho</w:t>
        <w:br/>
        <w:t xml:space="preserve">   de defensa del  Estado[21].   En  el  presente  caso,  el  Estado  no  ha</w:t>
        <w:br/>
        <w:t xml:space="preserve">   demostrado de qué manera la conducta de  la  Comisión  ha  conllevado  un</w:t>
        <w:br/>
        <w:t xml:space="preserve">   error que haya afectado el derecho  de  defensa  del  Estado  durante  el</w:t>
        <w:br/>
        <w:t xml:space="preserve">   procedimiento ante la Comisión.</w:t>
        <w:br/>
        <w:br/>
        <w:t>33. Por las  razones  expuestas,  la  Corte  rechaza  la  tercera  excepción</w:t>
        <w:br/>
        <w:t xml:space="preserve">   preliminar presentada por el Estado.</w:t>
        <w:br/>
        <w:br/>
        <w:t>D)    Cuarta Excepción Preliminar</w:t>
        <w:br/>
        <w:br/>
        <w:t xml:space="preserve">      Incumplimiento de los artículos 50 y 51 de la Convención Americana</w:t>
        <w:br/>
        <w:br/>
        <w:t>34. El Estado alegó que la demanda presentada  por  la  Comisión  el  23  de</w:t>
        <w:br/>
        <w:t xml:space="preserve">   junio de 2006 fue presentada de manera extemporánea  porque  la  presentó</w:t>
        <w:br/>
        <w:t xml:space="preserve">   ante la Corte una vez transcurrido el período de tres  meses  establecido</w:t>
        <w:br/>
        <w:t xml:space="preserve">   en los artículos 50 y 51 de la Convención Americana.   El  Estado  afirmó</w:t>
        <w:br/>
        <w:t xml:space="preserve">   que la Comisión debería haber presentado su demanda a más tardar el 22 de</w:t>
        <w:br/>
        <w:t xml:space="preserve">   junio de 2006. Dado que el período de tiempo estipulado en la  Convención</w:t>
        <w:br/>
        <w:t xml:space="preserve">   había transcurrido, el Estado  asegura  que  la  Comisión  debería  haber</w:t>
        <w:br/>
        <w:t xml:space="preserve">   adoptado el informe del artículo 51 de la Convención Americana.</w:t>
        <w:br/>
        <w:br/>
        <w:t>35. El artículo 51.1 de la Convención establece el plazo máximo  dentro  del</w:t>
        <w:br/>
        <w:t xml:space="preserve">   cual la Comisión debe presentar el caso a la competencia  contenciosa  de</w:t>
        <w:br/>
        <w:t xml:space="preserve">   la Corte; transcurrido este  plazo,  la  Comisión  pierde  el  derecho  a</w:t>
        <w:br/>
        <w:t xml:space="preserve">   hacerlo[22]. Conforme a dicho artículo:</w:t>
        <w:br/>
        <w:br/>
        <w:t xml:space="preserve">      [s]i en el plazo de tres meses, a partir de la remisión a los  Estados</w:t>
        <w:br/>
        <w:t xml:space="preserve">      interesados  del  informe  de  la  Comisión,  el  asunto  no  ha  sido</w:t>
        <w:br/>
        <w:t xml:space="preserve">      solucionado o sometido a la decisión de la Corte por la Comisión o por</w:t>
        <w:br/>
        <w:t xml:space="preserve">      el Estado interesado, aceptando  su  competencia,  la  Comisión  podrá</w:t>
        <w:br/>
        <w:t xml:space="preserve">      emitir, por mayoría absoluta de votos de sus miembros,  su  opinión  y</w:t>
        <w:br/>
        <w:t xml:space="preserve">      conclusiones sobre la cuestión sometida a su consideración.</w:t>
        <w:br/>
        <w:br/>
        <w:t>36. Este Tribunal ya ha establecido que el período de  tres  meses  se  debe</w:t>
        <w:br/>
        <w:t xml:space="preserve">   contar a partir de la fecha de transmisión del informe del artículo 50 al</w:t>
        <w:br/>
        <w:t xml:space="preserve">   Estado en cuestión[23]. La Corte también ha  aclarado  que  dicho  límite</w:t>
        <w:br/>
        <w:t xml:space="preserve">   temporal, aún cuando  no  es  fatal,  tiene  carácter  preclusivo,  salvo</w:t>
        <w:br/>
        <w:t xml:space="preserve">   circunstancias excepcionales, en lo que respecta al sometimiento del caso</w:t>
        <w:br/>
        <w:t xml:space="preserve">   a este Tribunal[24].</w:t>
        <w:br/>
        <w:br/>
        <w:t>37. Conforme a la prueba que presentó la  Comisión  Interamericana  ante  la</w:t>
        <w:br/>
        <w:t xml:space="preserve">   Corte, se envió el Informe No. 09/06 (Informe del artículo 50) al  Estado</w:t>
        <w:br/>
        <w:t xml:space="preserve">   el 23 de marzo de 2006. El Estado no ha proporcionado prueba  alguna  que</w:t>
        <w:br/>
        <w:t xml:space="preserve">   contradiga este hecho.  Por ello, la interposición del caso ante la Corte</w:t>
        <w:br/>
        <w:t xml:space="preserve">   el 23 de junio de 2006 fue realizada  dentro  del  plazo  de  tres  meses</w:t>
        <w:br/>
        <w:t xml:space="preserve">   establecido en el artículo 51.1 de la Convención. Asimismo, dado  que  se</w:t>
        <w:br/>
        <w:t xml:space="preserve">   interpuso el caso ante la Corte, las disposiciones del artículo 51 de  la</w:t>
        <w:br/>
        <w:t xml:space="preserve">   Convención no resultan aplicables[25].</w:t>
        <w:br/>
        <w:br/>
        <w:t>38. Por  las  razones  mencionadas,  la  Corte  considera  que  la  Comisión</w:t>
        <w:br/>
        <w:t xml:space="preserve">   Interamericana interpuso la demanda del presente caso ante este  Tribunal</w:t>
        <w:br/>
        <w:t xml:space="preserve">   dentro del plazo convencional establecido en  el  artículo  51.1  y,  por</w:t>
        <w:br/>
        <w:t xml:space="preserve">   ello, rechaza la cuarta excepción preliminar presentada por el Estado  al</w:t>
        <w:br/>
        <w:t xml:space="preserve">   respecto.</w:t>
        <w:br/>
        <w:br/>
        <w:t>39. Asimismo, el Estado afirmó que la Comisión no tomó en cuenta el  escrito</w:t>
        <w:br/>
        <w:t xml:space="preserve">   del Estado en el cual se detalla la implementación de las recomendaciones</w:t>
        <w:br/>
        <w:t xml:space="preserve">   del informe del artículo 50 de la Comisión. Al respecto, la Corte reitera</w:t>
        <w:br/>
        <w:t xml:space="preserve">   que los artículos  50  y  51  de  la  Convención  establecen  dos  etapas</w:t>
        <w:br/>
        <w:t xml:space="preserve">   diferentes[26]. Una vez que se adopta el informe  preliminar  establecido</w:t>
        <w:br/>
        <w:t xml:space="preserve">   en el artículo 50 de la Convención, la Comisión no precisa necesariamente</w:t>
        <w:br/>
        <w:t xml:space="preserve">   adoptar otro informe que contemple si  el  Estado  ha  cumplido  con  las</w:t>
        <w:br/>
        <w:t xml:space="preserve">   recomendaciones emitidas. La  Comisión  tiene  la  facultad,  dentro  del</w:t>
        <w:br/>
        <w:t xml:space="preserve">   período de tres meses, de decidir  si  someter  el  caso  ante  la  Corte</w:t>
        <w:br/>
        <w:t xml:space="preserve">   mediante la respectiva demanda  o  si  proceder  de  conformidad  con  el</w:t>
        <w:br/>
        <w:t xml:space="preserve">   artículo 51 de la  Convención[27].  Sin  embargo,  esta  decisión  no  es</w:t>
        <w:br/>
        <w:t xml:space="preserve">   discrecional, sino que se debe basar en la alternativa que más  beneficie</w:t>
        <w:br/>
        <w:t xml:space="preserve">   a la protección de los derechos establecidos en la Convención[28].</w:t>
        <w:br/>
        <w:br/>
        <w:t>40.  Al  respecto,  la  Comisión  ha  afirmado  que  “tomó   plenamente   en</w:t>
        <w:br/>
        <w:t xml:space="preserve">   consideración la información provista por las partes en el período  entre</w:t>
        <w:br/>
        <w:t xml:space="preserve">   la emisión del informe del artículo 50 y su determinación de que el  caso</w:t>
        <w:br/>
        <w:t xml:space="preserve">   debía ser enviado a la Corte”.   La  Corte  considera  que  se  encuentra</w:t>
        <w:br/>
        <w:t xml:space="preserve">   dentro de la competencia de la Comisión,  conforme  a  los  términos  del</w:t>
        <w:br/>
        <w:t xml:space="preserve">   artículo 51 de la Convención así como a los estándares establecidos en el</w:t>
        <w:br/>
        <w:t xml:space="preserve">   artículo 44 de su Reglamento, el determinar si el Estado ha cumplido  con</w:t>
        <w:br/>
        <w:t xml:space="preserve">   las recomendaciones del informe del artículo 50 y decidir someter al caso</w:t>
        <w:br/>
        <w:t xml:space="preserve">   a la competencia de la Corte.  No obstante,  aún  si  la  Comisión  tiene</w:t>
        <w:br/>
        <w:t xml:space="preserve">   cierto margen de discreción en esta  evaluación,  se  debería  considerar</w:t>
        <w:br/>
        <w:t xml:space="preserve">   debidamente el respeto a  los  derechos  procesales  de  las  partes[29].</w:t>
        <w:br/>
        <w:t xml:space="preserve">   Adicionalmente, la Corte revisará los  procedimientos  ante  la  Comisión</w:t>
        <w:br/>
        <w:t xml:space="preserve">   cuando exista un error que infrinja el derecho de defensa del Estado.[30]</w:t>
        <w:br/>
        <w:t xml:space="preserve">    Sin embargo, en el presente caso no existe prueba  que  sugiera  que  la</w:t>
        <w:br/>
        <w:t xml:space="preserve">   Comisión  no  ha  cumplido  con  las  respectivas  disposiciones  de   la</w:t>
        <w:br/>
        <w:t xml:space="preserve">   Convención así como las de su Reglamento.   Por  lo  expuesto,  la  Corte</w:t>
        <w:br/>
        <w:t xml:space="preserve">   rechaza la cuarta excepción preliminar presentada por el Estado.</w:t>
        <w:br/>
        <w:br/>
        <w:t>E)    Quinta Excepción Preliminar</w:t>
        <w:br/>
        <w:br/>
        <w:t xml:space="preserve">      No agotamiento de los recursos internos</w:t>
        <w:br/>
        <w:br/>
        <w:t>41. El Estado de Surinam afirmó que las presuntas  víctimas  no  promovieron</w:t>
        <w:br/>
        <w:t xml:space="preserve">   ni agotaron los recursos legales internos, los cuales el Estado considera</w:t>
        <w:br/>
        <w:t xml:space="preserve">   que son adecuados y efectivos.  El Estado argumentó  que  existen  varias</w:t>
        <w:br/>
        <w:t xml:space="preserve">   disposiciones dentro del Código Civil de  Surinam  que  proveen  recursos</w:t>
        <w:br/>
        <w:t xml:space="preserve">   legales efectivos, a saber, los artículos 1386[31],  1387[32],  1388[33],</w:t>
        <w:br/>
        <w:t xml:space="preserve">   1392[34] y 1393[35].  Asimismo, el Estado alegó  que  existe  un  recurso</w:t>
        <w:br/>
        <w:t xml:space="preserve">   legal efectivo bajo el artículo 226 del Código Procesal  de  Surinam  que</w:t>
        <w:br/>
        <w:t xml:space="preserve">   establece “un proceso sumarísimo” para aquellos casos que  requieren  una</w:t>
        <w:br/>
        <w:t xml:space="preserve">   urgencia  inmediata.   El  Estado  afirmó  que  las  presuntas   víctimas</w:t>
        <w:br/>
        <w:t xml:space="preserve">   eligieron no agotar  todos  estos  recursos  legales  disponibles  en  la</w:t>
        <w:br/>
        <w:t xml:space="preserve">   legislación interna antes de  presentar  la  demanda  ante  la  Comisión.</w:t>
        <w:br/>
        <w:t xml:space="preserve">   Además, el Estado sostuvo que el hecho de que la petición presentada ante</w:t>
        <w:br/>
        <w:t xml:space="preserve">   el Presidente de la República según el artículo 41.2 de la Ley de Gestión</w:t>
        <w:br/>
        <w:t xml:space="preserve">   Forestal no tuviera un resultado favorable, ello de por sí  no  demuestra</w:t>
        <w:br/>
        <w:t xml:space="preserve">   la falta de recursos internos, ni indica que los  peticionarios  agotaron</w:t>
        <w:br/>
        <w:t xml:space="preserve">   todos los recursos efectivos que estaban disponibles.</w:t>
        <w:br/>
        <w:br/>
        <w:t>42. En  el  presente  caso,  las  presuntas  víctimas  reconocieron  que  no</w:t>
        <w:br/>
        <w:t xml:space="preserve">   agotaron los recursos internos mencionados por el Estado supra.   Por  el</w:t>
        <w:br/>
        <w:t xml:space="preserve">   contrario, sostuvieron que dichos recursos eran inadecuados e inefectivos</w:t>
        <w:br/>
        <w:t xml:space="preserve">   para tratar las cuestiones presentadas ante esta Corte.  En  cambio,  las</w:t>
        <w:br/>
        <w:t xml:space="preserve">   presuntas víctimas presentaron cuatro peticiones al  Estado  relacionadas</w:t>
        <w:br/>
        <w:t xml:space="preserve">   con el presente caso: se presentaron  dos  peticiones  al  Presidente  de</w:t>
        <w:br/>
        <w:t xml:space="preserve">   Surinam en los términos  del  artículo  41.1(b)  de  la  Ley  de  Gestión</w:t>
        <w:br/>
        <w:t xml:space="preserve">   Forestal de 1992 y otras dos conforme al artículo 22 de  la  Constitución</w:t>
        <w:br/>
        <w:t xml:space="preserve">   de Surinam de 1987  que  reconoce  el  derecho  de  peticionar  ante  las</w:t>
        <w:br/>
        <w:t xml:space="preserve">   autoridades públicas.  Ninguno de  estos  reclamos  formales  obtuvo  una</w:t>
        <w:br/>
        <w:t xml:space="preserve">   respuesta. Por ello, la  cuestión  gira  en  torno  a  si  las  presuntas</w:t>
        <w:br/>
        <w:t xml:space="preserve">   víctimas  deberían  haber  agotado,  adicional  o  simultáneamente,   los</w:t>
        <w:br/>
        <w:t xml:space="preserve">   recursos internos mencionados por el Estado.</w:t>
        <w:br/>
        <w:br/>
        <w:t>43. La Corte ya ha desarrollado pautas claras para  analizar  una  excepción</w:t>
        <w:br/>
        <w:t xml:space="preserve">   de presunto incumplimiento del agotamiento de los recursos  internos[36].</w:t>
        <w:br/>
        <w:t xml:space="preserve">   Primero,  la  Corte  ha  interpretado  la  excepción  como  una   defensa</w:t>
        <w:br/>
        <w:t xml:space="preserve">   disponible para el Estado y, como tal, que puede renunciarse a  ella,  ya</w:t>
        <w:br/>
        <w:t xml:space="preserve">   sea expresa o tácitamente.  Segundo, a fin de  que  la  excepción  de  no</w:t>
        <w:br/>
        <w:t xml:space="preserve">   agotamiento de los recursos internos sea oportuna, debe  alegarse  en  la</w:t>
        <w:br/>
        <w:t xml:space="preserve">   primera actuación del Estado durante el procedimiento ante  la  Comisión;</w:t>
        <w:br/>
        <w:t xml:space="preserve">   de lo contrario, se presume que el Estado  ha  renunciado  tácitamente  a</w:t>
        <w:br/>
        <w:t xml:space="preserve">   presentar dicho argumento.  Tercero, la Corte ha afirmado que  el  Estado</w:t>
        <w:br/>
        <w:t xml:space="preserve">   que presenta esta excepción debe especificar los  recursos  internos  que</w:t>
        <w:br/>
        <w:t xml:space="preserve">   aún no se han agotado y demostrar que estos  recursos  son  aplicables  y</w:t>
        <w:br/>
        <w:t xml:space="preserve">   efectivos.</w:t>
        <w:br/>
        <w:br/>
        <w:t>44. El Estado alegó por primera vez la cuestión acerca  del  agotamiento  de</w:t>
        <w:br/>
        <w:t xml:space="preserve">   recursos internos en su cuarta comunicación en el procedimiento  ante  la</w:t>
        <w:br/>
        <w:t xml:space="preserve">   Comisión y no  especificó  explícitamente  cuales  recursos  internos  no</w:t>
        <w:br/>
        <w:t xml:space="preserve">   habían sido agotados  por  las  presuntas  víctimas.   En  una  actuación</w:t>
        <w:br/>
        <w:t xml:space="preserve">   posterior, de fecha 23 de mayo de 2003, el Estado hizo  referencia  a  la</w:t>
        <w:br/>
        <w:t xml:space="preserve">   existencia de “varios artículos del Código Civil de Surinam […] sobre los</w:t>
        <w:br/>
        <w:t xml:space="preserve">   cuales  los  peticionarios  habrían  podido  promover  una  acción.”   Se</w:t>
        <w:br/>
        <w:t xml:space="preserve">   refirió, en particular, a los artículos 1386, 1387, 1388, 1392 y 1393  de</w:t>
        <w:br/>
        <w:t xml:space="preserve">   su Código Civil.  En la contestación a  la  demanda  ante  la  Corte,  el</w:t>
        <w:br/>
        <w:t xml:space="preserve">   Estado alegó adicionalmente la supuesta falta de agotamiento del  recurso</w:t>
        <w:br/>
        <w:t xml:space="preserve">   interno disponible bajo el artículo 226 de su  Código  Civil.   La  Corte</w:t>
        <w:br/>
        <w:t xml:space="preserve">   nota que el Estado no alegó, en la primera actuación  ante  la  Comisión,</w:t>
        <w:br/>
        <w:t xml:space="preserve">   que  las  presuntas  víctimas   no   agotaron   los   recursos   internos</w:t>
        <w:br/>
        <w:t xml:space="preserve">   supuestamente disponibles bajo los artículos 226, 1386, 1387, 1388,  1392</w:t>
        <w:br/>
        <w:t xml:space="preserve">   y 1393 del Código Civil.  Por lo tanto, la Corte considera que el  Estado</w:t>
        <w:br/>
        <w:t xml:space="preserve">   ha implícitamente renunciado a su derecho de cuestionar la  admisibilidad</w:t>
        <w:br/>
        <w:t xml:space="preserve">   del caso sobre la base del presunto no agotamiento del  recurso  internos</w:t>
        <w:br/>
        <w:t xml:space="preserve">   disponible bajo dichos artículos del Código Civil.  La Corte,  por  ello,</w:t>
        <w:br/>
        <w:t xml:space="preserve">   desestima la quinta excepción preliminar en  relación  con  la  falta  de</w:t>
        <w:br/>
        <w:t xml:space="preserve">   agotamiento de recursos internos.</w:t>
        <w:br/>
        <w:br/>
        <w:t>F)    Sexta Excepción Preliminar</w:t>
        <w:br/>
        <w:br/>
        <w:t xml:space="preserve">      Duplicidad de procedimientos internacionales</w:t>
        <w:br/>
        <w:br/>
        <w:t>45.  El  Estado  alegó  que  los  peticionarios  han  presentado  peticiones</w:t>
        <w:br/>
        <w:t xml:space="preserve">   duplicadas a más de un  organismo  internacional,  y  por  lo  tanto,  la</w:t>
        <w:br/>
        <w:t xml:space="preserve">   demanda ante esta Corte es inadmisible de conformidad con  los  artículos</w:t>
        <w:br/>
        <w:t xml:space="preserve">   46.c y 47.d de la Convención Americana. El Estado  sostiene  que,  en  el</w:t>
        <w:br/>
        <w:t xml:space="preserve">   presente caso, ya se han presentado denuncias con el mismo  predicado  de</w:t>
        <w:br/>
        <w:t xml:space="preserve">   hecho y estándares legales y disposiciones de derechos  humanos  ante  el</w:t>
        <w:br/>
        <w:t xml:space="preserve">   Comité de Derechos Humanos de Naciones Unidas (en adelante, “Comité  DH”)</w:t>
        <w:br/>
        <w:t xml:space="preserve">   y  ante  el  Comité  de  Naciones  Unidas  para  la  Eliminación  de   la</w:t>
        <w:br/>
        <w:t xml:space="preserve">   Discriminación Racial (en adelante, “CEDR”). El  Estado  asimismo  afirmó</w:t>
        <w:br/>
        <w:t xml:space="preserve">   que la Corte ya ha decidido sobre  el  derecho  a  la  propiedad  de  los</w:t>
        <w:br/>
        <w:t xml:space="preserve">   “maroon e/o indígenas” en el caso de la Comunidad Moiwana vs. Surinam.</w:t>
        <w:br/>
        <w:br/>
        <w:t>46. El artículo 46 de la Convención  Americana  estipula  como  uno  de  los</w:t>
        <w:br/>
        <w:t xml:space="preserve">   requisitos para que una petición sea admitida por la Comisión,</w:t>
        <w:br/>
        <w:br/>
        <w:br/>
        <w:t xml:space="preserve">      […]</w:t>
        <w:br/>
        <w:br/>
        <w:br/>
        <w:t xml:space="preserve">      c.    que la materia de la petición o comunicación no  esté  pendiente</w:t>
        <w:br/>
        <w:t xml:space="preserve">      de otro procedimiento de arreglo internacional […]</w:t>
        <w:br/>
        <w:br/>
        <w:br/>
        <w:t>y  conforme  al  artículo  47  de  la  Convención  Americana,  se  declarará</w:t>
        <w:br/>
        <w:t>inadmisible una petición cuando</w:t>
        <w:br/>
        <w:br/>
        <w:t xml:space="preserve">      […]</w:t>
        <w:br/>
        <w:br/>
        <w:t xml:space="preserve">      d.     sea  sustancialmente  la  reproducción  de  [una]  petición   o</w:t>
        <w:br/>
        <w:t xml:space="preserve">      comunicación anterior ya examinada por la Comisión  u  otro  organismo</w:t>
        <w:br/>
        <w:t xml:space="preserve">      internacional.</w:t>
        <w:br/>
        <w:br/>
        <w:br/>
        <w:t xml:space="preserve">      […]</w:t>
        <w:br/>
        <w:br/>
        <w:t>47. La cuestión de litis pendencia exige establecer si “la  materia”  de  la</w:t>
        <w:br/>
        <w:t xml:space="preserve">   petición o comunicación está pendiente de otro procedimiento  de  arreglo</w:t>
        <w:br/>
        <w:t xml:space="preserve">   internacional, mientras que se declarará res judicata cuando la  petición</w:t>
        <w:br/>
        <w:t xml:space="preserve">   o  comunicación  sea  “sustancialmente  la  misma”  que  una  petición  o</w:t>
        <w:br/>
        <w:t xml:space="preserve">   comunicación anterior ya examinada por la Comisión o por  otro  organismo</w:t>
        <w:br/>
        <w:t xml:space="preserve">   internacional.</w:t>
        <w:br/>
        <w:br/>
        <w:t>48. Esta Corte ya ha establecido que “[l]a frase ‘sustancialmente la  misma’</w:t>
        <w:br/>
        <w:t xml:space="preserve">   significa que debe existir identidad entre los casos.   Para  que  exista</w:t>
        <w:br/>
        <w:t xml:space="preserve">   dicha identidad se requiere la presencia de tres elementos, a saber:  que</w:t>
        <w:br/>
        <w:t xml:space="preserve">   las partes sean las mismas, que el objeto sea el  mismo  y  que  la  base</w:t>
        <w:br/>
        <w:t xml:space="preserve">   legal sea idéntica”[37].</w:t>
        <w:br/>
        <w:br/>
        <w:t>49. La petición relacionada con este caso se interpuso ante la  Comisión  el</w:t>
        <w:br/>
        <w:t xml:space="preserve">   27 de octubre de 2000. La excepción  del  Estado  se  relaciona  con  las</w:t>
        <w:br/>
        <w:t xml:space="preserve">   presentaciones efectuadas ante los  organismos  de  derechos  humanos  de</w:t>
        <w:br/>
        <w:t xml:space="preserve">   Naciones Unidas desde el año 2002 al 2005.   Específicamente,  el  Estado</w:t>
        <w:br/>
        <w:t xml:space="preserve">   puntualizó que: a) desde diciembre de 2002 hasta julio de 2005 hubo cinco</w:t>
        <w:br/>
        <w:t xml:space="preserve">   “peticiones formales” presentadas por la Asociación de Líderes de Pueblos</w:t>
        <w:br/>
        <w:t xml:space="preserve">   Indígenas de Surinam, Stiching Sanomaro Esa, la Asociación de Autoridades</w:t>
        <w:br/>
        <w:t xml:space="preserve">   Saramaka y la ONG Forest Peoples Programme ante el  Comité  CEDR[38],  en</w:t>
        <w:br/>
        <w:t xml:space="preserve">   especial, una petición presentada el 15 de diciembre de 2002 “solicitando</w:t>
        <w:br/>
        <w:t xml:space="preserve">   acción urgente por los derechos de los pueblos tribales  e  indígenas  de</w:t>
        <w:br/>
        <w:t xml:space="preserve">   Surinam” y b) una “petición” presentada el 30 de enero de 2002 por la ONG</w:t>
        <w:br/>
        <w:t xml:space="preserve">   Forest Peoples Programme ante el Comité  DH  respecto  de  Surinam  y  su</w:t>
        <w:br/>
        <w:t xml:space="preserve">   cumplimiento con el Pacto Internacional de Derechos Civiles  y  Políticos</w:t>
        <w:br/>
        <w:t xml:space="preserve">   (en adelante “PIDC”), específicamente en relación con las  violaciones  a</w:t>
        <w:br/>
        <w:t xml:space="preserve">   los artículos 1, 26 y 27 de dicho instrumento internacional.</w:t>
        <w:br/>
        <w:br/>
        <w:t>50. El Comité DH emitió observaciones finales sobre Surinam el 4 de mayo  de</w:t>
        <w:br/>
        <w:t xml:space="preserve">   2004[39], mientras que el CERD emitió  sus  observaciones  finales  sobre</w:t>
        <w:br/>
        <w:t xml:space="preserve">   Surinam el 28 de abril de 2004[40].  Asimismo, el 9 de marzo de  2005  el</w:t>
        <w:br/>
        <w:t xml:space="preserve">   CEDR adoptó una decisión de seguimiento  respecto  de  las  observaciones</w:t>
        <w:br/>
        <w:t xml:space="preserve">   finales antes mencionadas[41]. Finalmente, el CEDR emitió tres decisiones</w:t>
        <w:br/>
        <w:t xml:space="preserve">   de acuerdo con su procedimiento de alerta temprana y acción urgente el 21</w:t>
        <w:br/>
        <w:t xml:space="preserve">   de marzo de 2003[42], el 18 de agosto de 2005[43] y el 18  de  agosto  de</w:t>
        <w:br/>
        <w:t xml:space="preserve">   2006[44], respecto de Surinam.</w:t>
        <w:br/>
        <w:br/>
        <w:t>51. A fin de abordar esta cuestión, la Corte hará  hincapié  en  el  objeto,</w:t>
        <w:br/>
        <w:t xml:space="preserve">   propósito y la naturaleza de las acciones sometidas ante los  Comités  de</w:t>
        <w:br/>
        <w:t xml:space="preserve">   DH y CEDR de Naciones  Unidas.   Respeto  del  Comité  de  DH,  la  única</w:t>
        <w:br/>
        <w:t xml:space="preserve">   decisión que indicó el Estado se relaciona con el procedimiento por medio</w:t>
        <w:br/>
        <w:t xml:space="preserve">   del cual  este  organismo  de  control  emitió  observaciones  finales  y</w:t>
        <w:br/>
        <w:t xml:space="preserve">   recomendaciones sobre el cumplimiento y la implementación de los derechos</w:t>
        <w:br/>
        <w:t xml:space="preserve">   y obligaciones establecidas en el PIDCP  por  parte  de  Surinam.   Dicho</w:t>
        <w:br/>
        <w:t xml:space="preserve">   procedimiento, regido por el artículo 40 del PIDCP, le otorga  al  Comité</w:t>
        <w:br/>
        <w:t xml:space="preserve">   de DH la facultad de examinar los  informes  periódicos  de  los  Estados</w:t>
        <w:br/>
        <w:t xml:space="preserve">   Parte “sobre las medidas adoptadas para  efectivizar  los  derechos  allí</w:t>
        <w:br/>
        <w:t xml:space="preserve">   reconocidos y sobre el progreso logrado en el goce de  dichos  derechos”.</w:t>
        <w:br/>
        <w:t xml:space="preserve">   La Corte observa  que  el  objeto  y  el  propósito  de  la  presentación</w:t>
        <w:br/>
        <w:t xml:space="preserve">   realizada por la ONG Forest Peoples Programme no constituye una  petición</w:t>
        <w:br/>
        <w:t xml:space="preserve">   para la adjudicación de determinados derechos del pueblo  Saramaka,  sino</w:t>
        <w:br/>
        <w:t xml:space="preserve">   un “shadow report”  que ayuda al Comité de  DH  en  el  planteamiento  de</w:t>
        <w:br/>
        <w:t xml:space="preserve">   preguntas para Surinam durante la revisión de los  informes  del  Estado,</w:t>
        <w:br/>
        <w:t xml:space="preserve">   así como para proporcionar información independiente sobre  la  cuestión.</w:t>
        <w:br/>
        <w:t xml:space="preserve">   Resulta  claro  que  las  observaciones  finales  del  Comité  de  DH  se</w:t>
        <w:br/>
        <w:t xml:space="preserve">   relacionan con la evaluación de la  situación  general  de  los  derechos</w:t>
        <w:br/>
        <w:t xml:space="preserve">   humanos en un país sujeto al escrutinio.  Dicho  procedimiento  contrasta</w:t>
        <w:br/>
        <w:t xml:space="preserve">   con  el  mecanismo  de  quejas  individuales  establecido  en  el  Primer</w:t>
        <w:br/>
        <w:t xml:space="preserve">   Protocolo Opcional al  PIDCP,  según  el  cual  el  Comité  de  DH  puede</w:t>
        <w:br/>
        <w:t xml:space="preserve">   considerar  toda  petición  o  comunicación  individual  relacionada  con</w:t>
        <w:br/>
        <w:t xml:space="preserve">   presuntas violaciones de derechos reconocidos en el PIDCP por los Estados</w:t>
        <w:br/>
        <w:t xml:space="preserve">   Parte del Protocolo, lo que no sucede en el presente caso.</w:t>
        <w:br/>
        <w:br/>
        <w:t>52. Las decisiones del CEDR que indica el Estado, por otro lado,  apuntan  a</w:t>
        <w:br/>
        <w:t xml:space="preserve">   dos mecanismos de seguimiento  diferentes.   Primero,  las  observaciones</w:t>
        <w:br/>
        <w:t xml:space="preserve">   finales se  emitieron  conforme  al  procedimiento  de  informes  en  los</w:t>
        <w:br/>
        <w:t xml:space="preserve">   términos  del  artículo  9  de  la  Convención  Internacional  sobre   la</w:t>
        <w:br/>
        <w:t xml:space="preserve">   Eliminación de Discriminación Racial (en adelante “CIEDR”), por  el  cual</w:t>
        <w:br/>
        <w:t xml:space="preserve">   los Estados Partes se comprometen a presentar,  de  forma  periódica  “un</w:t>
        <w:br/>
        <w:t xml:space="preserve">   informe sobre las medidas  legislativas,  judiciales,  administrativas  u</w:t>
        <w:br/>
        <w:t xml:space="preserve">   otras que hayan adoptado y que den  efecto  a  las  disposiciones  de  la</w:t>
        <w:br/>
        <w:t xml:space="preserve">   Convención”.  Dicho procedimiento es similar  al  procedimiento  descrito</w:t>
        <w:br/>
        <w:t xml:space="preserve">   anteriormente para el Comité de DH.  Asimismo,  la  decisión  relacionada</w:t>
        <w:br/>
        <w:t xml:space="preserve">   con el procedimiento de seguimiento  emitida  por  el  CEDR  implica  una</w:t>
        <w:br/>
        <w:t xml:space="preserve">   revisión de las medidas adoptadas por el Estado a fin de cumplir con  las</w:t>
        <w:br/>
        <w:t xml:space="preserve">   observaciones finales y las recomendaciones anteriormente adoptadas,  así</w:t>
        <w:br/>
        <w:t xml:space="preserve">   como un pedido de más información de acuerdo con el artículo  9,  párrafo</w:t>
        <w:br/>
        <w:t xml:space="preserve">   1, del CIEDR y el artículo 65 del Reglamento del Comité.</w:t>
        <w:br/>
        <w:br/>
        <w:t>53. Segundo, el CEDR emitió tres decisiones referentes al  procedimiento  de</w:t>
        <w:br/>
        <w:t xml:space="preserve">   alerta temprana y acción urgente, mecanismo preventivo adoptado  en  1993</w:t>
        <w:br/>
        <w:t xml:space="preserve">   para intentar prevenir que “los problemas  existentes  se  conviertan  en</w:t>
        <w:br/>
        <w:t xml:space="preserve">   conflictos” y “para responder a los problemas que  exigen  una  inmediata</w:t>
        <w:br/>
        <w:t xml:space="preserve">   atención para prevenir o limitar la cantidad de violaciones graves de  la</w:t>
        <w:br/>
        <w:t xml:space="preserve">   Convención”.  Este mecanismo  difiere,  asimismo,  del  procedimiento  de</w:t>
        <w:br/>
        <w:t xml:space="preserve">   quejas  individuales,  según  el  cual  el  CEDR  puede  considerar  toda</w:t>
        <w:br/>
        <w:t xml:space="preserve">   comunicación individual relacionada con los Estados  Parte  sólo  si  los</w:t>
        <w:br/>
        <w:t xml:space="preserve">   Estados efectúan la declaración necesaria conforme  al  artículo  14  del</w:t>
        <w:br/>
        <w:t xml:space="preserve">   CIEDR, hecho que Surinam aún no ha  realizado.  El  mismo  CEDR  reconoce</w:t>
        <w:br/>
        <w:t xml:space="preserve">   dicha diferenciación al afirmar que el procedimiento de alerta temprana y</w:t>
        <w:br/>
        <w:t xml:space="preserve">   acción urgente “es claramente distinto del procedimiento de  comunicación</w:t>
        <w:br/>
        <w:t xml:space="preserve">   en los términos del artículo 14 de la Convención.  Más aún, la naturaleza</w:t>
        <w:br/>
        <w:t xml:space="preserve">   y la urgencia de la cuestión examinada en esta decisión va  más  allá  de</w:t>
        <w:br/>
        <w:t xml:space="preserve">   los límites del procedimiento de comunicación”[45].</w:t>
        <w:br/>
        <w:br/>
        <w:t>54. Con fundamento en las consideraciones  antes  mencionadas,  el  Tribunal</w:t>
        <w:br/>
        <w:t xml:space="preserve">   concluye  que   los  procedimientos  de  informes   de   los   organismos</w:t>
        <w:br/>
        <w:t xml:space="preserve">   universales de derechos humanos, así  como  el  procedimiento  de  alerta</w:t>
        <w:br/>
        <w:t xml:space="preserve">   temprana y acción urgente del CEDR, no tienen el mismo objeto,  propósito</w:t>
        <w:br/>
        <w:t xml:space="preserve">   ni naturaleza que la competencia contenciosa de la Corte  Interamericana.</w:t>
        <w:br/>
        <w:t xml:space="preserve">   Los primeros no involucran una parte peticionante que solicita reparación</w:t>
        <w:br/>
        <w:t xml:space="preserve">   por la violación  de  los  derechos  del  pueblo  Saramaka.   En  vez  de</w:t>
        <w:br/>
        <w:t xml:space="preserve">   adjudicar controversias y ordenar medidas de reparación que correspondan,</w:t>
        <w:br/>
        <w:t xml:space="preserve">   tales procedimientos consisten meramente en revisiones  de  la  situación</w:t>
        <w:br/>
        <w:t xml:space="preserve">   general concerniente a los derechos humanos o a la discriminación  racial</w:t>
        <w:br/>
        <w:t xml:space="preserve">   en un país determinado, en  este  caso,  en  Surinam,  o  conciernen  una</w:t>
        <w:br/>
        <w:t xml:space="preserve">   situación especial que implica una situación de discriminación racial que</w:t>
        <w:br/>
        <w:t xml:space="preserve">   exige atención urgente.  Asimismo, la  naturaleza  de  las  observaciones</w:t>
        <w:br/>
        <w:t xml:space="preserve">   finales y las recomendaciones emitidas por dichos Comités es distinta  de</w:t>
        <w:br/>
        <w:t xml:space="preserve">   las sentencias emitidas por la Corte Interamericana.</w:t>
        <w:br/>
        <w:br/>
        <w:t>55. En vista de estas consideraciones, es innecesario que  la  Corte  decida</w:t>
        <w:br/>
        <w:t xml:space="preserve">   sobre si las partes implicadas en dicho procedimiento  internacional  son</w:t>
        <w:br/>
        <w:t xml:space="preserve">   las mismas que las partes del presente caso o si los fundamentos  legales</w:t>
        <w:br/>
        <w:t xml:space="preserve">   son los mismos.  Basta para la Corte decir que los procedimientos ante el</w:t>
        <w:br/>
        <w:t xml:space="preserve">   Comité de DH y el CEDR son, intrínsicamente, de un  objeto,  propósito  y</w:t>
        <w:br/>
        <w:t xml:space="preserve">   naturaleza distintos a aquellos del presente  caso.   Por  lo  tanto,  la</w:t>
        <w:br/>
        <w:t xml:space="preserve">   Corte rechaza la sexta excepción preliminar del Estado  en  cuanto  a  la</w:t>
        <w:br/>
        <w:t xml:space="preserve">   duplicidad de los procedimientos  internacionales  en  relación  con  las</w:t>
        <w:br/>
        <w:t xml:space="preserve">   decisiones e informes mencionados anteriormente de los Comités  de  DH  y</w:t>
        <w:br/>
        <w:t xml:space="preserve">   CEDR.</w:t>
        <w:br/>
        <w:br/>
        <w:t>56. En cuanto a los argumentos de que esta Corte ya ha resuelto en  el  Caso</w:t>
        <w:br/>
        <w:t xml:space="preserve">   Comunidad Moiwana vs. Surinam  (en  adelante  “Caso  Moiwana”)  sobre  el</w:t>
        <w:br/>
        <w:t xml:space="preserve">   derecho a la propiedad de los “maroon y/o  de  pueblos  indígenas”,  esta</w:t>
        <w:br/>
        <w:t xml:space="preserve">   Corte recuerda que, a fin de que se configure  res  judicata  debe  haber</w:t>
        <w:br/>
        <w:t xml:space="preserve">   identidad entre los casos, esto es, las partes y el objeto del caso deben</w:t>
        <w:br/>
        <w:t xml:space="preserve">   ser idénticos así como sus fundamentos legales (supra párr. 48).</w:t>
        <w:br/>
        <w:br/>
        <w:t>57. Es evidente que no hay identidad entre  los  sujetos  o  el  objeto  del</w:t>
        <w:br/>
        <w:t xml:space="preserve">   presente caso y el  Caso  Moiwana.   Las  víctimas  en  el  Caso  Moiwana</w:t>
        <w:br/>
        <w:t xml:space="preserve">   difieren de las presuntas víctimas del presente caso.   Mientras  que  el</w:t>
        <w:br/>
        <w:t xml:space="preserve">   primer caso hace  referencia  a  las  violaciones  en  perjuicio  de  los</w:t>
        <w:br/>
        <w:t xml:space="preserve">   miembros de la comunidad de Moiwana, el presente caso  implica  presuntas</w:t>
        <w:br/>
        <w:t xml:space="preserve">   violaciones en perjuicio de los miembros del  pueblo  Saramaka.  Mientras</w:t>
        <w:br/>
        <w:t xml:space="preserve">   que en el Caso Moiwana, los hechos se referían a la  presunta  denegación</w:t>
        <w:br/>
        <w:t xml:space="preserve">   de justicia y desplazamiento de la comunidad Moiwana que ocurrió luego de</w:t>
        <w:br/>
        <w:t xml:space="preserve">   que las fuerzas armadas de Surinam atacaron a los miembros del pueblo  de</w:t>
        <w:br/>
        <w:t xml:space="preserve">   Moiwana el 29 de noviembre de 1986; en el presente caso,  los  hechos  se</w:t>
        <w:br/>
        <w:t xml:space="preserve">   relacionan con el presunto incumplimiento de Surinam de  adoptar  medidas</w:t>
        <w:br/>
        <w:t xml:space="preserve">   efectivas para reconocerle a los miembros del pueblo Saramaka el  derecho</w:t>
        <w:br/>
        <w:t xml:space="preserve">   de propiedad comunal respecto de las tierras  que  han  ocupado  y  usado</w:t>
        <w:br/>
        <w:t xml:space="preserve">   tradicionalmente; de no proporcionarle a los miembros del pueblo Saramaka</w:t>
        <w:br/>
        <w:t xml:space="preserve">   acceso efectivo a la justicia, como comunidad, para la protección de  sus</w:t>
        <w:br/>
        <w:t xml:space="preserve">   derechos fundamentales, y el no cumplimiento con la obligación de adoptar</w:t>
        <w:br/>
        <w:t xml:space="preserve">   disposiciones legales internas y respetar los derechos consagrados en  la</w:t>
        <w:br/>
        <w:t xml:space="preserve">   Convención.</w:t>
        <w:br/>
        <w:br/>
        <w:t>58. En virtud de  estas  razones,  la  Corte  rechaza,  asimismo,  la  sexta</w:t>
        <w:br/>
        <w:t xml:space="preserve">   excepción preliminar respecto de la presunta duplicidad de procedimientos</w:t>
        <w:br/>
        <w:t xml:space="preserve">   internacionales en relación con el caso Moiwana.</w:t>
        <w:br/>
        <w:br/>
        <w:t>G)    Séptima Excepción Preliminar</w:t>
        <w:br/>
        <w:br/>
        <w:t xml:space="preserve">      Falta de competencia ratione temporis</w:t>
        <w:br/>
        <w:br/>
        <w:br/>
        <w:t>59. Los representantes alegaron en su escrito de  solicitudes  y  argumentos</w:t>
        <w:br/>
        <w:t xml:space="preserve">   que la construcción en la década del `60 de la reserva  y  dique  Afobaka</w:t>
        <w:br/>
        <w:t xml:space="preserve">   sobre las tierras que tradicionalmente ocuparon  y  usaron  los  Saramaka</w:t>
        <w:br/>
        <w:t xml:space="preserve">   “muestra efectos continuos y consecuencias imputables  a  Surinam  y  que</w:t>
        <w:br/>
        <w:t xml:space="preserve">   violan las garantías convencionales”.  En  especial,  los  representantes</w:t>
        <w:br/>
        <w:t xml:space="preserve">   apuntan a “una  privación  continua  del  acceso  a  aquellas  tierras  y</w:t>
        <w:br/>
        <w:t xml:space="preserve">   recursos  tradicionales  que  han  sida  inundados,  así  como  al   daño</w:t>
        <w:br/>
        <w:t xml:space="preserve">   irreparable a numerosos sitios sagrados; la interrupción permanente sobre</w:t>
        <w:br/>
        <w:t xml:space="preserve">   la tenencia y los sistemas de gestión de recursos  tradicionales  de  las</w:t>
        <w:br/>
        <w:t xml:space="preserve">   tierras del pueblo Saramaka, que, junto a un  aumento  sustancial  de  la</w:t>
        <w:br/>
        <w:t xml:space="preserve">   población causado por la fusión de la  mayoría  de  los  desplazados  con</w:t>
        <w:br/>
        <w:t xml:space="preserve">   comunidades existentes, ha producido un serio stress en la  capacidad  de</w:t>
        <w:br/>
        <w:t xml:space="preserve">   las tierras y bosques  Saramaka  para  cumplir  con  las  necesidades  de</w:t>
        <w:br/>
        <w:t xml:space="preserve">   subsistencia básicas; el incumplimiento continuo por parte del Estado  de</w:t>
        <w:br/>
        <w:t xml:space="preserve">   asegurar los derechos de tenencia sobre aquellas tierras perdidas,  tanto</w:t>
        <w:br/>
        <w:t xml:space="preserve">   dentro del territorio tradicional Saramaka como para aquellas comunidades</w:t>
        <w:br/>
        <w:t xml:space="preserve">   que están presentes fuera de ese territorio; y la falta  de  cumplimiento</w:t>
        <w:br/>
        <w:t xml:space="preserve">   continuo de proporcionar reparaciones significativas”.</w:t>
        <w:br/>
        <w:br/>
        <w:t>60. En el escrito adicional conforme con el artículo 39  del  Reglamento  de</w:t>
        <w:br/>
        <w:t xml:space="preserve">   la Corte, el Estado impugnó la competencia ratione temporis de  la  Corte</w:t>
        <w:br/>
        <w:t xml:space="preserve">   sobre dichos actos alegados, argumentando que ocurrieron antes del 12  de</w:t>
        <w:br/>
        <w:t xml:space="preserve">   noviembre de 1987, que es la fecha en que Surinam ratificó la  Convención</w:t>
        <w:br/>
        <w:t xml:space="preserve">   Americana y reconoció la competencia  contenciosa  de  la  Corte  en  los</w:t>
        <w:br/>
        <w:t xml:space="preserve">   términos del artículo 62.1 de  la  Convención  Americana.   Asimismo,  el</w:t>
        <w:br/>
        <w:t xml:space="preserve">   Estado observó que los presuntos hechos se llevaron a cabo en  la  década</w:t>
        <w:br/>
        <w:t xml:space="preserve">   del ’60, durante el tiempo que el poder  colonial  holandés  tenía  poder</w:t>
        <w:br/>
        <w:t xml:space="preserve">   sobre el territorio de Surinam, es decir, antes que  se  estableciera  el</w:t>
        <w:br/>
        <w:t xml:space="preserve">   Estado de Surinam conforme  a  las  reglas  y  principios  aceptados  del</w:t>
        <w:br/>
        <w:t xml:space="preserve">   derecho internacional.  Surinam sostuvo que antes del 25 de noviembre  de</w:t>
        <w:br/>
        <w:t xml:space="preserve">   1975, fecha en la cual se independizó del Reino de los Países  Bajos,  no</w:t>
        <w:br/>
        <w:t xml:space="preserve">   se puede adjudicar  responsabilidad  conforme  al  derecho  internacional</w:t>
        <w:br/>
        <w:t xml:space="preserve">   sobre el Estado de Surinam, ni aún en virtud del concepto de  violaciones</w:t>
        <w:br/>
        <w:t xml:space="preserve">   continuas,  dado  que  el  Estado  no  era  sujeto  de  obligaciones   de</w:t>
        <w:br/>
        <w:t xml:space="preserve">   conformidad con el derecho internacional de aquél entonces y el  concepto</w:t>
        <w:br/>
        <w:t xml:space="preserve">   de violación continua ha surgido muy recientemente.</w:t>
        <w:br/>
        <w:br/>
        <w:t>61. El Tribunal ya ha decidido  que  no  es  competente  para  resolver  las</w:t>
        <w:br/>
        <w:t xml:space="preserve">   presuntas violaciones relacionadas con  la  construcción  de  la  reserva</w:t>
        <w:br/>
        <w:t xml:space="preserve">   Afobaka en el presente caso dado que la Comisión no incluyó dichos hechos</w:t>
        <w:br/>
        <w:t xml:space="preserve">   en su demanda (supra, párrs. 11-17).  Por lo tanto, no hay necesidad  que</w:t>
        <w:br/>
        <w:t xml:space="preserve">   la Corte trate este tema nuevamente en esta sección.</w:t>
        <w:br/>
        <w:br/>
        <w:t xml:space="preserve">                                      V</w:t>
        <w:br/>
        <w:t xml:space="preserve">                                 Competencia</w:t>
        <w:br/>
        <w:br/>
        <w:t>62. La Corte es competente para conocer el presente caso,  en  los  términos</w:t>
        <w:br/>
        <w:t xml:space="preserve">   del artículo 62.3 de la Convención. El  Estado  de  Surinam  ratificó  la</w:t>
        <w:br/>
        <w:t xml:space="preserve">   Convención  Americana  el  12  de  noviembre  de  1987  y  reconoció   la</w:t>
        <w:br/>
        <w:t xml:space="preserve">   competencia contenciosa de la Corte en esa misma fecha.</w:t>
        <w:br/>
        <w:br/>
        <w:t xml:space="preserve">                                     VI</w:t>
        <w:br/>
        <w:t xml:space="preserve">                                   Prueba</w:t>
        <w:br/>
        <w:br/>
        <w:t>63. Conforme a las disposiciones de los artículos 44 y  45  del  Reglamento,</w:t>
        <w:br/>
        <w:t xml:space="preserve">   así como a las decisiones anteriores  de  la  Corte  sobre  prueba  y  su</w:t>
        <w:br/>
        <w:t xml:space="preserve">   valoración[46], la Corte procederá a  examinar  y  a  valorar  la  prueba</w:t>
        <w:br/>
        <w:t xml:space="preserve">   documental presentada por la Comisión, los representantes y el Estado  en</w:t>
        <w:br/>
        <w:t xml:space="preserve">   las  distintas  etapas  procesales.    Asimismo,  la  Corte  examinará  y</w:t>
        <w:br/>
        <w:t xml:space="preserve">   valorará las declaraciones de los testigos y  de  los  peritos  obtenidas</w:t>
        <w:br/>
        <w:t xml:space="preserve">   ante fedatario público o ante la Corte en la audiencia  pública.   A  tal</w:t>
        <w:br/>
        <w:t xml:space="preserve">   fin, la Corte se regirá por los principios de la sana crítica, dentro del</w:t>
        <w:br/>
        <w:t xml:space="preserve">   correspondiente marco legal[47].</w:t>
        <w:br/>
        <w:br/>
        <w:br/>
        <w:t>A)    Prueba Documental, Testimonial y Pericial</w:t>
        <w:br/>
        <w:br/>
        <w:br/>
        <w:t>64. A solicitud del Presidente, la Corte recibió las declaraciones  rendidas</w:t>
        <w:br/>
        <w:t xml:space="preserve">   ante  fedatario  público  (affidávit)  de  los  siguientes   testigos   y</w:t>
        <w:br/>
        <w:t xml:space="preserve">   peritos[48]:</w:t>
        <w:br/>
        <w:br/>
        <w:t xml:space="preserve">   a) Silvi Adjako, testigo propuesta por la Comisión y  los  representantes</w:t>
        <w:br/>
        <w:t xml:space="preserve">      es miembro del Matjau lö (clan), y rindió testimonio  respecto  de  la</w:t>
        <w:br/>
        <w:t xml:space="preserve">      presunta destrucción de sus campos por una empresa maderera extranjera</w:t>
        <w:br/>
        <w:t xml:space="preserve">      y sus esfuerzos continuos para obtener algún tipo de resarcimiento;</w:t>
        <w:br/>
        <w:br/>
        <w:t xml:space="preserve">   b) Hugo Jabini, testigo propuesto por la Comisión y  los  representantes,</w:t>
        <w:br/>
        <w:t xml:space="preserve">      es miembro  fundador  de  la  Asociación  de  Autoridades  Saramaka  y</w:t>
        <w:br/>
        <w:t xml:space="preserve">      representante  en  Paramaribo.  Declaró  respecto,  inter  alia:   los</w:t>
        <w:br/>
        <w:t xml:space="preserve">      esfuerzos del pueblo Saramaka para proteger su tierra y recursos,  sus</w:t>
        <w:br/>
        <w:t xml:space="preserve">      intentos de llegar a un acuerdo con  el  Estado  y  sus  métodos  para</w:t>
        <w:br/>
        <w:t xml:space="preserve">      documentar el uso tradicional Saramaka del territorio;</w:t>
        <w:br/>
        <w:br/>
        <w:t xml:space="preserve">   c) Capitán Jefe Eddie Fonkie,  testigo  propuesto  por  la  Comisión,  es</w:t>
        <w:br/>
        <w:t xml:space="preserve">      representante del Abaisa lö (clan) y fiscali del  pueblo  Saramaka,  y</w:t>
        <w:br/>
        <w:t xml:space="preserve">      declaró respecto de  la  ley  consuetudinaria  Saramaka  que  rige  la</w:t>
        <w:br/>
        <w:t xml:space="preserve">      titularidad de  la  tierra  y  los  recursos,  los  derechos  Saramaka</w:t>
        <w:br/>
        <w:t xml:space="preserve">      respecto de tratados, el uso actual de la tierra y recursos  Saramaka,</w:t>
        <w:br/>
        <w:t xml:space="preserve">      y el presunto impacto de las operaciones  mineras  sobre  los  pueblos</w:t>
        <w:br/>
        <w:t xml:space="preserve">      desplazados del Distrito Brokopondo;</w:t>
        <w:br/>
        <w:br/>
        <w:t xml:space="preserve">   d) George Leidsman, testigo  propuesto  por  los  representantes,  es  un</w:t>
        <w:br/>
        <w:t xml:space="preserve">      miembro Saramaka del pueblo inundado de Ganzee, y declaró respecto del</w:t>
        <w:br/>
        <w:t xml:space="preserve">      presunto desplazamiento forzado del pueblo Saramaka en la  década  del</w:t>
        <w:br/>
        <w:t xml:space="preserve">      ’60 y de sus consecuencias y efectos;</w:t>
        <w:br/>
        <w:br/>
        <w:br/>
        <w:t xml:space="preserve">   e) Jennifer Victorine van Dijk-Silos, testigo propuesta por el Estado, es</w:t>
        <w:br/>
        <w:t xml:space="preserve">      la directora de la Comisión Presidencial  sobre  los  Derechos  a  las</w:t>
        <w:br/>
        <w:t xml:space="preserve">      Tierras [Presidential Land Rights Commission] de  Surinam,  y  declaró</w:t>
        <w:br/>
        <w:t xml:space="preserve">      sobre  el  establecimiento  de  la  Comisión  Presidencial  sobre  los</w:t>
        <w:br/>
        <w:t xml:space="preserve">      Derechos de la Tierra el 1 de  febrero  de  2006,  sus  logros  y  los</w:t>
        <w:br/>
        <w:t xml:space="preserve">      futuros planes respecto de los derechos de tierra del pueblo  Saramaka</w:t>
        <w:br/>
        <w:t xml:space="preserve">      y de otras comunidades maroon e indígenas que viven en Surinam;</w:t>
        <w:br/>
        <w:br/>
        <w:t xml:space="preserve">   f) Peter Poole, perito propuesto por la Comisión y los representantes, se</w:t>
        <w:br/>
        <w:t xml:space="preserve">      desempeña como perito geomático y ha trabajado con varias  comunidades</w:t>
        <w:br/>
        <w:t xml:space="preserve">      tribales e indígenas en proyectos relacionados con  la  administración</w:t>
        <w:br/>
        <w:t xml:space="preserve">      de los recursos y  el  desarrollo  sustentable.   Rindió  su  dictamen</w:t>
        <w:br/>
        <w:t xml:space="preserve">      respecto de, inter alia: su rol al asistir al pueblo  Saramaka  en  la</w:t>
        <w:br/>
        <w:t xml:space="preserve">      creación  de  mapas,  fotografías  aéreas   e   imágenes   satelitales</w:t>
        <w:br/>
        <w:t xml:space="preserve">      geográficamente precisas que muestran cómo los Saramaka usan y  ocupan</w:t>
        <w:br/>
        <w:t xml:space="preserve">      su territorio y recursos; inferencias respecto del alcance del uso del</w:t>
        <w:br/>
        <w:t xml:space="preserve">      territorio y recursos de los Saramaka basadas en  estos  instrumentos;</w:t>
        <w:br/>
        <w:t xml:space="preserve">      explotación minera de oro ilegal cerca  de  los  llamados  pueblos  de</w:t>
        <w:br/>
        <w:t xml:space="preserve">      transmigración Saramaka; el presunto impacto continuo causado  por  la</w:t>
        <w:br/>
        <w:t xml:space="preserve">      inundación de la reserva Afobaka sobre el territorio  Saramaka,  y  el</w:t>
        <w:br/>
        <w:t xml:space="preserve">      impacto ambiental de las actividades de las empresas madereras  en  el</w:t>
        <w:br/>
        <w:t xml:space="preserve">      territorio Saramaka;</w:t>
        <w:br/>
        <w:br/>
        <w:t xml:space="preserve">   g)  Mariska  Muskiet,  perito   propuesta   por   la   Comisión   y   los</w:t>
        <w:br/>
        <w:t xml:space="preserve">      representantes, se desempeña como profesora de derechos reales  en  la</w:t>
        <w:br/>
        <w:t xml:space="preserve">      Universidad de  Surinam  así  como  Directora  Interina  de  Stichting</w:t>
        <w:br/>
        <w:t xml:space="preserve">      Moiwana, una organización de  derechos  humanos  de  Surinam.   Rindió</w:t>
        <w:br/>
        <w:t xml:space="preserve">      dictamen respecto del derecho  real  de  Surinam  y  de  los  recursos</w:t>
        <w:br/>
        <w:t xml:space="preserve">      internos en relación con los reclamos de las  tierras  de  comunidades</w:t>
        <w:br/>
        <w:t xml:space="preserve">      indígenas y tribales;</w:t>
        <w:br/>
        <w:br/>
        <w:t xml:space="preserve">   h) Robert Goodland, perito propuesto por los representantes, es ex Asesor</w:t>
        <w:br/>
        <w:t xml:space="preserve">      Ambiental en Jefe del Grupo del Banco Mundial. Redactó e implementó la</w:t>
        <w:br/>
        <w:t xml:space="preserve">      política oficial del Banco Mundial sobre las  Comunidades  Tribales  e</w:t>
        <w:br/>
        <w:t xml:space="preserve">      Indígenas que se adoptó en febrero de 1982. Rindió dictamen  respecto,</w:t>
        <w:br/>
        <w:t xml:space="preserve">      inter alia: el presunto impacto ambiental y social de las  concesiones</w:t>
        <w:br/>
        <w:t xml:space="preserve">      madereras que operaron entre 1997 y 2003 en el territorio Saramaka; la</w:t>
        <w:br/>
        <w:t xml:space="preserve">      falta de cumplimiento de los estándares del Banco Mundial por parte de</w:t>
        <w:br/>
        <w:t xml:space="preserve">      Surinam; el presunto efecto adverso continuo de  la  reserva  y  dique</w:t>
        <w:br/>
        <w:t xml:space="preserve">      Afobaka sobre el pueblo Saramaka; las  ramificaciones  potenciales  de</w:t>
        <w:br/>
        <w:t xml:space="preserve">      los planes de Surinam para incrementar el nivel de agua de la  reserva</w:t>
        <w:br/>
        <w:t xml:space="preserve">      Afobaka a  través  del  proyecto  Tapanahony/Jai  Kreek  Diversion,  y</w:t>
        <w:br/>
        <w:t xml:space="preserve">      posibles reparaciones para reparar el supuesto  daño  en  el  presente</w:t>
        <w:br/>
        <w:t xml:space="preserve">      caso;</w:t>
        <w:br/>
        <w:br/>
        <w:t xml:space="preserve">   i) Martin Scheinin, perito propuesto por los representantes, se desempeña</w:t>
        <w:br/>
        <w:t xml:space="preserve">      como  Profesor  de  Derecho  Constitucional  e  Internacional  en   la</w:t>
        <w:br/>
        <w:t xml:space="preserve">      Universidad Åbo Akademi, en Finlandia y es ex miembro  del  Comité  de</w:t>
        <w:br/>
        <w:t xml:space="preserve">      Derechos Humanos de Naciones Unidas.   Rindió  su  dictamen  respecto,</w:t>
        <w:br/>
        <w:t xml:space="preserve">      inter alia:  el reconocimiento por parte del Comité DH de los derechos</w:t>
        <w:br/>
        <w:t xml:space="preserve">      de las comunidades indígenas y tribales conforme  al  artículo  1  del</w:t>
        <w:br/>
        <w:t xml:space="preserve">      PIDCP y el Pacto Internacional de los Derechos Económicos, Sociales  y</w:t>
        <w:br/>
        <w:t xml:space="preserve">      Culturales  (en   adelante,   “PIDESC”),   su   relevancia   para   la</w:t>
        <w:br/>
        <w:t xml:space="preserve">      interpretación de los artículos  21  (Derecho  a  la  Propiedad)  y  3</w:t>
        <w:br/>
        <w:t xml:space="preserve">      (Derecho  al  Reconocimiento  de  la  Personalidad  Jurídica)  de   la</w:t>
        <w:br/>
        <w:t xml:space="preserve">      Convención  Americana  de  Derechos  Humanos,  la  relación  entre  el</w:t>
        <w:br/>
        <w:t xml:space="preserve">      artículo 1.2 del PIDCP y los derechos de propiedad de las  comunidades</w:t>
        <w:br/>
        <w:t xml:space="preserve">      indígenas y tribales, y el derecho a la auto-determinación, y</w:t>
        <w:br/>
        <w:br/>
        <w:t xml:space="preserve">   j) Magda Hoever-Venoaks, perito propuesta por el Estado, es una autoridad</w:t>
        <w:br/>
        <w:t xml:space="preserve">      importante sobre recursos  legales  en  el  derecho  constitucional  y</w:t>
        <w:br/>
        <w:t xml:space="preserve">      administrativo de Surinam.  Rindió su dictamen respecto,  inter  alia:</w:t>
        <w:br/>
        <w:t xml:space="preserve">      el status legal de las disposiciones que proporcionan recursos  a  las</w:t>
        <w:br/>
        <w:t xml:space="preserve">      partes interesadas en la Ley de Minería  surinamés  y  en  la  Ley  de</w:t>
        <w:br/>
        <w:t xml:space="preserve">      Administración Forestal surinamés, así como otros recursos disponibles</w:t>
        <w:br/>
        <w:t xml:space="preserve">      en el área del derecho constitucional o administrativo de Surinam.</w:t>
        <w:br/>
        <w:br/>
        <w:t>65. Durante la audiencia pública del presente caso,  la  Corte  escuchó  los</w:t>
        <w:br/>
        <w:t xml:space="preserve">   testimonios y los peritajes de los siguientes testigos y peritos:</w:t>
        <w:br/>
        <w:br/>
        <w:t xml:space="preserve">   a) Capitán Jefe Wazen Eduards, testigo propuesto por la  Comisión  y  los</w:t>
        <w:br/>
        <w:t xml:space="preserve">      representantes,  es  el  Director  de  la  Asociación  de  Autoridades</w:t>
        <w:br/>
        <w:t xml:space="preserve">      Saramaka, representante autorizado del Dombi lö (clan) y hace poco  se</w:t>
        <w:br/>
        <w:t xml:space="preserve">      le designó fiscali del pueblo Saramaka.  Declaró respecto, inter alia:</w:t>
        <w:br/>
        <w:t xml:space="preserve">        los  esfuerzos  de  la  Asociación  de  Autoridades  Saramaka   para</w:t>
        <w:br/>
        <w:t xml:space="preserve">      resistirse a la presunta incursión de las  empresas  madereras  en  el</w:t>
        <w:br/>
        <w:t xml:space="preserve">      territorio Saramaka; el presunto impacto de las operaciones de  dichas</w:t>
        <w:br/>
        <w:t xml:space="preserve">      empresas y la falta por parte del gobierno de Surinam de  consultar  u</w:t>
        <w:br/>
        <w:t xml:space="preserve">      obtener  permiso  del  pueblo  Saramaka   antes   de   autorizar   las</w:t>
        <w:br/>
        <w:t xml:space="preserve">      concesiones; los esfuerzos  del  pueblo  Saramaka  para  proteger  sus</w:t>
        <w:br/>
        <w:t xml:space="preserve">      derechos a nivel  interno,  incluso  el  procedimiento  de  lograr  un</w:t>
        <w:br/>
        <w:t xml:space="preserve">      consenso interno; la  ley  consuetudinaria  Saramaka  que  regula  los</w:t>
        <w:br/>
        <w:t xml:space="preserve">      derechos  de  propiedad  y  de  demarcación  del  territorio,   y   la</w:t>
        <w:br/>
        <w:t xml:space="preserve">      importancia de la  tierra  para  la  integridad  cultural  del  pueblo</w:t>
        <w:br/>
        <w:t xml:space="preserve">      Saramaka;</w:t>
        <w:br/>
        <w:br/>
        <w:br/>
        <w:t xml:space="preserve">   b) Capitán Ceasar  Adjako,  testigo  propuesto  por  la  Comisión  y  los</w:t>
        <w:br/>
        <w:t xml:space="preserve">      representantes, es miembro del Matjau lö (Clan).  Declaró respecto de,</w:t>
        <w:br/>
        <w:t xml:space="preserve">      inter alia:  las razones por las cuales los  miembros  Saramaka  deben</w:t>
        <w:br/>
        <w:t xml:space="preserve">      obtener concesiones por parte del gobierno; la presunta llegada de las</w:t>
        <w:br/>
        <w:t xml:space="preserve">      empresas madereras  extranjeras  al  territorio  Matjau;  la  presunta</w:t>
        <w:br/>
        <w:t xml:space="preserve">      destrucción de los recursos forestales y los cultivos de subsistencia,</w:t>
        <w:br/>
        <w:t xml:space="preserve">      y el interés del pueblo Saramaka  para  preservar  su  ambiente  y  la</w:t>
        <w:br/>
        <w:t xml:space="preserve">      recolección sustentable de la madera;</w:t>
        <w:br/>
        <w:br/>
        <w:t xml:space="preserve">   c) Rudy Strijk, testigo propuesto por el Estado, es el ex Comisionado  de</w:t>
        <w:br/>
        <w:t xml:space="preserve">      Distrito del Distrito de Sipaliwini.  Declaró respecto de, inter alia:</w:t>
        <w:br/>
        <w:t xml:space="preserve">      su rol como Comisionado de Distrito al otorgar concesiones  mineras  y</w:t>
        <w:br/>
        <w:t xml:space="preserve">      madereras; la relación del gobierno con las autoridades  tradicionales</w:t>
        <w:br/>
        <w:t xml:space="preserve">      Saramaka, y las presuntas consultas del Comisionado de Distrito con el</w:t>
        <w:br/>
        <w:t xml:space="preserve">      pueblo Saramaka antes de otorgar las concesiones;</w:t>
        <w:br/>
        <w:br/>
        <w:t xml:space="preserve">   d) Capitán Jefe Albert Aboikoni, testigo propuesto por el Estado, fue  el</w:t>
        <w:br/>
        <w:t xml:space="preserve">      Gaa’man interino luego del fallecimiento del Gaa’man  Songo  Aboikoni.</w:t>
        <w:br/>
        <w:t xml:space="preserve">      Declaró sobre su experiencia como  parlamentario  en  el  gobierno  de</w:t>
        <w:br/>
        <w:t xml:space="preserve">      Surinam y sus esfuerzos para promover los derechos de propiedad de las</w:t>
        <w:br/>
        <w:t xml:space="preserve">      comunidades indígenas y tribales en Surinam; el rol del Gaa’man  y  su</w:t>
        <w:br/>
        <w:t xml:space="preserve">      relación con la comunidad y otras  autoridades  tradicionales,  y  las</w:t>
        <w:br/>
        <w:t xml:space="preserve">      áreas en que reside el pueblo Saramaka;</w:t>
        <w:br/>
        <w:br/>
        <w:t xml:space="preserve">   e) Rene Ali Somopawiro, testigo propuesto por  el  Estado,  se  desempeña</w:t>
        <w:br/>
        <w:t xml:space="preserve">      como director interino de la Fundación  para  la  Gestión  Forestal  y</w:t>
        <w:br/>
        <w:t xml:space="preserve">      Control de Producción (SBB).  Declaró respecto de, inter alia: el  rol</w:t>
        <w:br/>
        <w:t xml:space="preserve">      del  SBB  al  procesar  las  solicitudes  de  concesiones  de  madera,</w:t>
        <w:br/>
        <w:t xml:space="preserve">      monitoreo de dichas concesiones y la promoción de técnicas  forestales</w:t>
        <w:br/>
        <w:t xml:space="preserve">      sustentables; la diferencia entre “permisos de extracción maderera”  y</w:t>
        <w:br/>
        <w:t xml:space="preserve">      los permisos llamados “bosques comunales”, así como los requisitos  de</w:t>
        <w:br/>
        <w:t xml:space="preserve">      elegibilidad respecto de los pueblos indígenas y maroon, y  el  estado</w:t>
        <w:br/>
        <w:t xml:space="preserve">      de las concesiones otorgadas a miembros Saramaka;</w:t>
        <w:br/>
        <w:br/>
        <w:t xml:space="preserve">   f) Richard Price, perito propuesto por la Comisión y los  representantes,</w:t>
        <w:br/>
        <w:t xml:space="preserve">      se desempeña como Profesor  de  Estudios  Americanos,  Antropología  e</w:t>
        <w:br/>
        <w:t xml:space="preserve">      Historia en William &amp; Mary College, y es un experto sobre la  historia</w:t>
        <w:br/>
        <w:t xml:space="preserve">      y cultura del pueblo  Saramaka.   Rindió  su  dictamen  sobre  el  uso</w:t>
        <w:br/>
        <w:t xml:space="preserve">      sustentable de la tierra del pueblo Saramaka; la historia  detrás  del</w:t>
        <w:br/>
        <w:t xml:space="preserve">      Tratado de 1762 entre la corona holandesa y  el  pueblo  Saramaka;  el</w:t>
        <w:br/>
        <w:t xml:space="preserve">      presunto impacto de la reserva Afobaka sobre el pueblo Saramaka  y  su</w:t>
        <w:br/>
        <w:t xml:space="preserve">      territorio tradicional; las diferencias entre  el  pueblo  Saramaka  y</w:t>
        <w:br/>
        <w:t xml:space="preserve">      otros grupos Maroon; la relación entre la ley consuetudinaria Saramaka</w:t>
        <w:br/>
        <w:t xml:space="preserve">      y el sistema jurídico de Surinam; la guerra civil en Surinam entre los</w:t>
        <w:br/>
        <w:t xml:space="preserve">      Maroon y el gobierno costero; la  importancia  cultural  de  talar  la</w:t>
        <w:br/>
        <w:t xml:space="preserve">      madera como una actividad tradicional Saramaka; los presuntos  efectos</w:t>
        <w:br/>
        <w:t xml:space="preserve">      materiales, culturales y espirituales de las operaciones madereras  de</w:t>
        <w:br/>
        <w:t xml:space="preserve">      las empresas extranjeras en el pueblo Saramaka  y  su  territorio;  la</w:t>
        <w:br/>
        <w:t xml:space="preserve">      presencia de las tropas surinameses en  el  territorio  Saramaka;  los</w:t>
        <w:br/>
        <w:t xml:space="preserve">      sistemas tradicionales de propiedad  de  la  tierra  y  la  estructura</w:t>
        <w:br/>
        <w:t xml:space="preserve">      social del pueblo Saramaka, y la ley consuetudinaria, y</w:t>
        <w:br/>
        <w:br/>
        <w:br/>
        <w:t xml:space="preserve">   g) Salomón Emanuels, perito  propuesto  por  el  Estado,  es  antropólogo</w:t>
        <w:br/>
        <w:t xml:space="preserve">      cultural.  Rindió su dictamen respecto de, inter alia: la jerarquía de</w:t>
        <w:br/>
        <w:t xml:space="preserve">      autoridad Saramaka, incluyendo la  posición  y  el  rol  de  tanto  el</w:t>
        <w:br/>
        <w:t xml:space="preserve">      Gaa’man como los lös (clanes); el procedimiento Saramaka  respecto  de</w:t>
        <w:br/>
        <w:t xml:space="preserve">      las decisiones sobre los derechos de propiedad de toda la comunidad, y</w:t>
        <w:br/>
        <w:t xml:space="preserve">      las relaciones entre las  autoridades  locales  de  los  lös  (clanes)</w:t>
        <w:br/>
        <w:t xml:space="preserve">      Saramaka.</w:t>
        <w:br/>
        <w:br/>
        <w:br/>
        <w:br/>
        <w:br/>
        <w:t>B)    Valoración de la Prueba</w:t>
        <w:br/>
        <w:br/>
        <w:br/>
        <w:t>66. En el presente caso,  como  en  otros[49],  la  Corte  admite  el  valor</w:t>
        <w:br/>
        <w:t xml:space="preserve">   probatorio de todos aquellos documentos remitidos por las  partes  en  el</w:t>
        <w:br/>
        <w:t xml:space="preserve">   momento procesal oportuno, en los términos del artículo 44 del Reglamento</w:t>
        <w:br/>
        <w:t xml:space="preserve">   de la  Corte,  que  no  fueron  controvertidos  ni  impugnados,  ni  cuya</w:t>
        <w:br/>
        <w:t xml:space="preserve">   autenticidad fue cuestionada.</w:t>
        <w:br/>
        <w:br/>
        <w:t>67. En cuanto a los documentos de prensa presentados por  las  partes,  este</w:t>
        <w:br/>
        <w:t xml:space="preserve">   Tribunal considera  que  pueden  ser  apreciados  cuando  recojan  hechos</w:t>
        <w:br/>
        <w:t xml:space="preserve">   públicos y notorios o declaraciones de funcionarios  del  Estado  que  no</w:t>
        <w:br/>
        <w:t xml:space="preserve">   hayan sido modificadas, o cuando corroboren aspectos relacionados con  el</w:t>
        <w:br/>
        <w:t xml:space="preserve">   caso y acreditados por otros medios[50].</w:t>
        <w:br/>
        <w:br/>
        <w:t>68. En cuanto a los testimonios y dictámenes rendidos  por  los  testigos  y</w:t>
        <w:br/>
        <w:t xml:space="preserve">   peritos, la Corte los estima pertinentes en cuanto se ajusten  al  objeto</w:t>
        <w:br/>
        <w:t xml:space="preserve">   que fue definido por el Presidente en la Resolución  en  la  cual  ordenó</w:t>
        <w:br/>
        <w:t xml:space="preserve">   recibirlos  (supra  párr.  7)  y  tomando  en  cuenta  las  observaciones</w:t>
        <w:br/>
        <w:t xml:space="preserve">   presentadas por las partes.  Este Tribunal entiende que las declaraciones</w:t>
        <w:br/>
        <w:t xml:space="preserve">   testimoniales presentadas  por  las  víctimas  no  pueden  ser  valoradas</w:t>
        <w:br/>
        <w:t xml:space="preserve">   aisladamente dado que tienen un interés directo en el caso, razón por  la</w:t>
        <w:br/>
        <w:t xml:space="preserve">   cual serán valoradas dentro del conjunto de las pruebas del proceso[51].</w:t>
        <w:br/>
        <w:br/>
        <w:t>69. Dada la relevancia para la resolución del presente caso  y  conforme  al</w:t>
        <w:br/>
        <w:t xml:space="preserve">   artículo 45.1 del Reglamento de la Corte, a pedido  de  la  Comisión,  la</w:t>
        <w:br/>
        <w:t xml:space="preserve">   Corte incorpora  al  acervo  probatorio  la  transcripción  del  dictamen</w:t>
        <w:br/>
        <w:t xml:space="preserve">   rendido por el Dr. Richard Price durante la audiencia  pública  celebrada</w:t>
        <w:br/>
        <w:t xml:space="preserve">   el 7 de julio de 1992 en el caso Aloeboetoe y otros vs. Surinam[52].</w:t>
        <w:br/>
        <w:br/>
        <w:t>70. El Estado impugnó la declaración  prestada  por  el  señor  Peter  Poole</w:t>
        <w:br/>
        <w:t xml:space="preserve">   durante el procedimiento ante la Comisión porque  “la  investigación  fue</w:t>
        <w:br/>
        <w:t xml:space="preserve">   realizada sin la aprobación de las autoridades de Surinam”. Asimismo,  el</w:t>
        <w:br/>
        <w:t xml:space="preserve">   Estado notó que no estuvo presente en la audiencia celebrada en marzo del</w:t>
        <w:br/>
        <w:t xml:space="preserve">   2004 ante la Comisión y que la prueba producida en la audiencia no le fue</w:t>
        <w:br/>
        <w:t xml:space="preserve">   enviada.  Por ello, Surinam alegó que dicha prueba no  debería  admitirse</w:t>
        <w:br/>
        <w:t xml:space="preserve">   de conformidad con el artículo 44.2  del  Reglamento  de  la  Corte.   El</w:t>
        <w:br/>
        <w:t xml:space="preserve">   Estado también objetó la declaración de la señora Mariska Muskiet rendida</w:t>
        <w:br/>
        <w:t xml:space="preserve">   ante la Comisión y alegó que "no se  remitió  la  información  al  Estado</w:t>
        <w:br/>
        <w:t xml:space="preserve">   durante el procedimiento ante la Comisión" y que "la  [Sra.  Muskiet]  no</w:t>
        <w:br/>
        <w:t xml:space="preserve">   califica como perito en el campo del derecho real de  Surinam  y  de  los</w:t>
        <w:br/>
        <w:t xml:space="preserve">   derechos sobre la tierra de los indígenas  y  maroons  de  Surinam".   El</w:t>
        <w:br/>
        <w:t xml:space="preserve">   Tribunal observa que, aunque el Estado no estuvo presente cuando el señor</w:t>
        <w:br/>
        <w:t xml:space="preserve">   Poole y la señora Muskiet declararon durante  el  procedimiento  ante  la</w:t>
        <w:br/>
        <w:t xml:space="preserve">   Comisión, ambos peritos rindieron  dictámenes  durante  el  procedimiento</w:t>
        <w:br/>
        <w:t xml:space="preserve">   ante este Tribunal y se le otorgó al Estado el derecho de defenderse y de</w:t>
        <w:br/>
        <w:t xml:space="preserve">   presentar observaciones a los dos dictámenes.  Además,  Surinam  no  pudo</w:t>
        <w:br/>
        <w:t xml:space="preserve">   demostrar por qué la señora Muskiet, que es una profesora universitaria y</w:t>
        <w:br/>
        <w:t xml:space="preserve">   enseña derecho de propiedad, no está calificada para rendir  un  dictamen</w:t>
        <w:br/>
        <w:t xml:space="preserve">   respecto de la ley de propiedad surinamés.  Por ello, la Corte admite  la</w:t>
        <w:br/>
        <w:t xml:space="preserve">   prueba, teniendo en cuenta las observaciones del Estado,  y  evaluará  su</w:t>
        <w:br/>
        <w:t xml:space="preserve">   valor probatorio de conformidad con las  reglas  de  la  sana  crítica  y</w:t>
        <w:br/>
        <w:t xml:space="preserve">   dentro del conjunto de prueba en el presente caso.</w:t>
        <w:br/>
        <w:br/>
        <w:t>71. Además, el Estado impugnó la declaración prestada  por  el  Dr.  Richard</w:t>
        <w:br/>
        <w:t xml:space="preserve">   Price ante  la  Comisión  alegando  que  su  declaración  "es  totalmente</w:t>
        <w:br/>
        <w:t xml:space="preserve">   obsoleta".  La Corte, no obstante, admite esta prueba teniendo en  cuenta</w:t>
        <w:br/>
        <w:t xml:space="preserve">   las observaciones del Estado y la valorará conforme a las  reglas  de  la</w:t>
        <w:br/>
        <w:t xml:space="preserve">   sana crítica y al conjunto de pruebas del proceso.</w:t>
        <w:br/>
        <w:br/>
        <w:t>72. La Corte observa que el Estado presentó más prueba documental junto  con</w:t>
        <w:br/>
        <w:t xml:space="preserve">   los alegatos escritos adicionales de conformidad con el artículo  39  del</w:t>
        <w:br/>
        <w:t xml:space="preserve">   Reglamento de la Corte.  El Estado, específicamente, presentó  documentos</w:t>
        <w:br/>
        <w:t xml:space="preserve">   identificados como "Boletín de  Leyes  y  Decretos  de  la  República  de</w:t>
        <w:br/>
        <w:t xml:space="preserve">   Surinam - SB 2003#07-", "Análisis de los Derechos  de  Propiedad  de  las</w:t>
        <w:br/>
        <w:t xml:space="preserve">   Comunidades Indígenas  y  de  los  Maroon  en  Surinam.  Adopción  de  la</w:t>
        <w:br/>
        <w:t xml:space="preserve">   Legislación en Surinam por  el  Equipo  de  Conservación  del  Amazonas”;</w:t>
        <w:br/>
        <w:t xml:space="preserve">   “Estado actual de las concesiones madereras ubicadas en el área reclamada</w:t>
        <w:br/>
        <w:t xml:space="preserve">   de  los  lös  Saramaka”  y  “Transmigración”.   Del   mismo   modo,   los</w:t>
        <w:br/>
        <w:t xml:space="preserve">   representantes  presentaron  más  prueba   documental   junto   con   las</w:t>
        <w:br/>
        <w:t xml:space="preserve">   observaciones al alegato escrito adicional del Estado.  La prueba incluye</w:t>
        <w:br/>
        <w:t xml:space="preserve">   el Informe Final del 2004 del Relator Especial de Naciones  Unidas  sobre</w:t>
        <w:br/>
        <w:t xml:space="preserve">   la soberanía permanente de los pueblos indígenas respecto de los recursos</w:t>
        <w:br/>
        <w:t xml:space="preserve">   naturales, y extractos del informe de marzo 2007 de la Comisión Económica</w:t>
        <w:br/>
        <w:t xml:space="preserve">   de Naciones Unidas para América Latina y del Programa  de  Desarrollo  de</w:t>
        <w:br/>
        <w:t xml:space="preserve">   Naciones Unidas.</w:t>
        <w:br/>
        <w:br/>
        <w:t>73. La Corte considera que los documentos  mencionados  presentados  por  el</w:t>
        <w:br/>
        <w:t xml:space="preserve">   Estado y por los representantes, los cuales no han sido impugnados ni  se</w:t>
        <w:br/>
        <w:t xml:space="preserve">   ha cuestionado su autenticidad, son útiles y relevantes; por lo tanto, la</w:t>
        <w:br/>
        <w:t xml:space="preserve">   Corte los incorpora al acervo probatorio, de conformidad con el  artículo</w:t>
        <w:br/>
        <w:t xml:space="preserve">   45.1 del Reglamento.</w:t>
        <w:br/>
        <w:br/>
        <w:t>74. Asimismo, el Estado adjuntó a los alegatos finales escritos un  dictamen</w:t>
        <w:br/>
        <w:t xml:space="preserve">   sobre "la soberanía permanente respecto de los recursos naturales  y  los</w:t>
        <w:br/>
        <w:t xml:space="preserve">   pueblos indígenas" de Nico J. Schrijver.  La Corte nota que el Estado  no</w:t>
        <w:br/>
        <w:t xml:space="preserve">   ofreció dicha prueba en el momento procesal oportuno y que ni el Tribunal</w:t>
        <w:br/>
        <w:t xml:space="preserve">   ni  el  Presidente  solicitaron  la  presentación  de  dicha  prueba.  En</w:t>
        <w:br/>
        <w:t xml:space="preserve">   consecuencia, de conformidad con el artículo 44.3 del  Reglamento  de  la</w:t>
        <w:br/>
        <w:t xml:space="preserve">   Corte, el Tribunal no admite dicha prueba.</w:t>
        <w:br/>
        <w:br/>
        <w:t>75. Los representantes también han presentado prueba adicional junto  a  sus</w:t>
        <w:br/>
        <w:t xml:space="preserve">   escritos  finales;  específicamente,  los  comprobantes  en  los   cuales</w:t>
        <w:br/>
        <w:t xml:space="preserve">   enumeran los gastos incurridos por la Asociación de Autoridades Saramaka.</w:t>
        <w:br/>
        <w:t xml:space="preserve">    Dado que la Corte considera que estos  documentos  son  relevantes  para</w:t>
        <w:br/>
        <w:t xml:space="preserve">   decidir el tema de los gastos del presente caso, la Corte  los  incorpora</w:t>
        <w:br/>
        <w:t xml:space="preserve">   en el  acervo  probatorio,  de  conformidad  con  el  artículo  45.1  del</w:t>
        <w:br/>
        <w:t xml:space="preserve">   Reglamento de la Corte.</w:t>
        <w:br/>
        <w:br/>
        <w:t>76. Efectuado el examen de los  elementos  probatorios  que  constan  en  el</w:t>
        <w:br/>
        <w:t xml:space="preserve">   expediente del presente caso, la Corte procede a analizar las violaciones</w:t>
        <w:br/>
        <w:t xml:space="preserve">   alegadas de la Convención Americana en consideración de los hechos que la</w:t>
        <w:br/>
        <w:t xml:space="preserve">   Corte considera probados, así como  de  los  argumentos  legales  de  las</w:t>
        <w:br/>
        <w:t xml:space="preserve">   partes.</w:t>
        <w:br/>
        <w:br/>
        <w:t xml:space="preserve">                                     VII</w:t>
        <w:br/>
        <w:t xml:space="preserve">     Falta de Cumplimiento del Artículo  2[53] (Disposiciones de Derecho</w:t>
        <w:br/>
        <w:t xml:space="preserve">  Interno) y Violación de los Artículos 3[54] (Derecho al Reconocimiento de</w:t>
        <w:br/>
        <w:t xml:space="preserve"> la Personalidad Jurídica), 21[55] (Derecho a la Propiedad Privada) y 25[56]</w:t>
        <w:br/>
        <w:t xml:space="preserve"> (Derecho a la Protección Judicial) de la Convención Americana, en relación</w:t>
        <w:br/>
        <w:t xml:space="preserve">   con el artículo 1.1[57] (Obligación de Respetar los Derechos) de dicho</w:t>
        <w:br/>
        <w:t xml:space="preserve">                                 instrumento</w:t>
        <w:br/>
        <w:br/>
        <w:t>77.  Debido a la interrelación de los argumentos presentados ante  la  Corte</w:t>
        <w:br/>
        <w:t xml:space="preserve">   en el presente caso, el  Tribunal  abordará  en  un  único  capítulo  las</w:t>
        <w:br/>
        <w:t xml:space="preserve">   presuntas falta de cumplimiento con el artículo 2 y  violaciones  de  los</w:t>
        <w:br/>
        <w:t xml:space="preserve">   artículos 3, 21 y 25 de la Convención. De este modo, la Corte tratará las</w:t>
        <w:br/>
        <w:t xml:space="preserve">   siguientes ocho cuestiones: primero, si los miembros del pueblo  Saramaka</w:t>
        <w:br/>
        <w:t xml:space="preserve">   conforman una unidad tribal sujeta a medidas especiales que garanticen el</w:t>
        <w:br/>
        <w:t xml:space="preserve">   ejercicio de sus derechos; segundo, si el artículo 21  de  la  Convención</w:t>
        <w:br/>
        <w:t xml:space="preserve">   Americana protege el derecho de los integrantes de los  pueblos  tribales</w:t>
        <w:br/>
        <w:t xml:space="preserve">   al uso y  goce  de  la  propiedad  comunal;  tercero,  si  el  Estado  ha</w:t>
        <w:br/>
        <w:t xml:space="preserve">   reconocido el derecho a la propiedad de los miembros del pueblo  Saramaka</w:t>
        <w:br/>
        <w:t xml:space="preserve">   que deriva de su sistema comunal de  propiedad;  cuarto,  si,  y  en  qué</w:t>
        <w:br/>
        <w:t xml:space="preserve">   medida, los integrantes del pueblo Saramaka tienen el derecho de  usar  y</w:t>
        <w:br/>
        <w:t xml:space="preserve">   gozar de los recursos naturales que se  encuentran  sobre  y  dentro  del</w:t>
        <w:br/>
        <w:t xml:space="preserve">   territorio que supuestamente tradicionalmente les pertenece; quinto,  si,</w:t>
        <w:br/>
        <w:t xml:space="preserve">   y en que medida, el Estado puede otorgar concesiones para la  exploración</w:t>
        <w:br/>
        <w:t xml:space="preserve">   y la extracción de los recursos naturales  que  se  encuentran  dentro  y</w:t>
        <w:br/>
        <w:t xml:space="preserve">   sobre el presunto territorio Saramaka; sexto, si las concesiones  que  el</w:t>
        <w:br/>
        <w:t xml:space="preserve">   Estado ya otorgó cumplen  con  las  garantías  establecidas  conforme  al</w:t>
        <w:br/>
        <w:t xml:space="preserve">   derecho internacional; séptimo, si la falta de reconocimiento del  pueblo</w:t>
        <w:br/>
        <w:t xml:space="preserve">   Saramaka como persona jurídica los convierte en inelegibles  conforme  al</w:t>
        <w:br/>
        <w:t xml:space="preserve">   derecho interno para poder recibir un título comunal de  propiedad  sobre</w:t>
        <w:br/>
        <w:t xml:space="preserve">   sus tierras en calidad de comunidad tribal y tener acceso  igualitario  a</w:t>
        <w:br/>
        <w:t xml:space="preserve">   la protección judicial de su  derecho  de  propiedad,  y  finalmente,  si</w:t>
        <w:br/>
        <w:t xml:space="preserve">   existen recursos legales efectivos y  adecuados  disponibles  en  Surinam</w:t>
        <w:br/>
        <w:t xml:space="preserve">   para proteger a los miembros del pueblo Saramaka  contra  los  actos  que</w:t>
        <w:br/>
        <w:t xml:space="preserve">   violan su alegado derecho al uso y goce de la propiedad comunal.</w:t>
        <w:br/>
        <w:br/>
        <w:br/>
        <w:t>A.    los integrantes del pueblo Saramaka como una comunidad  tribal  sujeta</w:t>
        <w:br/>
        <w:t>a medidas especiales que garanticen el ejercicio de sus derechos</w:t>
        <w:br/>
        <w:br/>
        <w:br/>
        <w:t>78. La Comisión  y  los  representantes  alegaron  que  el  pueblo  Saramaka</w:t>
        <w:br/>
        <w:t xml:space="preserve">   conforma una unidad tribal y que el derecho internacional de los derechos</w:t>
        <w:br/>
        <w:t xml:space="preserve">   humanos le impone al Estado la obligación de adoptar  medidas  especiales</w:t>
        <w:br/>
        <w:t xml:space="preserve">   para  garantizar  el  reconocimiento  de  los  derechos  de  los  pueblos</w:t>
        <w:br/>
        <w:t xml:space="preserve">   tribales, incluso el derecho a la posesión colectiva de la propiedad.  El</w:t>
        <w:br/>
        <w:t xml:space="preserve">   Estado ha objetado que  el  pueblo  Saramaka  pueda  definirse  como  una</w:t>
        <w:br/>
        <w:t xml:space="preserve">   comunidad tribal sujeta a la protección del derecho internacional de  los</w:t>
        <w:br/>
        <w:t xml:space="preserve">   derechos humanos respecto del derecho  a  la  posesión  colectiva  de  la</w:t>
        <w:br/>
        <w:t xml:space="preserve">   propiedad.  Por lo tanto, la Corte debe analizar si los  integrantes  del</w:t>
        <w:br/>
        <w:t xml:space="preserve">   pueblo Saramaka conforma una comunidad tribal y,  de  ser  así,  si  está</w:t>
        <w:br/>
        <w:t xml:space="preserve">   sujeta a medidas especiales que garanticen el ejercicio de sus derechos.</w:t>
        <w:br/>
        <w:br/>
        <w:t>79. En principio, la Corte observa que el pueblo Saramaka no es  indígena  a</w:t>
        <w:br/>
        <w:t xml:space="preserve">   la región que habitan; sino que  fueron  llevados  durante  la  época  de</w:t>
        <w:br/>
        <w:t xml:space="preserve">   colonización a lo que hoy se conoce como Surinam (infra párr.  80).   Por</w:t>
        <w:br/>
        <w:t xml:space="preserve">   lo tanto, están haciendo valer sus derechos en calidad de presunto pueblo</w:t>
        <w:br/>
        <w:t xml:space="preserve">   tribal, es decir, un pueblo que no es  indígena  a  la  región  pero  que</w:t>
        <w:br/>
        <w:t xml:space="preserve">   comparte características similares con los pueblos indígenas, como  tener</w:t>
        <w:br/>
        <w:t xml:space="preserve">   tradiciones  sociales,  culturales  y  económicas  diferentes  de   otras</w:t>
        <w:br/>
        <w:t xml:space="preserve">   secciones de la comunidad nacional,  identificarse  con  sus  territorios</w:t>
        <w:br/>
        <w:t xml:space="preserve">   ancestrales y estar regulados, al menos en forma parcial, por sus propias</w:t>
        <w:br/>
        <w:t xml:space="preserve">   normas, costumbres o tradiciones.</w:t>
        <w:br/>
        <w:br/>
        <w:t xml:space="preserve">      A.1) Los integrantes del pueblo Saramaka como un grupo distinto en  lo</w:t>
        <w:br/>
        <w:t xml:space="preserve">      social, cultural y económico y con una relación especial  respecto  de</w:t>
        <w:br/>
        <w:t xml:space="preserve">      su territorio ancestral</w:t>
        <w:br/>
        <w:br/>
        <w:br/>
        <w:t>80. Conforme a la prueba presentada por las partes, el  pueblo  Saramaka  es</w:t>
        <w:br/>
        <w:t xml:space="preserve">   uno de los seis grupos distintivos maroon  de  Surinam,  cuyos  ancestros</w:t>
        <w:br/>
        <w:t xml:space="preserve">   fueron esclavos africanos llevados a  la  fuerza  a  Surinam  durante  la</w:t>
        <w:br/>
        <w:t xml:space="preserve">   colonización europea en el siglo XVII[58]. Sus  ancestros se escaparon  a</w:t>
        <w:br/>
        <w:t xml:space="preserve">   las regiones  del  interior  del  país  donde  establecieron  comunidades</w:t>
        <w:br/>
        <w:t xml:space="preserve">   autónomas[59].  El pueblo Saramaka está  organizado  en  doce  clanes  de</w:t>
        <w:br/>
        <w:t xml:space="preserve">   linaje materno (lös) y se estima que el número  actual  de  la  población</w:t>
        <w:br/>
        <w:t xml:space="preserve">   Saramaka va de 25,000  a  34,000  miembros,  quienes  se  dividen  en  63</w:t>
        <w:br/>
        <w:t xml:space="preserve">   comunidades situadas en la región superior del Río Surinam y  en  algunas</w:t>
        <w:br/>
        <w:t xml:space="preserve">   comunidades desplazadas que están ubicadas al norte y al oeste  de  dicha</w:t>
        <w:br/>
        <w:t xml:space="preserve">   región[60].</w:t>
        <w:br/>
        <w:br/>
        <w:t>81. Su estructura social es diferente a la de otros sectores de la  sociedad</w:t>
        <w:br/>
        <w:t xml:space="preserve">   en tanto el pueblo Saramaka está organizado en clanes de  linaje  materno</w:t>
        <w:br/>
        <w:t xml:space="preserve">   (lös), y se rigen, al menos en forma parcial, por sus propias  costumbres</w:t>
        <w:br/>
        <w:t xml:space="preserve">   y tradiciones[61].  Cada clan (lö)  reconoce  la  autoridad  política  de</w:t>
        <w:br/>
        <w:t xml:space="preserve">   varios líderes locales, incluyendo a los que  ellos  llaman  Capitanes  y</w:t>
        <w:br/>
        <w:t xml:space="preserve">   Capitanes Jefes, así como un Gaa’man, que es el oficial de más alto rango</w:t>
        <w:br/>
        <w:t xml:space="preserve">   dentro de la comunidad[62].</w:t>
        <w:br/>
        <w:br/>
        <w:t>82. Su cultura es muy parecida a aquella de los pueblos  tribales  en  tanto</w:t>
        <w:br/>
        <w:t xml:space="preserve">   los  integrantes  del  pueblo  Saramaka  mantienen  una  fuerte  relación</w:t>
        <w:br/>
        <w:t xml:space="preserve">   espiritual con el  territorio[63]  ancestral  que  han  usado  y  ocupado</w:t>
        <w:br/>
        <w:t xml:space="preserve">   tradicionalmente.  La tierra significa más que meramente  una  fuente  de</w:t>
        <w:br/>
        <w:t xml:space="preserve">   subsistencia  para  ellos;  también  es  una  fuente  necesaria  para  la</w:t>
        <w:br/>
        <w:t xml:space="preserve">   continuidad de la vida y de la identidad cultural  de  los  miembros  del</w:t>
        <w:br/>
        <w:t xml:space="preserve">   pueblo Saramaka[64].  Las tierras y  los  recursos  del  pueblo  Saramaka</w:t>
        <w:br/>
        <w:t xml:space="preserve">   forman parte de su esencia  social,  ancestral  y  espiritual.   En  este</w:t>
        <w:br/>
        <w:t xml:space="preserve">   territorio, el pueblo Saramaka caza, pesca y  cosecha,  y  recogen  agua,</w:t>
        <w:br/>
        <w:t xml:space="preserve">   plantas para fines medicinales, aceites,  minerales  y  madera[65].   Los</w:t>
        <w:br/>
        <w:t xml:space="preserve">   sitios sagrados están distribuidos en todo el territorio, a la vez que el</w:t>
        <w:br/>
        <w:t xml:space="preserve">   territorio en sí tiene un valor sagrado para ellos[66].  En especial,  la</w:t>
        <w:br/>
        <w:t xml:space="preserve">   identidad  de  los  integrantes   del   pueblo   con   la   tierra   está</w:t>
        <w:br/>
        <w:t xml:space="preserve">   intrínsicamente relacionada con la lucha histórica  por  la  libertad  en</w:t>
        <w:br/>
        <w:t xml:space="preserve">   contra de la esclavitud, llamada la sagrada “primera vez”[67]. Durante la</w:t>
        <w:br/>
        <w:t xml:space="preserve">   audiencia pública  del  presente  caso  el  Capitán  Jefe  Wazen  Edwards</w:t>
        <w:br/>
        <w:t xml:space="preserve">   describió la especial relación que tienen con  la  tierra  del  siguiente</w:t>
        <w:br/>
        <w:t xml:space="preserve">   modo:</w:t>
        <w:br/>
        <w:br/>
        <w:t xml:space="preserve">      El bosque es como  nuestro  mercado  local;  allí  obtenemos  nuestras</w:t>
        <w:br/>
        <w:t xml:space="preserve">      medicinas, nuestras plantas  medicinales.   Allí  cazamos  para  tener</w:t>
        <w:br/>
        <w:t xml:space="preserve">      carne que comer.  El bosque  constituye  verdaderamente  nuestra  vida</w:t>
        <w:br/>
        <w:t xml:space="preserve">      entera.  Cuando nuestros ancestros se escaparon al bosque, no llevaban</w:t>
        <w:br/>
        <w:t xml:space="preserve">      nada con ellos.  Aprendieron cómo sobrevivir, qué plantas comer,  cómo</w:t>
        <w:br/>
        <w:t xml:space="preserve">      manejar sus necesidades  de  subsistencia  una  vez  que  llegaron  al</w:t>
        <w:br/>
        <w:t xml:space="preserve">      bosque.  Es toda nuestra forma de vida[68].</w:t>
        <w:br/>
        <w:br/>
        <w:t>83. Asimismo, se puede caracterizar su economía  como  tribal.   De  acuerdo</w:t>
        <w:br/>
        <w:t xml:space="preserve">   con el peritaje del Dr. Richard Price, por ejemplo, “la mayor cantidad de</w:t>
        <w:br/>
        <w:t xml:space="preserve">   alimentos que consumen los Saramaka proviene de […] fincas y de jardines”</w:t>
        <w:br/>
        <w:t xml:space="preserve">   tradicionalmente cultivados por las mujeres Saramaka[69].   Los  hombres,</w:t>
        <w:br/>
        <w:t xml:space="preserve">   de acuerdo al Dr. Price, pescan y “cazan cerdos salvajes, ciervos, tapir,</w:t>
        <w:br/>
        <w:t xml:space="preserve">   toda clase de monos, distintas clases de aves,  todo  lo  que  comen  los</w:t>
        <w:br/>
        <w:t xml:space="preserve">   Saramakas”[70].  Asimismo, las  mujeres  recolectan  distintos  tipos  de</w:t>
        <w:br/>
        <w:t xml:space="preserve">   frutas, plantas y minerales, que utilizan en varias formas, incluso  para</w:t>
        <w:br/>
        <w:t xml:space="preserve">   hacer  canastas,  para  cocinar  aceite  y  para  los   techos   de   sus</w:t>
        <w:br/>
        <w:t xml:space="preserve">   viviendas[71].</w:t>
        <w:br/>
        <w:br/>
        <w:t>84. Por ello, de acuerdo  con  lo  expuesto,  la  Corte  considera  que  los</w:t>
        <w:br/>
        <w:t xml:space="preserve">   miembros  del  pueblo  Saramaka  conforman  una  comunidad  tribal  cuyas</w:t>
        <w:br/>
        <w:t xml:space="preserve">   características sociales, culturales y económicas son diferentes de otras</w:t>
        <w:br/>
        <w:t xml:space="preserve">   secciones de la comunidad nacional, particularmente gracias a la relación</w:t>
        <w:br/>
        <w:t xml:space="preserve">   especial existente con sus territorios ancestrales, y porque  se  regulan</w:t>
        <w:br/>
        <w:t xml:space="preserve">   ellos mismos, al menos en forma parcial, a través de sus propias  normas,</w:t>
        <w:br/>
        <w:t xml:space="preserve">   costumbres y tradiciones. Consecuentemente, la Corte procederá a analizar</w:t>
        <w:br/>
        <w:t xml:space="preserve">   si, y en qué medida, los integrantes de  pueblos  tribales  requieren  de</w:t>
        <w:br/>
        <w:t xml:space="preserve">   ciertas medidas especiales que  garanticen  el  pleno  ejercicio  de  sus</w:t>
        <w:br/>
        <w:t xml:space="preserve">   derechos.</w:t>
        <w:br/>
        <w:br/>
        <w:t xml:space="preserve">      A.2) Medidas especiales debidas a los miembros de los pueblos tribales</w:t>
        <w:br/>
        <w:t xml:space="preserve">      que garanticen el ejercicio de sus derechos</w:t>
        <w:br/>
        <w:br/>
        <w:br/>
        <w:t>85. Esta Corte ha sostenido anteriormente, con base en el  artículo  1.1  de</w:t>
        <w:br/>
        <w:t xml:space="preserve">   la Convención, que los miembros  de  los  pueblos  indígenas  y  tribales</w:t>
        <w:br/>
        <w:t xml:space="preserve">   precisan ciertas medidas especiales para garantizar el ejercicio pleno de</w:t>
        <w:br/>
        <w:t xml:space="preserve">   sus derechos, en especial respecto del goce de sus derechos de propiedad,</w:t>
        <w:br/>
        <w:t xml:space="preserve">   a fin de  garantizar  su  supervivencia  física  y  cultural[72].   Otras</w:t>
        <w:br/>
        <w:t xml:space="preserve">   fuentes del derecho internacional han declarado, en  igual  sentido,  que</w:t>
        <w:br/>
        <w:t xml:space="preserve">   dichas medidas son necesarias[73].  Particularmente, en el caso  Moiwana,</w:t>
        <w:br/>
        <w:t xml:space="preserve">   la Corte determinó que otra  de  las  comunidades  maroon  que  viven  en</w:t>
        <w:br/>
        <w:t xml:space="preserve">   Surinam tampoco es indígena a la región pero que constituye una comunidad</w:t>
        <w:br/>
        <w:t xml:space="preserve">   tribal que se asentó en Surinam en los siglos XVII y XVIII,  y  que  esta</w:t>
        <w:br/>
        <w:t xml:space="preserve">   comunidad tribal tenía “una relación profunda y  abarcativa  respecto  de</w:t>
        <w:br/>
        <w:t xml:space="preserve">   sus tierras ancestrales" que se centraba no "en el individuo, sino en  la</w:t>
        <w:br/>
        <w:t xml:space="preserve">   comunidad en su conjunto"[74].  Esta relación especial con la tierra, así</w:t>
        <w:br/>
        <w:t xml:space="preserve">   como su concepto comunal de propiedad, conllevó a que la Corte aplicara a</w:t>
        <w:br/>
        <w:t xml:space="preserve">   la comunidad Moiwana su jurisprudencia en relación  con  las  comunidades</w:t>
        <w:br/>
        <w:t xml:space="preserve">   indígenas y sus derechos a la propiedad comunal, de  conformidad  con  el</w:t>
        <w:br/>
        <w:t xml:space="preserve">   artículo 21 de la Convención[75].</w:t>
        <w:br/>
        <w:br/>
        <w:t>86. La Corte no encuentra una razón para apartarse  de  esta  jurisprudencia</w:t>
        <w:br/>
        <w:t xml:space="preserve">   en el presente caso.   Por  ello,  este  Tribunal  declara  que  se  debe</w:t>
        <w:br/>
        <w:t xml:space="preserve">   considerar a los miembros del pueblo Saramaka como una comunidad tribal y</w:t>
        <w:br/>
        <w:t xml:space="preserve">   que la jurisprudencia de la Corte respecto del derecho  de  propiedad  de</w:t>
        <w:br/>
        <w:t xml:space="preserve">   los pueblos indígenas también es aplicable a los  pueblos  tribales  dado</w:t>
        <w:br/>
        <w:t xml:space="preserve">   que  comparten  características   sociales,   culturales   y   económicas</w:t>
        <w:br/>
        <w:t xml:space="preserve">   distintivas,  incluyendo  la  relación  especial  con   sus   territorios</w:t>
        <w:br/>
        <w:t xml:space="preserve">   ancestrales,  que  requiere  medidas  especiales  conforme   al   derecho</w:t>
        <w:br/>
        <w:t xml:space="preserve">   internacional  de  los  derechos  humanos  a   fin   de   garantizar   la</w:t>
        <w:br/>
        <w:t xml:space="preserve">   supervivencia física y cultural de dicho pueblo.</w:t>
        <w:br/>
        <w:br/>
        <w:br/>
        <w:t>B.     el derecho de los integrantes de los pueblos tribales al uso  y  goce</w:t>
        <w:br/>
        <w:t>de la propiedad comunal de conformidad con el artículo 21 de  la  Convención</w:t>
        <w:br/>
        <w:t>Americana y los artículos 1.1 y 2 de dicho instrumento</w:t>
        <w:br/>
        <w:br/>
        <w:br/>
        <w:t>87. La Corte ahora analizará si el artículo 21 de  la  Convención  Americana</w:t>
        <w:br/>
        <w:t xml:space="preserve">   protege el derecho de los miembros de los pueblos tribales al uso y  goce</w:t>
        <w:br/>
        <w:t xml:space="preserve">   de la propiedad comunal.</w:t>
        <w:br/>
        <w:br/>
        <w:t xml:space="preserve">      B.1) Derecho a la propiedad comunal conforme  al  artículo  21  de  la</w:t>
        <w:br/>
        <w:t xml:space="preserve">      Convención Americana</w:t>
        <w:br/>
        <w:br/>
        <w:br/>
        <w:t>88. Esta Corte ha tratado  previamente  esta  cuestión  y  ha  sostenido  en</w:t>
        <w:br/>
        <w:t xml:space="preserve">   repetidas oportunidades que</w:t>
        <w:br/>
        <w:br/>
        <w:t xml:space="preserve">      la estrecha vinculación de  los  pueblos  indígenas  con  sus  tierras</w:t>
        <w:br/>
        <w:t xml:space="preserve">      tradicionales y los recursos naturales ligados a su cultura que ahí se</w:t>
        <w:br/>
        <w:t xml:space="preserve">      encuentren, así como los elementos incorporales que se  desprendan  de</w:t>
        <w:br/>
        <w:t xml:space="preserve">      ellos, deben ser salvaguardados por el artículo 21  de  la  Convención</w:t>
        <w:br/>
        <w:t xml:space="preserve">      Americana[76].</w:t>
        <w:br/>
        <w:br/>
        <w:t>89. Asimismo, en el caso Mayagna la Corte señaló que “el artículo 21  de  la</w:t>
        <w:br/>
        <w:t xml:space="preserve">   Convención protege el derecho a la propiedad en un sentido que comprende,</w:t>
        <w:br/>
        <w:t xml:space="preserve">   entre otros, los derechos de los miembros de las comunidades indígenas en</w:t>
        <w:br/>
        <w:t xml:space="preserve">   el marco de la propiedad comunal”[77].   De  igual  manera,  en  el  caso</w:t>
        <w:br/>
        <w:t xml:space="preserve">   Sawhoyamaxa la Corte consideró “que los conceptos de propiedad y posesión</w:t>
        <w:br/>
        <w:t xml:space="preserve">   en las comunidades indígenas pueden tener una significación colectiva, en</w:t>
        <w:br/>
        <w:t xml:space="preserve">   el sentido de que la pertenencia de ésta ‘no se centra  en  un  individuo</w:t>
        <w:br/>
        <w:t xml:space="preserve">   sino en el grupo y su comunidad’”[78].  Además, el Tribunal señaló en  el</w:t>
        <w:br/>
        <w:t xml:space="preserve">   caso Yakye Axa que “tanto la propiedad privada de los  particulares  como</w:t>
        <w:br/>
        <w:t xml:space="preserve">   la propiedad comunitaria de los miembros  de  las  comunidades  indígenas</w:t>
        <w:br/>
        <w:t xml:space="preserve">   tienen la protección convencional que les otorga el  artículo  21  de  la</w:t>
        <w:br/>
        <w:t xml:space="preserve">   Convención Americana”[79].</w:t>
        <w:br/>
        <w:br/>
        <w:t>90. Las decisiones de la Corte al respecto se  han  basado  en  la  relación</w:t>
        <w:br/>
        <w:t xml:space="preserve">   especial que los integrantes de los pueblos indígenas y  tribales  tienen</w:t>
        <w:br/>
        <w:t xml:space="preserve">   con su territorio, y en  la  necesidad  de  proteger  su  derecho  a  ese</w:t>
        <w:br/>
        <w:t xml:space="preserve">   territorio a fin de garantizar la  supervivencia  física  y  cultural  de</w:t>
        <w:br/>
        <w:t xml:space="preserve">   dichos pueblos.  En este sentido, la Corte ha afirmado que:</w:t>
        <w:br/>
        <w:br/>
        <w:t xml:space="preserve">      la estrecha relación que los indígenas mantienen con la tierra debe de</w:t>
        <w:br/>
        <w:t xml:space="preserve">      ser reconocida y comprendida como la base fundamental de sus culturas,</w:t>
        <w:br/>
        <w:t xml:space="preserve">      su vida espiritual, su integridad y su supervivencia económica.   Para</w:t>
        <w:br/>
        <w:t xml:space="preserve">      las comunidades indígenas la relación con la tierra  no  es  meramente</w:t>
        <w:br/>
        <w:t xml:space="preserve">      una cuestión de posesión y producción  sino  un  elemento  material  y</w:t>
        <w:br/>
        <w:t xml:space="preserve">      espiritual del que deben gozar plenamente […] para preservar su legado</w:t>
        <w:br/>
        <w:t xml:space="preserve">      cultural y transmitirlo a las generaciones futuras[80].</w:t>
        <w:br/>
        <w:br/>
        <w:t>91. En esencia, conforme al artículo 21 de la Convención, los Estados  deben</w:t>
        <w:br/>
        <w:t xml:space="preserve">   respetar la especial relación que los miembros de los pueblos indígenas y</w:t>
        <w:br/>
        <w:t xml:space="preserve">   tribales tienen con su territorio a modo de garantizar  su  supervivencia</w:t>
        <w:br/>
        <w:t xml:space="preserve">   social, cultural y económica[81].  Dicha protección de  la  propiedad  en</w:t>
        <w:br/>
        <w:t xml:space="preserve">   los términos del artículo 21 de la Convención, leído en conjunto con  los</w:t>
        <w:br/>
        <w:t xml:space="preserve">   artículos 1.1 y 2 de dicho  instrumento,  le  asigna  a  los  Estados  la</w:t>
        <w:br/>
        <w:t xml:space="preserve">   obligación positiva de adoptar medidas especiales para garantizar  a  los</w:t>
        <w:br/>
        <w:t xml:space="preserve">   integrantes de los pueblos indígenas y  tribales  el  ejercicio  pleno  e</w:t>
        <w:br/>
        <w:t xml:space="preserve">   igualitario del derecho  a  los  territorios  que  han  usado  y  ocupado</w:t>
        <w:br/>
        <w:t xml:space="preserve">   tradicionalmente.</w:t>
        <w:br/>
        <w:br/>
        <w:t xml:space="preserve">      B.2) Interpretación del artículo 21 de la Convención Americana  en  el</w:t>
        <w:br/>
        <w:t xml:space="preserve">      presente caso</w:t>
        <w:br/>
        <w:br/>
        <w:br/>
        <w:t>92. La Corte reconoce que llegó a esa  interpretación  del  artículo  21  en</w:t>
        <w:br/>
        <w:t xml:space="preserve">   casos anteriores a la luz del artículo 29.b de  la  Convención,  el  cual</w:t>
        <w:br/>
        <w:t xml:space="preserve">   prohíbe interpretar alguna disposición de la Convención en el sentido  de</w:t>
        <w:br/>
        <w:t xml:space="preserve">   limitar el goce y el ejercicio de cualquier derecho o libertad que  pueda</w:t>
        <w:br/>
        <w:t xml:space="preserve">   estar reconocido de acuerdo con las leyes internas del Estado en cuestión</w:t>
        <w:br/>
        <w:t xml:space="preserve">   o de acuerdo con otra convención en que sea parte  el  Estado.   En  este</w:t>
        <w:br/>
        <w:t xml:space="preserve">   sentido, la Corte ha interpretado el artículo 21 de la  Convención  a  la</w:t>
        <w:br/>
        <w:t xml:space="preserve">   luz de la legislación interna de los derechos  de  los  miembros  de  los</w:t>
        <w:br/>
        <w:t xml:space="preserve">   pueblos  indígenas  y  tribales  de  Nicaragua[82]  y  Paraguay[83],  por</w:t>
        <w:br/>
        <w:t xml:space="preserve">   ejemplo,  así  como  también  teniendo  en  cuenta  el  Convenio  de   la</w:t>
        <w:br/>
        <w:t xml:space="preserve">   Organización Internacional del Trabajo (Nº 169) sobre Pueblos Indígenas y</w:t>
        <w:br/>
        <w:t xml:space="preserve">   Tribales  en  los  Países  Independientes  (en  adelante,  “Convenio  OIT</w:t>
        <w:br/>
        <w:t xml:space="preserve">   169”)[84].</w:t>
        <w:br/>
        <w:br/>
        <w:t>93. Como se discutirá seguidamente (infra  párrs.  97-107),  la  legislación</w:t>
        <w:br/>
        <w:t xml:space="preserve">   interna de Surinam no reconoce el derecho a la propiedad comunal  de  los</w:t>
        <w:br/>
        <w:t xml:space="preserve">   miembros de sus pueblos tribales y no ha ratificado el Convenio  OIT  No.</w:t>
        <w:br/>
        <w:t xml:space="preserve">   169.  No obstante, Surinam  ratificó  tanto  el  Pacto  Internacional  de</w:t>
        <w:br/>
        <w:t xml:space="preserve">   Derechos Civiles y Políticos como  el  Pacto  Internacional  de  Derechos</w:t>
        <w:br/>
        <w:t xml:space="preserve">   Económicos,  Sociales  y  Culturales[85].  El   Comité   sobre   Derechos</w:t>
        <w:br/>
        <w:t xml:space="preserve">   Económicos, Sociales y  Culturales,  que  es  el  organismo  de  expertos</w:t>
        <w:br/>
        <w:t xml:space="preserve">   independientes que supervisa la implementación del PIDESC  por  parte  de</w:t>
        <w:br/>
        <w:t xml:space="preserve">   los Estados Parte, ha interpretado el  artículo  1  en  común  de  dichos</w:t>
        <w:br/>
        <w:t xml:space="preserve">   pactos como aplicable a  los  pueblos  indígenas[86].   Al  respecto,  en</w:t>
        <w:br/>
        <w:t xml:space="preserve">   virtud del derecho  a  la  autodeterminación  de  los  pueblos  indígenas</w:t>
        <w:br/>
        <w:t xml:space="preserve">   conforme  a  dicho  artículo  1,  los  pueblos  podrán  “provee[r]  a  su</w:t>
        <w:br/>
        <w:t xml:space="preserve">   desarrollo económico, social y cultural” y pueden   “disponer  libremente</w:t>
        <w:br/>
        <w:t xml:space="preserve">   de sus riquezas y recursos naturales” para que no se los  prive  de  “sus</w:t>
        <w:br/>
        <w:t xml:space="preserve">   propios medios de subsistencia”[87]. Conforme  al  artículo  29.b  de  la</w:t>
        <w:br/>
        <w:t xml:space="preserve">   Convención Americana, esta Corte no puede interpretar  las  disposiciones</w:t>
        <w:br/>
        <w:t xml:space="preserve">   del artículo 21 de dicho instrumento en el sentido que limite el  goce  y</w:t>
        <w:br/>
        <w:t xml:space="preserve">   ejercicio de los derechos reconocidos por Surinam en  dichos  Pactos[88].</w:t>
        <w:br/>
        <w:t xml:space="preserve">   La Corte considera  que  el  mismo  razonamiento  aplica  a  los  pueblos</w:t>
        <w:br/>
        <w:t xml:space="preserve">   tribales debido a las características similares  sociales,  culturales  y</w:t>
        <w:br/>
        <w:t xml:space="preserve">   económicas que comparten con los pueblos  indígenas  (supra,  párrs.  80-</w:t>
        <w:br/>
        <w:t xml:space="preserve">   86)[89].</w:t>
        <w:br/>
        <w:br/>
        <w:t>94. Asimismo, el Comité de Derechos Humanos ha  analizado  las  obligaciones</w:t>
        <w:br/>
        <w:t xml:space="preserve">   de los Estados Parte del PIDCP, incluido Surinam, bajo el artículo 27  de</w:t>
        <w:br/>
        <w:t xml:space="preserve">   dicho instrumento y notó que "no se negará a las personas que pertenezcan</w:t>
        <w:br/>
        <w:t xml:space="preserve">   a dichas minorías el derecho que les corresponde, en  comunidad  con  los</w:t>
        <w:br/>
        <w:t xml:space="preserve">   demás miembros de su grupo, a gozar de su propia cultura, [la cual] podrá</w:t>
        <w:br/>
        <w:t xml:space="preserve">   consistir en un modo  de  vida  que  está  fuertemente  asociado  con  el</w:t>
        <w:br/>
        <w:t xml:space="preserve">   territorio  y  el  uso  de  sus  recursos  naturales.   Esto  podría  ser</w:t>
        <w:br/>
        <w:t xml:space="preserve">   particularmente cierto de  los  miembros  de  comunidades  indígenas  que</w:t>
        <w:br/>
        <w:t xml:space="preserve">   constituyen una minoría”[90].</w:t>
        <w:br/>
        <w:br/>
        <w:t>95. El análisis anterior sustenta una interpretación del artículo 21  de  la</w:t>
        <w:br/>
        <w:t xml:space="preserve">   Convención Americana al grado de exigir el derecho de los integrantes  de</w:t>
        <w:br/>
        <w:t xml:space="preserve">   los pueblos indígenas y tribales a que determinen y gocen, libremente, de</w:t>
        <w:br/>
        <w:t xml:space="preserve">   su propio desarrollo social, cultural y económico,  el  cual  incluye  el</w:t>
        <w:br/>
        <w:t xml:space="preserve">   derecho a gozar de la particular relación espiritual  con  el  territorio</w:t>
        <w:br/>
        <w:t xml:space="preserve">   que han usado y ocupado tradicionalmente.  Por ello, en el presente caso,</w:t>
        <w:br/>
        <w:t xml:space="preserve">   el derecho a la  propiedad  protegido  conforme  al  artículo  21  de  la</w:t>
        <w:br/>
        <w:t xml:space="preserve">   Convención Americana, e interpretado a la luz de los derechos reconocidos</w:t>
        <w:br/>
        <w:t xml:space="preserve">   en los artículos 1 en común y 27 del PIDCP,  los  cuales  no  podrán  ser</w:t>
        <w:br/>
        <w:t xml:space="preserve">   restringidos al interpretar la Convención Americana en el presente  caso,</w:t>
        <w:br/>
        <w:t xml:space="preserve">   confiere a los integrantes del pueblo Saramaka el derecho al goce  de  su</w:t>
        <w:br/>
        <w:t xml:space="preserve">   propiedad de conformidad con su tradición comunitaria.</w:t>
        <w:br/>
        <w:br/>
        <w:t>96. Aplicando el criterio mencionado en el presente caso, la Corte,  por  lo</w:t>
        <w:br/>
        <w:t xml:space="preserve">   tanto, concluye que  los  miembros  del  pueblo  Saramaka  conforman  una</w:t>
        <w:br/>
        <w:t xml:space="preserve">   comunidad tribal protegida por el derecho internacional de  los  derechos</w:t>
        <w:br/>
        <w:t xml:space="preserve">   humanos que garantiza el derecho al territorio comunal que  han  usado  y</w:t>
        <w:br/>
        <w:t xml:space="preserve">   ocupado tradicionalmente, derivado del uso y ocupación, de larga data, de</w:t>
        <w:br/>
        <w:t xml:space="preserve">   la tierra y de los recursos necesarios  para  su  subsistencia  física  y</w:t>
        <w:br/>
        <w:t xml:space="preserve">   cultural y, asimismo, que  el  Estado  tiene  la  obligación  de  adoptar</w:t>
        <w:br/>
        <w:t xml:space="preserve">   medidas especiales para reconocer, respetar, proteger y garantizar a  los</w:t>
        <w:br/>
        <w:t xml:space="preserve">   integrantes del pueblo Saramaka el derecho de propiedad comunal  respecto</w:t>
        <w:br/>
        <w:t xml:space="preserve">   de dicho territorio.</w:t>
        <w:br/>
        <w:br/>
        <w:br/>
        <w:t>C.    Los derechos  de  los  miembros  del  pueblo  Saramaka  derivados  del</w:t>
        <w:br/>
        <w:t>sistema de  propiedad comunal de aquellos (artículo 21 de la  Convención  en</w:t>
        <w:br/>
        <w:t>relación con los artículos 1.1 y 2 de dicho instrumento)</w:t>
        <w:br/>
        <w:br/>
        <w:br/>
        <w:t>97. Toda vez que se declaró que la Convención Americana reconoce el  derecho</w:t>
        <w:br/>
        <w:t xml:space="preserve">   de los miembros del pueblo Saramaka al uso y  goce  de  su  propiedad  de</w:t>
        <w:br/>
        <w:t xml:space="preserve">   conformidad con su sistema de propiedad comunal, la Corte procederá ahora</w:t>
        <w:br/>
        <w:t xml:space="preserve">   a analizar si el Estado ha adoptado el marco adecuado  para  efectivizar,</w:t>
        <w:br/>
        <w:t xml:space="preserve">   mediante la legislación interna, dicho derecho.</w:t>
        <w:br/>
        <w:br/>
        <w:t>98. La cuestión general respecto de los derechos  de  propiedad  comunal  de</w:t>
        <w:br/>
        <w:t xml:space="preserve">   los pueblos indígenas y tribales en Surinam ya ha sido materia de estudio</w:t>
        <w:br/>
        <w:t xml:space="preserve">   por esta Corte en el caso Moiwana.  En dicho precedente, la Corte sostuvo</w:t>
        <w:br/>
        <w:t xml:space="preserve">   que el Estado no reconocía a dichos pueblos un  derecho  a  la  propiedad</w:t>
        <w:br/>
        <w:t xml:space="preserve">   comunal[91].  La Corte observa que ésta conclusión se  encuentra  también</w:t>
        <w:br/>
        <w:t xml:space="preserve">   respaldada por una serie de organismos y  organizaciones  internacionales</w:t>
        <w:br/>
        <w:t xml:space="preserve">   que han tratado esta cuestión  en  otras  oportunidades.   El  Comité  de</w:t>
        <w:br/>
        <w:t xml:space="preserve">   Naciones Unidas para la Eliminación de la Discriminación  Racial[92],  la</w:t>
        <w:br/>
        <w:t xml:space="preserve">   Comisión de  Naciones  Unidas  de  Derechos  Humanos[93],  y  el  Relator</w:t>
        <w:br/>
        <w:t xml:space="preserve">   Especial de la Comisión de Naciones Unidas  sobre  la  situación  de  los</w:t>
        <w:br/>
        <w:t xml:space="preserve">   derechos humanos y las  libertades  fundamentales  de  los  indígenas[94]</w:t>
        <w:br/>
        <w:t xml:space="preserve">   todos han observado que Surinam no reconoce legalmente  los  derechos  de</w:t>
        <w:br/>
        <w:t xml:space="preserve">   los miembros de los pueblos indígenas y tribales respecto de sus tierras,</w:t>
        <w:br/>
        <w:t xml:space="preserve">   recursos y territorios comunales.</w:t>
        <w:br/>
        <w:br/>
        <w:br/>
        <w:t>99. El Estado también aceptó que  su  legislación  interna  no  reconoce  el</w:t>
        <w:br/>
        <w:t xml:space="preserve">   derecho de los miembros del pueblo Saramaka al uso y goce de  su  sistema</w:t>
        <w:br/>
        <w:t xml:space="preserve">   de propiedad comunal sobre  su  territorio,  sino  que  les  reconoce  un</w:t>
        <w:br/>
        <w:t xml:space="preserve">   privilegio sobre el uso de la tierra.  No obstante, el Estado proporcionó</w:t>
        <w:br/>
        <w:t xml:space="preserve">   cuatro  presuntas  razones  por  las  cuales  no   debería   considerarse</w:t>
        <w:br/>
        <w:t xml:space="preserve">   responsable de esta situación en el presente caso.   Primero,  el  Estado</w:t>
        <w:br/>
        <w:t xml:space="preserve">   manifestó que la falta de claridad respecto del sistema  de  posesión  de</w:t>
        <w:br/>
        <w:t xml:space="preserve">   tierras del pueblo Saramaka, particularmente acerca de  quiénes  son  los</w:t>
        <w:br/>
        <w:t xml:space="preserve">   titulares  de  la  tierra,  presenta  un  problema   práctico   para   el</w:t>
        <w:br/>
        <w:t xml:space="preserve">   reconocimiento del Estado del derecho comunal a la  propiedad.   Segundo,</w:t>
        <w:br/>
        <w:t xml:space="preserve">   algunas “complejidades y sensibilidades” respecto de la cuestión  de  los</w:t>
        <w:br/>
        <w:t xml:space="preserve">   derechos colectivos no ha permitido que el  Estado  legalmente  reconozca</w:t>
        <w:br/>
        <w:t xml:space="preserve">   esos derechos.  El Estado sugirió que una legislación que proporcione  un</w:t>
        <w:br/>
        <w:t xml:space="preserve">   "trato especial" a los grupos indígenas y tribales plantearía  cuestiones</w:t>
        <w:br/>
        <w:t xml:space="preserve">   de  soberanía  de  Estado  y  discriminación  respeto  del  resto  de  la</w:t>
        <w:br/>
        <w:t xml:space="preserve">   población.  Tercero, el Estado argumentó que el poder judicial,  mediante</w:t>
        <w:br/>
        <w:t xml:space="preserve">   sus cortes, podría reconocer los derechos comunales de la propiedad, pero</w:t>
        <w:br/>
        <w:t xml:space="preserve">   que los integrantes del pueblo Saramaka se han negado a demandar ante los</w:t>
        <w:br/>
        <w:t xml:space="preserve">   tribunales internos para reclamar dicho reconocimiento.   Finalmente,  el</w:t>
        <w:br/>
        <w:t xml:space="preserve">   Estado arguyó que su legislación doméstica reconoce a  los  miembros  del</w:t>
        <w:br/>
        <w:t xml:space="preserve">   pueblo Saramaka un “interés”, más que un derecho,  a  la  propiedad.   La</w:t>
        <w:br/>
        <w:t xml:space="preserve">   Corte abordará estas cuestiones en dicho orden.</w:t>
        <w:br/>
        <w:br/>
        <w:t xml:space="preserve">      C.1) Sistema de posesión de la  tierra  de  los  miembros  del  pueblo</w:t>
        <w:br/>
        <w:t xml:space="preserve">      Saramaka</w:t>
        <w:br/>
        <w:br/>
        <w:br/>
        <w:t>100. Primero, la cuestión respecto de la  presunta  falta  de  claridad  del</w:t>
        <w:br/>
        <w:t xml:space="preserve">   sistema tradicional de posesión de las tierras  de  los  integrantes  del</w:t>
        <w:br/>
        <w:t xml:space="preserve">   pueblo Saramaka ha sido tratado exhaustivamente por las partes,  testigos</w:t>
        <w:br/>
        <w:t xml:space="preserve">   y peritos en el presente caso.  De la prueba y declaraciones  presentadas</w:t>
        <w:br/>
        <w:t xml:space="preserve">   ante la Corte, se extrae  que  los  lös,  o  clanes,  son  las  entidades</w:t>
        <w:br/>
        <w:t xml:space="preserve">   propietarias primarias de las tierras dentro de la sociedad Saramaka[95].</w:t>
        <w:br/>
        <w:t xml:space="preserve">    Cada lö es autónomo y es quien asigna los derechos de la  tierra  y  los</w:t>
        <w:br/>
        <w:t xml:space="preserve">   recursos entre los bëë (grupos  familiares  extendidos)  y  sus  miembros</w:t>
        <w:br/>
        <w:t xml:space="preserve">   individuales de conformidad  con  la  ley  consuetudinaria  Saramaka[96].</w:t>
        <w:br/>
        <w:t xml:space="preserve">   Conforme a dicha ley consuetudinaria, los Capitanes o miembros de  un  lö</w:t>
        <w:br/>
        <w:t xml:space="preserve">   no pueden afectar o enajenar de modo alguno la propiedad comunal de su lö</w:t>
        <w:br/>
        <w:t xml:space="preserve">   y un lö no puede afectar o enajenar las tierras  del  conjunto  colectivo</w:t>
        <w:br/>
        <w:t xml:space="preserve">   del territorio Saramaka[97].  Sobre este último punto, el Capitán Jefe  y</w:t>
        <w:br/>
        <w:t xml:space="preserve">   Fiscali Eddie Fonkie explicó que “[s]i un lö trata de vender  su  tierra,</w:t>
        <w:br/>
        <w:t xml:space="preserve">   los otros lös tienen el derecho de objetar y  detener  dicha  transacción</w:t>
        <w:br/>
        <w:t xml:space="preserve">   porque, de lo contrario, se afectarían los derechos y la vida de todo  el</w:t>
        <w:br/>
        <w:t xml:space="preserve">   pueblo Saramaka.  Los lö son muy autónomos y […] no  interfieren  en  los</w:t>
        <w:br/>
        <w:t xml:space="preserve">   asuntos de los demás a menos que se vean afectados los intereses de  todo</w:t>
        <w:br/>
        <w:t xml:space="preserve">   el pueblo Saramaka”[98].  Esto es porque el territorio “pertenece  a  los</w:t>
        <w:br/>
        <w:t xml:space="preserve">   Saramakas, en última instancia. [Es decir] le pertenece  a  los  Saramaka</w:t>
        <w:br/>
        <w:t xml:space="preserve">   como pueblo”[99].</w:t>
        <w:br/>
        <w:br/>
        <w:t>101. En todo caso, la presunta falta de claridad en  cuanto  al  sistema  de</w:t>
        <w:br/>
        <w:t xml:space="preserve">   posesión  de  la  tierra  de  los  Saramaka  no  presenta  un   obstáculo</w:t>
        <w:br/>
        <w:t xml:space="preserve">   insuperable para el Estado, quien tiene la obligación  de  consultar  con</w:t>
        <w:br/>
        <w:t xml:space="preserve">   los integrantes del pueblo Saramaka (infra, párr. 129)  y  solicitar  una</w:t>
        <w:br/>
        <w:t xml:space="preserve">   aclaración sobre esta cuestión a fin  de  cumplir  con  sus  obligaciones</w:t>
        <w:br/>
        <w:t xml:space="preserve">   conforme al artículo 21 de la Convención, en relación con el  artículo  2</w:t>
        <w:br/>
        <w:t xml:space="preserve">   de dicho instrumento.</w:t>
        <w:br/>
        <w:br/>
        <w:t xml:space="preserve">      C.2) Complejidad de las cuestiones relacionadas e inquietud por  parte</w:t>
        <w:br/>
        <w:t xml:space="preserve">      del Estado respecto de la discriminación hacia personas  que  no  sean</w:t>
        <w:br/>
        <w:t xml:space="preserve">      miembros indígenas o tribales</w:t>
        <w:br/>
        <w:br/>
        <w:br/>
        <w:t>102. Dos argumentos  adicionales  e  interrelacionados  presentados  por  el</w:t>
        <w:br/>
        <w:t xml:space="preserve">   Estado respecto del por qué no ha reconocido y protegido, legalmente, los</w:t>
        <w:br/>
        <w:t xml:space="preserve">   sistemas de posesión de la tierra de los pueblos indígenas y tribales  se</w:t>
        <w:br/>
        <w:t xml:space="preserve">   refieren a las supuestas dificultades y sensibilidades de las  cuestiones</w:t>
        <w:br/>
        <w:t xml:space="preserve">   comprendidas, y la inquietud que gira en torno a  que  la  legislación  a</w:t>
        <w:br/>
        <w:t xml:space="preserve">   favor de los pueblos indígenas y tribales puede ser  percibida  como  una</w:t>
        <w:br/>
        <w:t xml:space="preserve">   actitud discriminatoria hacia el resto de la población.  En cuanto  a  la</w:t>
        <w:br/>
        <w:t xml:space="preserve">   primera cuestión, la Corte observa que el Estado no puede  abstenerse  de</w:t>
        <w:br/>
        <w:t xml:space="preserve">   cumplir con las obligaciones internacionales de acuerdo con la Convención</w:t>
        <w:br/>
        <w:t xml:space="preserve">   Americana simplemente porque le es difícil hacerlo.  La Corte comparte la</w:t>
        <w:br/>
        <w:t xml:space="preserve">   inquietud  del  Estado  en  cuanto  a  lo  complejo  de  las   cuestiones</w:t>
        <w:br/>
        <w:t xml:space="preserve">   relacionadas con este tema; sin embargo, el  Estado  tiene  el  deber  de</w:t>
        <w:br/>
        <w:t xml:space="preserve">   reconocer el derecho a la propiedad de los miembros del pueblo  Saramaka,</w:t>
        <w:br/>
        <w:t xml:space="preserve">   en el marco de su  sistema  colectivo  de  propiedad,  y  establecer  los</w:t>
        <w:br/>
        <w:t xml:space="preserve">   mecanismos necesarios para hacer efectivo  a  nivel  interno  el  derecho</w:t>
        <w:br/>
        <w:t xml:space="preserve">   consagrado en la Convención, según lo ha interpretado este Tribunal en su</w:t>
        <w:br/>
        <w:t xml:space="preserve">   jurisprudencia.</w:t>
        <w:br/>
        <w:br/>
        <w:t>103. Asimismo, es improcedente el argumento del Estado en cuanto  a  que  es</w:t>
        <w:br/>
        <w:t xml:space="preserve">   discriminatorio aprobar una ley que reconozca  las  formas  comunales  de</w:t>
        <w:br/>
        <w:t xml:space="preserve">   posesión de la  tierra.   Es  un  principio  establecido  en  el  derecho</w:t>
        <w:br/>
        <w:t xml:space="preserve">   internacional que el trato desigual a personas en condiciones  desiguales</w:t>
        <w:br/>
        <w:t xml:space="preserve">   no  necesariamente  constituye  discriminación  no   permitida[100].   La</w:t>
        <w:br/>
        <w:t xml:space="preserve">   legislación  que  reconoce  dichas  diferencias  no  es,  por  lo  tanto,</w:t>
        <w:br/>
        <w:t xml:space="preserve">   necesariamente discriminatoria.  En el contexto de los integrantes de los</w:t>
        <w:br/>
        <w:t xml:space="preserve">   pueblos indígenas y tribales, esta Corte ya ha expresado que es necesario</w:t>
        <w:br/>
        <w:t xml:space="preserve">   la adopción de medidas especiales a fin de garantizar su supervivencia de</w:t>
        <w:br/>
        <w:t xml:space="preserve">   conformidad con sus tradiciones y costumbres (supra, párrs. 78-86,  91  y</w:t>
        <w:br/>
        <w:t xml:space="preserve">   96).  Por ello, es improcedente el argumento del Estado  respecto  de  su</w:t>
        <w:br/>
        <w:t xml:space="preserve">   incapacidad para crear legislación en esta  área  debido  a  la  presunta</w:t>
        <w:br/>
        <w:t xml:space="preserve">   complejidad de la cuestión o la  posible  naturaleza  discriminatoria  de</w:t>
        <w:br/>
        <w:t xml:space="preserve">   dicha legislación.</w:t>
        <w:br/>
        <w:br/>
        <w:t xml:space="preserve">      C.3) Reconocimiento de derechos por el poder judicial</w:t>
        <w:br/>
        <w:br/>
        <w:br/>
        <w:t>104. Adicionalmente, el Estado argumentó que el poder  judicial,  por  medio</w:t>
        <w:br/>
        <w:t xml:space="preserve">   de sus tribunales, podría reconocer los derechos a la propiedad  comunal,</w:t>
        <w:br/>
        <w:t xml:space="preserve">   pero que los miembros del pueblo Saramaka se han negado a  demandar  ante</w:t>
        <w:br/>
        <w:t xml:space="preserve">   los   tribunales   internos   para   reclamar    dicho    reconocimiento.</w:t>
        <w:br/>
        <w:t xml:space="preserve">   Primeramente, se debería hacer una distinción  entre  la  obligación  del</w:t>
        <w:br/>
        <w:t xml:space="preserve">   Estado conforme al artículo 2 de la Convención para efectivizar, mediante</w:t>
        <w:br/>
        <w:t xml:space="preserve">   legislación interna,  los  derechos  allí  consagrados  y  la  obligación</w:t>
        <w:br/>
        <w:t xml:space="preserve">   conforme al artículo 25 de proporcionar recursos  efectivos  y  adecuados</w:t>
        <w:br/>
        <w:t xml:space="preserve">   para reparar las presuntas  violaciones  a  dichos  derechos.   La  Corte</w:t>
        <w:br/>
        <w:t xml:space="preserve">   tratará, infra (párrs. 76-85), en su análisis sobre la presunta violación</w:t>
        <w:br/>
        <w:t xml:space="preserve">   del artículo  25  de  la  Convención,  la  efectividad  de  los  recursos</w:t>
        <w:br/>
        <w:t xml:space="preserve">   mencionados por el  Estado,  incluso  aquellos  disponibles  conforme  al</w:t>
        <w:br/>
        <w:t xml:space="preserve">   artículo 1386 del Código Civil de Surinam,  para  reparar  las  presuntas</w:t>
        <w:br/>
        <w:t xml:space="preserve">   violaciones al derecho de los miembros del pueblo Saramaka a la propiedad</w:t>
        <w:br/>
        <w:t xml:space="preserve">   de conformidad con su sistema de propiedad comunal.</w:t>
        <w:br/>
        <w:br/>
        <w:t>105. La Corte observa que aunque la llamada legislación judicial  pueda  ser</w:t>
        <w:br/>
        <w:t xml:space="preserve">   un medio para el  reconocimiento  de  los  derechos  de  los  individuos,</w:t>
        <w:br/>
        <w:t xml:space="preserve">   especialmente conforme a los sistemas  de derecho común (common law),  la</w:t>
        <w:br/>
        <w:t xml:space="preserve">   disponibilidad de un procedimiento de este tipo no cumple, en  sí  mismo,</w:t>
        <w:br/>
        <w:t xml:space="preserve">   con las obligaciones del Estado de efectivizar los  derechos  consagrados</w:t>
        <w:br/>
        <w:t xml:space="preserve">   en  la  Convención  Americana.   Es  decir,  la   mera   posibilidad   de</w:t>
        <w:br/>
        <w:t xml:space="preserve">   reconocimiento de derechos a través de cierto proceso judicial no  es  un</w:t>
        <w:br/>
        <w:t xml:space="preserve">   sustituto para el reconocimiento real de  dichos  derechos.   El  proceso</w:t>
        <w:br/>
        <w:t xml:space="preserve">   judicial mencionado por el Estado debe, entonces, ser entendido  como  un</w:t>
        <w:br/>
        <w:t xml:space="preserve">   medio a través del cual  se  podrían  efectivizar  esos  derechos  en  el</w:t>
        <w:br/>
        <w:t xml:space="preserve">   futuro, pero que aún no ha reconocido,  efectivamente,  los  derechos  en</w:t>
        <w:br/>
        <w:t xml:space="preserve">   cuestión.  En todo  caso,  el  derecho  de  los  integrantes  del  pueblo</w:t>
        <w:br/>
        <w:t xml:space="preserve">   Saramaka en particular, o de los miembros  de  los  pueblos  indígenas  o</w:t>
        <w:br/>
        <w:t xml:space="preserve">   tribales en general, de poseer la tierra en forma colectiva  no  ha  sido</w:t>
        <w:br/>
        <w:t xml:space="preserve">   reconocido, aún, por ningún tribunal interno de Surinam.</w:t>
        <w:br/>
        <w:br/>
        <w:t xml:space="preserve">      C.4) Legislación interna</w:t>
        <w:br/>
        <w:br/>
        <w:br/>
        <w:t>106. Finalmente, el Estado alega que, aunque “pueda  ser  correcto  que  los</w:t>
        <w:br/>
        <w:t xml:space="preserve">   intereses sobre la tierra de los Saramaka no estén  reconocidos  como  un</w:t>
        <w:br/>
        <w:t xml:space="preserve">   derecho subjetivo en el sistema legal surinamés[,] es una  tergiversación</w:t>
        <w:br/>
        <w:t xml:space="preserve">   tendenciosa sugerir que el sistema  no  reconoce  y  no  respeta,  en  la</w:t>
        <w:br/>
        <w:t xml:space="preserve">   práctica, los intereses legítimos de la Tribu”.  De acuerdo al Estado, la</w:t>
        <w:br/>
        <w:t xml:space="preserve">   legislación interna existente reconoce ciertos “intereses”, en  oposición</w:t>
        <w:br/>
        <w:t xml:space="preserve">   a derechos, de los miembros de los pueblos indígenas y tribales  respecto</w:t>
        <w:br/>
        <w:t xml:space="preserve">   de la tierra.  Entre los  instrumentos  legales  se  puede  mencionar  la</w:t>
        <w:br/>
        <w:t xml:space="preserve">   Constitución de 1987, los Decretos L-1 de 1982, el Decreto Minero de 1986</w:t>
        <w:br/>
        <w:t xml:space="preserve">   y la Ley de Gestión Forestal de 1992.  Como una cuestión  preliminar,  la</w:t>
        <w:br/>
        <w:t xml:space="preserve">   Corte observa que el reconocimiento y  respeto  en  la  práctica  de  los</w:t>
        <w:br/>
        <w:t xml:space="preserve">   “intereses legítimos” de los integrantes del  pueblo  Saramaka  no  puede</w:t>
        <w:br/>
        <w:t xml:space="preserve">   interpretarse como que satisface las obligaciones del Estado conforme  al</w:t>
        <w:br/>
        <w:t xml:space="preserve">   artículo  2  de  la  Convención  respecto  del  artículo  21   de   dicho</w:t>
        <w:br/>
        <w:t xml:space="preserve">   instrumento.   La  Corte  procederá  a  analizar  en  qué  medida   estos</w:t>
        <w:br/>
        <w:t xml:space="preserve">   instrumentos legales reconocen un "interés", y no un derecho, respecto de</w:t>
        <w:br/>
        <w:t xml:space="preserve">   la propiedad de los miembros del pueblo Saramaka.</w:t>
        <w:br/>
        <w:br/>
        <w:br/>
        <w:t xml:space="preserve">           C.4.a) La Constitución de 1987</w:t>
        <w:br/>
        <w:br/>
        <w:br/>
        <w:t>107. Respecto de este  argumento,  el  Estado  primero  reconoció  que  “los</w:t>
        <w:br/>
        <w:t xml:space="preserve">   derechos  a  la  tierra  de  la  Tribu  Saramaka  no   están   de   hecho</w:t>
        <w:br/>
        <w:t xml:space="preserve">   explícitamente consagrados en la  Constitución  de  1987”,  pero  también</w:t>
        <w:br/>
        <w:t xml:space="preserve">   alegó que dicho reconocimiento constitucional no es un requisito conforme</w:t>
        <w:br/>
        <w:t xml:space="preserve">   al artículo 2 de la Convención.  Como puntualizó el Estado, Surinam no es</w:t>
        <w:br/>
        <w:t xml:space="preserve">   una excepción en  este  sentido,  ya  que  muchos  Estados  Parte  de  la</w:t>
        <w:br/>
        <w:t xml:space="preserve">   Convención tienen constituciones  que  no  reconocen  explícitamente  los</w:t>
        <w:br/>
        <w:t xml:space="preserve">   sistemas de propiedad colectiva que puedan ejercer los integrantes de los</w:t>
        <w:br/>
        <w:t xml:space="preserve">   pueblos indígenas y tribales.  Aún así,  la  obligación  de  efectivizar,</w:t>
        <w:br/>
        <w:t xml:space="preserve">   mediante legislación interna,  el  derecho  a  la  propiedad  comunal  no</w:t>
        <w:br/>
        <w:t xml:space="preserve">   implica,  necesariamente,  un  reconocimiento  constitucional  de   dicho</w:t>
        <w:br/>
        <w:t xml:space="preserve">   derecho.   El  artículo  2  de  la  Convención  ordena  que  los  Estados</w:t>
        <w:br/>
        <w:t xml:space="preserve">   efectivicen, con arreglo a sus legislaciones internas, aquellos  derechos</w:t>
        <w:br/>
        <w:t xml:space="preserve">   y libertades mediante “la adopción de  medidas  legislativas  o  de  otro</w:t>
        <w:br/>
        <w:t xml:space="preserve">   carácter que fueren necesarias”.   En  el  caso  de  Surinam,  no  se  ha</w:t>
        <w:br/>
        <w:t xml:space="preserve">   adoptado ninguna medida legislativa o de otra índole.</w:t>
        <w:br/>
        <w:br/>
        <w:br/>
        <w:t xml:space="preserve">           C.4.b) Los Decretos L-1</w:t>
        <w:br/>
        <w:br/>
        <w:br/>
        <w:t>108. Segundo, el Estado se refirió a los Decretos L-1 de 1982.  El  artículo</w:t>
        <w:br/>
        <w:t xml:space="preserve">   4 del Decreto L-1 establece lo siguiente:</w:t>
        <w:br/>
        <w:br/>
        <w:t xml:space="preserve">      (1) En la asignación de domain land [tierra de la cual  el  Estado  es</w:t>
        <w:br/>
        <w:t xml:space="preserve">      propietario en virtud de su Constitución], se respetarán los  derechos</w:t>
        <w:br/>
        <w:t xml:space="preserve">      que tienen los Bushnegroes [Maroons] tribales e Indios respecto de sus</w:t>
        <w:br/>
        <w:t xml:space="preserve">      pueblos, asentamientos y parcelas forestales, siempre que no se afecte</w:t>
        <w:br/>
        <w:t xml:space="preserve">      el interés general.</w:t>
        <w:br/>
        <w:t xml:space="preserve">      (2) El interés general incluye la ejecución de  todo  proyecto  dentro</w:t>
        <w:br/>
        <w:t xml:space="preserve">      del marco de un plan de desarrollo aprobado[101].</w:t>
        <w:br/>
        <w:br/>
        <w:t>109. La nota explicativa oficial del artículo 4.1  del  Decreto  L-I  indica</w:t>
        <w:br/>
        <w:t xml:space="preserve">   que se tendrán en cuenta los “derechos fácticos” de los miembros  de  los</w:t>
        <w:br/>
        <w:t xml:space="preserve">   pueblos indígenas y tribales cuando se emitan  títulos  sobre  el  domain</w:t>
        <w:br/>
        <w:t xml:space="preserve">   land[102].</w:t>
        <w:br/>
        <w:br/>
        <w:t>110. El uso del término “derechos fácticos" (o  derechos  de  facto)  en  la</w:t>
        <w:br/>
        <w:t xml:space="preserve">   nota explicativa  del  artículo  4.1  del  Decreto  L-I  tiene  como  fin</w:t>
        <w:br/>
        <w:t xml:space="preserve">   distinguir estos "derechos" de los derechos legales (de jure) otorgados a</w:t>
        <w:br/>
        <w:t xml:space="preserve">   los  tenedores  de  títulos  reales  individuales  y  otros  derechos  de</w:t>
        <w:br/>
        <w:t xml:space="preserve">   propiedad que sean registrables, reconocidos y emitidos  por  el  Estado.</w:t>
        <w:br/>
        <w:t xml:space="preserve">   Esta limitación al reconocimiento del  derecho  de  los  integrantes  del</w:t>
        <w:br/>
        <w:t xml:space="preserve">   pueblo Saramaka para gozar plenamente del territorio que  han  poseído  y</w:t>
        <w:br/>
        <w:t xml:space="preserve">   ocupado tradicionalmente es incompatible con  la  obligación  del  Estado</w:t>
        <w:br/>
        <w:t xml:space="preserve">   conforme al artículo 2 de la Convención para hacer efectivos los derechos</w:t>
        <w:br/>
        <w:t xml:space="preserve">   consagrados en el artículo 21 de dicho instrumento.</w:t>
        <w:br/>
        <w:br/>
        <w:br/>
        <w:t xml:space="preserve">           C.4.c) Decreto de Explotación Minera de 1986</w:t>
        <w:br/>
        <w:br/>
        <w:br/>
        <w:t>111. Del mismo modo, el Decreto de Explotación Minera, al que se refirió  el</w:t>
        <w:br/>
        <w:t xml:space="preserve">   Estado, tampoco logra hacer efectivos los derechos a la propiedad que los</w:t>
        <w:br/>
        <w:t xml:space="preserve">   miembros del pueblo Saramaka tienen en razón de su sistema  de  propiedad</w:t>
        <w:br/>
        <w:t xml:space="preserve">   comunal.  El Decreto  de  Explotación  Minera  reconoce,  únicamente,  el</w:t>
        <w:br/>
        <w:t xml:space="preserve">   derecho a una compensación para los demandantes legítimos y los  terceros</w:t>
        <w:br/>
        <w:t xml:space="preserve">   con un interés en  la  tierra  en  la  cual  se  conceda  un  derecho  de</w:t>
        <w:br/>
        <w:t xml:space="preserve">   explotación  minera[103].   Este  decreto  define  a   los   “demandantes</w:t>
        <w:br/>
        <w:t xml:space="preserve">   legítimos” como aquellas personas “que son dueños de la tierra  o  tienen</w:t>
        <w:br/>
        <w:t xml:space="preserve">   derecho de uso real sobre la propiedad privada”[104].  Se  define  a  los</w:t>
        <w:br/>
        <w:t xml:space="preserve">   terceros como “aquellos cuyos intereses […] se basan en derechos  de  uso</w:t>
        <w:br/>
        <w:t xml:space="preserve">   personal sobre la propiedad privada”[105].  La propiedad  privada,  a  su</w:t>
        <w:br/>
        <w:t xml:space="preserve">   vez, está definida en el artículo 46 del Decreto de  Explotación  Minera,</w:t>
        <w:br/>
        <w:t xml:space="preserve">   como la tierra emitida por el Estado en títulos personales o reales[106].</w:t>
        <w:br/>
        <w:t xml:space="preserve">    Por lo tanto, para calificar  como  “demandante  legítimo"  o  “tercero”</w:t>
        <w:br/>
        <w:t xml:space="preserve">   conforme a los artículos 47 y 48 del Decreto de Explotación  Minera,  las</w:t>
        <w:br/>
        <w:t xml:space="preserve">   personas en cuestión deben ser titulares de algún  tipo  de  derecho  que</w:t>
        <w:br/>
        <w:t xml:space="preserve">   haya sido registrado o que posean algún título  emitido  por  el  Estado.</w:t>
        <w:br/>
        <w:t xml:space="preserve">   Por lo tanto, el Decreto de Explotación Minera, más que hacer efectivo el</w:t>
        <w:br/>
        <w:t xml:space="preserve">   derecho a la propiedad que tienen los miembros del pueblo de  conformidad</w:t>
        <w:br/>
        <w:t xml:space="preserve">   con su sistema comunitario, enfatiza la necesidad de  obtener  un  título</w:t>
        <w:br/>
        <w:t xml:space="preserve">   sobre el territorio que tradicionalmente  han  poseído  a  fin  de  poder</w:t>
        <w:br/>
        <w:t xml:space="preserve">   reclamar una compensación (infra párr. 183).</w:t>
        <w:br/>
        <w:br/>
        <w:br/>
        <w:t xml:space="preserve">           C.4.d) Ley de Gestión Forestal de 1992</w:t>
        <w:br/>
        <w:br/>
        <w:br/>
        <w:t>112. El Estado también ha hecho referencia a la Ley de Gestión  Forestal  de</w:t>
        <w:br/>
        <w:t xml:space="preserve">   1992 como un ejemplo de la  legislación  interna  que  hace  efectivo  el</w:t>
        <w:br/>
        <w:t xml:space="preserve">   derecho de los miembros del pueblo Saramaka al uso y goce de la propiedad</w:t>
        <w:br/>
        <w:t xml:space="preserve">   de conformidad con su sistema de propiedad comunal.  Surinam ha  afirmado</w:t>
        <w:br/>
        <w:t xml:space="preserve">   que la emisión  de  los  permisos  llamados  “bosques  comunitarios”  que</w:t>
        <w:br/>
        <w:t xml:space="preserve">   podrían establecerse conforme a  la  Ley  de  Gestión  Forestal  de  1992</w:t>
        <w:br/>
        <w:t xml:space="preserve">   podrían proporcionar reconocimiento efectivo del derecho a  la  propiedad</w:t>
        <w:br/>
        <w:t xml:space="preserve">   de los miembros del pueblo Saramaka.  Sin embargo, la  prueba  presentada</w:t>
        <w:br/>
        <w:t xml:space="preserve">   ante la Corte contradice dicha afirmación.</w:t>
        <w:br/>
        <w:br/>
        <w:t>113. Aunque surgen preguntas con respecto a si  el  Estado  ha  hecho  algún</w:t>
        <w:br/>
        <w:t xml:space="preserve">   esfuerzo para informar a los  integrantes  de  los  pueblos  indígenas  y</w:t>
        <w:br/>
        <w:t xml:space="preserve">   tribales de la posibilidad de obtener estos  permisos  llamados  “bosques</w:t>
        <w:br/>
        <w:t xml:space="preserve">   comunitarios”[107], el problema verdadero yace en que dichos permisos  no</w:t>
        <w:br/>
        <w:t xml:space="preserve">   se emiten como una cuestión de derecho, sino que se emiten  a  discreción</w:t>
        <w:br/>
        <w:t xml:space="preserve">   del Ministro responsable de los bosques y con sujeción a las  condiciones</w:t>
        <w:br/>
        <w:t xml:space="preserve">   que el Ministro pueda imponer[108].  La Corte observa que no  cuenta  con</w:t>
        <w:br/>
        <w:t xml:space="preserve">   prueba que demuestre  que  se  haya  emitido  algún  permiso  de  “bosque</w:t>
        <w:br/>
        <w:t xml:space="preserve">   comunitario” a algún miembro del pueblo Saramaka[109].   No  obstante  lo</w:t>
        <w:br/>
        <w:t xml:space="preserve">   anterior, la Corte considera que los permisos de  “bosques  comunitarios”</w:t>
        <w:br/>
        <w:t xml:space="preserve">   son,  en  esencia,  concesiones  forestales  revocables  que   transmiten</w:t>
        <w:br/>
        <w:t xml:space="preserve">   derechos  de  uso  limitado  y  restringido  y  que,  por  lo  tanto,  no</w:t>
        <w:br/>
        <w:t xml:space="preserve">   representan un reconocimiento adecuado de los derechos de los integrantes</w:t>
        <w:br/>
        <w:t xml:space="preserve">   del pueblo Saramaka a la propiedad[110].  Asimismo, dado que  aún  no  se</w:t>
        <w:br/>
        <w:t xml:space="preserve">   han adoptado las leyes necesarias para  implementar  la  emisión  de  los</w:t>
        <w:br/>
        <w:t xml:space="preserve">   bosques comunitarios, se  puede  poner  en  tela  de  juicio  la  certeza</w:t>
        <w:br/>
        <w:t xml:space="preserve">   jurídica de dicho título[111].</w:t>
        <w:br/>
        <w:br/>
        <w:br/>
        <w:t>114. Asimismo, el artículo  41  de  la  Ley  de  Gestión  Forestal  de  1992</w:t>
        <w:br/>
        <w:t xml:space="preserve">   establece también que los derechos  consuetudinarios  de  los  habitantes</w:t>
        <w:br/>
        <w:t xml:space="preserve">   tribales, respecto de  sus  aldeas  y  asentamientos,  así  como  de  las</w:t>
        <w:br/>
        <w:t xml:space="preserve">   parcelas agrícolas, serán respetados “en la mayor  medida  posible”[112].</w:t>
        <w:br/>
        <w:t xml:space="preserve">   Esta disposición limita, en forma inadecuada, el alcance del "respeto" al</w:t>
        <w:br/>
        <w:t xml:space="preserve">   derecho al territorio de los miembros del pueblo Saramaka a,  únicamente,</w:t>
        <w:br/>
        <w:t xml:space="preserve">   sus “aldeas, asentamientos y parcelas agrícolas”.   Dicha  limitación  no</w:t>
        <w:br/>
        <w:t xml:space="preserve">   tiene en cuenta la relación que los integrantes de los pueblos  indígenas</w:t>
        <w:br/>
        <w:t xml:space="preserve">   y tribales tienen con el territorio en su conjunto  y  no  sólo  con  sus</w:t>
        <w:br/>
        <w:t xml:space="preserve">   aldeas, asentamientos y parcelas agrícolas.  De acuerdo con  el  análisis</w:t>
        <w:br/>
        <w:t xml:space="preserve">   de esta Corte, el deber del Estado es aún mayor a  fin  de  garantizar  y</w:t>
        <w:br/>
        <w:t xml:space="preserve">   proteger los derechos a  la  propiedad  de  los  integrantes  del  pueblo</w:t>
        <w:br/>
        <w:t xml:space="preserve">   Saramaka (supra párrs. 85-96).  Por ello, la Corte considera que  la  Ley</w:t>
        <w:br/>
        <w:t xml:space="preserve">   de Gestión Forestal no hace efectivo los derechos a la propiedad  comunal</w:t>
        <w:br/>
        <w:t xml:space="preserve">   de los miembros del pueblo Saramaka.</w:t>
        <w:br/>
        <w:t xml:space="preserve">                                      *</w:t>
        <w:br/>
        <w:t xml:space="preserve">                                *          *</w:t>
        <w:br/>
        <w:br/>
        <w:t>115. En resumen, el marco  legal  del  Estado  meramente  le  otorga  a  los</w:t>
        <w:br/>
        <w:t xml:space="preserve">   integrantes del pueblo Saramaka un privilegio para  usar  la  tierra,  el</w:t>
        <w:br/>
        <w:t xml:space="preserve">   cual no  le  garantiza  el  derecho  de  controlar  efectivamente  y  ser</w:t>
        <w:br/>
        <w:t xml:space="preserve">   propietarios de su territorio sin ningún tipo de  interferencia  externa.</w:t>
        <w:br/>
        <w:t xml:space="preserve">   La Corte ha sostenido, en otras ocasiones, que más que un privilegio para</w:t>
        <w:br/>
        <w:t xml:space="preserve">   usar la tierra, el cual puede ser despojado por el Estado u  opacado  por</w:t>
        <w:br/>
        <w:t xml:space="preserve">   derechos a la propiedad de terceros, los integrantes de pueblos indígenas</w:t>
        <w:br/>
        <w:t xml:space="preserve">   y tribales deben obtener el título de su territorio a fin  de  garantizar</w:t>
        <w:br/>
        <w:t xml:space="preserve">   el uso y goce permanente de dicha  tierra[113].   Este  título  debe  ser</w:t>
        <w:br/>
        <w:t xml:space="preserve">   reconocido y respetado, no sólo en la práctica, sino que en el derecho, a</w:t>
        <w:br/>
        <w:t xml:space="preserve">   fin de salvaguardar su certeza jurídica.  A fin de obtener dicho  título,</w:t>
        <w:br/>
        <w:t xml:space="preserve">   el territorio que los miembros del pueblo Saramaka han  usado  y  ocupado</w:t>
        <w:br/>
        <w:t xml:space="preserve">   tradicionalmente debe ser primero demarcado y  delimitado,  a  través  de</w:t>
        <w:br/>
        <w:t xml:space="preserve">   consultas realizadas con dicho pueblo y  con  los  pueblos  vecinos[114].</w:t>
        <w:br/>
        <w:t xml:space="preserve">   Sobre  este  particular,  la  Corte  ha  declarado  previamente  que  “el</w:t>
        <w:br/>
        <w:t xml:space="preserve">   reconocimiento  estrictamente  jurídico  o  abstracto  de  las   tierras,</w:t>
        <w:br/>
        <w:t xml:space="preserve">   territorios o recursos de  los  indígenas  pierde  verdadero  significado</w:t>
        <w:br/>
        <w:t xml:space="preserve">   cuando no se ha establecido ni delimitado físicamente la propiedad”[115].</w:t>
        <w:br/>
        <w:br/>
        <w:t>116. En última instancia, el Estado ha expresado su compromiso  de  "mejorar</w:t>
        <w:br/>
        <w:t xml:space="preserve">   la codificación actual del sistema de derechos a la tierra de los pueblos</w:t>
        <w:br/>
        <w:t xml:space="preserve">   tribales e indígenas".  El Presidente de Surinam designó, a  tal  efecto,</w:t>
        <w:br/>
        <w:t xml:space="preserve">   un comité de expertos en el año 2006 para que traten esta cuestión.   Sin</w:t>
        <w:br/>
        <w:t xml:space="preserve">   embargo, a la fecha, el sistema legal del Estado sigue sin  reconocer  el</w:t>
        <w:br/>
        <w:t xml:space="preserve">   derecho a la propiedad de los miembros del pueblo  Saramaka  en  relación</w:t>
        <w:br/>
        <w:t xml:space="preserve">   con su territorio, sino que sólo les otorga un privilegio  o  permiso  de</w:t>
        <w:br/>
        <w:t xml:space="preserve">   uso y ocupación de las tierras a discreción del Estado.  Por esta  razón,</w:t>
        <w:br/>
        <w:t xml:space="preserve">   la Corte considera que el Estado no ha cumplido con  su  deber  de  hacer</w:t>
        <w:br/>
        <w:t xml:space="preserve">   efectivo, a nivel interno, los derechos a la propiedad  de  los  miembros</w:t>
        <w:br/>
        <w:t xml:space="preserve">   del pueblo Saramaka de conformidad con el artículo 21 de  la  Convención,</w:t>
        <w:br/>
        <w:t xml:space="preserve">   en relación con los artículos 2 y 1.1 de dicho instrumento.</w:t>
        <w:br/>
        <w:br/>
        <w:t>117. Seguidamente, la Corte debe determinar el alcance del  derecho  de  los</w:t>
        <w:br/>
        <w:t xml:space="preserve">   miembros del pueblo Saramaka respecto  del  territorio  que  han  poseído</w:t>
        <w:br/>
        <w:t xml:space="preserve">   tradicionalmente y las obligaciones respectivas del  Estado,  dentro  del</w:t>
        <w:br/>
        <w:t xml:space="preserve">   contexto del presente caso.</w:t>
        <w:br/>
        <w:br/>
        <w:br/>
        <w:t>D.     El derecho de los integrantes del pueblo Saramaka a usar y  gozar  de</w:t>
        <w:br/>
        <w:t>los recursos naturales que se encuentran dentro  y  sobre  las  tierras  que</w:t>
        <w:br/>
        <w:t>tradicionalmente han poseído</w:t>
        <w:br/>
        <w:br/>
        <w:br/>
        <w:t>118. Una cuestión que se deriva necesariamente de la afirmación de  que  los</w:t>
        <w:br/>
        <w:t xml:space="preserve">   integrantes del pueblo Saramaka tienen el derecho a usar y  gozar  de  su</w:t>
        <w:br/>
        <w:t xml:space="preserve">   territorio conforme a sus tradiciones y costumbres es el tema del derecho</w:t>
        <w:br/>
        <w:t xml:space="preserve">   a los recursos naturales que se encuentran en y dentro  de  las  tierras,</w:t>
        <w:br/>
        <w:t xml:space="preserve">   incluso los recursos naturales bajo la superficie.  En el presente  caso,</w:t>
        <w:br/>
        <w:t xml:space="preserve">   tanto el Estado  como  los  Saramaka  reclaman  un  derecho  sobre  estos</w:t>
        <w:br/>
        <w:t xml:space="preserve">   recursos naturales.  Los miembros  del  pueblo  Saramaka  alegan  que  su</w:t>
        <w:br/>
        <w:t xml:space="preserve">   derecho a usar y gozar de todos estos recursos naturales es una condición</w:t>
        <w:br/>
        <w:t xml:space="preserve">   necesaria para el goce de su derecho a la propiedad conforme al  artículo</w:t>
        <w:br/>
        <w:t xml:space="preserve">   21 de la Convención.  El Estado argumentó que todos  los  derechos  a  la</w:t>
        <w:br/>
        <w:t xml:space="preserve">   tierra,  en  particular  los  recursos  naturales  bajo  la   superficie,</w:t>
        <w:br/>
        <w:t xml:space="preserve">   pertenecen al Estado, quien puede disponer libremente de estos recursos a</w:t>
        <w:br/>
        <w:t xml:space="preserve">   través de concesiones a terceros.  La Corte  tratará  esta  cuestión  tan</w:t>
        <w:br/>
        <w:t xml:space="preserve">   compleja en el siguiente orden: primero, el derecho  de  los  integrantes</w:t>
        <w:br/>
        <w:t xml:space="preserve">   del pueblo Saramaka a usar y gozar  de  los  recursos  naturales  que  se</w:t>
        <w:br/>
        <w:t xml:space="preserve">   encuentran en y dentro de las tierras que han  poseído  tradicionalmente;</w:t>
        <w:br/>
        <w:t xml:space="preserve">   segundo, el otorgamiento por parte del  Estado  de  concesiones  para  la</w:t>
        <w:br/>
        <w:t xml:space="preserve">   exploración y extracción de recursos naturales, incluso aquellos  que  se</w:t>
        <w:br/>
        <w:t xml:space="preserve">   encuentran  bajo  la  superficie,  dentro  del  territorio  Saramaka;   y</w:t>
        <w:br/>
        <w:t xml:space="preserve">   finalmente, el cumplimiento con las garantías establecidas en el  derecho</w:t>
        <w:br/>
        <w:t xml:space="preserve">   internacional en torno a las concesiones para la exploración y extracción</w:t>
        <w:br/>
        <w:t xml:space="preserve">   ya otorgadas por el Estado.</w:t>
        <w:br/>
        <w:br/>
        <w:t>119. Primero, la Corte debe analizar si, y en qué medida, los  miembros  del</w:t>
        <w:br/>
        <w:t xml:space="preserve">   pueblo Saramaka tienen el derecho de usar y gozar los recursos  naturales</w:t>
        <w:br/>
        <w:t xml:space="preserve">   que se encuentran dentro y sobre el territorio que  tradicionalmente  han</w:t>
        <w:br/>
        <w:t xml:space="preserve">   poseído.  El Estado no objeta que  los  Saramaka  hayan  tradicionalmente</w:t>
        <w:br/>
        <w:t xml:space="preserve">   usado y ocupado ciertas tierras durante siglos; tampoco  objeta  que  los</w:t>
        <w:br/>
        <w:t xml:space="preserve">   Saramaka  tienen  un  "interés"  en   el   territorio   que   han   usado</w:t>
        <w:br/>
        <w:t xml:space="preserve">   tradicionalmente  de  acuerdo  con  sus  costumbres.    La   controversia</w:t>
        <w:br/>
        <w:t xml:space="preserve">   existente apunta a la naturaleza y  el  alcance  de  dicho  interés.   De</w:t>
        <w:br/>
        <w:t xml:space="preserve">   acuerdo con el marco constitucional y legal de Surinam,  los  integrantes</w:t>
        <w:br/>
        <w:t xml:space="preserve">   del pueblo Saramaka no tienen derechos a la propiedad per  se,  sino  que</w:t>
        <w:br/>
        <w:t xml:space="preserve">   tienen un mero privilegio o permiso de  usar  y  ocupar  las  tierras  en</w:t>
        <w:br/>
        <w:t xml:space="preserve">   cuestión (supra párrs. 97-115).  De acuerdo con  el  artículo  41  de  la</w:t>
        <w:br/>
        <w:t xml:space="preserve">   Constitución de Surinam y el artículo 2 del Decreto de Explotación Minera</w:t>
        <w:br/>
        <w:t xml:space="preserve">   de 1986, los derechos de propiedad de todos  los  recursos  naturales  le</w:t>
        <w:br/>
        <w:t xml:space="preserve">   pertenecen al Estado[116].  Por esta razón, el Estado alega que tiene  un</w:t>
        <w:br/>
        <w:t xml:space="preserve">   derecho inalienable para explorar y explotar dichos recursos.   Por  otro</w:t>
        <w:br/>
        <w:t xml:space="preserve">   lado,  las  leyes  consuetudinarias  del  pueblo  Saramaka  presuntamente</w:t>
        <w:br/>
        <w:t xml:space="preserve">   otorgan a la comunidad todos los recursos naturales que se encuentren  en</w:t>
        <w:br/>
        <w:t xml:space="preserve">   y subyacente al territorio  tradicional  o  que  de  alguna  forma  estén</w:t>
        <w:br/>
        <w:t xml:space="preserve">   relacionados con dicho territorio.  Para  sostener  esta  afirmación,  la</w:t>
        <w:br/>
        <w:t xml:space="preserve">   Corte oyó la declaración de un Capitán Saramaka respecto de que el pueblo</w:t>
        <w:br/>
        <w:t xml:space="preserve">   Saramaka tiene el derecho general de "poseer todo, desde la copa  de  los</w:t>
        <w:br/>
        <w:t xml:space="preserve">   árboles hasta los lugares más profundos que se puedan llegar debajo de la</w:t>
        <w:br/>
        <w:t xml:space="preserve">   superficie”[117].</w:t>
        <w:br/>
        <w:br/>
        <w:t>120. Sobre este particular, la Corte ha sostenido  previamente[118]  que  la</w:t>
        <w:br/>
        <w:t xml:space="preserve">   subsistencia cultural y económica de los pueblos indígenas y tribales,  y</w:t>
        <w:br/>
        <w:t xml:space="preserve">   por lo tanto de sus integrantes, depende  del  acceso  y  el  uso  a  los</w:t>
        <w:br/>
        <w:t xml:space="preserve">   recursos naturales de  su  territorio  "que  están  relacionados  con  su</w:t>
        <w:br/>
        <w:t xml:space="preserve">   cultura y que se encuentran allí” y que el artículo 21 protege el derecho</w:t>
        <w:br/>
        <w:t xml:space="preserve">   a dichos recursos naturales  (supra párrs. 85-96)[119].  Sin embargo,  el</w:t>
        <w:br/>
        <w:t xml:space="preserve">   alcance de dicho derecho requiere de una mayor elaboración, especialmente</w:t>
        <w:br/>
        <w:t xml:space="preserve">   en cuanto a la  relación  intrínseca  entre  la  tierra  y  los  recursos</w:t>
        <w:br/>
        <w:t xml:space="preserve">   naturales que allí se encuentran, así como entre el territorio (entendido</w:t>
        <w:br/>
        <w:t xml:space="preserve">   como comprendiendo tanto la tierra como  los  recursos  naturales)  y  la</w:t>
        <w:br/>
        <w:t xml:space="preserve">   supervivencia económica, social y cultural de  los  pueblos  indígenas  y</w:t>
        <w:br/>
        <w:t xml:space="preserve">   tribales, y por ende de sus miembros.</w:t>
        <w:br/>
        <w:br/>
        <w:t>121. De acuerdo con la jurisprudencia de la Corte según  lo  establecido  en</w:t>
        <w:br/>
        <w:t xml:space="preserve">   los casos Yakye  Axa  y  Sawhoyamaxa,  los  integrantes  de  los  pueblos</w:t>
        <w:br/>
        <w:t xml:space="preserve">   indígenas y tribales tienen el derecho de ser titulares de  los  recursos</w:t>
        <w:br/>
        <w:t xml:space="preserve">   naturales que han usado tradicionalmente dentro de su territorio por  las</w:t>
        <w:br/>
        <w:t xml:space="preserve">   mismas razones por las cuales tienen el derecho de ser  titulares  de  la</w:t>
        <w:br/>
        <w:t xml:space="preserve">   tierra que han usado y  ocupado  tradicionalmente  durante  siglos.   Sin</w:t>
        <w:br/>
        <w:t xml:space="preserve">   ellos, la supervivencia económica, social y cultural  de  dichos  pueblos</w:t>
        <w:br/>
        <w:t xml:space="preserve">   está en riesgo[120].  De allí la necesidad de proteger las tierras y  los</w:t>
        <w:br/>
        <w:t xml:space="preserve">   recursos que han usado tradicionalmente: para prevenir su extinción  como</w:t>
        <w:br/>
        <w:t xml:space="preserve">   pueblo.  Es decir, el objetivo y el fin  de  las  medidas  requeridas  en</w:t>
        <w:br/>
        <w:t xml:space="preserve">   nombre de los miembros de los pueblos indígenas y tribales es  garantizar</w:t>
        <w:br/>
        <w:t xml:space="preserve">   que podrán continuar viviendo su  modo  de  vida  tradicional  y  que  su</w:t>
        <w:br/>
        <w:t xml:space="preserve">   identidad cultural, estructura  social,  sistema  económico,  costumbres,</w:t>
        <w:br/>
        <w:t xml:space="preserve">   creencias y tradiciones  distintivas  serán  respetadas,  garantizadas  y</w:t>
        <w:br/>
        <w:t xml:space="preserve">   protegidas por los Estados.</w:t>
        <w:br/>
        <w:br/>
        <w:t>122. Como se mencionó  anteriormente  (supra  párrs.  85-96),  debido  a  la</w:t>
        <w:br/>
        <w:t xml:space="preserve">   conexión intrínseca que  los  integrantes  de  los  pueblos  indígenas  y</w:t>
        <w:br/>
        <w:t xml:space="preserve">   tribales tienen con su territorio, es necesaria la protección del derecho</w:t>
        <w:br/>
        <w:t xml:space="preserve">   a la propiedad sobre éste, de  conformidad  con  el  artículo  21  de  la</w:t>
        <w:br/>
        <w:t xml:space="preserve">   Convención, para garantizar su supervivencia.  De este modo, el derecho a</w:t>
        <w:br/>
        <w:t xml:space="preserve">   usar y gozar del territorio carecería de sentido en el  contexto  de  los</w:t>
        <w:br/>
        <w:t xml:space="preserve">   miembros de  los  pueblos  indígenas  y  tribales  si  dicho  derecho  no</w:t>
        <w:br/>
        <w:t xml:space="preserve">   estuviera conectado con los recursos naturales que se  encuentran  dentro</w:t>
        <w:br/>
        <w:t xml:space="preserve">   del territorio.  Por ello, el reclamo por la titularidad de  las  tierras</w:t>
        <w:br/>
        <w:t xml:space="preserve">   de los integrantes de los pueblos  indígenas  y  tribales  deriva  de  la</w:t>
        <w:br/>
        <w:t xml:space="preserve">   necesidad de garantizar la seguridad y la permanencia del control  y  uso</w:t>
        <w:br/>
        <w:t xml:space="preserve">   de los recursos naturales por su parte, lo que a  su  vez,  mantiene  ese</w:t>
        <w:br/>
        <w:t xml:space="preserve">   estilo de vida.   Esta  conexión  entre  el  territorio  y  los  recursos</w:t>
        <w:br/>
        <w:t xml:space="preserve">   naturales  necesarios  para  su  supervivencia  física  y  cultural,   es</w:t>
        <w:br/>
        <w:t xml:space="preserve">   exactamente lo que se precisa proteger conforme  al  artículo  21  de  la</w:t>
        <w:br/>
        <w:t xml:space="preserve">   Convención a fin de garantizar a los miembros de los pueblos indígenas  y</w:t>
        <w:br/>
        <w:t xml:space="preserve">   tribales el uso y goce de su propiedad.  De este  análisis,  se  entiende</w:t>
        <w:br/>
        <w:t xml:space="preserve">   que los recursos naturales que se encuentran en los  territorios  de  los</w:t>
        <w:br/>
        <w:t xml:space="preserve">   pueblos indígenas y tribales que están protegidos  en  los  términos  del</w:t>
        <w:br/>
        <w:t xml:space="preserve">   artículo   21   son   aquellos   recursos   naturales   que   han   usado</w:t>
        <w:br/>
        <w:t xml:space="preserve">   tradicionalmente y que  son  necesarios  para  la  propia  supervivencia,</w:t>
        <w:br/>
        <w:t xml:space="preserve">   desarrollo y continuidad del estilo de vida de dicho pueblo[121].</w:t>
        <w:br/>
        <w:br/>
        <w:t>123. Por ello, en el presente caso, la Corte debe determinar cuáles son  los</w:t>
        <w:br/>
        <w:t xml:space="preserve">   recursos naturales que se encuentran dentro del territorio  Saramaka  que</w:t>
        <w:br/>
        <w:t xml:space="preserve">   son necesarios para la supervivencia de su modo de vida y que deben  ser,</w:t>
        <w:br/>
        <w:t xml:space="preserve">   por lo tanto, protegidos conforme al artículo 21 de  la  Convención.   En</w:t>
        <w:br/>
        <w:t xml:space="preserve">   consecuencia, la Corte debe también decidir si y en qué medida el  Estado</w:t>
        <w:br/>
        <w:t xml:space="preserve">   puede otorgar concesiones para la exploración y extracción de aquellos  y</w:t>
        <w:br/>
        <w:t xml:space="preserve">   de otros recursos naturales que se encuentran en el territorio Saramaka.</w:t>
        <w:br/>
        <w:br/>
        <w:br/>
        <w:t>E.      el  otorgamiento  por  parte  del  Estado  de  concesiones  para  la</w:t>
        <w:br/>
        <w:t>exploración y extracción de recursos naturales dentro y sobre el  territorio</w:t>
        <w:br/>
        <w:t>Saramaka</w:t>
        <w:br/>
        <w:br/>
        <w:br/>
        <w:t>124. La Comisión y  los  representantes  alegaron  que  las  concesiones  de</w:t>
        <w:br/>
        <w:t xml:space="preserve">   tierra para la explotación forestal y minera otorgadas por  el  Estado  a</w:t>
        <w:br/>
        <w:t xml:space="preserve">   terceros sobre el territorio que el  pueblo  Saramaka  posee,  sin  haber</w:t>
        <w:br/>
        <w:t xml:space="preserve">   consultado plena y efectivamente  con  ellos,  viola  el  derecho  a  los</w:t>
        <w:br/>
        <w:t xml:space="preserve">   recursos naturales que se encuentran en dicho territorio. El Estado alegó</w:t>
        <w:br/>
        <w:t xml:space="preserve">   que toda la titularidad sobre las tierras, incluido  todos  los  recursos</w:t>
        <w:br/>
        <w:t xml:space="preserve">   naturales, pertenece al Estado y que, como tal, el Estado  puede  otorgar</w:t>
        <w:br/>
        <w:t xml:space="preserve">   concesiones  a  empresas  madereras  o  mineras  dentro  del   territorio</w:t>
        <w:br/>
        <w:t xml:space="preserve">   Saramaka, respetando lo más posible las costumbres y tradiciones  de  los</w:t>
        <w:br/>
        <w:t xml:space="preserve">   Saramaka.</w:t>
        <w:br/>
        <w:br/>
        <w:t xml:space="preserve">      E.1)  Restricciones al derecho a la propiedad</w:t>
        <w:br/>
        <w:br/>
        <w:br/>
        <w:t>125. En consecuencia, la Corte debe decidir si, y en qué medida,  el  Estado</w:t>
        <w:br/>
        <w:t xml:space="preserve">   puede otorgar  concesiones  para  la  exploración  y  extracción  de  los</w:t>
        <w:br/>
        <w:t xml:space="preserve">   recursos naturales que se encuentran en el  territorio  Saramaka.   Sobre</w:t>
        <w:br/>
        <w:t xml:space="preserve">   este particular, el Estado alegó que, en caso que la Corte reconociera un</w:t>
        <w:br/>
        <w:t xml:space="preserve">   derecho de los miembros del pueblo Saramaka sobre los recursos  naturales</w:t>
        <w:br/>
        <w:t xml:space="preserve">   que  se  encuentran  dentro   de   las   tierras   que   les   pertenecen</w:t>
        <w:br/>
        <w:t xml:space="preserve">   tradicionalmente, este derecho debe limitarse a aquellos recursos que han</w:t>
        <w:br/>
        <w:t xml:space="preserve">   usado tradicionalmente  para  su  subsistencia  y  para  las  actividades</w:t>
        <w:br/>
        <w:t xml:space="preserve">   culturales y  religiosas.   De  acuerdo  con  el  Estado,  los  presuntos</w:t>
        <w:br/>
        <w:t xml:space="preserve">   derechos a la tierra de los miembros del pueblo Saramaka  "no  incluirían</w:t>
        <w:br/>
        <w:t xml:space="preserve">   ningún interés sobre otros bosques o minerales más que los que  la  Tribu</w:t>
        <w:br/>
        <w:t xml:space="preserve">   tradicionalmente posee y usa para  su  subsistencia  (agricultura,  caza,</w:t>
        <w:br/>
        <w:t xml:space="preserve">   pesca, etc.) y las necesidades culturales y religiosas de sus miembros".</w:t>
        <w:br/>
        <w:br/>
        <w:t>126. El Estado  parece  reconocer  que  los  recursos  relacionados  con  la</w:t>
        <w:br/>
        <w:t xml:space="preserve">   subsistencia del pueblo Saramaka incluyen aquellos recursos  relacionados</w:t>
        <w:br/>
        <w:t xml:space="preserve">   con las actividades agrícolas, de caza y de pesca.  Esto  es  consistente</w:t>
        <w:br/>
        <w:t xml:space="preserve">   con el anterior análisis de la Corte sobre cómo  el  artículo  21  de  la</w:t>
        <w:br/>
        <w:t xml:space="preserve">   Convención protege  el  derecho  de  los  miembros  del  pueblo  Saramaka</w:t>
        <w:br/>
        <w:t xml:space="preserve">   respecto  de  los  recursos  naturales  que  son   necesarios   para   su</w:t>
        <w:br/>
        <w:t xml:space="preserve">   subsistencia física (supra párrs. 120-122).   Sin  embargo,  si  bien  es</w:t>
        <w:br/>
        <w:t xml:space="preserve">   cierto que toda actividad de exploración o extracción  en  el  territorio</w:t>
        <w:br/>
        <w:t xml:space="preserve">   Saramaka podría afectar, a mayor o menor grado, el uso y  goce  de  algún</w:t>
        <w:br/>
        <w:t xml:space="preserve">   recurso natural utilizado tradicionalmente para la  subsistencia  de  los</w:t>
        <w:br/>
        <w:t xml:space="preserve">   Saramakas, también es cierto que no se debe interpretar el artículo 21 de</w:t>
        <w:br/>
        <w:t xml:space="preserve">   la Convención de manera que impida al Estado  emitir  cualquier  tipo  de</w:t>
        <w:br/>
        <w:t xml:space="preserve">   concesión para la exploración o extracción de recursos  naturales  dentro</w:t>
        <w:br/>
        <w:t xml:space="preserve">   del territorio Saramaka.  El agua limpia  natural,  por  ejemplo,  es  un</w:t>
        <w:br/>
        <w:t xml:space="preserve">   recurso natural esencial para que los miembros del pueblo Saramaka puedan</w:t>
        <w:br/>
        <w:t xml:space="preserve">   realizar algunas de sus actividades económicas de subsistencia,  como  la</w:t>
        <w:br/>
        <w:t xml:space="preserve">   pesca.  La Corte observa que este recurso natural se  verá  probablemente</w:t>
        <w:br/>
        <w:t xml:space="preserve">   afectado por actividades de extracción relacionadas  con  otros  recursos</w:t>
        <w:br/>
        <w:t xml:space="preserve">   naturales que no son tradicionalmente utilizados  o  esenciales  para  la</w:t>
        <w:br/>
        <w:t xml:space="preserve">   subsistencia del pueblo Saramaka y, por lo tanto, de sus miembros  (infra</w:t>
        <w:br/>
        <w:t xml:space="preserve">   párr. 152).  De modo similar, los bosques dentro del territorio  Saramaka</w:t>
        <w:br/>
        <w:t xml:space="preserve">   proporcionan hogar para los distintos animales que cazan para sobrevivir,</w:t>
        <w:br/>
        <w:t xml:space="preserve">   y es allí donde recogen frutas y otros  recursos  esenciales  para  vivir</w:t>
        <w:br/>
        <w:t xml:space="preserve">   (supra párrs. 82-83 e  infra  párrs.  144-146).   En  este  sentido,  las</w:t>
        <w:br/>
        <w:t xml:space="preserve">   actividades de las compañías  madereras  en  el  bosque  también  podrían</w:t>
        <w:br/>
        <w:t xml:space="preserve">   afectar dichos recursos de subsistencia.  Es decir, la extracción  de  un</w:t>
        <w:br/>
        <w:t xml:space="preserve">   recurso natural es muy probable que afecte el uso  y  el  goce  de  otros</w:t>
        <w:br/>
        <w:t xml:space="preserve">   recursos naturales necesarios para la supervivencia de los Saramakas.</w:t>
        <w:br/>
        <w:br/>
        <w:t>127. No obstante, la protección del  derecho  a  la  propiedad  conforme  al</w:t>
        <w:br/>
        <w:t xml:space="preserve">   artículo 21 de la Convención no es absoluta y, por lo tanto,  no  permite</w:t>
        <w:br/>
        <w:t xml:space="preserve">   una  interpretación  así  de  estricta.   Aunque  la  Corte  reconoce  la</w:t>
        <w:br/>
        <w:t xml:space="preserve">   interconexión entre el derecho de los miembros de los pueblos indígenas y</w:t>
        <w:br/>
        <w:t xml:space="preserve">   tribales al uso y goce de sus  tierras  y  el  derecho  a  esos  recursos</w:t>
        <w:br/>
        <w:t xml:space="preserve">   necesarios para su supervivencia, dichos derechos a  la  propiedad,  como</w:t>
        <w:br/>
        <w:t xml:space="preserve">   muchos otros de los derechos reconocidos en la Convención, están  sujetos</w:t>
        <w:br/>
        <w:t xml:space="preserve">   a ciertos límites y restricciones.  En este sentido, el artículo 21 de la</w:t>
        <w:br/>
        <w:t xml:space="preserve">   Convención establece que “la ley podrá subordinar [el] uso y goce de [los</w:t>
        <w:br/>
        <w:t xml:space="preserve">   bienes] a los intereses de la sociedad”.  Por ello, la Corte ha sostenido</w:t>
        <w:br/>
        <w:t xml:space="preserve">   en otras  ocasiones  que,  de  conformidad  con  el  artículo  21  de  la</w:t>
        <w:br/>
        <w:t xml:space="preserve">   Convención, el Estado podrá restringir el uso y goce  del  derecho  a  la</w:t>
        <w:br/>
        <w:t xml:space="preserve">   propiedad siempre  que  las  restricciones:  a)  hayan  sido  previamente</w:t>
        <w:br/>
        <w:t xml:space="preserve">   establecidas por ley; b) sean necesarias;  c)  proporcionales  y  d)  que</w:t>
        <w:br/>
        <w:t xml:space="preserve">   tengan  el  fin  de  lograr  un  objetivo  legítimo   en   una   sociedad</w:t>
        <w:br/>
        <w:t xml:space="preserve">   democrática[122].  En consonancia con esta disposición, el  Estado  podrá</w:t>
        <w:br/>
        <w:t xml:space="preserve">   restringir, bajo ciertas condiciones, los derechos de los integrantes del</w:t>
        <w:br/>
        <w:t xml:space="preserve">   pueblo Saramaka a la propiedad, incluidos sus derechos sobre los recursos</w:t>
        <w:br/>
        <w:t xml:space="preserve">   naturales que se encuentren en el territorio.</w:t>
        <w:br/>
        <w:br/>
        <w:t>128. Adicionalmente, respecto de las restricciones sobre el derecho  de  los</w:t>
        <w:br/>
        <w:t xml:space="preserve">   miembros de los pueblos indígenas y tribales, en especial al uso  y  goce</w:t>
        <w:br/>
        <w:t xml:space="preserve">   de las tierras y los recursos naturales que han poseído tradicionalmente,</w:t>
        <w:br/>
        <w:t xml:space="preserve">   un factor crucial a considerar es también si la restricción  implica  una</w:t>
        <w:br/>
        <w:t xml:space="preserve">   denegación de las tradiciones y  costumbres  de  un  modo  que  ponga  en</w:t>
        <w:br/>
        <w:t xml:space="preserve">   peligro la propia subsistencia del grupo y de sus integrantes.  Es decir,</w:t>
        <w:br/>
        <w:t xml:space="preserve">   conforme al artículo 21 de la Convención, el Estado podrá  restringir  el</w:t>
        <w:br/>
        <w:t xml:space="preserve">   derecho al uso y goce de los Saramaka respecto de las tierras de las  que</w:t>
        <w:br/>
        <w:t xml:space="preserve">   tradicionalmente son titulares y los recursos naturales que se encuentren</w:t>
        <w:br/>
        <w:t xml:space="preserve">   en éstas, únicamente cuando dicha restricción cumpla con  los  requisitos</w:t>
        <w:br/>
        <w:t xml:space="preserve">   señalados anteriormente y, además, cuando no implique una  denegación  de</w:t>
        <w:br/>
        <w:t xml:space="preserve">   su subsistencia como pueblo tribal (supra párrs. 120-122)[123].</w:t>
        <w:br/>
        <w:br/>
        <w:t xml:space="preserve">      E.2)  Garantías en contra de restricciones al derecho a  la  propiedad</w:t>
        <w:br/>
        <w:t xml:space="preserve">      que denieguen la subsistencia del pueblo Saramaka</w:t>
        <w:br/>
        <w:br/>
        <w:br/>
        <w:t>129. En este caso en particular, las restricciones en cuestión  corresponden</w:t>
        <w:br/>
        <w:t xml:space="preserve">   a la emisión de las concesiones madereras y mineras para la exploración y</w:t>
        <w:br/>
        <w:t xml:space="preserve">   extracción de ciertos recursos naturales que  se  encuentran  dentro  del</w:t>
        <w:br/>
        <w:t xml:space="preserve">   territorio Saramaka.  Por ello, de conformidad con el artículo 1.1 de  la</w:t>
        <w:br/>
        <w:t xml:space="preserve">   Convención, a fin de garantizar que las  restricciones  impuestas  a  los</w:t>
        <w:br/>
        <w:t xml:space="preserve">   Saramakas  respecto  del  derecho  a  la  propiedad  por  la  emisión  de</w:t>
        <w:br/>
        <w:t xml:space="preserve">   concesiones dentro de su territorio no impliquen  una  denegación  de  su</w:t>
        <w:br/>
        <w:t xml:space="preserve">   subsistencia  como  pueblo  tribal,  el  Estado  debe  cumplir  con   las</w:t>
        <w:br/>
        <w:t xml:space="preserve">   siguientes  tres  garantías:   primero,  el  Estado  debe   asegurar   la</w:t>
        <w:br/>
        <w:t xml:space="preserve">   participación  efectiva  de  los  miembros  del   pueblo   Saramaka,   de</w:t>
        <w:br/>
        <w:t xml:space="preserve">   conformidad con sus costumbres y tradiciones, en relación con  todo  plan</w:t>
        <w:br/>
        <w:t xml:space="preserve">   de desarrollo, inversión, exploración o extracción (en adelante “plan  de</w:t>
        <w:br/>
        <w:t xml:space="preserve">   desarrollo o inversión”)[124] que se lleve a cabo dentro  del  territorio</w:t>
        <w:br/>
        <w:t xml:space="preserve">   Saramaka.  Segundo, el Estado debe garantizar que los miembros del pueblo</w:t>
        <w:br/>
        <w:t xml:space="preserve">   Saramaka se beneficien razonablemente del plan que se lleve a cabo dentro</w:t>
        <w:br/>
        <w:t xml:space="preserve">   de su territorio. Tercero, el Estado debe garantizar que  no  se  emitirá</w:t>
        <w:br/>
        <w:t xml:space="preserve">   ninguna concesión dentro del territorio Saramaka  a  menos  y  hasta  que</w:t>
        <w:br/>
        <w:t xml:space="preserve">   entidades independientes y técnicamente capaces, bajo la supervisión  del</w:t>
        <w:br/>
        <w:t xml:space="preserve">   Estado, realicen  un  estudio  previo  de  impacto  social  y  ambiental.</w:t>
        <w:br/>
        <w:t xml:space="preserve">   Mediante estas salvaguardas se intenta preservar, proteger  y  garantizar</w:t>
        <w:br/>
        <w:t xml:space="preserve">   la relación especial que los miembros del pueblo Saramaka tienen  con  su</w:t>
        <w:br/>
        <w:t xml:space="preserve">   territorio, la cual a su  vez,  garantiza  su  subsistencia  como  pueblo</w:t>
        <w:br/>
        <w:t xml:space="preserve">   tribal.</w:t>
        <w:br/>
        <w:br/>
        <w:t>130.  Estas   salvaguardas,   especialmente   aquellas   referentes   a   la</w:t>
        <w:br/>
        <w:t xml:space="preserve">   participación efectiva y la participación en los beneficios  respecto  de</w:t>
        <w:br/>
        <w:t xml:space="preserve">   los proyectos  de  desarrollo  o  inversión  dentro  de  los  territorios</w:t>
        <w:br/>
        <w:t xml:space="preserve">   tradicionales  indígenas   y   tribales,   son   consistentes   con   las</w:t>
        <w:br/>
        <w:t xml:space="preserve">   observaciones del Comité de  Derechos  Humanos,  el  texto  de  distintos</w:t>
        <w:br/>
        <w:t xml:space="preserve">   instrumentos internacionales y la práctica de varios Estados Parte de  la</w:t>
        <w:br/>
        <w:t xml:space="preserve">   Convención[125].  En el caso Apirana Mahuika y otros vs.  Nueva  Zelanda,</w:t>
        <w:br/>
        <w:t xml:space="preserve">   por ejemplo,  el  Comité  de  Derechos  Humanos  decidió  que  se  podría</w:t>
        <w:br/>
        <w:t xml:space="preserve">   restringir el derecho a la cultura de una población indígena conforme  al</w:t>
        <w:br/>
        <w:t xml:space="preserve">   artículo 27 del PIDCP cuando la comunidad misma haya  participado  en  la</w:t>
        <w:br/>
        <w:t xml:space="preserve">   decisión de restringir  dicho  derecho.   El  Comité  consideró  que  “la</w:t>
        <w:br/>
        <w:t xml:space="preserve">   aceptación de las medidas que afecten o interfieran con  las  actividades</w:t>
        <w:br/>
        <w:t xml:space="preserve">   económicas con significado cultural de una minoría dependerá  de  si  los</w:t>
        <w:br/>
        <w:t xml:space="preserve">   miembros  de  la  minoría  en  cuestión  han  tenido  la  oportunidad  de</w:t>
        <w:br/>
        <w:t xml:space="preserve">   participar en el proceso de la toma de decisión en  relación  con  dichas</w:t>
        <w:br/>
        <w:t xml:space="preserve">   medidas y si continuarán beneficiándose de su economía tradicional”[126].</w:t>
        <w:br/>
        <w:br/>
        <w:t>131. Del mismo modo, el artículo 32 de la  Declaración  de  Naciones  Unidas</w:t>
        <w:br/>
        <w:t xml:space="preserve">   sobre  los  Derechos  de  los  Pueblos  Indígenas,   que   fue   aprobada</w:t>
        <w:br/>
        <w:t xml:space="preserve">   recientemente en la Asamblea General de la ONU con el apoyo del Estado de</w:t>
        <w:br/>
        <w:t xml:space="preserve">   Surinam[127], establece lo siguiente[128]:</w:t>
        <w:br/>
        <w:br/>
        <w:t xml:space="preserve">      1.    Los pueblos indígenas tienen derecho a determinar y elaborar las</w:t>
        <w:br/>
        <w:t xml:space="preserve">      prioridades y estrategias para el desarrollo o la utilización  de  sus</w:t>
        <w:br/>
        <w:t xml:space="preserve">      tierras o territorios y otros recursos.</w:t>
        <w:br/>
        <w:t xml:space="preserve">      2.    Los Estados celebrarán consultas y cooperarán de  buena  fe  con</w:t>
        <w:br/>
        <w:t xml:space="preserve">      los  pueblos  indígenas  interesados  por  conducto  de  sus   propias</w:t>
        <w:br/>
        <w:t xml:space="preserve">      instituciones representativas a fin de obtener su consentimiento libre</w:t>
        <w:br/>
        <w:t xml:space="preserve">      e informado antes de aprobar  cualquier  proyecto  que  afecte  a  sus</w:t>
        <w:br/>
        <w:t xml:space="preserve">      tierras o territorios y otros recursos,  particularmente  en  relación</w:t>
        <w:br/>
        <w:t xml:space="preserve">      con el  desarrollo,  la  utilización  o  la  explotación  de  recursos</w:t>
        <w:br/>
        <w:t xml:space="preserve">      minerales, hídricos o de otro tipo.</w:t>
        <w:br/>
        <w:t xml:space="preserve">      3.    Los Estados establecerán mecanismos eficaces para la  reparación</w:t>
        <w:br/>
        <w:t xml:space="preserve">      justa y equitativa  por  esas  actividades,  y  se  adoptarán  medidas</w:t>
        <w:br/>
        <w:t xml:space="preserve">      adecuadas para mitigar las consecuencias nocivas de  orden  ambiental,</w:t>
        <w:br/>
        <w:t xml:space="preserve">      económico, social, cultural o espiritual.</w:t>
        <w:br/>
        <w:br/>
        <w:t>132. Aún más  importante,  el  Comisionado  de  Distrito  de  Sipaliwini  en</w:t>
        <w:br/>
        <w:t xml:space="preserve">   Surinam, quien declaró ante la Corte por parte del Estado,  reconoció  la</w:t>
        <w:br/>
        <w:t xml:space="preserve">   importancia de consultar con las  autoridades  tradicionales  del  pueblo</w:t>
        <w:br/>
        <w:t xml:space="preserve">   Saramaka  antes  de  autorizar  concesiones  que  puedan   afectar   “las</w:t>
        <w:br/>
        <w:t xml:space="preserve">   comunidades en las vecindades  directas”[129].   Sin  embargo,  la  Corte</w:t>
        <w:br/>
        <w:t xml:space="preserve">   considera que el alcance real de las garantías respecto de las  consultas</w:t>
        <w:br/>
        <w:t xml:space="preserve">   y la participación de los Saramaka en los beneficios  de  los  planes  de</w:t>
        <w:br/>
        <w:t xml:space="preserve">   desarrollo, requieren de una mayor aclaración.</w:t>
        <w:br/>
        <w:br/>
        <w:br/>
        <w:t xml:space="preserve">           E.2.a) Derecho a ser consultado y, en su caso, la obligación de</w:t>
        <w:br/>
        <w:t xml:space="preserve">           obtener consentimiento</w:t>
        <w:br/>
        <w:br/>
        <w:br/>
        <w:t>133. Primero, la Corte ha manifestado que  al  garantizar  la  participación</w:t>
        <w:br/>
        <w:t xml:space="preserve">   efectiva de  los  integrantes  del  pueblo  Saramaka  en  los  planes  de</w:t>
        <w:br/>
        <w:t xml:space="preserve">   desarrollo o inversión dentro de su territorio, el Estado tiene el  deber</w:t>
        <w:br/>
        <w:t xml:space="preserve">   de consultar, activamente, con dicha comunidad, según  sus  costumbres  y</w:t>
        <w:br/>
        <w:t xml:space="preserve">   tradiciones (supra párr. 129).  Este deber requiere que el Estado  acepte</w:t>
        <w:br/>
        <w:t xml:space="preserve">   y brinde información, e implica  una  comunicación  constante  entre  las</w:t>
        <w:br/>
        <w:t xml:space="preserve">   partes.  Las  consultas  deben  realizarse  de  buena  fe,  a  través  de</w:t>
        <w:br/>
        <w:t xml:space="preserve">   procedimientos culturalmente adecuados y deben tener como fin llegar a un</w:t>
        <w:br/>
        <w:t xml:space="preserve">   acuerdo.   Asimismo,  se  debe  consultar  con  el  pueblo  Saramaka,  de</w:t>
        <w:br/>
        <w:t xml:space="preserve">   conformidad con sus propias tradiciones, en las primeras etapas del  plan</w:t>
        <w:br/>
        <w:t xml:space="preserve">   de desarrollo o inversión y no únicamente cuando surja  la  necesidad  de</w:t>
        <w:br/>
        <w:t xml:space="preserve">   obtener la aprobación de la comunidad, si éste fuera el caso.   El  aviso</w:t>
        <w:br/>
        <w:t xml:space="preserve">   temprano proporciona un tiempo para la discusión interna  dentro  de  las</w:t>
        <w:br/>
        <w:t xml:space="preserve">   comunidades y para brindar una adecuada respuesta al Estado.  El  Estado,</w:t>
        <w:br/>
        <w:t xml:space="preserve">   asimismo, debe asegurarse que los miembros  del  pueblo  Saramaka  tengan</w:t>
        <w:br/>
        <w:t xml:space="preserve">   conocimiento de los posibles riesgos, incluido los riesgos ambientales  y</w:t>
        <w:br/>
        <w:t xml:space="preserve">   de salubridad, a fin de que acepten el plan  de  desarrollo  o  inversión</w:t>
        <w:br/>
        <w:t xml:space="preserve">   propuesto con  conocimiento  y  de  forma  voluntaria.   Por  último,  la</w:t>
        <w:br/>
        <w:t xml:space="preserve">   consulta debería tener en cuenta los  métodos  tradicionales  del  pueblo</w:t>
        <w:br/>
        <w:t xml:space="preserve">   Saramaka para la toma de decisiones[130].</w:t>
        <w:br/>
        <w:br/>
        <w:t>134. Asimismo, la  Corte  considera  que,  cuando  se  trate  de  planes  de</w:t>
        <w:br/>
        <w:t xml:space="preserve">   desarrollo o de inversión a gran escala que  tendrían  un  mayor  impacto</w:t>
        <w:br/>
        <w:t xml:space="preserve">   dentro del territorio Saramaka, el Estado tiene la obligación, no sólo de</w:t>
        <w:br/>
        <w:t xml:space="preserve">   consultar a los Saramakas, sino también debe  obtener  el  consentimiento</w:t>
        <w:br/>
        <w:t xml:space="preserve">   libre, informado y previo de éstos, según sus costumbres  y  tradiciones.</w:t>
        <w:br/>
        <w:t xml:space="preserve">   La Corte considera que la diferencia entre "consulta" y  "consentimiento"</w:t>
        <w:br/>
        <w:t xml:space="preserve">   en este contexto requiere de mayor análisis.</w:t>
        <w:br/>
        <w:br/>
        <w:t>135. Al respecto, el Relator Especial de la ONU sobre la  situación  de  los</w:t>
        <w:br/>
        <w:t xml:space="preserve">   derechos humanos y las libertades fundamentales de los pueblos  indígenas</w:t>
        <w:br/>
        <w:t xml:space="preserve">   ha observado, de manera similar, que:</w:t>
        <w:br/>
        <w:br/>
        <w:t xml:space="preserve">      [s]iempre que se lleven a cabo [proyectos  a  gran  escala]  en  áreas</w:t>
        <w:br/>
        <w:t xml:space="preserve">      ocupadas por pueblos indígenas,  es  probable  que  estas  comunidades</w:t>
        <w:br/>
        <w:t xml:space="preserve">      tengan que atravesar cambios sociales y económicos profundos  que  las</w:t>
        <w:br/>
        <w:t xml:space="preserve">      autoridades competentes nos  son  capaces  de  entender,  mucho  menos</w:t>
        <w:br/>
        <w:t xml:space="preserve">      anticipar. [L]os efectos principales  […]  comprenden  la  pérdida  de</w:t>
        <w:br/>
        <w:t xml:space="preserve">      territorios y tierra tradicional,  el  desalojo,  la  migración  y  el</w:t>
        <w:br/>
        <w:t xml:space="preserve">      posible reasentamiento, agotamiento de  recursos  necesarios  para  la</w:t>
        <w:br/>
        <w:t xml:space="preserve">      subsistencia física y cultural, la  destrucción  y  contaminación  del</w:t>
        <w:br/>
        <w:t xml:space="preserve">      ambiente tradicional, la desorganización  social  y  comunitaria,  los</w:t>
        <w:br/>
        <w:t xml:space="preserve">      negativos impactos sanitarios y nutricionales de larga  duración  [y],</w:t>
        <w:br/>
        <w:t xml:space="preserve">      en algunos casos, abuso y violencia.[131]</w:t>
        <w:br/>
        <w:br/>
        <w:t>En consecuencia, el Relator Especial de la ONU determinó que “[e]s  esencial</w:t>
        <w:br/>
        <w:t>el consentimiento libre, previo  e  informado  para  la  protección  de  los</w:t>
        <w:br/>
        <w:t>derechos humanos de los pueblos indígenas en relación con grandes  proyectos</w:t>
        <w:br/>
        <w:t>de desarrollo”[132].</w:t>
        <w:br/>
        <w:br/>
        <w:t>136. De manera similar, otros organismos  y  organizaciones  internacionales</w:t>
        <w:br/>
        <w:t xml:space="preserve">   han señalado que, en determinadas circunstancias y adicionalmente a otros</w:t>
        <w:br/>
        <w:t xml:space="preserve">   mecanismos de consulta, los Estados deben obtener  el  consentimiento  de</w:t>
        <w:br/>
        <w:t xml:space="preserve">   los pueblos tribales e indígenas para llevar a cabo planes de  desarrollo</w:t>
        <w:br/>
        <w:t xml:space="preserve">   o inversión a grande escala que tengan un  impacto  significativo  en  el</w:t>
        <w:br/>
        <w:t xml:space="preserve">   derecho al uso y goce de sus territorios ancestrales.[133]</w:t>
        <w:br/>
        <w:br/>
        <w:t>137. Es más significativo aún mencionar que el Estado  reconoció,  asimismo,</w:t>
        <w:br/>
        <w:t xml:space="preserve">   que el "nivel de consulta que se requiere es obviamente una función de la</w:t>
        <w:br/>
        <w:t xml:space="preserve">   naturaleza y del contenido de los derechos de la Tribu en cuestión".   La</w:t>
        <w:br/>
        <w:t xml:space="preserve">   Corte coincide con el Estado y además considera que, adicionalmente a  la</w:t>
        <w:br/>
        <w:t xml:space="preserve">   consulta que se requiere  siempre  que  haya  un  plan  de  desarrollo  o</w:t>
        <w:br/>
        <w:t xml:space="preserve">   inversión dentro del territorio tradicional Saramaka, la  salvaguarda  de</w:t>
        <w:br/>
        <w:t xml:space="preserve">   participación efectiva que se requiere cuando se trate de grandes  planes</w:t>
        <w:br/>
        <w:t xml:space="preserve">   de desarrollo o inversión que puedan tener un  impacto  profundo  en  los</w:t>
        <w:br/>
        <w:t xml:space="preserve">   derechos de propiedad de los miembros del pueblo Saramaka a gran parte de</w:t>
        <w:br/>
        <w:t xml:space="preserve">   su  territorio,  debe  entenderse  como  requiriendo  adicionalmente   la</w:t>
        <w:br/>
        <w:t xml:space="preserve">   obligación de obtener el consentimiento libre,  previo  e  informado  del</w:t>
        <w:br/>
        <w:t xml:space="preserve">   pueblo Saramaka, según sus costumbres y tradiciones.</w:t>
        <w:br/>
        <w:br/>
        <w:br/>
        <w:t xml:space="preserve">           E.2.b) Beneficios compartidos</w:t>
        <w:br/>
        <w:br/>
        <w:br/>
        <w:t>138. La segunda garantía que  el  Estado  debe  cumplir  al  considerar  los</w:t>
        <w:br/>
        <w:t xml:space="preserve">   planes de  desarrollo  dentro  del  territorio  Saramaka  es  aquella  de</w:t>
        <w:br/>
        <w:t xml:space="preserve">   compartir, razonablemente, los beneficios  del  proyecto  con  el  pueblo</w:t>
        <w:br/>
        <w:t xml:space="preserve">   Saramaka.  Se puede decir que el concepto de compartir los beneficios, el</w:t>
        <w:br/>
        <w:t xml:space="preserve">   cual puede encontrarse en varios instrumentos internacionales respecto de</w:t>
        <w:br/>
        <w:t xml:space="preserve">   los derechos de los pueblos indígenas y tribales[134],  es  inherente  al</w:t>
        <w:br/>
        <w:t xml:space="preserve">   derecho de indemnización reconocido en el artículo 21.2 de la Convención,</w:t>
        <w:br/>
        <w:t xml:space="preserve">   el cual establece que</w:t>
        <w:br/>
        <w:br/>
        <w:br/>
        <w:t xml:space="preserve">      [n]inguna persona puede ser privada de sus bienes, excepto mediante el</w:t>
        <w:br/>
        <w:t xml:space="preserve">      pago de indemnización justa, por razones  de  utilidad  pública  o  de</w:t>
        <w:br/>
        <w:t xml:space="preserve">      interés social y en los casos y según las formas establecidas  por  la</w:t>
        <w:br/>
        <w:t xml:space="preserve">      ley.</w:t>
        <w:br/>
        <w:br/>
        <w:t>139.  La  Corte  considera  que  el  derecho  a  recibir  el  pago  de   una</w:t>
        <w:br/>
        <w:t xml:space="preserve">   indemnización conforme al artículo 21.2 de la Convención se  extiende  no</w:t>
        <w:br/>
        <w:t xml:space="preserve">   sólo a la total privación de un título de  propiedad  por  medio  de  una</w:t>
        <w:br/>
        <w:t xml:space="preserve">   expropiación  por  parte  del  Estado,  por  ejemplo,  sino  que  también</w:t>
        <w:br/>
        <w:t xml:space="preserve">   comprende la privación del uso y goce regular de dicha propiedad.  En  el</w:t>
        <w:br/>
        <w:t xml:space="preserve">   presente caso, el derecho a obtener el pago de una "indemnización  justa"</w:t>
        <w:br/>
        <w:t xml:space="preserve">   conforme al artículo 21.2 de la Convención se traduce en  el  derecho  de</w:t>
        <w:br/>
        <w:t xml:space="preserve">   los miembros del pueblo Saramaka a participar, en forma razonable, de los</w:t>
        <w:br/>
        <w:t xml:space="preserve">   beneficios derivados de la restricción o privación del derecho al  uso  y</w:t>
        <w:br/>
        <w:t xml:space="preserve">   goce de sus  tierras  tradicionales  y  de  aquellos  recursos  naturales</w:t>
        <w:br/>
        <w:t xml:space="preserve">   necesarios para su supervivencia.</w:t>
        <w:br/>
        <w:br/>
        <w:t>140. En este sentido, el Comité sobre la Eliminación  de  la  Discriminación</w:t>
        <w:br/>
        <w:t xml:space="preserve">   Racial ha recomendado no sólo  que  se  debe  obtener  el  consentimiento</w:t>
        <w:br/>
        <w:t xml:space="preserve">   previo e informado de las comunidades cuando existen planes para llevar a</w:t>
        <w:br/>
        <w:t xml:space="preserve">   cabo grandes actividades de explotación en  territorios  indígenas,  sino</w:t>
        <w:br/>
        <w:t xml:space="preserve">   también “garantizar que se compartan los beneficios  derivados  de  dicha</w:t>
        <w:br/>
        <w:t xml:space="preserve">   explotación de  manera  equitativa”[135].  Del  mismo  modo,  el  Relator</w:t>
        <w:br/>
        <w:t xml:space="preserve">   Especial sobre la situación de los  derechos  humanos  y  las  libertades</w:t>
        <w:br/>
        <w:t xml:space="preserve">   fundamentales de los pueblos indígenas sugirió que, a fin  de  garantizar</w:t>
        <w:br/>
        <w:t xml:space="preserve">   “los derechos humanos de los pueblos indígenas en  relación  con  grandes</w:t>
        <w:br/>
        <w:t xml:space="preserve">   proyectos de desarrollo, [los Estados deben garantizar] una participación</w:t>
        <w:br/>
        <w:t xml:space="preserve">   mutualmente aceptable en los beneficios […].[136]  En este  contexto,  de</w:t>
        <w:br/>
        <w:t xml:space="preserve">   conformidad con el artículo 21.2 de la Convención, se puede  entender  la</w:t>
        <w:br/>
        <w:t xml:space="preserve">   participación en los beneficios como una forma de indemnización razonable</w:t>
        <w:br/>
        <w:t xml:space="preserve">   y en equidad que deriva de la  explotación  de  las  tierras  y  recursos</w:t>
        <w:br/>
        <w:t xml:space="preserve">   naturales necesarios para la supervivencia del pueblo Saramaka.</w:t>
        <w:br/>
        <w:br/>
        <w:br/>
        <w:br/>
        <w:t>F.     El  cumplimiento  con  las  garantías  establecidas  por  el  derecho</w:t>
        <w:br/>
        <w:t>internacional en relación con las concesiones ya otorgadas por el Estado</w:t>
        <w:br/>
        <w:br/>
        <w:br/>
        <w:t>141. Toda vez que se declaró que el  derecho  a  utilizar  y  gozar  de  las</w:t>
        <w:br/>
        <w:t xml:space="preserve">   tierras que los miembros  del  pueblo  Saramaka  poseen  tradicionalmente</w:t>
        <w:br/>
        <w:t xml:space="preserve">   implica, necesariamente, gozar de un  derecho  similar  respecto  de  los</w:t>
        <w:br/>
        <w:t xml:space="preserve">   recursos naturales que son necesarios para su supervivencia,  y  habiendo</w:t>
        <w:br/>
        <w:t xml:space="preserve">   establecido las garantías y limitaciones respecto del derecho  que  tiene</w:t>
        <w:br/>
        <w:t xml:space="preserve">   el Estado de emitir concesiones que restrinjan el uso y  goce  de  dichos</w:t>
        <w:br/>
        <w:t xml:space="preserve">   recursos  naturales,  la  Corte  ahora  procederá  a  analizar   si   las</w:t>
        <w:br/>
        <w:t xml:space="preserve">   concesiones que el  Estado  ya  otorgó  dentro  del  territorio  Saramaka</w:t>
        <w:br/>
        <w:t xml:space="preserve">   cumplen con las garantías mencionadas anteriormente.</w:t>
        <w:br/>
        <w:br/>
        <w:t>142. En el presente caso, la prueba presentada ante la Corte demuestra  que,</w:t>
        <w:br/>
        <w:t xml:space="preserve">   entre los años 1997 y 2004, el Estado emitió al menos cuatro  concesiones</w:t>
        <w:br/>
        <w:t xml:space="preserve">   madereras y un número de concesiones para explotación minera  a  miembros</w:t>
        <w:br/>
        <w:t xml:space="preserve">   del pueblo Saramaka y a personas y empresas ajenas a dicho pueblo, dentro</w:t>
        <w:br/>
        <w:t xml:space="preserve">   del  territorio  que  los  integrantes   del   pueblo   Saramaka   poseen</w:t>
        <w:br/>
        <w:t xml:space="preserve">   tradicionalmente[137].  El testigo René Somopawiro, jefe de la  Fundación</w:t>
        <w:br/>
        <w:t xml:space="preserve">   del  Estado  para  la  Gestión  y  Control  Forestal,  reconoció,  en  la</w:t>
        <w:br/>
        <w:t xml:space="preserve">   declaración rendida ante la  Corte,  que  el  Estado  emitió  concesiones</w:t>
        <w:br/>
        <w:t xml:space="preserve">   dentro del territorio Saramaka[138].  El Comisionado de  Distrito  Strijk</w:t>
        <w:br/>
        <w:t xml:space="preserve">   también declaró que durante su gestión, el Estado  otorgó  al  menos  una</w:t>
        <w:br/>
        <w:t xml:space="preserve">   concesión maderera dentro del territorio Saramaka a una persona o empresa</w:t>
        <w:br/>
        <w:t xml:space="preserve">   ajena al pueblo Saramaka[139].</w:t>
        <w:br/>
        <w:br/>
        <w:t>143. Como se mencionó anteriormente, el artículo  21  de  la  Convención  no</w:t>
        <w:br/>
        <w:t xml:space="preserve">   prohíbe  per  se  la  emisión  de  concesiones  para  la  exploración   o</w:t>
        <w:br/>
        <w:t xml:space="preserve">   explotación  de  los  recursos  naturales  en  territorios  indígenas   o</w:t>
        <w:br/>
        <w:t xml:space="preserve">   tribales.  Sin embargo, si el Estado quisiera restringir,  legítimamente,</w:t>
        <w:br/>
        <w:t xml:space="preserve">   los derechos a la propiedad comunal de los miembros del pueblo  Saramaka,</w:t>
        <w:br/>
        <w:t xml:space="preserve">   debe consultar con las comunidades afectadas respecto de los proyectos de</w:t>
        <w:br/>
        <w:t xml:space="preserve">   desarrollo  que  se  lleven  a   cabo   en   los   territorios   ocupados</w:t>
        <w:br/>
        <w:t xml:space="preserve">   tradicionalmente,  compartir  los  beneficios  razonables  con  ellas,  y</w:t>
        <w:br/>
        <w:t xml:space="preserve">   realizar evaluaciones previas de impacto ambiental y social (supra párrs.</w:t>
        <w:br/>
        <w:t xml:space="preserve">   126-129).</w:t>
        <w:br/>
        <w:br/>
        <w:t xml:space="preserve">      F.1) Concesiones madereras</w:t>
        <w:br/>
        <w:br/>
        <w:br/>
        <w:t>144. Por lo tanto, respecto de la extracción maderera, surge la cuestión  de</w:t>
        <w:br/>
        <w:t xml:space="preserve">   si este recurso natural ha sido usado tradicionalmente por  los  miembros</w:t>
        <w:br/>
        <w:t xml:space="preserve">   del  pueblo  Saramaka  de  modo  intrínsecamente   relacionado   con   la</w:t>
        <w:br/>
        <w:t xml:space="preserve">   subsistencia del pueblo.  Sobre este particular, el  Dr.  Richard  Price,</w:t>
        <w:br/>
        <w:t xml:space="preserve">   antropólogo que declaró durante la audiencia pública en el presente caso,</w:t>
        <w:br/>
        <w:t xml:space="preserve">   presentó un mapa en el cual el pueblo Saramaka  hizo  cientos  de  marcas</w:t>
        <w:br/>
        <w:t xml:space="preserve">   para indicar la ubicación y la variedad  de  árboles  que  utilizan  para</w:t>
        <w:br/>
        <w:t xml:space="preserve">   distintos fines[140].  Por ejemplo, los integrantes del  pueblo  Saramaka</w:t>
        <w:br/>
        <w:t xml:space="preserve">   utilizan un tipo especial de árbol para construir botes y canoas a fin de</w:t>
        <w:br/>
        <w:t xml:space="preserve">   trasladarse y transportar gente y bienes de un pueblo a  otro[141].   Los</w:t>
        <w:br/>
        <w:t xml:space="preserve">   Saramaka también utilizan distintos tipos de especies  de  palmeras  para</w:t>
        <w:br/>
        <w:t xml:space="preserve">   hacer varias cosas, incluido el techo de sus hogares,  y  de  las  cuales</w:t>
        <w:br/>
        <w:t xml:space="preserve">   obtienen frutas que  procesan  para  obtener  aceite  para  cocinar[142].</w:t>
        <w:br/>
        <w:t xml:space="preserve">   Cuando se hizo referencia  al  bosque,  uno  de  los  testigos  manifestó</w:t>
        <w:br/>
        <w:t xml:space="preserve">   durante la audiencia pública que “era allí  donde  cortaban  los  árboles</w:t>
        <w:br/>
        <w:t xml:space="preserve">   para construir sus hogares, para subsistir, para  hacer  sus  botes  […];</w:t>
        <w:br/>
        <w:t xml:space="preserve">   todo con lo que viven”[143].  Otro testigo expresó la importancia  de  la</w:t>
        <w:br/>
        <w:t xml:space="preserve">   tala de madera para el pueblo Saramaka y su preocupación por el ambiente:</w:t>
        <w:br/>
        <w:br/>
        <w:br/>
        <w:br/>
        <w:t xml:space="preserve">      Cuando talamos los árboles, pensamos en nuestros hijos  y  nietos,  en</w:t>
        <w:br/>
        <w:t xml:space="preserve">      las futuras generaciones. […]  Cuando  ingresamos  en  el  bosque  por</w:t>
        <w:br/>
        <w:t xml:space="preserve">      cualquier razón, pensamos en lo  que  estamos  haciendo,  pensamos  en</w:t>
        <w:br/>
        <w:t xml:space="preserve">      proteger el ambiente.  Tenemos mucho cuidado de no destruir  algo  que</w:t>
        <w:br/>
        <w:t xml:space="preserve">      se encuentre en el bosque.  Obtenemos la madera que  necesitamos  para</w:t>
        <w:br/>
        <w:t xml:space="preserve">      nuestra  propósitos  y  tenemos  mucho  cuidado  de  no  destruir   el</w:t>
        <w:br/>
        <w:t xml:space="preserve">      ambiente[144].</w:t>
        <w:br/>
        <w:br/>
        <w:br/>
        <w:t>145. Asimismo,  la  prueba  presentada  ante  el  Tribunal  indica  que  los</w:t>
        <w:br/>
        <w:t xml:space="preserve">   Saramaka también dependen de la extracción de madera  como  parte  de  su</w:t>
        <w:br/>
        <w:t xml:space="preserve">   estructura económica.  En ese sentido, el Estado enfatizó que algunos  de</w:t>
        <w:br/>
        <w:t xml:space="preserve">   los miembros individuales Saramaka han solicitado concesiones  en  nombre</w:t>
        <w:br/>
        <w:t xml:space="preserve">   propio para la explotación maderera.  Cuando se le cuestionó  durante  la</w:t>
        <w:br/>
        <w:t xml:space="preserve">   audiencia pública por qué él, por ejemplo, había solicitado una concesión</w:t>
        <w:br/>
        <w:t xml:space="preserve">   maderera a título personal al Estado, el Capitán Ceasar Adjako, del  clan</w:t>
        <w:br/>
        <w:t xml:space="preserve">   (lö) Matjau, respondió que lo hizo "porque el gobierno había adoptado una</w:t>
        <w:br/>
        <w:t xml:space="preserve">   nueva ley mediante la cual si uno quería vender  la  madera  que  talaba,</w:t>
        <w:br/>
        <w:t xml:space="preserve">   tenía que tener una concesión a su nombre.  De lo  contrario,  no  estaba</w:t>
        <w:br/>
        <w:t xml:space="preserve">   permitido vender madera.  […] Una vez que obtenga la concesión, todos mis</w:t>
        <w:br/>
        <w:t xml:space="preserve">   hijos podrán talar madera"[145].  Es decir, el objetivo de solicitar  una</w:t>
        <w:br/>
        <w:t xml:space="preserve">   concesión personal era permitir que los integrantes del  pueblo  Saramaka</w:t>
        <w:br/>
        <w:t xml:space="preserve">   continúen vendiendo  madera  legalmente,  como  lo  han  estado  haciendo</w:t>
        <w:br/>
        <w:t xml:space="preserve">   tradicionalmente para subsistir.</w:t>
        <w:br/>
        <w:br/>
        <w:t>146.  Esta  prueba  indica  que  los  Saramaka  han  cosechado,   utilizado,</w:t>
        <w:br/>
        <w:t xml:space="preserve">   comercializado y vendido los productos de madera  y  de  otra  índole  en</w:t>
        <w:br/>
        <w:t xml:space="preserve">   forma tradicional y que continúan haciéndolo en el presente[146].  Por lo</w:t>
        <w:br/>
        <w:t xml:space="preserve">   tanto,  de  conformidad  con  el  análisis  mencionado  respecto  de   la</w:t>
        <w:br/>
        <w:t xml:space="preserve">   extracción  de  los  recursos  naturales  que  son  necesarios  para   la</w:t>
        <w:br/>
        <w:t xml:space="preserve">   subsistencia del pueblo Saramaka, y  por  ende  de  sus  integrantes,  el</w:t>
        <w:br/>
        <w:t xml:space="preserve">   Estado  no  debería  haber  otorgado  concesiones  madereras  dentro  del</w:t>
        <w:br/>
        <w:t xml:space="preserve">   territorio Saramaka a menos y hasta que hubiese  cumplido  con  las  tres</w:t>
        <w:br/>
        <w:t xml:space="preserve">   garantías   de   participación   efectiva,   beneficios   compartidos   y</w:t>
        <w:br/>
        <w:t xml:space="preserve">   evaluaciones previas de impacto ambiental y social.</w:t>
        <w:br/>
        <w:br/>
        <w:br/>
        <w:t xml:space="preserve">           F.1.a) Participación efectiva</w:t>
        <w:br/>
        <w:br/>
        <w:br/>
        <w:t>147.  En  el  presente  caso,  el  Estado  no  garantizó,  de  antemano,  la</w:t>
        <w:br/>
        <w:t xml:space="preserve">   participación efectiva del pueblo  Saramaka,  a  través  de  sus  métodos</w:t>
        <w:br/>
        <w:t xml:space="preserve">   tradicionales de toma de decisión, respecto de las concesiones  madereras</w:t>
        <w:br/>
        <w:t xml:space="preserve">   emitidas  dentro  del  territorio  Saramaka,  y  tampoco  compartió   los</w:t>
        <w:br/>
        <w:t xml:space="preserve">   beneficios  con  los  miembros  de  dicho  pueblo.   De  acuerdo  con  el</w:t>
        <w:br/>
        <w:t xml:space="preserve">   Comisionado de Distrito Strijk, quien declaró ante este Tribunal, “no era</w:t>
        <w:br/>
        <w:t xml:space="preserve">   necesario” consultar u obtener el consentimiento del pueblo  Saramaka  en</w:t>
        <w:br/>
        <w:t xml:space="preserve">   relación con las concesiones madereras en cuestión dado que no  se  había</w:t>
        <w:br/>
        <w:t xml:space="preserve">   informado sobre lugares tradicionales Saramaka en el área[147].   En  las</w:t>
        <w:br/>
        <w:t xml:space="preserve">   palabras del Comisionado de Distrito Strijk, “si  hay  lugares  sagrados,</w:t>
        <w:br/>
        <w:t xml:space="preserve">   cementerios y parcelas agrícolas, entonces procedemos a la  consulta;  si</w:t>
        <w:br/>
        <w:t xml:space="preserve">   no hay lugares sagrados, cementerios o parcelas agrícolas, entonces no se</w:t>
        <w:br/>
        <w:t xml:space="preserve">   realiza  la  consulta”[148].  Este   procedimiento,   evidentemente,   no</w:t>
        <w:br/>
        <w:t xml:space="preserve">   garantiza la participación efectiva del  pueblo  Saramaka,  mediante  sus</w:t>
        <w:br/>
        <w:t xml:space="preserve">   propias costumbres y tradiciones, en  el  proceso  de  evaluación  de  la</w:t>
        <w:br/>
        <w:t xml:space="preserve">   emisión de concesiones madereras dentro de su territorio.   Tal  como  se</w:t>
        <w:br/>
        <w:t xml:space="preserve">   mencionó anteriormente, la cuestión no es si el Estado debe consultar con</w:t>
        <w:br/>
        <w:t xml:space="preserve">   los Saramaka, sino, más bien, si el Estado adicionalmente debe obtener su</w:t>
        <w:br/>
        <w:t xml:space="preserve">   consentimiento (supra párrs.  133-137).</w:t>
        <w:br/>
        <w:br/>
        <w:br/>
        <w:t xml:space="preserve">           F.1.b) Evaluaciones previas de impacto ambiental y social</w:t>
        <w:br/>
        <w:br/>
        <w:br/>
        <w:t>148. El Estado asimismo alegó que “las concesiones otorgadas a  terceros  no</w:t>
        <w:br/>
        <w:t xml:space="preserve">   afectaron los intereses tradicionales del pueblo [Saramaka]".  La  prueba</w:t>
        <w:br/>
        <w:t xml:space="preserve">   presentada ante el Tribunal indica que no sólo el nivel  de  consulta  al</w:t>
        <w:br/>
        <w:t xml:space="preserve">   que se refiere el Estado no fue  suficiente  para  garantizar  al  pueblo</w:t>
        <w:br/>
        <w:t xml:space="preserve">   Saramaka  su  participación  efectiva  en  el  proceso  de  la  toma   de</w:t>
        <w:br/>
        <w:t xml:space="preserve">   decisiones, sino que también el Estado  no  llevó  a  cabo  ni  supervisó</w:t>
        <w:br/>
        <w:t xml:space="preserve">   estudios  de  impacto  ambiental  y  social  antes   de   emitir   dichas</w:t>
        <w:br/>
        <w:t xml:space="preserve">   concesiones[149], y que, al menos, algunas de las  concesiones  otorgadas</w:t>
        <w:br/>
        <w:t xml:space="preserve">   afectaron, de hecho, recursos naturales necesarios para  la  subsistencia</w:t>
        <w:br/>
        <w:t xml:space="preserve">   económica y cultural del pueblo Saramaka.  Una vez más, la Corte  observa</w:t>
        <w:br/>
        <w:t xml:space="preserve">   que cuando se otorga una concesión maderera, se ven afectados también una</w:t>
        <w:br/>
        <w:t xml:space="preserve">   gran variedad de productos forestales no derivados de la madera, que  son</w:t>
        <w:br/>
        <w:t xml:space="preserve">   utilizados  por  los  miembros  del  pueblo  Saramaka  para  subsistir  y</w:t>
        <w:br/>
        <w:t xml:space="preserve">   comercializar.</w:t>
        <w:br/>
        <w:br/>
        <w:t>149. En este sentido, el mapa que realizó el perito Dr. Peter  Poole  y  que</w:t>
        <w:br/>
        <w:t xml:space="preserve">   fue presentado ante la Corte, demuestra la ocupación y el uso de personas</w:t>
        <w:br/>
        <w:t xml:space="preserve">   y empresas ajenas a dicho pueblo de las tierras y recursos  otorgadas  en</w:t>
        <w:br/>
        <w:t xml:space="preserve">   concesión  dentro  del  territorio  Saramaka[150].    Según   la   prueba</w:t>
        <w:br/>
        <w:t xml:space="preserve">   presentada, los integrantes del pueblo  Saramaka  han  estado  utilizando</w:t>
        <w:br/>
        <w:t xml:space="preserve">   extensamente las áreas  otorgadas  a  empresas  madereras  para  cazar  y</w:t>
        <w:br/>
        <w:t xml:space="preserve">   pescar,  así  como  para  obtener  una   gran   variedad   de   productos</w:t>
        <w:br/>
        <w:t xml:space="preserve">   forestales[151].</w:t>
        <w:br/>
        <w:br/>
        <w:t>150. El Capitán Jefe Wazen Eduards[152], el Capitán  Cesar  Adjako[153],  la</w:t>
        <w:br/>
        <w:t xml:space="preserve">   señora Silvi Adjako[154], y el señor Hugo Jabini[155], por ejemplo, todos</w:t>
        <w:br/>
        <w:t xml:space="preserve">   declararon que las actividades  de  las  empresas  madereras  dentro  del</w:t>
        <w:br/>
        <w:t xml:space="preserve">   territorio tradicional Saramaka eran altamente destructivas y  produjeron</w:t>
        <w:br/>
        <w:t xml:space="preserve">   un daño masivo en un área sustancial del bosque del pueblo Saramaka y  en</w:t>
        <w:br/>
        <w:t xml:space="preserve">   las funciones ecológicas y culturales que éste proporcionaba.  La  señora</w:t>
        <w:br/>
        <w:t xml:space="preserve">   Silvi  Adjako,  por  ejemplo,  declaró   que   las   empresas   madereras</w:t>
        <w:br/>
        <w:t xml:space="preserve">   “destruyeron nuestro bosque e inutilizaron parte de nuestra tierra porque</w:t>
        <w:br/>
        <w:t xml:space="preserve">   bloquearon los arroyos y dejaron que el agua  sentara  sobre  la  tierra.</w:t>
        <w:br/>
        <w:t xml:space="preserve">   Antes de eso, podíamos usar el bosque libremente  y  con  tranquilidad  y</w:t>
        <w:br/>
        <w:t xml:space="preserve">   constituía  una  gran  comodidad  y  apoyo  para  nosotros”[156].    Esta</w:t>
        <w:br/>
        <w:t xml:space="preserve">   declaración también está respaldada por la  declaración  del  señor  Hugo</w:t>
        <w:br/>
        <w:t xml:space="preserve">   Jabini, quien agregó que estas empresas  "dejaron  el  bosque  totalmente</w:t>
        <w:br/>
        <w:t xml:space="preserve">   arruinado donde trabajan. No se puede seguir utilizando  gran  parte  del</w:t>
        <w:br/>
        <w:t xml:space="preserve">   bosque para cosechar y los animales se alejan de éstas áreas también.  Se</w:t>
        <w:br/>
        <w:t xml:space="preserve">   bloquearon los arroyos, se inundó el área y se convirtió en  un  pantano.</w:t>
        <w:br/>
        <w:t xml:space="preserve">   Quedó inutilizable y los espíritus están totalmente ofendidos”[157].</w:t>
        <w:br/>
        <w:br/>
        <w:t>151. Las observaciones de los testigos Saramaka están  corroboradas  por  la</w:t>
        <w:br/>
        <w:t xml:space="preserve">   investigación llevada a cabo por los peritos Dr. Roberto Goodland  y  Dr.</w:t>
        <w:br/>
        <w:t xml:space="preserve">   Peter Poole, quienes visitaron las áreas  sujetas  a  concesiones  y  sus</w:t>
        <w:br/>
        <w:t xml:space="preserve">   alrededores entre el año  2002  y  el  2007[158].   En  general,  el  Dr.</w:t>
        <w:br/>
        <w:t xml:space="preserve">   Goodland manifestó que “los impactos  sociales,  ambientales  y  de  otra</w:t>
        <w:br/>
        <w:t xml:space="preserve">   índole de las empresas madereras son graves y  traumáticos”[159],  y  que</w:t>
        <w:br/>
        <w:t xml:space="preserve">   “la explotación forestal se llevó a cabo por  debajo  de  los  estándares</w:t>
        <w:br/>
        <w:t xml:space="preserve">   mínimos aceptables para operaciones de este estilo"[160]. El Dr. Goodland</w:t>
        <w:br/>
        <w:t xml:space="preserve">   la caracterizó como “entre las explotaciones forestales  peor  planeadas,</w:t>
        <w:br/>
        <w:t xml:space="preserve">   más dañinas y derrochadoras posibles”[161].  El Dr. Poole agregó que  era</w:t>
        <w:br/>
        <w:t xml:space="preserve">   "inmediatamente  evidente  que  las  operaciones   forestales   de   esas</w:t>
        <w:br/>
        <w:t xml:space="preserve">   concesiones no se estaban llevando a cabo conforme a las especificaciones</w:t>
        <w:br/>
        <w:t xml:space="preserve">   mínimas o aceptables y que  la  gestión  sustentable  no  era  un  factor</w:t>
        <w:br/>
        <w:t xml:space="preserve">   importante en la toma de decisión”[162].</w:t>
        <w:br/>
        <w:br/>
        <w:t>152. Los Dres. Goodland  y  Poole  declararon  que  las  empresas  madereras</w:t>
        <w:br/>
        <w:t xml:space="preserve">   construyeron en sus concesiones puentes  de  mala  calidad  y  que  estos</w:t>
        <w:br/>
        <w:t xml:space="preserve">   puentes innecesariamente bloquearon una gran  cantidad  de  arroyos[163].</w:t>
        <w:br/>
        <w:t xml:space="preserve">   Dado que estos arroyos son  la  fuente  principal  de  agua  potable  que</w:t>
        <w:br/>
        <w:t xml:space="preserve">   utilizan los miembros del pueblo Saramaka,  “no  tienen  acceso  al  agua</w:t>
        <w:br/>
        <w:t xml:space="preserve">   necesaria  para  beber,  cocinar,  lavar,  irrigar,   regar   y   pescar.</w:t>
        <w:br/>
        <w:t xml:space="preserve">   [Asimismo,] las granjas de subsistencia se vuelven  menos  productivas  o</w:t>
        <w:br/>
        <w:t xml:space="preserve">   tan improductivas que se tienen que abandonar”[164].  De acuerdo  con  el</w:t>
        <w:br/>
        <w:t xml:space="preserve">   Dr. Goodland, estas grandes áreas con agua estancada hacen que el  bosque</w:t>
        <w:br/>
        <w:t xml:space="preserve">   sea  incapaz  de  producir  cosechas  agrícolas  tradicionales   de   los</w:t>
        <w:br/>
        <w:t xml:space="preserve">   Saramaka[165].  El Dr. Poole llegó a la misma conclusión[166].</w:t>
        <w:br/>
        <w:br/>
        <w:br/>
        <w:t xml:space="preserve">           F.1.c) Beneficios compartidos</w:t>
        <w:br/>
        <w:br/>
        <w:br/>
        <w:t>153. No sólo se le ha dejado  a  los  integrantes  del  pueblo  Saramaka  un</w:t>
        <w:br/>
        <w:t xml:space="preserve">   legado  de  destrucción  ambiental,  privación   de   los   recursos   de</w:t>
        <w:br/>
        <w:t xml:space="preserve">   subsistencia y problemas espirituales y sociales, sino que además no  han</w:t>
        <w:br/>
        <w:t xml:space="preserve">   recibido ningún beneficio de las operaciones madereras que se  encuentran</w:t>
        <w:br/>
        <w:t xml:space="preserve">   en su territorio.  Las estadísticas gubernamentales  que  se  presentaron</w:t>
        <w:br/>
        <w:t xml:space="preserve">   como prueba ante la Corte indican que se extrajo  una  gran  cantidad  de</w:t>
        <w:br/>
        <w:t xml:space="preserve">   madera valiosa del territorio Saramaka y no se les pagó  ningún  tipo  de</w:t>
        <w:br/>
        <w:t xml:space="preserve">   indemnización[167].</w:t>
        <w:br/>
        <w:t xml:space="preserve">                                      *</w:t>
        <w:br/>
        <w:t xml:space="preserve">                                   *     *</w:t>
        <w:br/>
        <w:br/>
        <w:t>154. En resumen, la Corte considera que las  concesiones  madereras  que  el</w:t>
        <w:br/>
        <w:t xml:space="preserve">   Estado ha emitido sobre las tierras de la región superior del Río Surinam</w:t>
        <w:br/>
        <w:t xml:space="preserve">   han dañado el ambiente y que el deterioro tuvo un impacto negativo  sobre</w:t>
        <w:br/>
        <w:t xml:space="preserve">   las tierras y los recursos naturales que los miembros del pueblo Saramaka</w:t>
        <w:br/>
        <w:t xml:space="preserve">   han utilizado tradicionalmente, los que  se  encuentran,  en  todo  o  en</w:t>
        <w:br/>
        <w:t xml:space="preserve">   parte, dentro de los límites del  territorio  sobre  el  cual  tienen  un</w:t>
        <w:br/>
        <w:t xml:space="preserve">   derecho a la propiedad comunal.  El Estado no llevó a  cabo  o  supervisó</w:t>
        <w:br/>
        <w:t xml:space="preserve">   estudios ambientales y sociales previos ni puso en práctica  garantías  o</w:t>
        <w:br/>
        <w:t xml:space="preserve">   mecanismos a fin de asegurar que estas concesiones madereras no  causaran</w:t>
        <w:br/>
        <w:t xml:space="preserve">   un daño mayor al territorio y comunidades Saramaka.  Además, el Estado no</w:t>
        <w:br/>
        <w:t xml:space="preserve">   permitió la participación efectiva del pueblo  Saramaka,  de  conformidad</w:t>
        <w:br/>
        <w:t xml:space="preserve">   con sus tradiciones y costumbre, en el proceso de la toma  de  decisiones</w:t>
        <w:br/>
        <w:t xml:space="preserve">   respecto de las concesiones madereras y,  a  su  vez,  los  miembros  del</w:t>
        <w:br/>
        <w:t xml:space="preserve">   pueblo Saramaka no recibieron ningún beneficio de la extracción  maderera</w:t>
        <w:br/>
        <w:t xml:space="preserve">   en su territorio.  Todo esto  constituye  una  violación  al  derecho  de</w:t>
        <w:br/>
        <w:t xml:space="preserve">   propiedad de  los  integrantes  del  pueblo  Saramaka  reconocido  en  el</w:t>
        <w:br/>
        <w:t xml:space="preserve">   artículo 21 de la Convención, en relación con el artículo  1.1  de  dicho</w:t>
        <w:br/>
        <w:t xml:space="preserve">   instrumento.</w:t>
        <w:br/>
        <w:br/>
        <w:t xml:space="preserve">      F.2) Concesiones mineras auríferas</w:t>
        <w:br/>
        <w:br/>
        <w:br/>
        <w:t>155. La Corte también debe analizar si las concesiones otorgadas a  empresas</w:t>
        <w:br/>
        <w:t xml:space="preserve">   mineras auríferas dentro del territorio  tradicional  Saramaka  afectaron</w:t>
        <w:br/>
        <w:t xml:space="preserve">   los recursos naturales que los miembros del pueblo Saramaka han utilizado</w:t>
        <w:br/>
        <w:t xml:space="preserve">   tradicionalmente y que son necesarios para su subsistencia cultural.   De</w:t>
        <w:br/>
        <w:t xml:space="preserve">   acuerdo con la prueba presentada  ante  la  Corte,  los  integrantes  del</w:t>
        <w:br/>
        <w:t xml:space="preserve">   pueblo Saramaka no han utilizado el oro tradicionalmente como parte de su</w:t>
        <w:br/>
        <w:t xml:space="preserve">   identidad  cultural  o  sistema  económico.    Salvo   algunas   posibles</w:t>
        <w:br/>
        <w:t xml:space="preserve">   excepciones individuales, los Saramaka no se identifican con  el  oro  ni</w:t>
        <w:br/>
        <w:t xml:space="preserve">   han demostrado una  relación  particular  con  este  recurso  natural  en</w:t>
        <w:br/>
        <w:t xml:space="preserve">   especial, más que reclamar el derecho general de “ser  titular  de  todo,</w:t>
        <w:br/>
        <w:t xml:space="preserve">   desde lo más alto de los árboles hasta el  lugar  más  profundo  bajo  la</w:t>
        <w:br/>
        <w:t xml:space="preserve">   superficie”[168].  Sin embargo, como  se  mencionó  anteriormente  (supra</w:t>
        <w:br/>
        <w:t xml:space="preserve">   párrs. 126-129), dado que toda actividad minera especializada en  el  oro</w:t>
        <w:br/>
        <w:t xml:space="preserve">   dentro  del  territorio  Saramaka  afectará,  inevitablemente,  a   otros</w:t>
        <w:br/>
        <w:t xml:space="preserve">   recursos naturales necesarios para la subsistencia de dicho pueblo,  como</w:t>
        <w:br/>
        <w:t xml:space="preserve">   los canales  navegables,  por  ejemplo,  el  Estado  tiene  el  deber  de</w:t>
        <w:br/>
        <w:t xml:space="preserve">   consultar al  pueblo  Saramaka,  de  conformidad  con  sus  costumbres  y</w:t>
        <w:br/>
        <w:t xml:space="preserve">   tradiciones, respecto de  toda  concesión  minera  propuesta  dentro  del</w:t>
        <w:br/>
        <w:t xml:space="preserve">   territorio Saramaka, permitir la participación de los miembros del pueblo</w:t>
        <w:br/>
        <w:t xml:space="preserve">   en los beneficios que se deriven de dicha posible concesión y realizar  o</w:t>
        <w:br/>
        <w:t xml:space="preserve">   supervisar un estudio previo de impacto ambiental  y  social.   El  mismo</w:t>
        <w:br/>
        <w:t xml:space="preserve">   análisis se aplica respecto de otras concesiones  dentro  del  territorio</w:t>
        <w:br/>
        <w:t xml:space="preserve">   Saramaka que involucren recursos naturales que los miembros del pueblo no</w:t>
        <w:br/>
        <w:t xml:space="preserve">   han  utilizado  tradicionalmente,  pero  que  su  extracción   afectaría,</w:t>
        <w:br/>
        <w:t xml:space="preserve">   inevitablemente, otros recursos que son vitales para su modo de vida.</w:t>
        <w:br/>
        <w:br/>
        <w:t>156. La Corte reconoce que, a la fecha,  no  se  han  realizado  operaciones</w:t>
        <w:br/>
        <w:t xml:space="preserve">   mineras a gran escala dentro del territorio  tradicional  Saramaka.   Sin</w:t>
        <w:br/>
        <w:t xml:space="preserve">   embargo,  el  Estado  no  cumplió  con  las  tres  garantías  mencionadas</w:t>
        <w:br/>
        <w:t xml:space="preserve">   anteriormente cuando emitió concesiones mineras de oro de pequeña  escala</w:t>
        <w:br/>
        <w:t xml:space="preserve">   dentro del territorio  Saramaka[169].   Es  decir,  esas  concesiones  se</w:t>
        <w:br/>
        <w:t xml:space="preserve">   emitieron sin realizar  o  supervisar  evaluaciones  previas  de  impacto</w:t>
        <w:br/>
        <w:t xml:space="preserve">   ambiental y social, sin consultar con el pueblo Saramaka, de  conformidad</w:t>
        <w:br/>
        <w:t xml:space="preserve">   con sus tradiciones, y sin garantizarle a sus miembros una  participación</w:t>
        <w:br/>
        <w:t xml:space="preserve">   razonable de los beneficios.  De este modo, el Estado violó el derecho de</w:t>
        <w:br/>
        <w:t xml:space="preserve">   los integrantes del pueblo Saramaka a la propiedad conforme  al  artículo</w:t>
        <w:br/>
        <w:t xml:space="preserve">   21  de  la  Convención,  en  relación  con  el  artículo  1.1  de   dicho</w:t>
        <w:br/>
        <w:t xml:space="preserve">   instrumento.</w:t>
        <w:br/>
        <w:br/>
        <w:t>157. Respecto de aquellas concesiones que se han otorgado a terceros  dentro</w:t>
        <w:br/>
        <w:t xml:space="preserve">   del territorio Saramaka, incluido a integrantes individuales, la Corte ya</w:t>
        <w:br/>
        <w:t xml:space="preserve">   ha manifestado que (supra párrs. 127-128) “cuando  la  propiedad  comunal</w:t>
        <w:br/>
        <w:t xml:space="preserve">   indígena  y  la  propiedad  privada  individual  entra  en  contradicción</w:t>
        <w:br/>
        <w:t xml:space="preserve">   aparente o real, la Convención Americana misma y la jurisprudencia de  la</w:t>
        <w:br/>
        <w:t xml:space="preserve">   Corte proporcionan pautas para  establecer  restricciones  admisibles  al</w:t>
        <w:br/>
        <w:t xml:space="preserve">   goce y ejercicio de dichos derechos”[170].  Por lo tanto, el Estado tiene</w:t>
        <w:br/>
        <w:t xml:space="preserve">   el  deber  de  evaluar,  a  la  luz  de  la  presente  Sentencia   y   la</w:t>
        <w:br/>
        <w:t xml:space="preserve">   jurisprudencia de la Corte[171], si es necesaria una restricción a  estos</w:t>
        <w:br/>
        <w:t xml:space="preserve">   derechos de propiedad privada para preservar  la  subsistencia  física  y</w:t>
        <w:br/>
        <w:t xml:space="preserve">   cultural del pueblo Saramaka.</w:t>
        <w:br/>
        <w:br/>
        <w:t xml:space="preserve">                                      *</w:t>
        <w:br/>
        <w:t xml:space="preserve">                                   *     *</w:t>
        <w:br/>
        <w:br/>
        <w:t>158. En virtud de todas las consideraciones mencionadas, la  Corte  concluye</w:t>
        <w:br/>
        <w:t xml:space="preserve">   lo siguiente: primero, que los integrantes del pueblo Saramaka tienen  el</w:t>
        <w:br/>
        <w:t xml:space="preserve">   derecho a usar y gozar de los recursos naturales que se encuentran dentro</w:t>
        <w:br/>
        <w:t xml:space="preserve">   del territorio que ocupan tradicionalmente y que sean necesarios para  su</w:t>
        <w:br/>
        <w:t xml:space="preserve">   supervivencia; segundo, que el  Estado  puede  restringir  dicho  derecho</w:t>
        <w:br/>
        <w:t xml:space="preserve">   mediante el otorgamiento de concesiones para exploración y extracción  de</w:t>
        <w:br/>
        <w:t xml:space="preserve">   recursos naturales que se hallan dentro del territorio Saramaka  sólo  si</w:t>
        <w:br/>
        <w:t xml:space="preserve">   el Estado garantiza la participación efectiva y los beneficios del pueblo</w:t>
        <w:br/>
        <w:t xml:space="preserve">   Saramaka,  si  realiza  o  supervisa  evaluaciones  previas  de   impacto</w:t>
        <w:br/>
        <w:t xml:space="preserve">   ambiental o social y si implementa medidas y mecanismos adecuados  a  fin</w:t>
        <w:br/>
        <w:t xml:space="preserve">   de asegurar que estas actividades no produzcan una afectación mayor a las</w:t>
        <w:br/>
        <w:t xml:space="preserve">   tierras tradicionales Saramaka y a sus recursos naturales, y por  último,</w:t>
        <w:br/>
        <w:t xml:space="preserve">   que las concesiones ya otorgadas por el Estado no  cumplieron  con  estas</w:t>
        <w:br/>
        <w:t xml:space="preserve">   garantías.  Por lo tanto, la Corte considera que el Estado ha el artículo</w:t>
        <w:br/>
        <w:t xml:space="preserve">   21 de la Convención, en relación con el artículo 1 de dicho  instrumento,</w:t>
        <w:br/>
        <w:t xml:space="preserve">   en perjuicio de los integrantes del pueblo Saramaka.</w:t>
        <w:br/>
        <w:br/>
        <w:br/>
        <w:t>H.    la falta de reconocimiento de  la  personalidad  jurídica  del  pueblo</w:t>
        <w:br/>
        <w:t>Saramaka como un impedimento para  poder  recibir  un  título  de  propiedad</w:t>
        <w:br/>
        <w:t>comunal de sus tierras en calidad de comunidad tribal y  para  tener  acceso</w:t>
        <w:br/>
        <w:t>equitativo a la protección judicial de sus derechos de propiedad</w:t>
        <w:br/>
        <w:br/>
        <w:br/>
        <w:t>159. Los representantes manifestaron que el Estado  violó  sus  obligaciones</w:t>
        <w:br/>
        <w:t xml:space="preserve">   conforme al artículo 3 de la Convención al negarle al pueblo Saramaka  el</w:t>
        <w:br/>
        <w:t xml:space="preserve">   derecho al reconocimiento de la personalidad jurídica.   De  acuerdo  con</w:t>
        <w:br/>
        <w:t xml:space="preserve">   los  representantes,  la  falta  de  reconocimiento  de  la  personalidad</w:t>
        <w:br/>
        <w:t xml:space="preserve">   jurídica del pueblo Saramaka  convierte  a  dicho  pueblo  en  inelegible</w:t>
        <w:br/>
        <w:t xml:space="preserve">   conforme al derecho interno para poder recibir el derecho  comunal  a  la</w:t>
        <w:br/>
        <w:t xml:space="preserve">   tierra  en  calidad  de  comunidad  tribal.   Únicamente   los   miembros</w:t>
        <w:br/>
        <w:t xml:space="preserve">   individuales de la comunidad Saramaka, en calidad de particulares, pueden</w:t>
        <w:br/>
        <w:t xml:space="preserve">   solicitar  al  Estado  un  permiso  para  el  uso  de  la   tierra.   Los</w:t>
        <w:br/>
        <w:t xml:space="preserve">   representantes solicitaron, por lo tanto,  que  el  Estado  reconozca  la</w:t>
        <w:br/>
        <w:t xml:space="preserve">   personalidad jurídica del pueblo Saramaka como  un  pueblo  distinto,  de</w:t>
        <w:br/>
        <w:t xml:space="preserve">   conformidad con el derecho a la autodeterminación.</w:t>
        <w:br/>
        <w:br/>
        <w:t>160. Como una cuestión preliminar, el Estado manifestó que  la  Comisión  no</w:t>
        <w:br/>
        <w:t xml:space="preserve">   alegó una violación del artículo 3 de la Convención en su demanda ante la</w:t>
        <w:br/>
        <w:t xml:space="preserve">   Corte y que dicha presunta violación tampoco se incluyó en el informe del</w:t>
        <w:br/>
        <w:t xml:space="preserve">   artículo  50.   El  Estado  reiteró  que  los  representantes  no  tienen</w:t>
        <w:br/>
        <w:t xml:space="preserve">   legitimación  para  argumentar  ante  la  Corte,  de  forma  separada   e</w:t>
        <w:br/>
        <w:t xml:space="preserve">   independiente, que Surinam violó el artículo 3 de la Convención.</w:t>
        <w:br/>
        <w:br/>
        <w:t>161. La Corte ha resuelto esta cuestión  (supra,  Excepciones  Preliminares,</w:t>
        <w:br/>
        <w:t xml:space="preserve">   párrs. 25-29) y sostuvo que las presuntas víctimas o  sus  representantes</w:t>
        <w:br/>
        <w:t xml:space="preserve">   pueden invocar otros derechos  distintos  de  aquéllos  incluidos  en  la</w:t>
        <w:br/>
        <w:t xml:space="preserve">   demanda de la Comisión, siempre que se refieran a hechos  que  ya  fueron</w:t>
        <w:br/>
        <w:t xml:space="preserve">   incluidos en la demanda[172].  La Corte observa que, aunque  la  Comisión</w:t>
        <w:br/>
        <w:t xml:space="preserve">   no alegó una violación del artículo 3 de la  Convención,  los  argumentos</w:t>
        <w:br/>
        <w:t xml:space="preserve">   legales  de  los  representantes  respecto  de  la  presunta   falta   de</w:t>
        <w:br/>
        <w:t xml:space="preserve">   reconocimiento  de  la  personalidad  jurídica  del  pueblo  Saramaka  se</w:t>
        <w:br/>
        <w:t xml:space="preserve">   fundamentan en hechos ya incluidos en la demanda.  Por lo tanto, la Corte</w:t>
        <w:br/>
        <w:t xml:space="preserve">   procederá a analizar los  argumentos  de  las  partes  respecto  de  esta</w:t>
        <w:br/>
        <w:t xml:space="preserve">   cuestión.</w:t>
        <w:br/>
        <w:br/>
        <w:t>162. Fundamentalmente, el Estado cuestionó  la  capacidad  de  cohesión  del</w:t>
        <w:br/>
        <w:t xml:space="preserve">   pueblo Saramaka “como titular independiente de  derechos  y  obligaciones</w:t>
        <w:br/>
        <w:t xml:space="preserve">   regido por sus propias leyes, regulaciones y costumbres, como sugiere  el</w:t>
        <w:br/>
        <w:t xml:space="preserve">   concepto de personalidad judicial [sic] consagrado en el artículo 3 de la</w:t>
        <w:br/>
        <w:t xml:space="preserve">   Convención”.  En  segundo  lugar,  el  Estado  alegó  que  la  Convención</w:t>
        <w:br/>
        <w:t xml:space="preserve">   Americana garantiza que toda “persona” tiene el derecho de ser reconocida</w:t>
        <w:br/>
        <w:t xml:space="preserve">   como tal ante la ley y no como un “pueblo distinto”, como manifiestan los</w:t>
        <w:br/>
        <w:t xml:space="preserve">   representantes.  Finalmente, el Estado  alegó  que  es  posible  para  el</w:t>
        <w:br/>
        <w:t xml:space="preserve">   pueblo Saramaka “acercarse a  los  tribunales  civiles  y  solicitar  una</w:t>
        <w:br/>
        <w:t xml:space="preserve">   decisión declaratoria por medio de la cual se reconozca la tribu como una</w:t>
        <w:br/>
        <w:t xml:space="preserve">   entidad legal”.</w:t>
        <w:br/>
        <w:br/>
        <w:t>163. La Corte  abordará  los  dos  primeros  argumentos  del  Estado  en  la</w:t>
        <w:br/>
        <w:t xml:space="preserve">   presente sección y el último argumento, respecto de la disponibilidad  de</w:t>
        <w:br/>
        <w:t xml:space="preserve">   recursos internos, en la sección relacionada con la  protección  judicial</w:t>
        <w:br/>
        <w:t xml:space="preserve">   (infra párrs. 176-185).</w:t>
        <w:br/>
        <w:br/>
        <w:t>164.  El  primer  argumento  del  Estado  se  refiere  a  que  la  inclusión</w:t>
        <w:br/>
        <w:t xml:space="preserve">   voluntaria de algunos  miembros  del  pueblo  Saramaka  en  la  “sociedad</w:t>
        <w:br/>
        <w:t xml:space="preserve">   moderna”  ha  afectado  su  distinción  cultural,  de  modo   que   sería</w:t>
        <w:br/>
        <w:t xml:space="preserve">   dificultoso definirlos como una personalidad legal.  Es decir, el  Estado</w:t>
        <w:br/>
        <w:t xml:space="preserve">   cuestiona si se puede definir legalmente a los Saramaka de una forma  que</w:t>
        <w:br/>
        <w:t xml:space="preserve">   se tome en cuenta los distintos  grados  en  que  varios  miembros  auto-</w:t>
        <w:br/>
        <w:t xml:space="preserve">   identificados del pueblo Saramaka se adhieren a las leyes,  costumbres  y</w:t>
        <w:br/>
        <w:t xml:space="preserve">   economía tradicional del pueblo Saramaka, particularmente de aquellos que</w:t>
        <w:br/>
        <w:t xml:space="preserve">   viven en Paramaribo o fuera del territorio reclamado  por  los  Saramaka.</w:t>
        <w:br/>
        <w:t xml:space="preserve">   En este sentido, la Corte ha  declarado  que  el  pueblo  Saramaka  puede</w:t>
        <w:br/>
        <w:t xml:space="preserve">   definirse como un grupo tribal (supra párrs. 80-84) cuyos miembros  gozan</w:t>
        <w:br/>
        <w:t xml:space="preserve">   y ejercen ciertos derechos, como el derecho a la propiedad, en una manera</w:t>
        <w:br/>
        <w:t xml:space="preserve">   colectiva  distintiva  (supra  párrs.   87-96).   El  hecho  que  algunos</w:t>
        <w:br/>
        <w:t xml:space="preserve">   miembros individuales del pueblo  Saramaka  vivan  fuera  del  territorio</w:t>
        <w:br/>
        <w:t xml:space="preserve">   tradicional Saramaka y en un modo que  difiere  de  otros  Saramakas  que</w:t>
        <w:br/>
        <w:t xml:space="preserve">   viven  dentro  del  territorio  tradicional  y  de  conformidad  con  las</w:t>
        <w:br/>
        <w:t xml:space="preserve">   costumbres Saramaka no afecta la  distinción  de  este  grupo  tribal  ni</w:t>
        <w:br/>
        <w:t xml:space="preserve">   tampoco el uso y goce comunal de su propiedad.  Asimismo, la cuestión  de</w:t>
        <w:br/>
        <w:t xml:space="preserve">   si algunos miembros auto-identificados del pueblo Saramaka pueden afirmar</w:t>
        <w:br/>
        <w:t xml:space="preserve">   ciertos derechos comunales en nombre de la personalidad jurídica de dicho</w:t>
        <w:br/>
        <w:t xml:space="preserve">   pueblo es una cuestión que debe  resolver  sólo  el  pueblo  Saramaka  de</w:t>
        <w:br/>
        <w:t xml:space="preserve">   conformidad con sus propias costumbres, y no el Estado o esta Corte en el</w:t>
        <w:br/>
        <w:t xml:space="preserve">   presente caso.  Además, la falta de identificación individual respecto de</w:t>
        <w:br/>
        <w:t xml:space="preserve">   las tradiciones y leyes Saramaka por parte  de  algunos  miembros  de  la</w:t>
        <w:br/>
        <w:t xml:space="preserve">   comunidad no puede utilizarse como un pretexto  para  denegar  al  pueblo</w:t>
        <w:br/>
        <w:t xml:space="preserve">   Saramaka el derecho a la personalidad jurídica.</w:t>
        <w:br/>
        <w:br/>
        <w:t>165. Toda vez que se enfatizó que el pueblo  Saramaka  es  un  grupo  tribal</w:t>
        <w:br/>
        <w:t xml:space="preserve">   distinto, cuyos miembros gozan  y  ejercen  ciertos  derechos  de  manera</w:t>
        <w:br/>
        <w:t xml:space="preserve">   colectiva, la  Corte  tratará  ahora  el  segundo  argumento  del  Estado</w:t>
        <w:br/>
        <w:t xml:space="preserve">   respecto de la posibilidad de reconocer la personalidad legal de un grupo</w:t>
        <w:br/>
        <w:t xml:space="preserve">   más que la personalidad de sus miembros individuales.</w:t>
        <w:br/>
        <w:br/>
        <w:t>166.  La  Corte  ha  analizado  anteriormente   el   derecho   de   personas</w:t>
        <w:br/>
        <w:t xml:space="preserve">   particulares a obtener el  reconocimiento  de  su  personalidad  jurídica</w:t>
        <w:br/>
        <w:t xml:space="preserve">   conforme al artículo 3 de la Convención Americana[173].  De este modo, la</w:t>
        <w:br/>
        <w:t xml:space="preserve">   Corte lo ha definido como el derecho a  ser  reconocido  legalmente  como</w:t>
        <w:br/>
        <w:t xml:space="preserve">   sujeto de  derechos  y  obligaciones[174].   Es  decir,  el  “derecho  al</w:t>
        <w:br/>
        <w:t xml:space="preserve">   reconocimiento de la personalidad jurídica representa un  parámetro  para</w:t>
        <w:br/>
        <w:t xml:space="preserve">   determinar si una persona es titular o no  de  los  derechos  de  que  se</w:t>
        <w:br/>
        <w:t xml:space="preserve">   trate, y si los puede ejercer” [175].  La Corte  también  ha  manifestado</w:t>
        <w:br/>
        <w:t xml:space="preserve">   que la violación de aquel reconocimiento supone  desconocer  en  términos</w:t>
        <w:br/>
        <w:t xml:space="preserve">   absolutos la posibilidad de ser  titular  y  gozar  de  esos  derechos  y</w:t>
        <w:br/>
        <w:t xml:space="preserve">   obligaciones[176], lo cual pone al individuo en una  posición  vulnerable</w:t>
        <w:br/>
        <w:t xml:space="preserve">   en relación con el Estado o terceros[177].   En  especial,  la  Corte  ha</w:t>
        <w:br/>
        <w:t xml:space="preserve">   observado que “el Estado se encuentra obligado a  garantizar  a  aquellas</w:t>
        <w:br/>
        <w:t xml:space="preserve">   personas   en   situación   de    vulnerabilidad,    marginalización    y</w:t>
        <w:br/>
        <w:t xml:space="preserve">   discriminación, las  condiciones  jurídicas  y  administrativas  que  les</w:t>
        <w:br/>
        <w:t xml:space="preserve">   aseguren el ejercicio de  este  derecho,  en  atención  al  principio  de</w:t>
        <w:br/>
        <w:t xml:space="preserve">   igualdad ante la ley”[178]. La cuestión que se  plantea  en  el  presente</w:t>
        <w:br/>
        <w:t xml:space="preserve">   caso es si se puede aplicar este criterio al pueblo Saramaka como grupo y</w:t>
        <w:br/>
        <w:t xml:space="preserve">   no, meramente, como individuos.</w:t>
        <w:br/>
        <w:br/>
        <w:br/>
        <w:t>167. La Corte ha tratado en  otras  ocasiones  el  tema  del  derecho  a  la</w:t>
        <w:br/>
        <w:t xml:space="preserve">   personalidad jurídica en el contexto de las comunidades  indígenas  y  ha</w:t>
        <w:br/>
        <w:t xml:space="preserve">   sostenido que los Estados tienen  el  deber  de  procurar  los  medios  y</w:t>
        <w:br/>
        <w:t xml:space="preserve">   condiciones jurídicas en  general  necesarias  para  que  el  derecho  al</w:t>
        <w:br/>
        <w:t xml:space="preserve">   reconocimiento de la personalidad jurídica pueda  ser  ejercido  por  sus</w:t>
        <w:br/>
        <w:t xml:space="preserve">   titulares[179].  La  cuestión  en  el  presente  caso  es   de   distinta</w:t>
        <w:br/>
        <w:t xml:space="preserve">   naturaleza.  Aquí la cuestión reside en si la falta de reconocimiento  de</w:t>
        <w:br/>
        <w:t xml:space="preserve">   la personalidad jurídica del pueblo Saramaka lo convierte  en  inelegible</w:t>
        <w:br/>
        <w:t xml:space="preserve">   conforme al derecho interno para recibir el título comunal de sus tierras</w:t>
        <w:br/>
        <w:t xml:space="preserve">   como comunidad tribal y tener acceso igualitario a la protección judicial</w:t>
        <w:br/>
        <w:t xml:space="preserve">   de sus derechos de propiedad.  La cuestión no gira en  torno  al  derecho</w:t>
        <w:br/>
        <w:t xml:space="preserve">   individual a que el Estado reconozca la  personalidad  jurídica  de  cada</w:t>
        <w:br/>
        <w:t xml:space="preserve">   miembro.  En Surinam, todas  las  personas,  sean  miembros  individuales</w:t>
        <w:br/>
        <w:t xml:space="preserve">   Saramaka o no, tienen derecho a ser propietarios y a  obtener  protección</w:t>
        <w:br/>
        <w:t xml:space="preserve">   judicial contra toda violación de ese derecho individual[180].  Aún  así,</w:t>
        <w:br/>
        <w:t xml:space="preserve">   el Estado no reconoce al pueblo Saramaka como entidad jurídica  capaz  de</w:t>
        <w:br/>
        <w:t xml:space="preserve">   usar y gozar de la propiedad comunal como un grupo tribal.  Asimismo,  el</w:t>
        <w:br/>
        <w:t xml:space="preserve">   Estado no reconoce al pueblo Saramaka como una entidad jurídica capaz  de</w:t>
        <w:br/>
        <w:t xml:space="preserve">   obtener acceso igualitario a la protección judicial ante  toda  violación</w:t>
        <w:br/>
        <w:t xml:space="preserve">   de sus derechos de propiedad comunal.</w:t>
        <w:br/>
        <w:br/>
        <w:t>168. La Corte nota que es necesario el  reconocimiento  de  la  personalidad</w:t>
        <w:br/>
        <w:t xml:space="preserve">   jurídica de los miembros individuales de la comunidad  para  el  goce  de</w:t>
        <w:br/>
        <w:t xml:space="preserve">   otros  derechos,  como  el  derecho  a  la  vida  y   a   la   integridad</w:t>
        <w:br/>
        <w:t xml:space="preserve">   personal[181].  Sin embargo, dicho reconocimiento individual no  toma  en</w:t>
        <w:br/>
        <w:t xml:space="preserve">   cuenta el modo en que los miembros de los pueblos indígenas y tribales en</w:t>
        <w:br/>
        <w:t xml:space="preserve">   general, y el Saramaka en particular,  gozan  y  ejercen  un  derecho  en</w:t>
        <w:br/>
        <w:t xml:space="preserve">   especial; es decir, el derecho  a  usar  y  gozar  colectivamente  de  la</w:t>
        <w:br/>
        <w:t xml:space="preserve">   propiedad de conformidad con sus tradiciones ancestrales.</w:t>
        <w:br/>
        <w:br/>
        <w:t>169. la Corte observa que todo miembro individual del pueblo Saramaka  puede</w:t>
        <w:br/>
        <w:t xml:space="preserve">   obtener  protección  judicial   contra   violaciones   a   sus   derechos</w:t>
        <w:br/>
        <w:t xml:space="preserve">   individuales de propiedad y que un fallo a su favor puede  también  tener</w:t>
        <w:br/>
        <w:t xml:space="preserve">   un efecto favorable en toda la comunidad. En un sentido  jurídico,  estos</w:t>
        <w:br/>
        <w:t xml:space="preserve">   miembros individuales no representan a la comunidad en su  conjunto.  Las</w:t>
        <w:br/>
        <w:t xml:space="preserve">   decisiones correspondientes al uso de tal propiedad  individual  dependen</w:t>
        <w:br/>
        <w:t xml:space="preserve">   del individuo y no del pueblo Saramaka conforme a  sus  tradiciones.   En</w:t>
        <w:br/>
        <w:t xml:space="preserve">   consecuencia, el reconocimiento del derecho a  la  personalidad  jurídica</w:t>
        <w:br/>
        <w:t xml:space="preserve">   del pueblo Saramaka como un conjunto ayudaría a evitar esas  situaciones,</w:t>
        <w:br/>
        <w:t xml:space="preserve">   ya que los representantes verdaderos de la personalidad  jurídica  serían</w:t>
        <w:br/>
        <w:t xml:space="preserve">   elegidos conforme a sus propias tradiciones y autoridades locales, y  las</w:t>
        <w:br/>
        <w:t xml:space="preserve">   decisiones que afecten la propiedad sería la responsabilidad de  aquellas</w:t>
        <w:br/>
        <w:t xml:space="preserve">   autoridades y no la de los miembros individuales.</w:t>
        <w:br/>
        <w:br/>
        <w:t>170. Se plantea una situación similar en el presente caso, donde  el  Estado</w:t>
        <w:br/>
        <w:t xml:space="preserve">   ha constantemente objetado si los doce capitanes de los doce clanes (lös)</w:t>
        <w:br/>
        <w:t xml:space="preserve">   Saramaka verdaderamente representan la voluntad de  la  comunidad  en  su</w:t>
        <w:br/>
        <w:t xml:space="preserve">   conjunto (supra párrs. 19-24).  El Estado, además, alegó que el verdadero</w:t>
        <w:br/>
        <w:t xml:space="preserve">   representante de la comunidad debería ser el Gaa’man y  no  otros.   Esta</w:t>
        <w:br/>
        <w:t xml:space="preserve">   controversia sobre quién realmente representa al pueblo Saramaka  es  una</w:t>
        <w:br/>
        <w:t xml:space="preserve">   consecuencia natural de la falta de  reconocimiento  de  su  personalidad</w:t>
        <w:br/>
        <w:t xml:space="preserve">   jurídica[182].</w:t>
        <w:br/>
        <w:br/>
        <w:t>171. El reconocimiento de su personalidad jurídica es  un  modo,  aunque  no</w:t>
        <w:br/>
        <w:t xml:space="preserve">   sea el único, de asegurar que la comunidad, en su conjunto, podrá gozar y</w:t>
        <w:br/>
        <w:t xml:space="preserve">   ejercer plenamente el derecho a  la  propiedad,  de  conformidad  con  su</w:t>
        <w:br/>
        <w:t xml:space="preserve">   sistema de propiedad comunal,  así como el  derecho  a  igual  protección</w:t>
        <w:br/>
        <w:t xml:space="preserve">   judicial contra toda violación de dicho derecho.</w:t>
        <w:br/>
        <w:br/>
        <w:t>172. La Corte considera  que  el  derecho  a  que  el  Estado  reconozca  su</w:t>
        <w:br/>
        <w:t xml:space="preserve">   personalidad jurídica  es una de  las  medidas  especiales  que  se  debe</w:t>
        <w:br/>
        <w:t xml:space="preserve">   proporcionar a los grupos indígenas y tribales a fin  de  garantizar  que</w:t>
        <w:br/>
        <w:t xml:space="preserve">   éstos puedan gozar de sus territorios según sus tradiciones.  Ésta es  la</w:t>
        <w:br/>
        <w:t xml:space="preserve">   consecuencia natural  del  reconocimiento  del  derecho  que  tienen  los</w:t>
        <w:br/>
        <w:t xml:space="preserve">   miembros de los grupos indígenas y tribales a gozar de  ciertos  derechos</w:t>
        <w:br/>
        <w:t xml:space="preserve">   de forma comunitaria.</w:t>
        <w:br/>
        <w:br/>
        <w:t>173. En este caso, el Estado no reconoce que el pueblo Saramaka pueda  gozar</w:t>
        <w:br/>
        <w:t xml:space="preserve">   y ejercer los derechos de propiedad como una  comunidad[183].   Asimismo,</w:t>
        <w:br/>
        <w:t xml:space="preserve">   la Corte observa que se le ha negado a otras comunidades  en  Surinam  el</w:t>
        <w:br/>
        <w:t xml:space="preserve">   derecho de solicitar protección judicial contra presuntas violaciones  de</w:t>
        <w:br/>
        <w:t xml:space="preserve">   su  derecho  a  la  propiedad  colectiva,  precisamente  porque  un  juez</w:t>
        <w:br/>
        <w:t xml:space="preserve">   consideró que esa comunidad no tenía la capacidad  legal  necesaria  para</w:t>
        <w:br/>
        <w:t xml:space="preserve">   solicitar dicha protección[184].  Esto sitúa al pueblo  Saramaka  en  una</w:t>
        <w:br/>
        <w:t xml:space="preserve">   situación vulnerable donde los derechos a la propiedad individual  pueden</w:t>
        <w:br/>
        <w:t xml:space="preserve">   triunfar sobre los derechos a la propiedad comunal,  y  donde  el  pueblo</w:t>
        <w:br/>
        <w:t xml:space="preserve">   Saramaka no  pueda  solicitar,  como  personalidad  jurídica,  protección</w:t>
        <w:br/>
        <w:t xml:space="preserve">   judicial en contra  de  las  violaciones  a  sus  derechos  de  propiedad</w:t>
        <w:br/>
        <w:t xml:space="preserve">   reconocidos en el artículo 21 de la Convención[185].</w:t>
        <w:br/>
        <w:br/>
        <w:t>174. En conclusión, el pueblo Saramaka es una entidad tribal distintiva  que</w:t>
        <w:br/>
        <w:t xml:space="preserve">   se encuentra en una  situación  de  vulnerabilidad,  tanto  respecto  del</w:t>
        <w:br/>
        <w:t xml:space="preserve">   Estado así como de terceras partes privadas,  en  tanto  que  carecen  de</w:t>
        <w:br/>
        <w:t xml:space="preserve">   capacidad jurídica para gozar, colectivamente, del derecho a la propiedad</w:t>
        <w:br/>
        <w:t xml:space="preserve">   y  para  reclamar  la  presunta  violación  de  dicho  derecho  ante  los</w:t>
        <w:br/>
        <w:t xml:space="preserve">   tribunales internos. La Corte considera que el Estado  debe  reconocer  a</w:t>
        <w:br/>
        <w:t xml:space="preserve">   los  integrantes  del  pueblo  Saramaka  dicha  capacidad  para   ejercer</w:t>
        <w:br/>
        <w:t xml:space="preserve">   plenamente estos derechos  de  manera  colectiva.   Esto  puede  lograrse</w:t>
        <w:br/>
        <w:t xml:space="preserve">   mediante la adopción  de  medidas  legislativas  o  de  otra  índole  que</w:t>
        <w:br/>
        <w:t xml:space="preserve">   reconozcan y tomen en cuenta el modo particular en que el pueblo Saramaka</w:t>
        <w:br/>
        <w:t xml:space="preserve">   se percibe como colectivamente capaz de ejercer y gozar del derecho a  la</w:t>
        <w:br/>
        <w:t xml:space="preserve">   propiedad.   Por  tanto,  el  Estado  debe  establecer  las   condiciones</w:t>
        <w:br/>
        <w:t xml:space="preserve">   judiciales y administrativas necesarias para garantizar la posibilidad de</w:t>
        <w:br/>
        <w:t xml:space="preserve">   reconocimiento de su personalidad jurídica, a través de la realización de</w:t>
        <w:br/>
        <w:t xml:space="preserve">   consultas con el pueblo Saramaka, con pleno respeto a  sus  costumbres  y</w:t>
        <w:br/>
        <w:t xml:space="preserve">   tradiciones, y con el objeto de asegurarle el uso y goce de su territorio</w:t>
        <w:br/>
        <w:t xml:space="preserve">   de conformidad con su sistema de propiedad comunal, así como del  derecho</w:t>
        <w:br/>
        <w:t xml:space="preserve">   de acceso a la justicia e igualdad ante la ley[186].</w:t>
        <w:br/>
        <w:br/>
        <w:t>175. El incumplimiento por parte del Estado de llevarlo a cabo ha  resultado</w:t>
        <w:br/>
        <w:t xml:space="preserve">   en la violación del derecho  de  los  miembros  del  pueblo  Saramaka  al</w:t>
        <w:br/>
        <w:t xml:space="preserve">   reconocimiento de su personalidad jurídica conforme al artículo 3  de  la</w:t>
        <w:br/>
        <w:t xml:space="preserve">   Convención en relación con su derecho a la propiedad de  acuerdo  con  el</w:t>
        <w:br/>
        <w:t xml:space="preserve">   artículo 21 de dicho instrumento y el derecho a  la  protección  judicial</w:t>
        <w:br/>
        <w:t xml:space="preserve">   conforme al artículo 25 del mismo cuerpo legal, así como respecto  de  la</w:t>
        <w:br/>
        <w:t xml:space="preserve">   obligación general de los Estados de adoptar las medidas  legislativas  o</w:t>
        <w:br/>
        <w:t xml:space="preserve">   de otra índole que sean necesarias para hacer efectivo  esos  derechos  y</w:t>
        <w:br/>
        <w:t xml:space="preserve">   respetar y asegurar su libre y pleno  ejercicio  sin  discriminación,  de</w:t>
        <w:br/>
        <w:t xml:space="preserve">   conformidad con los artículos 2 y 1.1 de la Convención, respectivamente.</w:t>
        <w:br/>
        <w:br/>
        <w:br/>
        <w:t>H.    La existencia de recursos legales efectivos  y  adecuados  en  Surinam</w:t>
        <w:br/>
        <w:t>para proteger al pueblo Saramaka contra  los actos que violan su  Derecho  a</w:t>
        <w:br/>
        <w:t>la Propiedad</w:t>
        <w:br/>
        <w:br/>
        <w:br/>
        <w:t>176. La Comisión y los representantes alegaron que el Estado ha  violado  el</w:t>
        <w:br/>
        <w:t xml:space="preserve">   derecho a la protección judicial del pueblo  Saramaka  en  tanto  que  el</w:t>
        <w:br/>
        <w:t xml:space="preserve">   sistema judicial del Estado no está diseñado adecuadamente  para  reparar</w:t>
        <w:br/>
        <w:t xml:space="preserve">   las violaciones a los derechos de  propiedad  colectiva  de  los  pueblos</w:t>
        <w:br/>
        <w:t xml:space="preserve">   indígenas y tribales.  El Estado afirmó que  existen,  a  nivel  interno,</w:t>
        <w:br/>
        <w:t xml:space="preserve">   recursos legales para tratar las presuntas violaciones a los intereses en</w:t>
        <w:br/>
        <w:t xml:space="preserve">   la propiedad del pueblo Saramaka y que las  víctimas  tenían  disponibles</w:t>
        <w:br/>
        <w:t xml:space="preserve">   estos recursos pero optaron  por  no  utilizarlos.   En  respaldo  de  su</w:t>
        <w:br/>
        <w:t xml:space="preserve">   postura, el Estado se refirió a distintas disposiciones del sistema legal</w:t>
        <w:br/>
        <w:t xml:space="preserve">   interno, algunas de las cuales ya han sido tratadas por la  Corte  en  su</w:t>
        <w:br/>
        <w:t xml:space="preserve">   análisis sobre la violación por parte del Estado del artículo  21  de  la</w:t>
        <w:br/>
        <w:t xml:space="preserve">   Convención en relación con el artículo 2  del  mismo  instrumento  (supra</w:t>
        <w:br/>
        <w:t xml:space="preserve">   párrs.  106-116).   En  especial,  el  Estado  alegó  que  hay  distintos</w:t>
        <w:br/>
        <w:t xml:space="preserve">   artículos en el Código Civil de Surinam que  consagran  recursos  legales</w:t>
        <w:br/>
        <w:t xml:space="preserve">   efectivos[187], los cuales permiten que todo individuo inicie una demanda</w:t>
        <w:br/>
        <w:t xml:space="preserve">   ante el poder judicial en el  caso  de  una  presunta  violación  de  sus</w:t>
        <w:br/>
        <w:t xml:space="preserve">   derechos de propiedad, incluso por violaciones cometidas  por  el  Estado</w:t>
        <w:br/>
        <w:t xml:space="preserve">   mismo.   La  Comisión  y  los  representantes  argumentaron  que   dichas</w:t>
        <w:br/>
        <w:t xml:space="preserve">   disposiciones son irrelevantes respecto de la cuestión de los derechos  a</w:t>
        <w:br/>
        <w:t xml:space="preserve">   las tierras de los pueblos indígenas y tribales y que sólo  las  personas</w:t>
        <w:br/>
        <w:t xml:space="preserve">   individuales pueden recurrir a estos recursos, no los pueblos.</w:t>
        <w:br/>
        <w:br/>
        <w:t>177. El artículo 25.1 de la Convención establece, en términos generales,  la</w:t>
        <w:br/>
        <w:t xml:space="preserve">   obligación de los Estados de  garantizar  un  recurso  judicial  efectivo</w:t>
        <w:br/>
        <w:t xml:space="preserve">   contra actos que violen derechos fundamentales.  Al interpretar el  texto</w:t>
        <w:br/>
        <w:t xml:space="preserve">   del artículo 25 de  la  Convención,  la  Corte  ha  sostenido,  en  otras</w:t>
        <w:br/>
        <w:t xml:space="preserve">   oportunidades, que la obligación del Estado de  proporcionar  un  recurso</w:t>
        <w:br/>
        <w:t xml:space="preserve">   judicial no se reduce simplemente a la mera existencia de los  tribunales</w:t>
        <w:br/>
        <w:t xml:space="preserve">   o procedimientos formales o aún  a  la  posibilidad  de  recurrir  a  los</w:t>
        <w:br/>
        <w:t xml:space="preserve">   tribunales.  Más bien, el  Estado  tiene  el  deber  de  adoptar  medidas</w:t>
        <w:br/>
        <w:t xml:space="preserve">   positivas para garantizar que los recursos que proporciona a  través  del</w:t>
        <w:br/>
        <w:t xml:space="preserve">   sistema judicial son "verdaderamente  efectivos  para  establecer  si  ha</w:t>
        <w:br/>
        <w:t xml:space="preserve">   habido o no una violación a los derechos humanos y para proporcionar  una</w:t>
        <w:br/>
        <w:t xml:space="preserve">   reparación”[188].   De  este  modo,  la  Corte  ha  declarado   que   "la</w:t>
        <w:br/>
        <w:t xml:space="preserve">   inexistencia de un recurso efectivo contra la violación de  los  derechos</w:t>
        <w:br/>
        <w:t xml:space="preserve">   reconocidos  por  la  Convención  constituye  una  transgresión   de   la</w:t>
        <w:br/>
        <w:t xml:space="preserve">   Convención por el Estado Parte en el cual ocurre esta situación” [189].</w:t>
        <w:br/>
        <w:br/>
        <w:t>178. En lo que respecta a los miembros de los pueblos  indígenas,  la  Corte</w:t>
        <w:br/>
        <w:t xml:space="preserve">   ha establecido  que  “es  indispensable  que  los  Estados  otorguen  una</w:t>
        <w:br/>
        <w:t xml:space="preserve">   protección  efectiva  que  tome  en  cuenta  sus  particularidades,   sus</w:t>
        <w:br/>
        <w:t xml:space="preserve">   características económicas y sociales, así como su situación de  especial</w:t>
        <w:br/>
        <w:t xml:space="preserve">   vulnerabilidad,   su   derecho   consuetudinario,   valores,    usos    y</w:t>
        <w:br/>
        <w:t xml:space="preserve">   costumbres”[190].   En  especial,  la  Corte  ha  sostenido   que,   para</w:t>
        <w:br/>
        <w:t xml:space="preserve">   garantizar el derecho a la propiedad comunal de los  integrantes  de  los</w:t>
        <w:br/>
        <w:t xml:space="preserve">   pueblos indígenas, los Estados deben establecer “un recurso efectivo  con</w:t>
        <w:br/>
        <w:t xml:space="preserve">   las garantías de debido proceso  […]  que  les  permita  reivindicar  sus</w:t>
        <w:br/>
        <w:t xml:space="preserve">   tierras tradicionales”.[191]</w:t>
        <w:br/>
        <w:br/>
        <w:t xml:space="preserve">      H.1) Código Civil de Surinam</w:t>
        <w:br/>
        <w:br/>
        <w:br/>
        <w:t>179. La Corte considera que  el  recurso  judicial  disponible  conforme  al</w:t>
        <w:br/>
        <w:t xml:space="preserve">   Código Civil del Estado es inadecuado e ineficaz a  fin  de  reparar  las</w:t>
        <w:br/>
        <w:t xml:space="preserve">   presuntas violaciones al derecho de propiedad comunal de los miembros del</w:t>
        <w:br/>
        <w:t xml:space="preserve">   pueblo Saramaka por las siguientes dos razones.  Primero,  dicho  recurso</w:t>
        <w:br/>
        <w:t xml:space="preserve">   presuntamente solo está disponible para  las  personas  individuales  que</w:t>
        <w:br/>
        <w:t xml:space="preserve">   reclaman una violación  de  sus  derechos  individuales  a  la  propiedad</w:t>
        <w:br/>
        <w:t xml:space="preserve">   privada.  El pueblo Saramaka, como entidad  colectiva  cuya  personalidad</w:t>
        <w:br/>
        <w:t xml:space="preserve">   jurídica no está reconocida  por  el  Estado,  no  puede  utilizar  dicho</w:t>
        <w:br/>
        <w:t xml:space="preserve">   recurso en calidad de comunidad para afirmar el derecho  a  la  propiedad</w:t>
        <w:br/>
        <w:t xml:space="preserve">   comunal de sus integrantes (supra paras. 159-175).  Segundo, el derecho a</w:t>
        <w:br/>
        <w:t xml:space="preserve">   la propiedad  comunal  de  los  miembros  del  pueblo  Saramaka  no  está</w:t>
        <w:br/>
        <w:t xml:space="preserve">   reconocido por el Estado (supra párrs. 97-116) y por lo tanto, un recurso</w:t>
        <w:br/>
        <w:t xml:space="preserve">   judicial que exige que se demuestre la violación de un derecho reconocido</w:t>
        <w:br/>
        <w:t xml:space="preserve">   por el Estado no sería un recurso adecuado para este tipo de reclamos.</w:t>
        <w:br/>
        <w:br/>
        <w:t>180. La prueba presentada ante este Tribunal respecto  de  casos  planteados</w:t>
        <w:br/>
        <w:t xml:space="preserve">   por miembros de pueblos indígenas y tribales en  Surinam  conforme  a  su</w:t>
        <w:br/>
        <w:t xml:space="preserve">   Código Civil respalda el argumento de los  Saramaka  que  el  recurso  es</w:t>
        <w:br/>
        <w:t xml:space="preserve">   inefectivo para solucionar sus  reclamos.   En  uno  de  esos  casos,  un</w:t>
        <w:br/>
        <w:t xml:space="preserve">   tribunal interno negó el pedido de una comunidad de revocar una concesión</w:t>
        <w:br/>
        <w:t xml:space="preserve">   minera, con fundamento en que la comunidad no tenía capacidad legal  como</w:t>
        <w:br/>
        <w:t xml:space="preserve">   entidad colectiva para solicitar dichas medidas y refirió la comunidad de</w:t>
        <w:br/>
        <w:t xml:space="preserve">   nuevo al Ministerio quien había emitido la concesión minera[192]. En otro</w:t>
        <w:br/>
        <w:t xml:space="preserve">   caso, se confirmó el título  privado  emitido  por  el  Estado  sobre  el</w:t>
        <w:br/>
        <w:t xml:space="preserve">   terreno ubicado dentro de un área residencial en  una  aldea  indígena  a</w:t>
        <w:br/>
        <w:t xml:space="preserve">   pesar de las objeciones del Capitán de dicha aldea.  El juez sostuvo  que</w:t>
        <w:br/>
        <w:t xml:space="preserve">   dado que el titular del terreno tenía un título válido conforme a la  ley</w:t>
        <w:br/>
        <w:t xml:space="preserve">   surinamés y toda vez que la comunidad indígena no tenía título  o  ningún</w:t>
        <w:br/>
        <w:t xml:space="preserve">   otro permiso escrito emitido por el Estado, la aldea  debía  respetar  el</w:t>
        <w:br/>
        <w:t xml:space="preserve">   derecho a la propiedad del tenedor de dicho título privado[193].</w:t>
        <w:br/>
        <w:br/>
        <w:t>181. Los puntos mencionados  también  coinciden  con  el  dictamen  pericial</w:t>
        <w:br/>
        <w:t xml:space="preserve">   brindado por la Profesora Mariska Muskiet, quien observó que "el artículo</w:t>
        <w:br/>
        <w:t xml:space="preserve">   1386 [del Código Civil] implica una acción civil por un hecho  ilícito  y</w:t>
        <w:br/>
        <w:t xml:space="preserve">   no proporciona un medio efectivo para reparar el problema subyacente  que</w:t>
        <w:br/>
        <w:t xml:space="preserve">   los Saramaka enfrentan: la falta de reconocimiento de sus derechos  a  la</w:t>
        <w:br/>
        <w:t xml:space="preserve">   propiedad  comunal”[194].   En  la  declaración  rendida  ante  fedatario</w:t>
        <w:br/>
        <w:t xml:space="preserve">   público de la profesora Muskiet se explica la naturaleza de una serie  de</w:t>
        <w:br/>
        <w:t xml:space="preserve">   “problemas insuperables que el pueblo Saramaka tiene que  atravesar  para</w:t>
        <w:br/>
        <w:t xml:space="preserve">   iniciar una demanda y ganar el caso conforme al  artículo  1386”[195],  y</w:t>
        <w:br/>
        <w:t xml:space="preserve">   que respaldan su conclusión según la cual "es inútil invocar el  artículo</w:t>
        <w:br/>
        <w:t xml:space="preserve">   1386 del Código Civil de Surinam en las  circunstancias  en  las  que  se</w:t>
        <w:br/>
        <w:t xml:space="preserve">   encuentran los reclamos y los derechos que el  pueblo  de  Saramaka  está</w:t>
        <w:br/>
        <w:t xml:space="preserve">   buscando proteger.  No tendrían esperanzas de ganar”[196].</w:t>
        <w:br/>
        <w:br/>
        <w:t>182. Por lo tanto, la Corte concluye que las disposiciones del Código  Civil</w:t>
        <w:br/>
        <w:t xml:space="preserve">   de Surinam no proporcionan un recurso adecuado y  efectivo  contra  actos</w:t>
        <w:br/>
        <w:t xml:space="preserve">   que violan los derechos a la propiedad comunal  de  los  integrantes  del</w:t>
        <w:br/>
        <w:t xml:space="preserve">   pueblo Saramaka.</w:t>
        <w:br/>
        <w:br/>
        <w:t xml:space="preserve">      H.2)  Decreto de Explotación Minera</w:t>
        <w:br/>
        <w:br/>
        <w:br/>
        <w:t>183. El Estado también  argumentó  que  el  Decreto  de  Explotación  Minera</w:t>
        <w:br/>
        <w:t xml:space="preserve">   proporciona recursos efectivos que las presuntas víctimas  no  invocaron.</w:t>
        <w:br/>
        <w:t xml:space="preserve">   La Corte reitera (supra párr. 111) que este decreto sólo  permite  apelar</w:t>
        <w:br/>
        <w:t xml:space="preserve">   ante el poder judicial si el poseedor de un derecho de explotación minera</w:t>
        <w:br/>
        <w:t xml:space="preserve">   y un “demandante legítimo” o “tercero” no llegaren a un acuerdo sobre  el</w:t>
        <w:br/>
        <w:t xml:space="preserve">   monto de la indemnización solicitada[197].  No obstante,  para  calificar</w:t>
        <w:br/>
        <w:t xml:space="preserve">   como “demandante legitimo” o “tercero”, la persona en cuestión  debe  ser</w:t>
        <w:br/>
        <w:t xml:space="preserve">   titular de un derecho o interés registrable emitido por  el  Estado[198].</w:t>
        <w:br/>
        <w:t xml:space="preserve">   Por lo tanto, el aparente recurso  establecido  conforme  al  Decreto  de</w:t>
        <w:br/>
        <w:t xml:space="preserve">   Explotación Minera es inadecuado e ineficaz en el presente caso dado  que</w:t>
        <w:br/>
        <w:t xml:space="preserve">   los miembros del pueblo Saramaka no tienen un título sobre su  territorio</w:t>
        <w:br/>
        <w:t xml:space="preserve">   tradicional o sobre alguna parte de él.  Por lo tanto, no califican  como</w:t>
        <w:br/>
        <w:t xml:space="preserve">   "demandante legítimo" o "tercero"  conforme  al  Decreto  de  Explotación</w:t>
        <w:br/>
        <w:t xml:space="preserve">   Minera.  Esta posición coincide con  el  dictamen  pericial  de  la  Dra.</w:t>
        <w:br/>
        <w:t xml:space="preserve">   Hoever-Venoaks según el cual el “Decreto de  Explotación  Minera  […]  no</w:t>
        <w:br/>
        <w:t xml:space="preserve">   ofrece una protección legal a los habitantes del interior  que  viven  en</w:t>
        <w:br/>
        <w:t xml:space="preserve">   comunidades tribales"[199].</w:t>
        <w:br/>
        <w:br/>
        <w:t xml:space="preserve">      H.3)  Ley de Gestión Forestal de 1992</w:t>
        <w:br/>
        <w:br/>
        <w:br/>
        <w:t>184. Asimismo, el Estado alegó que el artículo 41.1.b de la Ley  de  Gestión</w:t>
        <w:br/>
        <w:t xml:space="preserve">   Forestal le permite a los miembros de  los  pueblos  tribales  interponer</w:t>
        <w:br/>
        <w:t xml:space="preserve">   demandas escritas ante el Presidente de Surinam en los casos donde no  se</w:t>
        <w:br/>
        <w:t xml:space="preserve">   respeten  sus  presuntos  derechos  consuetudinarios  a  las   aldeas   y</w:t>
        <w:br/>
        <w:t xml:space="preserve">   asentamientos, así como a las parcelas agrícolas.   Los  integrantes  del</w:t>
        <w:br/>
        <w:t xml:space="preserve">   pueblo Saramaka interpusieron al menos dos reclamos ante el Presidente de</w:t>
        <w:br/>
        <w:t xml:space="preserve">   Surinam y al día de la fecha no han recibido ninguna respuesta oficial de</w:t>
        <w:br/>
        <w:t xml:space="preserve">   la Oficina del Presidente[200].  Esto pone en duda la eficacia  de  dicho</w:t>
        <w:br/>
        <w:t xml:space="preserve">   procedimiento.  En todo caso, la demanda interpuesta ante  el  Presidente</w:t>
        <w:br/>
        <w:t xml:space="preserve">   no satisface el requisito conforme al artículo 25  de  la  Convención  de</w:t>
        <w:br/>
        <w:t xml:space="preserve">   proporcionar recursos judiciales adecuados y efectivos por las  presuntas</w:t>
        <w:br/>
        <w:t xml:space="preserve">   violaciones a los derechos de propiedad comunal de los  miembros  de  los</w:t>
        <w:br/>
        <w:t xml:space="preserve">   pueblos indígenas y tribales.</w:t>
        <w:br/>
        <w:br/>
        <w:t xml:space="preserve">                                      *</w:t>
        <w:br/>
        <w:t xml:space="preserve">                                   *     *</w:t>
        <w:br/>
        <w:br/>
        <w:t>185. La Corte, por lo tanto, concluye que el Estado ha violado el derecho  a</w:t>
        <w:br/>
        <w:t xml:space="preserve">   la protección judicial reconocido en el artículo 25 de la Convención,  en</w:t>
        <w:br/>
        <w:t xml:space="preserve">   relación con los artículos 21 y 1.1 de dicho instrumento,  toda  vez  que</w:t>
        <w:br/>
        <w:t xml:space="preserve">   las disposiciones internas antes  mencionadas  no  proporcionan  recursos</w:t>
        <w:br/>
        <w:t xml:space="preserve">   legales adecuados y eficaces para proteger  a  los  miembros  del  pueblo</w:t>
        <w:br/>
        <w:t xml:space="preserve">   Saramaka contra actos que violan su derecho a la propiedad.</w:t>
        <w:br/>
        <w:br/>
        <w:t xml:space="preserve">                                    VIII</w:t>
        <w:br/>
        <w:t xml:space="preserve">                                Reparaciones</w:t>
        <w:br/>
        <w:t xml:space="preserve">       (Aplicación del artículo 63.1 de la Convención Americana)[201]</w:t>
        <w:br/>
        <w:br/>
        <w:t>A)    Obligación de Reparar</w:t>
        <w:br/>
        <w:br/>
        <w:t>186. Es un principio del Derecho Internacional que  toda  violación  de  una</w:t>
        <w:br/>
        <w:t xml:space="preserve">   obligación internacional que haya producido un daño comporta el deber  de</w:t>
        <w:br/>
        <w:t xml:space="preserve">   repararlo adecuadamente[202].  Esa obligación de reparar está regulada en</w:t>
        <w:br/>
        <w:t xml:space="preserve">   todos los aspectos  por  el  Derecho  Internacional[203].   La  Corte  ha</w:t>
        <w:br/>
        <w:t xml:space="preserve">   fundamentado sus decisiones en materia de  reparaciones  en  el  artículo</w:t>
        <w:br/>
        <w:t xml:space="preserve">   63.1 de la Convención Americana.</w:t>
        <w:br/>
        <w:br/>
        <w:t>187.  De  conformidad  con  el  criterio  establecido  y  reiterado  en   la</w:t>
        <w:br/>
        <w:t xml:space="preserve">   jurisprudencia de la Corte respecto de la naturaleza y el alcance  de  la</w:t>
        <w:br/>
        <w:t xml:space="preserve">   obligación de reparar[204], así como de las  mencionadas  consideraciones</w:t>
        <w:br/>
        <w:t xml:space="preserve">   expuestas sobre el fondo y las violaciones a la Convención declaradas  en</w:t>
        <w:br/>
        <w:t xml:space="preserve">   los capítulos anteriores, la Corte procederá a analizar los argumentos de</w:t>
        <w:br/>
        <w:t xml:space="preserve">   las partes relativos a las reparaciones, a fin  de  ordenar  las  medidas</w:t>
        <w:br/>
        <w:t xml:space="preserve">   relevantes para reparar los daños.</w:t>
        <w:br/>
        <w:br/>
        <w:br/>
        <w:t>B)    Parte Lesionada</w:t>
        <w:br/>
        <w:br/>
        <w:br/>
        <w:t>188. El Tribunal ha sostenido, anteriormente, que en los casos  contenciosos</w:t>
        <w:br/>
        <w:t xml:space="preserve">   ante la Corte, la parte interesada debe  nombrar  individualmente  a  los</w:t>
        <w:br/>
        <w:t xml:space="preserve">   beneficiarios de las posibles reparaciones[205].  Sin  embargo,  dado  el</w:t>
        <w:br/>
        <w:t xml:space="preserve">   tamaño  y  la  diversidad  geográfica  del  pueblo  Saramaka[206]  y,  en</w:t>
        <w:br/>
        <w:t xml:space="preserve">   especial, la naturaleza colectiva de las reparaciones que se ordenarán en</w:t>
        <w:br/>
        <w:t xml:space="preserve">   el  presente  caso,  la  Corte  entiende  que  no  es  necesario  nombrar</w:t>
        <w:br/>
        <w:t xml:space="preserve">   individualmente, en este caso, a los miembros del pueblo Saramaka  a  fin</w:t>
        <w:br/>
        <w:t xml:space="preserve">   de reconocerlos como parte lesionada.  No obstante, la Corte observa  que</w:t>
        <w:br/>
        <w:t xml:space="preserve">   los miembros del pueblo Saramaka son identificables de conformidad con la</w:t>
        <w:br/>
        <w:t xml:space="preserve">   ley  consuetudinaria  Saramaka,  dado  que  cada  uno  de  los   miembros</w:t>
        <w:br/>
        <w:t xml:space="preserve">   individuales Saramaka pertenece a sólo uno de  los  doce  lös  de  linaje</w:t>
        <w:br/>
        <w:t xml:space="preserve">   materno en los cuales está organizada la comunidad.</w:t>
        <w:br/>
        <w:br/>
        <w:t>189. Por lo tanto, conforme a la jurisprudencia de la Corte respecto de  los</w:t>
        <w:br/>
        <w:t xml:space="preserve">   pueblos  indígenas  y  tribales[207],  la  Corte  considera  como  “parte</w:t>
        <w:br/>
        <w:t xml:space="preserve">   lesionada” en el  presente  caso  a  los  miembros  del  pueblo  Saramaka</w:t>
        <w:br/>
        <w:t xml:space="preserve">   quienes, en su carácter de víctimas de las violaciones establecidas en la</w:t>
        <w:br/>
        <w:t xml:space="preserve">   presente Sentencia (supra párrs. 116, 154, 156, 158, 175 y 185), son  los</w:t>
        <w:br/>
        <w:t xml:space="preserve">   beneficiarios de las  formas  colectivas  de  reparaciones  que  fije  el</w:t>
        <w:br/>
        <w:t xml:space="preserve">   Tribunal.</w:t>
        <w:br/>
        <w:br/>
        <w:br/>
        <w:t>C)    Medidas de Reparación</w:t>
        <w:br/>
        <w:br/>
        <w:br/>
        <w:t>190. La Corte procederá a resumir los argumentos de las partes  respecto  de</w:t>
        <w:br/>
        <w:t xml:space="preserve">   las reparaciones y luego determinará las medidas a  ordenarse  a  fin  de</w:t>
        <w:br/>
        <w:t xml:space="preserve">   reparar el daño producido a los integrantes del pueblo Saramaka  por  las</w:t>
        <w:br/>
        <w:t xml:space="preserve">   violaciones establecidas en la presente Sentencia.</w:t>
        <w:br/>
        <w:br/>
        <w:t>191. A fin de reparar el  daño  ocasionado  a  los  Saramakas,  la  Comisión</w:t>
        <w:br/>
        <w:t xml:space="preserve">   solicitó, inter  alia,   que  la  Corte  ordene  al  Estado  revocar  las</w:t>
        <w:br/>
        <w:t xml:space="preserve">   disposiciones legales que impiden la protección del derecho de  propiedad</w:t>
        <w:br/>
        <w:t xml:space="preserve">   del pueblo Saramaka y adoptar, en su legislación interna, y a  través  de</w:t>
        <w:br/>
        <w:t xml:space="preserve">   consultas  efectivas  y  plenamente  informadas  con  dicho  pueblo,  las</w:t>
        <w:br/>
        <w:t xml:space="preserve">   medidas  legislativas,  administrativas  y  de  otra  índole   que   sean</w:t>
        <w:br/>
        <w:t xml:space="preserve">   necesarias  para  proteger,  a  través  de  mecanismos   especiales,   el</w:t>
        <w:br/>
        <w:t xml:space="preserve">   territorio en que este pueblo ejerce su derecho a la  propiedad  comunal,</w:t>
        <w:br/>
        <w:t xml:space="preserve">   de conformidad con las prácticas consuetudinarias del uso de  la  tierra,</w:t>
        <w:br/>
        <w:t xml:space="preserve">   sin perjuicio a otras comunidades tribales e indígenas;  se  abstenga  de</w:t>
        <w:br/>
        <w:t xml:space="preserve">   todo acto que pueda dar lugar a que agentes del propio Estado o terceros,</w:t>
        <w:br/>
        <w:t xml:space="preserve">   actuando con el  consentimiento  o  tolerancia  del  Estado,  afecten  el</w:t>
        <w:br/>
        <w:t xml:space="preserve">   derecho a  la  propiedad  o  la  integridad  del  territorio  del  pueblo</w:t>
        <w:br/>
        <w:t xml:space="preserve">   Saramaka; reparar el daño ambiental causado por las concesiones madereras</w:t>
        <w:br/>
        <w:t xml:space="preserve">   otorgadas por el Estado en el territorio tradicionalmente ocupado y usado</w:t>
        <w:br/>
        <w:t xml:space="preserve">   por el pueblo Saramaka  y  hacer  lo  necesario  a  fin  de  adoptar,  de</w:t>
        <w:br/>
        <w:t xml:space="preserve">   conformidad con los procedimientos  constitucionales  de  Surinam  y  las</w:t>
        <w:br/>
        <w:t xml:space="preserve">   disposiciones de la Convención Americana, las medidas legislativas  o  de</w:t>
        <w:br/>
        <w:t xml:space="preserve">   otra índole que puedan ser necesarias para brindar protección judicial  y</w:t>
        <w:br/>
        <w:t xml:space="preserve">   hacer  efectivos  los  derechos  colectivos  e  individuales  del  pueblo</w:t>
        <w:br/>
        <w:t xml:space="preserve">   Saramaka en relación con el territorio que tradicionalmente ha ocupado  y</w:t>
        <w:br/>
        <w:t xml:space="preserve">   utilizado. Asimismo, la Comisión solicitó indemnización pecuniaria por el</w:t>
        <w:br/>
        <w:t xml:space="preserve">   daño  a  la  propiedad  causado  como  resultado   de   las   violaciones</w:t>
        <w:br/>
        <w:t xml:space="preserve">   establecidas, agregando que “no se puede pensar la indemnización desde el</w:t>
        <w:br/>
        <w:t xml:space="preserve">   punto de vista individual, dado que las  víctimas  son  miembros  de  una</w:t>
        <w:br/>
        <w:t xml:space="preserve">   comunidad y la Comunidad en si ha sido afectada”.</w:t>
        <w:br/>
        <w:br/>
        <w:t>192. Los representantes solicitaron, de manera similar, que la Corte  ordene</w:t>
        <w:br/>
        <w:t xml:space="preserve">   al Estado, inter alia, adoptar las  medidas  necesarias  para  delimitar,</w:t>
        <w:br/>
        <w:t xml:space="preserve">   demarcar y otorgar títulos de las tierras tradicionales  y  recursos  del</w:t>
        <w:br/>
        <w:t xml:space="preserve">   pueblo Saramaka de acuerdo con  su  derecho  consuetudinario  y  valores;</w:t>
        <w:br/>
        <w:t xml:space="preserve">   adoptar o modificar las medidas legislativas, administrativas o  de  otra</w:t>
        <w:br/>
        <w:t xml:space="preserve">   índole que sean necesarias para  reconocer  y  asegurar  el  derecho  del</w:t>
        <w:br/>
        <w:t xml:space="preserve">   pueblo Saramaka a otorgar  o  abstenerse  de  otorgar  su  consentimiento</w:t>
        <w:br/>
        <w:t xml:space="preserve">   libre, previo e informado  para  aquellas  actividades  que  afecten  sus</w:t>
        <w:br/>
        <w:t xml:space="preserve">   tierras, terrenos y recursos; ofrecer una  disculpa  pública  oficial  al</w:t>
        <w:br/>
        <w:t xml:space="preserve">   pueblo Saramaka y  establecer  un  fondo  de  desarrollo  con  suficiente</w:t>
        <w:br/>
        <w:t xml:space="preserve">   capital para invertir en salud, educación, gestión de  recursos  y  otros</w:t>
        <w:br/>
        <w:t xml:space="preserve">   proyectos en el territorio Saramaka, todo determinado e implementado  con</w:t>
        <w:br/>
        <w:t xml:space="preserve">   la participación y el consentimiento informado del pueblo Saramaka.   Los</w:t>
        <w:br/>
        <w:t xml:space="preserve">   representantes, asimismo, solicitaron medidas  de  reparación  pecuniaria</w:t>
        <w:br/>
        <w:t xml:space="preserve">   por la degradación ambiental y la destrucción de su territorio por  parte</w:t>
        <w:br/>
        <w:t xml:space="preserve">   de los concesionarios madereros,  agregando  que  todo  daño  material  o</w:t>
        <w:br/>
        <w:t xml:space="preserve">   inmaterial se debería sumar al fondo  y  ser  utilizado  para  los  fines</w:t>
        <w:br/>
        <w:t xml:space="preserve">   mencionados.</w:t>
        <w:br/>
        <w:br/>
        <w:t>193. El Estado  negó  toda  responsabilidad  internacional  por  los  hechos</w:t>
        <w:br/>
        <w:t xml:space="preserve">   alegados en la demanda y manifestó que los Saramakas no han  probado  que</w:t>
        <w:br/>
        <w:t xml:space="preserve">   han sufrido daños materiales o  inmateriales  o  que  dichos  daños  sean</w:t>
        <w:br/>
        <w:t xml:space="preserve">   atribuibles al Estado.  En consecuencia, el Estado solicitó  a  la  Corte</w:t>
        <w:br/>
        <w:t xml:space="preserve">   desestimar el pedido de los peticionarios de reparación y costas.</w:t>
        <w:br/>
        <w:br/>
        <w:t xml:space="preserve">      C.1)  Medidas de Satisfacción y Garantías de No Repetición</w:t>
        <w:br/>
        <w:br/>
        <w:br/>
        <w:t>194. A fin de garantizar la no repetición de la violación a los derechos  de</w:t>
        <w:br/>
        <w:t xml:space="preserve">   los miembros del pueblo Saramaka al  reconocimiento  de  la  personalidad</w:t>
        <w:br/>
        <w:t xml:space="preserve">   jurídica, propiedad y protección judicial, el Estado debe llevar  a  cabo</w:t>
        <w:br/>
        <w:t xml:space="preserve">   las siguientes medidas:</w:t>
        <w:br/>
        <w:br/>
        <w:t xml:space="preserve">      a)    delimitar, demarcar y otorgar título colectivo del territorio de</w:t>
        <w:br/>
        <w:t xml:space="preserve">      los miembros del  pueblo  Saramaka,  de  conformidad  con  su  derecho</w:t>
        <w:br/>
        <w:t xml:space="preserve">      consuetudinario,  y  a  través  de  consultas  previas,  efectivas   y</w:t>
        <w:br/>
        <w:t xml:space="preserve">      plenamente informadas con el pueblo Saramaka, sin perjuicio  de  otras</w:t>
        <w:br/>
        <w:t xml:space="preserve">      comunidades indígenas y tribales.   Hasta tanto no  se  lleve  a  cabo</w:t>
        <w:br/>
        <w:t xml:space="preserve">      dicha delimitación, demarcación u  otorgamiento  de  título  colectivo</w:t>
        <w:br/>
        <w:t xml:space="preserve">      respecto del territorio Saramaka, Surinam debe abstenerse de  realizar</w:t>
        <w:br/>
        <w:t xml:space="preserve">      actos que podrían  dar  lugar  a  que  agentes  del  propio  Estado  o</w:t>
        <w:br/>
        <w:t xml:space="preserve">      terceros, actuando con consentimiento o tolerancia del Estado,  puedan</w:t>
        <w:br/>
        <w:t xml:space="preserve">      afectar la existencia, valor, uso o goce del territorio al cual tienen</w:t>
        <w:br/>
        <w:t xml:space="preserve">      derecho los integrantes del pueblo Saramaka, a  menos  que  el  Estado</w:t>
        <w:br/>
        <w:t xml:space="preserve">      obtenga el consentimiento previo, libre e informado de  dicho  pueblo.</w:t>
        <w:br/>
        <w:t xml:space="preserve">      Respecto  de  las  concesiones  ya  otorgadas  dentro  del  territorio</w:t>
        <w:br/>
        <w:t xml:space="preserve">      tradicional Saramaka, el Estado  debe  revisarlas,  a  la  luz  de  la</w:t>
        <w:br/>
        <w:t xml:space="preserve">      presente Sentencia y la jurisprudencia de este Tribunal, con el fin de</w:t>
        <w:br/>
        <w:t xml:space="preserve">      evaluar si es  necesaria  una  modificación  a  los  derechos  de  los</w:t>
        <w:br/>
        <w:t xml:space="preserve">      concesionarios para preservar la supervivencia  del  pueblo  Saramaka.</w:t>
        <w:br/>
        <w:t xml:space="preserve">      El Estado deberá comenzar el proceso de  delimitación,  demarcación  y</w:t>
        <w:br/>
        <w:t xml:space="preserve">      titulación del territorio tradicional Saramaka dentro del  período  de</w:t>
        <w:br/>
        <w:t xml:space="preserve">      tres meses, contado  a  partir  de  la  notificación  de  la  presente</w:t>
        <w:br/>
        <w:t xml:space="preserve">      Sentencia, y deberá completar dicho proceso dentro de  los  tres  años</w:t>
        <w:br/>
        <w:t xml:space="preserve">      luego de dicha fecha;</w:t>
        <w:br/>
        <w:br/>
        <w:br/>
        <w:t xml:space="preserve">      b)    otorgar a los miembros del  pueblo  Saramaka  el  reconocimiento</w:t>
        <w:br/>
        <w:t xml:space="preserve">      legal  de  la  capacidad  jurídica  colectiva  correspondiente  a   la</w:t>
        <w:br/>
        <w:t xml:space="preserve">      comunidad que ellos integran, con el  propósito  de  garantizarles  el</w:t>
        <w:br/>
        <w:t xml:space="preserve">      ejercicio y goce pleno de  su  derecho  a  la  propiedad  de  carácter</w:t>
        <w:br/>
        <w:t xml:space="preserve">      comunal,  así  como  el  acceso  a  la  justicia  como  comunidad,  de</w:t>
        <w:br/>
        <w:t xml:space="preserve">      conformidad con su derecho consuetudinario y tradiciones.   El  Estado</w:t>
        <w:br/>
        <w:t xml:space="preserve">      deberá cumplir con esta  medida  de  reparación  dentro  de  un  plazo</w:t>
        <w:br/>
        <w:t xml:space="preserve">      razonable;</w:t>
        <w:br/>
        <w:br/>
        <w:t xml:space="preserve">      c)    eliminar o modificar las disposiciones legales  que  impiden  la</w:t>
        <w:br/>
        <w:t xml:space="preserve">      protección del derecho a la  propiedad  de  los  miembros  del  pueblo</w:t>
        <w:br/>
        <w:t xml:space="preserve">      Saramaka y adoptar, en su legislación interna y a través de  consultas</w:t>
        <w:br/>
        <w:t xml:space="preserve">      previas, efectivas y plenamente informadas  con  el  pueblo  Saramaka,</w:t>
        <w:br/>
        <w:t xml:space="preserve">      medidas legislativas o de otra índole necesarias a fin  de  reconocer,</w:t>
        <w:br/>
        <w:t xml:space="preserve">      proteger, garantizar y hacer efectivo el derecho  de  los  integrantes</w:t>
        <w:br/>
        <w:t xml:space="preserve">      del pueblo Saramaka a ser titulares de derechos bajo  forma  colectiva</w:t>
        <w:br/>
        <w:t xml:space="preserve">      sobre el territorio que tradicionalmente han ocupado y  utilizado,  el</w:t>
        <w:br/>
        <w:t xml:space="preserve">      cual incluye las tierras y los recursos naturales necesarios  para  su</w:t>
        <w:br/>
        <w:t xml:space="preserve">      subsistencia social,  cultural  y  económica,  así  como  administrar,</w:t>
        <w:br/>
        <w:t xml:space="preserve">      distribuir y controlar efectivamente dicho territorio, de  conformidad</w:t>
        <w:br/>
        <w:t xml:space="preserve">      con su derecho consuetudinario y sistema de propiedad comunal,  y  sin</w:t>
        <w:br/>
        <w:t xml:space="preserve">      perjuicio a otras comunidades indígenas y tribales.  El Estado  deberá</w:t>
        <w:br/>
        <w:t xml:space="preserve">      cumplir con esta medida de reparación dentro de un plazo razonable;</w:t>
        <w:br/>
        <w:br/>
        <w:br/>
        <w:t xml:space="preserve">      d)    adoptar las medidas  legislativas,  administrativas  o  de  otra</w:t>
        <w:br/>
        <w:t xml:space="preserve">      índole que sean necesarias para reconocer y garantizar el derecho  del</w:t>
        <w:br/>
        <w:t xml:space="preserve">      pueblo Saramaka a ser efectivamente consultado, según sus  tradiciones</w:t>
        <w:br/>
        <w:t xml:space="preserve">      y costumbres, o en su caso, el derecho  de  otorgar  o  abstenerse  de</w:t>
        <w:br/>
        <w:t xml:space="preserve">      otorgar su consentimiento previo, libre e informado, respecto  de  los</w:t>
        <w:br/>
        <w:t xml:space="preserve">      proyectos de desarrollo o inversión que puedan afectar su  territorio,</w:t>
        <w:br/>
        <w:t xml:space="preserve">      y a  compartir,  razonablemente,  los  beneficios  derivados  de  esos</w:t>
        <w:br/>
        <w:t xml:space="preserve">      proyectos con el pueblo Saramaka, en el caso  de  que  se  llevaren  a</w:t>
        <w:br/>
        <w:t xml:space="preserve">      cabo.  El pueblo Saramaka  debe  ser  consultado  durante  el  proceso</w:t>
        <w:br/>
        <w:t xml:space="preserve">      establecido para cumplir con esta forma de reparación.  El Estado debe</w:t>
        <w:br/>
        <w:t xml:space="preserve">      cumplir con esta medida de reparación en un plazo razonable;</w:t>
        <w:br/>
        <w:br/>
        <w:br/>
        <w:t xml:space="preserve">      e)    asegurar que se realicen estudios de impacto ambiental y  social</w:t>
        <w:br/>
        <w:t xml:space="preserve">      mediante entidades técnicamente capacitadas e independientes y, previo</w:t>
        <w:br/>
        <w:t xml:space="preserve">      al  otorgamiento  de  concesiones  relacionadas   con   proyectos   de</w:t>
        <w:br/>
        <w:t xml:space="preserve">      desarrollo o inversión dentro del territorio tradicional  Saramaka,  e</w:t>
        <w:br/>
        <w:t xml:space="preserve">      implementar medidas y mecanismos  adecuados  a  fin  de  minimizar  el</w:t>
        <w:br/>
        <w:t xml:space="preserve">      perjuicio que  puedan  tener  dichos  proyectos  en  la  capacidad  de</w:t>
        <w:br/>
        <w:t xml:space="preserve">      supervivencia social, económica y cultural del pueblo Saramaka, y</w:t>
        <w:br/>
        <w:br/>
        <w:br/>
        <w:t xml:space="preserve">      f)    adoptar las medidas  legislativas,  administrativas  o  de  otra</w:t>
        <w:br/>
        <w:t xml:space="preserve">      índole necesarias para  proporcionar  a  los  integrantes  del  pueblo</w:t>
        <w:br/>
        <w:t xml:space="preserve">      Saramaka los recursos efectivos y adecuados contra actos que violan su</w:t>
        <w:br/>
        <w:t xml:space="preserve">      derecho al uso y goce de la propiedad de conformidad con su sistema de</w:t>
        <w:br/>
        <w:t xml:space="preserve">      propiedad comunal.  El  Estado  deberá  cumplir  con  esta  medida  de</w:t>
        <w:br/>
        <w:t xml:space="preserve">      reparación en un plazo razonable.</w:t>
        <w:br/>
        <w:br/>
        <w:t>195. Además, la Corte considera que la presente Sentencia es una  forma  per</w:t>
        <w:br/>
        <w:t xml:space="preserve">   se  de  reparación[208]  que  debería  entenderse  como  una  medida   de</w:t>
        <w:br/>
        <w:t xml:space="preserve">   satisfacción que reconoce que el Estado ha violado los  derechos  de  los</w:t>
        <w:br/>
        <w:t xml:space="preserve">   miembros del pueblo Saramaka establecidos en la presente Sentencia.</w:t>
        <w:br/>
        <w:br/>
        <w:t>196. Asimismo, como una medida de satisfacción, el Estado debe  realizar  lo</w:t>
        <w:br/>
        <w:t xml:space="preserve">   siguiente:</w:t>
        <w:br/>
        <w:br/>
        <w:t xml:space="preserve">      a)    traducir al holandés y publicar el Capítulo VII de  la  presente</w:t>
        <w:br/>
        <w:t xml:space="preserve">      Sentencia, sin las correspondientes notas al pie, así como los  puntos</w:t>
        <w:br/>
        <w:t xml:space="preserve">      resolutivos del número uno al quince, en el Boletín Oficial del Estado</w:t>
        <w:br/>
        <w:t xml:space="preserve">      y en otro diario masivo de circulación nacional, y</w:t>
        <w:br/>
        <w:br/>
        <w:t xml:space="preserve">      b)    financiar dos transmisiones radiales en lengua Saramaka  de  los</w:t>
        <w:br/>
        <w:t xml:space="preserve">      contenidos de los párrafos 2, 4, 5, 17, 77, 80-86, 88,  90,  91,  115,</w:t>
        <w:br/>
        <w:t xml:space="preserve">      116, 121, 122, 127-129, 146,  150,  154,  156,  172  y  178,  sin  las</w:t>
        <w:br/>
        <w:t xml:space="preserve">      correspondientes notas al pie, y de los puntos resolutivos números uno</w:t>
        <w:br/>
        <w:t xml:space="preserve">      al quince de la presente Sentencia, en una estación de radio  que  sea</w:t>
        <w:br/>
        <w:t xml:space="preserve">      accesible al pueblo Saramaka.  Se deberá informar la hora y  fecha  de</w:t>
        <w:br/>
        <w:t xml:space="preserve">      dicha transmisión a las víctimas o a sus representantes con suficiente</w:t>
        <w:br/>
        <w:t xml:space="preserve">      anticipación.</w:t>
        <w:br/>
        <w:br/>
        <w:br/>
        <w:t>197.  El  Estado  debe  publicar  las  partes  relevantes  de  la   presente</w:t>
        <w:br/>
        <w:t xml:space="preserve">   Sentencia, de conformidad con el párrafo 196(a), al menos una vez en cada</w:t>
        <w:br/>
        <w:t xml:space="preserve">   publicación en un plazo de un año, contado a partir de la notificación de</w:t>
        <w:br/>
        <w:t xml:space="preserve">   la presente Sentencia.   El  Estado  también  deberá  llevar  a  cabo  la</w:t>
        <w:br/>
        <w:t xml:space="preserve">   transmisión radial de las partes relevantes de la presente Sentencia,  de</w:t>
        <w:br/>
        <w:t xml:space="preserve">   conformidad con el párrafo 196(b) de la misma, en un  plazo  de  un  año,</w:t>
        <w:br/>
        <w:t xml:space="preserve">   contado a partir de la notificación de esta Sentencia.</w:t>
        <w:br/>
        <w:br/>
        <w:t xml:space="preserve">      C.2)  Medidas de Indemnización</w:t>
        <w:br/>
        <w:br/>
        <w:br/>
        <w:t>198. La Corte ha desarrollado en  su  jurisprudencia  el  concepto  de  daño</w:t>
        <w:br/>
        <w:t xml:space="preserve">   material   e   inmaterial   y   los   supuestos   en   que    corresponde</w:t>
        <w:br/>
        <w:t xml:space="preserve">   indemnizarlos[209].  Por lo tanto, a la luz de dicho criterio,  la  Corte</w:t>
        <w:br/>
        <w:t xml:space="preserve">   procederá a determinar si estas medidas de indemnización pecuniaria deben</w:t>
        <w:br/>
        <w:t xml:space="preserve">   ser otorgadas en el presente caso y, en caso de  ser  así,  las  sumas  a</w:t>
        <w:br/>
        <w:t xml:space="preserve">   fijarse.</w:t>
        <w:br/>
        <w:br/>
        <w:t xml:space="preserve">           C.2.a)      Daño Material</w:t>
        <w:br/>
        <w:br/>
        <w:t>199. De acuerdo con la prueba presentada ante este Tribunal, se extrajo  una</w:t>
        <w:br/>
        <w:t xml:space="preserve">   cantidad  considerable  de  madera  valiosa  del  territorio  del  pueblo</w:t>
        <w:br/>
        <w:t xml:space="preserve">   Saramaka sin antes consultarle o brindarle una indemnización (supra párr.</w:t>
        <w:br/>
        <w:t xml:space="preserve">   153).  Además, la prueba del caso indica que  las  concesiones  madereras</w:t>
        <w:br/>
        <w:t xml:space="preserve">   que otorgó el Estado causaron gran daño a la propiedad en  el  territorio</w:t>
        <w:br/>
        <w:t xml:space="preserve">   ocupado y utilizado tradicionalmente por el pueblo Saramaka (supra párrs.</w:t>
        <w:br/>
        <w:t xml:space="preserve">   150-151).  Por estas razones y con fundamento en equidad, la Corte  fija,</w:t>
        <w:br/>
        <w:t xml:space="preserve">   por el daño material directo que estas actividades causaron, la  cantidad</w:t>
        <w:br/>
        <w:t xml:space="preserve">   de US$ 75.000 (setenta y cinco mil dólares estadounidenses) a  favor  del</w:t>
        <w:br/>
        <w:t xml:space="preserve">   pueblo Saramaka.  Esta suma  deberá  agregarse  al  fondo  de  desarrollo</w:t>
        <w:br/>
        <w:t xml:space="preserve">   descrito infra (párrs. 201-202).</w:t>
        <w:br/>
        <w:br/>
        <w:t xml:space="preserve">           C.2.b)      Daño Inmaterial</w:t>
        <w:br/>
        <w:br/>
        <w:t>200. En el capítulo anterior la Corte  describió  el  daño  ambiental  y  la</w:t>
        <w:br/>
        <w:t xml:space="preserve">   destrucción de las tierras y recursos utilizados tradicionalmente por  el</w:t>
        <w:br/>
        <w:t xml:space="preserve">   pueblo Saramaka, así como el impacto que ello tuvo sobre la propiedad  de</w:t>
        <w:br/>
        <w:t xml:space="preserve">   dicho pueblo, no sólo en cuanto  a  los  recursos  de  subsistencia  sino</w:t>
        <w:br/>
        <w:t xml:space="preserve">   también respecto de la conexión espiritual que el pueblo  Saramaka  tiene</w:t>
        <w:br/>
        <w:t xml:space="preserve">   con su territorio (supra  párrs.  80-85  y  150-151).   Asimismo,  existe</w:t>
        <w:br/>
        <w:t xml:space="preserve">   prueba que indica el sufrimiento y la angustia que el pueblo Saramaka  ha</w:t>
        <w:br/>
        <w:t xml:space="preserve">   atravesado  como  resultado  de  una  larga  y  continua  lucha  por   el</w:t>
        <w:br/>
        <w:t xml:space="preserve">   reconocimiento legal de su derecho al territorio que tradicionalmente han</w:t>
        <w:br/>
        <w:t xml:space="preserve">   ocupado y utilizado durante siglos (supra  párrs.  64(a),  64(b),  64(c),</w:t>
        <w:br/>
        <w:t xml:space="preserve">   64(f), 64(h), 65(a), 65(b) y 65(f)), así como la frustración respecto del</w:t>
        <w:br/>
        <w:t xml:space="preserve">   sistema legal interno que no  los  protege  contra  violaciones  a  dicho</w:t>
        <w:br/>
        <w:t xml:space="preserve">   derecho (supra párrs. 178-185).  Todo ello constituye una denigración  de</w:t>
        <w:br/>
        <w:t xml:space="preserve">   sus valores culturales y espirituales.   La Corte considera que  el  daño</w:t>
        <w:br/>
        <w:t xml:space="preserve">   inmaterial que estas alteraciones causaron en el tejido  de  la  sociedad</w:t>
        <w:br/>
        <w:t xml:space="preserve">   misma del pueblo  Saramaka  les  da  el  derecho  de  obtener  una  justa</w:t>
        <w:br/>
        <w:t xml:space="preserve">   indemnización.</w:t>
        <w:br/>
        <w:br/>
        <w:t>201. Por estas razones, la Corte ordena, en equidad, que  el  Estado  asigne</w:t>
        <w:br/>
        <w:t xml:space="preserve">   la suma de US$ 600,000.00 (seiscientos mil dólares estadounidenses) a  un</w:t>
        <w:br/>
        <w:t xml:space="preserve">   fondo de desarrollo comunitario creado y establecido a beneficio  de  los</w:t>
        <w:br/>
        <w:t xml:space="preserve">   miembros del pueblo Saramaka en su territorio tradicional.   Dicho  fondo</w:t>
        <w:br/>
        <w:t xml:space="preserve">   tendrá  como  objetivo  financiar  proyectos  educativos,  de   vivienda,</w:t>
        <w:br/>
        <w:t xml:space="preserve">   agrícolas  y  sanitarios,  así  como  proporcionar  electricidad  y  agua</w:t>
        <w:br/>
        <w:t xml:space="preserve">   potable, de ser necesario, a favor del pueblo Saramaka.  El Estado deberá</w:t>
        <w:br/>
        <w:t xml:space="preserve">   designar  dicha  cantidad  para  el  establecimiento  de  este  fondo  de</w:t>
        <w:br/>
        <w:t xml:space="preserve">   desarrollo de conformidad con lo establecido en  el  párrafo  208  de  la</w:t>
        <w:br/>
        <w:t xml:space="preserve">   presente Sentencia.</w:t>
        <w:br/>
        <w:br/>
        <w:t>202. El Estado deberá crear un comité, compuesto por tres miembros, el  cual</w:t>
        <w:br/>
        <w:t xml:space="preserve">   será responsable de designar cómo  se  implementarán  los  proyectos.  El</w:t>
        <w:br/>
        <w:t xml:space="preserve">   Comité de implementación estará compuesto por un representante  designado</w:t>
        <w:br/>
        <w:t xml:space="preserve">   por las víctimas,  un  representante  designado  por  el  Estado  y  otro</w:t>
        <w:br/>
        <w:t xml:space="preserve">   representante designado, conjuntamente, por las víctimas y el Estado.  El</w:t>
        <w:br/>
        <w:t xml:space="preserve">   Comité  deberá  consultar  con  el  pueblo  Saramaka  antes  de  que  las</w:t>
        <w:br/>
        <w:t xml:space="preserve">   decisiones se tomen e implementen.  Además, los miembros  del  comité  de</w:t>
        <w:br/>
        <w:t xml:space="preserve">   implementación deberán ser elegidos dentro de un  plazo  de  seis  meses,</w:t>
        <w:br/>
        <w:t xml:space="preserve">   contado a partir de la notificación de la presente Sentencia.  En caso de</w:t>
        <w:br/>
        <w:t xml:space="preserve">   que el Estado y los representantes no lleguen a un acuerdo respecto de la</w:t>
        <w:br/>
        <w:t xml:space="preserve">   composición de los miembros del comité de implementación dentro del plazo</w:t>
        <w:br/>
        <w:t xml:space="preserve">   establecido de seis meses, contado a partir  de  la  notificación  de  la</w:t>
        <w:br/>
        <w:t xml:space="preserve">   presente Sentencia, la Corte podrá convocar a una reunión  para  resolver</w:t>
        <w:br/>
        <w:t xml:space="preserve">   este asunto.</w:t>
        <w:br/>
        <w:br/>
        <w:br/>
        <w:t>D)     Costas y Gastos</w:t>
        <w:br/>
        <w:br/>
        <w:br/>
        <w:t>203. Como ya lo ha  señalado  la  Corte  en  oportunidades  anteriores,  las</w:t>
        <w:br/>
        <w:t xml:space="preserve">   costas y gastos están comprendidos  dentro  del  concepto  de  reparación</w:t>
        <w:br/>
        <w:t xml:space="preserve">   consagrado en el artículo 63.1 de la Convención Americana[210].</w:t>
        <w:br/>
        <w:br/>
        <w:t>204. La Corte toma en cuenta que los representantes  incurrieron  en  gastos</w:t>
        <w:br/>
        <w:t xml:space="preserve">   durante el transcurso de los procedimientos  internos  e  internacionales</w:t>
        <w:br/>
        <w:t xml:space="preserve">   del presente caso.  En consecuencia, los representantes  solicitaron  que</w:t>
        <w:br/>
        <w:t xml:space="preserve">   se les reintegre todos los gastos  incurridos  en  la  preparación  y  el</w:t>
        <w:br/>
        <w:t xml:space="preserve">   procesamiento del caso a nivel interno, así como también ante la Comisión</w:t>
        <w:br/>
        <w:t xml:space="preserve">   y la Corte.  Sin embargo, no buscan ningún tipo de reintegro en  concepto</w:t>
        <w:br/>
        <w:t xml:space="preserve">   de honorarios  de  los  abogados  en  el  presente  caso,  dado  que  han</w:t>
        <w:br/>
        <w:t xml:space="preserve">   renunciado a ese derecho. La Asociación de Autoridades Saramaka  solicitó</w:t>
        <w:br/>
        <w:t xml:space="preserve">   el reembolso de las costas legales y de los gastos incurridos durante  el</w:t>
        <w:br/>
        <w:t xml:space="preserve">   período de 2000 al 2007 por la  suma  de  US$  108.770,27.   Además,  los</w:t>
        <w:br/>
        <w:t xml:space="preserve">   representantes solicitaron que se les  otorgue,  en  equidad,  al  Forest</w:t>
        <w:br/>
        <w:t xml:space="preserve">   Peoples Programme la suma de US$ 30.000  por  sus  respectivas  costas  y</w:t>
        <w:br/>
        <w:t xml:space="preserve">   gastos.</w:t>
        <w:br/>
        <w:br/>
        <w:t>205. El Estado afirmó que no existe justificación alguna  para  otorgar  una</w:t>
        <w:br/>
        <w:t xml:space="preserve">   compensación por las costas legales y gastos incurridos  en  el  presente</w:t>
        <w:br/>
        <w:t xml:space="preserve">   caso. Asimismo, objetó los comprobantes presentados por la Asociación  de</w:t>
        <w:br/>
        <w:t xml:space="preserve">   Autoridades Saramaka y manifestó que las inconsistencias que  encontraron</w:t>
        <w:br/>
        <w:t xml:space="preserve">   en dicha  documentación  impide  que  la  Corte  llegue  a  una  decisión</w:t>
        <w:br/>
        <w:t xml:space="preserve">   equitativa al respecto.</w:t>
        <w:br/>
        <w:br/>
        <w:t>206. Respecto al pedido de un monto en equidad de US$  30.000  (treinta  mil</w:t>
        <w:br/>
        <w:t xml:space="preserve">   dólares estadounidenses) a favor del Forest  Peoples  Programme  por  las</w:t>
        <w:br/>
        <w:t xml:space="preserve">   costas legales incurridas en el presente caso, esta Corte  considera  que</w:t>
        <w:br/>
        <w:t xml:space="preserve">   una  suma,  en  equidad,   de   US$   15.000,00   (quince   mil   dólares</w:t>
        <w:br/>
        <w:t xml:space="preserve">   estadounidenses) es razonable y consistente con los  montos  fijados  por</w:t>
        <w:br/>
        <w:t xml:space="preserve">   este Tribunal en casos anteriores de características similares y, por  lo</w:t>
        <w:br/>
        <w:t xml:space="preserve">   tanto, ordena al Estado abonar dicha suma directamente al Forest  Peoples</w:t>
        <w:br/>
        <w:t xml:space="preserve">   Programme.</w:t>
        <w:br/>
        <w:br/>
        <w:t>207. La Asociación de Autoridades  Saramaka,  por  otro  lado,  solicitó  el</w:t>
        <w:br/>
        <w:t xml:space="preserve">   reintegro de las costas y gastos incurridos por la suma de US$ 108.770,27</w:t>
        <w:br/>
        <w:t xml:space="preserve">   y,  además,  presentó  comprobantes  que  presuntamente  respaldan  dicha</w:t>
        <w:br/>
        <w:t xml:space="preserve">   solicitud.  Este Tribunal analizó dichos  comprobantes  y  ha  encontrado</w:t>
        <w:br/>
        <w:t xml:space="preserve">   varios problemas con ellos.  Por ejemplo, las cantidades establecidas  en</w:t>
        <w:br/>
        <w:t xml:space="preserve">   muchos de los comprobantes no corresponden con la suma reclamada  por  la</w:t>
        <w:br/>
        <w:t xml:space="preserve">   Asociación.  Asimismo, muchos de los comprobantes no fueron presentados o</w:t>
        <w:br/>
        <w:t xml:space="preserve">   se encontraban ilegibles.  La relación entre algunos de los  comprobantes</w:t>
        <w:br/>
        <w:t xml:space="preserve">   y el presente caso  es  también  cuestionable.   No  obstante,  la  Corte</w:t>
        <w:br/>
        <w:t xml:space="preserve">   considera  que  la  Asociación  ha  presentado  prueba  suficiente   para</w:t>
        <w:br/>
        <w:t xml:space="preserve">   respaldar el reclamo de costas y gastos sustanciales en relación  con  el</w:t>
        <w:br/>
        <w:t xml:space="preserve">   procedimiento interno y el internacional.  De conformidad con  el  propio</w:t>
        <w:br/>
        <w:t xml:space="preserve">   análisis de la Corte de dichos comprobantes, y con base en  criterios  de</w:t>
        <w:br/>
        <w:t xml:space="preserve">   equidad y razonabilidad, el  Tribunal  ordena  que  el  Estado  reintegre</w:t>
        <w:br/>
        <w:t xml:space="preserve">   directamente a la Asociación de  Autoridades  Saramaka  la  suma  de  US$</w:t>
        <w:br/>
        <w:t xml:space="preserve">   75.000 (setenta y cinco mil dólares estadounidenses).</w:t>
        <w:br/>
        <w:br/>
        <w:br/>
        <w:t>E)    Modalidad de Cumplimiento de las Medidas de Reparación Monetarias</w:t>
        <w:br/>
        <w:br/>
        <w:br/>
        <w:br/>
        <w:t>208. Dentro de un año, contado a partir de la notificación  de  la  presente</w:t>
        <w:br/>
        <w:t xml:space="preserve">   Sentencia, el Estado deberá designar al menos US$ 225,000.00  (doscientos</w:t>
        <w:br/>
        <w:t xml:space="preserve">   veinticinco mil dólares estadounidenses)  para  el  fondo  de  desarrollo</w:t>
        <w:br/>
        <w:t xml:space="preserve">   mencionado en los párrafos 199 y 201, y el  resto  deberá  ser  designado</w:t>
        <w:br/>
        <w:t xml:space="preserve">   dentro de tres años,  contados  a  partir  de  la  notificación  de  esta</w:t>
        <w:br/>
        <w:t xml:space="preserve">   Sentencia.</w:t>
        <w:br/>
        <w:br/>
        <w:t>209. El pago ordenado en los párrafos 206 y 207 en concepto de reembolso  de</w:t>
        <w:br/>
        <w:t xml:space="preserve">   las costas y gastos incurridos por los representantes  deberá  realizarse</w:t>
        <w:br/>
        <w:t xml:space="preserve">   directamente a cada organización  dentro  de  un  plazo  de  seis  meses,</w:t>
        <w:br/>
        <w:t xml:space="preserve">   contado a partir de la notificación de la presente Sentencia.</w:t>
        <w:br/>
        <w:br/>
        <w:t>210. El Estado deberá cumplir con las obligaciones  monetarias  mediante  el</w:t>
        <w:br/>
        <w:t xml:space="preserve">   pago en dólares estadounidense o en la cantidad equivalente en moneda  de</w:t>
        <w:br/>
        <w:t xml:space="preserve">   Surinam, utilizando para el cálculo respectivo el tipo de cambio  que  se</w:t>
        <w:br/>
        <w:t xml:space="preserve">   encuentre  vigente  en  la  bolsa  de  Nueva  York,  Estados  Unidos   de</w:t>
        <w:br/>
        <w:t xml:space="preserve">   Norteamérica, el día anterior al pago.</w:t>
        <w:br/>
        <w:br/>
        <w:t>211. Los  pagos  establecidos  en  la  presente  Sentencia  en  concepto  de</w:t>
        <w:br/>
        <w:t xml:space="preserve">   indemnización por el daño material e inmaterial y  el  reintegro  de  las</w:t>
        <w:br/>
        <w:t xml:space="preserve">   costas y gastos no podrán quedar afectados, reducidos o condicionados por</w:t>
        <w:br/>
        <w:t xml:space="preserve">   motivos fiscales actuales o futuros.</w:t>
        <w:br/>
        <w:br/>
        <w:t>212. En el caso que el Estado se atrasara en el  establecimiento  del  fondo</w:t>
        <w:br/>
        <w:t xml:space="preserve">   de desarrollo, deberá  pagarse  la  cantidad  adeudada  con  sujeción  al</w:t>
        <w:br/>
        <w:t xml:space="preserve">   interés bancario moratorio en Surinam.</w:t>
        <w:br/>
        <w:br/>
        <w:t>213. Conforme a su práctica constante, la  Corte  se  reserva  la  facultad,</w:t>
        <w:br/>
        <w:t xml:space="preserve">   inherente a sus atribuciones y derivada, asimismo, del artículo 65 de  la</w:t>
        <w:br/>
        <w:t xml:space="preserve">   Convención Americana, de supervisar la ejecución íntegra de  la  presente</w:t>
        <w:br/>
        <w:t xml:space="preserve">   Sentencia.  El caso se dará por concluido una vez que el Estado haya dado</w:t>
        <w:br/>
        <w:t xml:space="preserve">   cabal cumplimiento a lo dispuesto en el presente fallo. Dentro del  plazo</w:t>
        <w:br/>
        <w:t xml:space="preserve">   de un año, contado a partir de la notificación de esta Sentencia, Surinam</w:t>
        <w:br/>
        <w:t xml:space="preserve">   deberá presentar ante la Corte un informe  sobre  las  medidas  adoptadas</w:t>
        <w:br/>
        <w:t xml:space="preserve">   para darle cumplimiento.</w:t>
        <w:br/>
        <w:br/>
        <w:br/>
        <w:t xml:space="preserve">                                     IX</w:t>
        <w:br/>
        <w:t xml:space="preserve">                             Puntos Resolutivos</w:t>
        <w:br/>
        <w:br/>
        <w:br/>
        <w:t>214.        Por tanto,</w:t>
        <w:br/>
        <w:br/>
        <w:t>La Corte</w:t>
        <w:br/>
        <w:br/>
        <w:t>Declara,</w:t>
        <w:br/>
        <w:br/>
        <w:t>por unanimidad, que:</w:t>
        <w:br/>
        <w:br/>
        <w:t>1.    El Estado violó, en perjuicio de los miembros del pueblo Saramaka,  el</w:t>
        <w:br/>
        <w:t>derecho de  propiedad,  reconocido  en  el  artículo  21  de  la  Convención</w:t>
        <w:br/>
        <w:t>Americana sobre Derechos  Humanos,  en  relación  con  las  obligaciones  de</w:t>
        <w:br/>
        <w:t>respetar, garantizar y hacer efectivo a  nivel  interno  dicho  derecho,  de</w:t>
        <w:br/>
        <w:t>conformidad con los artículos 1.1 y 2 de la misma, en los  términos  de  los</w:t>
        <w:br/>
        <w:t>párrafos 78 a 158 de esta Sentencia.</w:t>
        <w:br/>
        <w:br/>
        <w:t>2.    El Estado violó en perjuicio de los integrantes  del  pueblo  Saramaka</w:t>
        <w:br/>
        <w:t>el derecho al reconocimiento de la personalidad jurídica, reconocido  en  el</w:t>
        <w:br/>
        <w:t>artículo 3 de la Convención Americana sobre Derechos  Humanos,  en  relación</w:t>
        <w:br/>
        <w:t>con el derecho a la  propiedad  establecido  en  el  artículo  21  de  dicho</w:t>
        <w:br/>
        <w:t>instrumento y  el  derecho  a  la  protección  judicial  establecido  en  el</w:t>
        <w:br/>
        <w:t>artículo 25 de la misma, así  como  en  conexión  con  las  obligaciones  de</w:t>
        <w:br/>
        <w:t>respetar, garantizar y hacer efectivos a nivel interno dichos  derechos,  de</w:t>
        <w:br/>
        <w:t>conformidad con los artículos 1.1 y 2 de la misma, en los  términos  de  los</w:t>
        <w:br/>
        <w:t>párrafos 159 a 175 de esta Sentencia.</w:t>
        <w:br/>
        <w:br/>
        <w:t>3.    El Estado violó el derecho a la protección judicial, reconocido en  el</w:t>
        <w:br/>
        <w:t>artículo 25 de la Convención Americana sobre Derechos Humanos,  en  relación</w:t>
        <w:br/>
        <w:t>con las obligaciones de respetar y garantizar  el  derecho  a  la  propiedad</w:t>
        <w:br/>
        <w:t>reconocidas en los artículos 21 y 1.1 de dicho instrumento, en perjuicio  de</w:t>
        <w:br/>
        <w:t>los miembros del pueblo Saramaka, en los términos de los párrafos 176 a  185</w:t>
        <w:br/>
        <w:t>de esta Sentencia.</w:t>
        <w:br/>
        <w:br/>
        <w:t>Y Decide:</w:t>
        <w:br/>
        <w:br/>
        <w:t>por unanimidad, que:</w:t>
        <w:br/>
        <w:br/>
        <w:t>4.    Esta Sentencia constituye per se  una  forma  de  reparación,  en  los</w:t>
        <w:br/>
        <w:t>términos del párrafo 195 de la misma.</w:t>
        <w:br/>
        <w:br/>
        <w:t>5.    El Estado debe delimitar, demarcar  y  otorgar  título  colectivo  del</w:t>
        <w:br/>
        <w:t>territorio de los miembros  del  pueblo  Saramaka,  de  conformidad  con  su</w:t>
        <w:br/>
        <w:t>derecho consuetudinario, y  a  través  de  consultas  previas,  efectivas  y</w:t>
        <w:br/>
        <w:t>plenamente informadas  con  el  pueblo  Saramaka,  sin  perjuicio  de  otras</w:t>
        <w:br/>
        <w:t>comunidades indígenas y tribales.   Hasta tanto no se  lleve  a  cabo  dicha</w:t>
        <w:br/>
        <w:t>delimitación, demarcación u otorgamiento de título  colectivo  respecto  del</w:t>
        <w:br/>
        <w:t>territorio Saramaka, Surinam debe abstenerse de realizar actos  que  podrían</w:t>
        <w:br/>
        <w:t>dar lugar  a  que  agentes  del  propio  Estado  o  terceros,  actuando  con</w:t>
        <w:br/>
        <w:t>consentimiento o  tolerancia  del  Estado,  puedan  afectar  la  existencia,</w:t>
        <w:br/>
        <w:t>valor, uso o goce del territorio al cual tienen derecho los integrantes  del</w:t>
        <w:br/>
        <w:t>pueblo Saramaka, a menos que el Estado  obtenga  el  consentimiento  previo,</w:t>
        <w:br/>
        <w:t>libre  e  informado  de  dicho  pueblo.   Respecto  de  las  concesiones  ya</w:t>
        <w:br/>
        <w:t>otorgadas  dentro  del  territorio  tradicional  Saramaka,  el  Estado  debe</w:t>
        <w:br/>
        <w:t>revisarlas, a la luz de la presente Sentencia y la  jurisprudencia  de  este</w:t>
        <w:br/>
        <w:t>Tribunal, con el fin de evaluar si  es  necesaria  una  modificación  a  los</w:t>
        <w:br/>
        <w:t>derechos de los concesionarios para preservar la  supervivencia  del  pueblo</w:t>
        <w:br/>
        <w:t>Saramaka, en los términos de los párrafos 101, 115, 129-137, 143, 147,  155,</w:t>
        <w:br/>
        <w:t>157, 158 y 194(a) de esta Sentencia.</w:t>
        <w:br/>
        <w:br/>
        <w:t>6.    El  Estado  debe  otorgar  a  los  miembros  del  pueblo  Saramaka  el</w:t>
        <w:br/>
        <w:t>reconocimiento legal de la capacidad jurídica  colectiva  correspondiente  a</w:t>
        <w:br/>
        <w:t>la comunidad que ellos  integran,  con  el  propósito  de  garantizarles  el</w:t>
        <w:br/>
        <w:t>ejercicio y goce pleno de su derecho a la  propiedad  de  carácter  comunal,</w:t>
        <w:br/>
        <w:t>así como el acceso a la justicia  como  comunidad,  de  conformidad  con  su</w:t>
        <w:br/>
        <w:t>derecho consuetudinario y tradiciones, en los términos de los  párrafos  174</w:t>
        <w:br/>
        <w:t>y 194(b) de esta Sentencia.</w:t>
        <w:br/>
        <w:br/>
        <w:t>7.    El Estado debe eliminar o  modificar  las  disposiciones  legales  que</w:t>
        <w:br/>
        <w:t>impiden la protección del derecho a la propiedad de los miembros del  pueblo</w:t>
        <w:br/>
        <w:t>Saramaka y adoptar, en su  legislación  interna  y  a  través  de  consultas</w:t>
        <w:br/>
        <w:t>previas, efectivas y plenamente informadas con el pueblo  Saramaka,  medidas</w:t>
        <w:br/>
        <w:t>legislativas o de otra índole  necesarias  a  fin  de  reconocer,  proteger,</w:t>
        <w:br/>
        <w:t>garantizar y hacer  efectivo  el  derecho  de  los  integrantes  del  pueblo</w:t>
        <w:br/>
        <w:t>Saramaka  a  ser  titulares  de  derechos  bajo  forma  colectiva  sobre  el</w:t>
        <w:br/>
        <w:t>territorio que tradicionalmente han ocupado y  utilizado,  el  cual  incluye</w:t>
        <w:br/>
        <w:t>las tierras  y  los  recursos  naturales  necesarios  para  su  subsistencia</w:t>
        <w:br/>
        <w:t>social, cultural y económica, así como administrar, distribuir  y  controlar</w:t>
        <w:br/>
        <w:t>efectivamente   dicho   territorio,   de   conformidad   con   su    derecho</w:t>
        <w:br/>
        <w:t>consuetudinario y sistema de propiedad comunal,  y  sin  perjuicio  a  otras</w:t>
        <w:br/>
        <w:t>comunidades indígenas y tribales, en los términos de los párrafos 97  a  116</w:t>
        <w:br/>
        <w:t>y 194(c) de esta Sentencia.</w:t>
        <w:br/>
        <w:br/>
        <w:t>8.    El Estado debe adoptar las medidas legislativas, administrativas o  de</w:t>
        <w:br/>
        <w:t>otra índole que sean necesarias para reconocer y garantizar el  derecho  del</w:t>
        <w:br/>
        <w:t>pueblo Saramaka a ser efectivamente  consultado,  según  sus  tradiciones  y</w:t>
        <w:br/>
        <w:t>costumbres, o en su caso, el derecho de otorgar o abstenerse de  otorgar  su</w:t>
        <w:br/>
        <w:t>consentimiento previo, libre e  informado,  respecto  de  los  proyectos  de</w:t>
        <w:br/>
        <w:t>desarrollo o inversión que puedan afectar  su  territorio,  y  a  compartir,</w:t>
        <w:br/>
        <w:t>razonablemente, los beneficios derivados de esos  proyectos  con  el  pueblo</w:t>
        <w:br/>
        <w:t>Saramaka, en el caso de que se llevaren a  cabo,  en  los  términos  de  los</w:t>
        <w:br/>
        <w:t>párrafos 129 a 140, 143, 155, 158 y 194(d)  de esta Sentencia.</w:t>
        <w:br/>
        <w:br/>
        <w:t>9.    El Estado debe asegurar que se realicen estudios de impacto  ambiental</w:t>
        <w:br/>
        <w:t>y social mediante entidades técnicamente  capacitadas  e  independientes  y,</w:t>
        <w:br/>
        <w:t>previo  al  otorgamiento  de  concesiones  relacionadas  con  proyectos   de</w:t>
        <w:br/>
        <w:t>desarrollo  o  inversión  dentro  del  territorio  tradicional  Saramaka,  e</w:t>
        <w:br/>
        <w:t>implementar medidas y mecanismos adecuados a fin de minimizar  el  perjuicio</w:t>
        <w:br/>
        <w:t>que puedan tener dichos proyectos en la capacidad de  supervivencia  social,</w:t>
        <w:br/>
        <w:t>económica y cultural del pueblo Saramaka, en los términos  de  los  párrafos</w:t>
        <w:br/>
        <w:t>129, 133, 143, 146, 148, 155, 158 y 194(e) de esta Sentencia.</w:t>
        <w:br/>
        <w:br/>
        <w:t>10.   El Estado debe adoptar las medidas legislativas, administrativas o  de</w:t>
        <w:br/>
        <w:t>otra índole necesarias  para  proporcionar  a  los  integrantes  del  pueblo</w:t>
        <w:br/>
        <w:t>Saramaka los recursos efectivos y  adecuados  contra  actos  que  violan  su</w:t>
        <w:br/>
        <w:t>derecho al uso y goce de la propiedad  de  conformidad  con  su  sistema  de</w:t>
        <w:br/>
        <w:t>propiedad comunal, en los términos de los párrafos 177 a  185  y  194(f)  de</w:t>
        <w:br/>
        <w:t>esta Sentencia.</w:t>
        <w:br/>
        <w:br/>
        <w:t>11.   El Estado debe traducir al holandés y publicar el Capítulo VII  de  la</w:t>
        <w:br/>
        <w:t>presente Sentencia, sin las correspondientes notas  al  pie,  así  como  los</w:t>
        <w:br/>
        <w:t>puntos resolutivos del número uno al  quince,  en  el  Boletín  Oficial  del</w:t>
        <w:br/>
        <w:t>Estado y en otro diario masivo de circulación nacional, en los  términos  de</w:t>
        <w:br/>
        <w:t>los párrafos 196(a) y 197 de esta Sentencia.</w:t>
        <w:br/>
        <w:br/>
        <w:t>12.    El  Estado  debe  financiar  dos  transmisiones  radiales  en  lengua</w:t>
        <w:br/>
        <w:t>Saramaka de los contenidos de los párrafos 2, 4, 5, 17, 77, 80-86,  88,  90,</w:t>
        <w:br/>
        <w:t>91, 115, 116, 121, 122, 127-129, 146, 150, 154, 156,  172  y  178,  sin  las</w:t>
        <w:br/>
        <w:t>correspondientes notas al pie, y de los puntos resolutivos  números  uno  al</w:t>
        <w:br/>
        <w:t>quince de la presente Sentencia, en una estación de radio que sea  accesible</w:t>
        <w:br/>
        <w:t>al pueblo Saramaka, en los términos de los párrafos 196(b)  y  197  de  este</w:t>
        <w:br/>
        <w:t>Fallo.</w:t>
        <w:br/>
        <w:br/>
        <w:t>13.   El Estado debe asignar las cantidades fijadas en esta  Sentencia  como</w:t>
        <w:br/>
        <w:t>indemnización por el daño material e inmaterial a  un  fondo  de  desarrollo</w:t>
        <w:br/>
        <w:t>comunitario creado y establecido a beneficio  de  los  miembros  del  pueblo</w:t>
        <w:br/>
        <w:t>Saramaka en su  propio  territorio  tradicional,  en  los  términos  de  los</w:t>
        <w:br/>
        <w:t>párrafos 199, 201, 202, 208 y 210 a 212 de este Fallo.</w:t>
        <w:br/>
        <w:br/>
        <w:t>14.   El Estado debe efectuar el pago por concepto de reintegro de costas  y</w:t>
        <w:br/>
        <w:t>gastos, en los términos de los párrafos  206,  207  y  209  a  211  de  esta</w:t>
        <w:br/>
        <w:t>Sentencia.</w:t>
        <w:br/>
        <w:br/>
        <w:t>15.   Supervisará el cumplimiento íntegro de esta  Sentencia,  en  ejercicio</w:t>
        <w:br/>
        <w:t>de sus  atribuciones  y  en  cumplimiento  de  sus  deberes  conforme  a  la</w:t>
        <w:br/>
        <w:t>Convención Americana, y dará por concluido el presente caso una vez  que  el</w:t>
        <w:br/>
        <w:t>Estado haya dado cabal cumplimiento a lo dispuesto en la misma.   El  Estado</w:t>
        <w:br/>
        <w:t>deberá, dentro del plazo de un año contado a partir de  la  notificación  de</w:t>
        <w:br/>
        <w:t>esta Sentencia, rendir a la Corte un informe  sobre  las  medidas  adoptadas</w:t>
        <w:br/>
        <w:t>para la cumplir con la misma.</w:t>
        <w:br/>
        <w:br/>
        <w:t>Redactado en inglés y español, el texto en inglés siendo  el  auténtico,  en</w:t>
        <w:br/>
        <w:t>San José, Costa Rica, el 28 de noviembre de 2007.</w:t>
        <w:br/>
        <w:br/>
        <w:br/>
        <w:br/>
        <w:t xml:space="preserve">                            Sergio García Ramírez</w:t>
        <w:br/>
        <w:t xml:space="preserve">                                 Presidente</w:t>
        <w:br/>
        <w:br/>
        <w:br/>
        <w:t xml:space="preserve">            Cecilia Medina Quiroga      Manuel E. Ventura Robles</w:t>
        <w:br/>
        <w:br/>
        <w:br/>
        <w:t xml:space="preserve">                 Diego García Sayán     Leonardo A. Franco</w:t>
        <w:br/>
        <w:br/>
        <w:t xml:space="preserve">                             Margarette May Macaulay     Rhadys Abreu</w:t>
        <w:br/>
        <w:t>Blondet</w:t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t>Comuníquese y ejecútese,</w:t>
        <w:br/>
        <w:br/>
        <w:br/>
        <w:br/>
        <w:t xml:space="preserve">                            Sergio García Ramírez</w:t>
        <w:br/>
        <w:t xml:space="preserve">                                 Presidente</w:t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t>-----------------------</w:t>
        <w:br/>
        <w:t>*     Por razones de fuerza mayor, el Juez ad hoc Alwin Rene Baarh no</w:t>
        <w:br/>
        <w:t>participó en la deliberación y firma de la presente Sentencia.</w:t>
        <w:br/>
        <w:t>1     En el informe, la Comisión concluyó que el Estado era responsable</w:t>
        <w:br/>
        <w:t>por: la violación al derecho de propiedad establecido en el artículo 21 de</w:t>
        <w:br/>
        <w:t>la Convención Americana en perjuicio del pueblo Saramaka al no adoptar las</w:t>
        <w:br/>
        <w:t>medidas efectivas tendientes a reconocer el derecho comunal a las tierras</w:t>
        <w:br/>
        <w:t>que han ocupado y usado tradicionalmente, sin perjuicio de otros pueblos</w:t>
        <w:br/>
        <w:t>indígenas y tribales; el derecho a la protección judicial consagrado en el</w:t>
        <w:br/>
        <w:t>artículo 25 de la Convención Americana, en perjuicio del pueblo de</w:t>
        <w:br/>
        <w:t>Saramaka, al no proveer al pueblo acceso efectivo a la justicia para la</w:t>
        <w:br/>
        <w:t>protección de sus derechos fundamentales, y la falta de cumplimiento por</w:t>
        <w:br/>
        <w:t>parte del Estado con los artículos 1 y 2 de la Convención al no reconocer y</w:t>
        <w:br/>
        <w:t>dar efecto a los derechos colectivos del pueblo Saramaka sobre sus tierras</w:t>
        <w:br/>
        <w:t>y territorios.</w:t>
        <w:br/>
        <w:t>2     La Comisión designó a Paolo Carozza, Comisionado, y a Santiago A.</w:t>
        <w:br/>
        <w:t>Canton, Secretario Ejecutivo, como delegados, y a Ariel E. Dulitzky, Víctor</w:t>
        <w:br/>
        <w:t>Madrigal Borloz, Oliver Sobres y Manuela Cuvi Rodríguez como asesores</w:t>
        <w:br/>
        <w:t>legales.</w:t>
        <w:br/>
        <w:t>3     Cuando se notificó la demanda al Estado, la Corte le informó sobre su</w:t>
        <w:br/>
        <w:t>derecho de designar a un Juez ad hoc para el presente caso. El 6 de octubre</w:t>
        <w:br/>
        <w:t>de 2006 el Estado designó al Señor Alwin Rene Baarh como Juez ad hoc. El</w:t>
        <w:br/>
        <w:t>Sr. Baarh participó en la audiencia pública en el presente caso y</w:t>
        <w:br/>
        <w:t>posteriormente informó al Tribunal que, por razones de fuerza mayo, no</w:t>
        <w:br/>
        <w:t>podría participar en la deliberación de la presente Sentencia.</w:t>
        <w:br/>
        <w:t>[1]   Resolución emitida por el Presidente de la Corte Interamericana de</w:t>
        <w:br/>
        <w:t>Derechos Humanos el 30 de marzo de 2007.</w:t>
        <w:br/>
        <w:t>[2]   Resolución emitida por el Presidente de la Corte Interamericana de</w:t>
        <w:br/>
        <w:t>Derechos Humanos el 14 de abril de 2007.</w:t>
        <w:br/>
        <w:t>[3]   Las siguientes personas estuvieron presentes en la audiencia pública:</w:t>
        <w:br/>
        <w:t xml:space="preserve"> (a) por la Comisión Interamericana: Paolo Carozza, Comisionado y Delegado,</w:t>
        <w:br/>
        <w:t>y Elizabeth Abi-Mershed y Juan Pablo Albán A., asesores; (b) por los</w:t>
        <w:br/>
        <w:t>representantes: Fergus MacKay, abogado del Forest Peoples Programme, y (c)</w:t>
        <w:br/>
        <w:t>por el Estado: Soebhaschandre Punwasi, Agente; Eric Rudge, Agente Alterno;</w:t>
        <w:br/>
        <w:t>Hans Lim A Po, Lydia Ravenberg, Margo Waterval, Reshma Alladin y Monique</w:t>
        <w:br/>
        <w:t>Pool.</w:t>
        <w:br/>
        <w:t>[4]   Cfr. Artículo 61 de la Convención Americana, Artículos 32, 33 y 36</w:t>
        <w:br/>
        <w:t>del Reglamento de la Corte y Artículos 2 y 28 del Estatuto de la Corte.</w:t>
        <w:br/>
        <w:t>[5]   Cfr.  Caso  “Cinco  Pensionistas”  Vs.  Perú.  Fondo,  Reparaciones  y</w:t>
        <w:br/>
        <w:t>Costas. Sentencia de 28 de febrero de 2003. Serie C No. 98, párr. 153;  Caso</w:t>
        <w:br/>
        <w:t>Bueno Alves Vs. Argentina. Fondo, Reparaciones y Costas. Sentencia de 11  de</w:t>
        <w:br/>
        <w:t>mayo de 2007. Serie C No. 164, párr. 121, y Caso  del  Penal  Miguel  Castro</w:t>
        <w:br/>
        <w:t>Castro Vs. Perú. Fondo, Reparaciones y Costas. Sentencia de 25 de  noviembre</w:t>
        <w:br/>
        <w:t>de 2006. Serie C No. 160, párr. 162.</w:t>
        <w:br/>
        <w:t>[6]   Pregunta de la Jueza Macaulay durante la audiencia pública ante la</w:t>
        <w:br/>
        <w:t>Corte los días 9 y 10 de mayo de 2007 (transcripción de la audiencia</w:t>
        <w:br/>
        <w:t>pública, p. 90).</w:t>
        <w:br/>
        <w:t>[7]   Respuesta de la Comisión a la pregunta que hiciera la Jueza Macaulay</w:t>
        <w:br/>
        <w:t>durante la audiencia pública en el presente caso (transcripción de la</w:t>
        <w:br/>
        <w:t>audiencia pública, p. 91).</w:t>
        <w:br/>
        <w:t>[8]   Cfr. Caso Servellón García y otros Vs. Honduras. Fondo, Reparaciones</w:t>
        <w:br/>
        <w:t>y Costas. Sentencia de 21 de septiembre de 2006. Serie C No. 152; Caso</w:t>
        <w:br/>
        <w:t>Goiburú y otros Vs. Paraguay. Fondo, Reparaciones y Costas. Sentencia de 22</w:t>
        <w:br/>
        <w:t>de septiembre de 2006. Serie C No. 153, y Caso de la Masacre de La Rochela</w:t>
        <w:br/>
        <w:t>Vs. Colombia. Fondo, Reparaciones y Costas. Sentencia de 11 de mayo de</w:t>
        <w:br/>
        <w:t>2007. Serie C No. 163.</w:t>
        <w:br/>
        <w:t>[9]   Cfr. El Efecto de las Reservas sobre la Entrada en Vigencia de la</w:t>
        <w:br/>
        <w:t>Convención Americana sobre Derechos Humanos (arts. 74 y 75). Opinión</w:t>
        <w:br/>
        <w:t>Consultiva OC-2/82 del 24 de septiembre de 1982. Serie A No. 2, párr. 29.</w:t>
        <w:br/>
        <w:t>[10]  Cfr. Caso Ivcher Bronstein Vs. Perú. Competencia. Sentencia de 24 de</w:t>
        <w:br/>
        <w:t>septiembre de 1999. Serie C No. 54, párr. 37, y Caso del Tribunal</w:t>
        <w:br/>
        <w:t>Constitucional Vs. Perú. Competencia. Sentencia de 24 de septiembre de</w:t>
        <w:br/>
        <w:t>1999. Serie C No. 55, párr. 36. Cfr. también Caso Baena Ricardo y otros Vs.</w:t>
        <w:br/>
        <w:t>Panamá. Competencia. Sentencia de 28 de noviembre de 2003. Serie C No. 104,</w:t>
        <w:br/>
        <w:t>párr. 66; Caso Acevedo Jaramillo y otros Vs. Perú. Excepciones</w:t>
        <w:br/>
        <w:t>Preliminares, Fondo, Reparaciones y Costas. Sentencia de 7 de febrero de</w:t>
        <w:br/>
        <w:t>2006. Serie C No. 144, párr. 135, y Caso Yatama Vs. Nicaragua. Excepciones</w:t>
        <w:br/>
        <w:t>Preliminares, Fondo, Reparaciones y Costas. Sentencia de 23 de junio de</w:t>
        <w:br/>
        <w:t>2005. Serie C No. 127, párr. 84.</w:t>
        <w:br/>
        <w:t>[11]  Cfr. Caso Castillo Petruzzi y otros Vs. Perú. Excepciones</w:t>
        <w:br/>
        <w:t>Preliminares. Sentencia de 4 de septiembre de 1998. Serie C No. 41, párr.</w:t>
        <w:br/>
        <w:t>77.</w:t>
        <w:br/>
        <w:t>[12]  Cfr. Caso Castillo Petruzzi y otros, supra nota 14, párr. 77; Caso</w:t>
        <w:br/>
        <w:t>Acevedo Jaramillo y otros, supra nota 13, párr. 137, y Caso Yatama, supra</w:t>
        <w:br/>
        <w:t>nota 13, párr. 82.</w:t>
        <w:br/>
        <w:t>[13]  Cfr. Caso Castillo Petruzzi y otros, supra nota 14, párr. 77; Caso</w:t>
        <w:br/>
        <w:t>Acevedo Jaramillo y otros, supra nota 13, párr. 137, y Caso Yatama, supra</w:t>
        <w:br/>
        <w:t>nota 13, párr. 82.</w:t>
        <w:br/>
        <w:t>[14]  Cfr. Caso “Cinco Pensionistas”, supra nota 8, párr. 155; Caso de la</w:t>
        <w:br/>
        <w:t>Masacre de Pueblo Bello Vs. Colombia. Fondo, Reparaciones y Costas.</w:t>
        <w:br/>
        <w:t>Sentencia de 31 de enero de 2006. Serie C No. 140, párr. 54, y Caso de la</w:t>
        <w:br/>
        <w:t>“Masacre de Mapiripán” Vs. Colombia. Fondo,  Reparaciones y Costas.</w:t>
        <w:br/>
        <w:t>Sentencia de 15 de septiembre de 2005. Serie C No. 134, párr. 57.</w:t>
        <w:br/>
        <w:t>[15]  Cfr. OEA, Asamblea General, Resolución AG/RES. 1890 (XXXII-O/02),</w:t>
        <w:br/>
        <w:t>Evaluación del Funcionamiento del Sistema Interamericano de Protección y</w:t>
        <w:br/>
        <w:t>Promoción de los Derechos Humanos para su Perfeccionamiento y</w:t>
        <w:br/>
        <w:t>Fortalecimiento, y OEA, Asamblea General, AG/RES. 2291 (XXXVII-O/07),</w:t>
        <w:br/>
        <w:t>Fortalecimiento de los sistemas de derechos humanos en seguimiento de los</w:t>
        <w:br/>
        <w:t>mandatos derivados de las Cumbres de las Américas.</w:t>
        <w:br/>
        <w:t>[16]  Cfr. Caso de la “Masacre de Mapiripán”, supra nota 17, párr. 58, y</w:t>
        <w:br/>
        <w:t>Caso de la Masacre de Pueblo Bello, supra nota 17, párr. 55.</w:t>
        <w:br/>
        <w:t>[17]  Cfr. Caso de la Masacre de Pueblo Bello, supra nota 17, párr. 53.</w:t>
        <w:br/>
        <w:t>[18]  Cfr. Caso “Cinco Pensionistas”, supra nota 8, párr. 154; Caso Bueno</w:t>
        <w:br/>
        <w:t>Alves, supra nota 8, párr. 121, y Caso del Penal Miguel Castro Castro,</w:t>
        <w:br/>
        <w:t>supra nota 8, párr. 162.</w:t>
        <w:br/>
        <w:t>[19]  Cfr. Caso “Cinco Pensionistas”, supra nota 8, párr. 155; Caso Escué</w:t>
        <w:br/>
        <w:t>Zapata Vs. Colombia. Fondo, Reparaciones y Costas. Sentencia de 4 de julio</w:t>
        <w:br/>
        <w:t>de 2007. Serie C No. 165, párr. 92, y Caso Bueno Alves, supra nota 8, párr.</w:t>
        <w:br/>
        <w:t>121.</w:t>
        <w:br/>
        <w:t>[20]  Cfr. Caso de la “Masacre de Mapiripán”, supra nota 17, párr. 58, y</w:t>
        <w:br/>
        <w:t>Caso de la Masacre de Pueblo Bello, supra nota 17, párr. 55.</w:t>
        <w:br/>
        <w:t>[21]  Cfr. Caso Trabajadores Cesados del Congreso (Aguado Alfaro y otros)</w:t>
        <w:br/>
        <w:t>Vs. Perú. Excepciones Preliminares, Fondo, Reparaciones y Costas. Sentencia</w:t>
        <w:br/>
        <w:t>de 24 de noviembre de 2006. Serie C No. 158, párr. 66.</w:t>
        <w:br/>
        <w:t>[22]  Cfr. Caso Almonacid Arellano y otros Vs. Chile. Excepciones</w:t>
        <w:br/>
        <w:t>Preliminares, Fondo, Reparaciones y Costas. Sentencia de 26 de septiembre</w:t>
        <w:br/>
        <w:t>de 2006. Serie C No. 154, párr. 58.</w:t>
        <w:br/>
        <w:t>[23]  Cfr. Caso Velásquez Rodríguez Vs. Honduras. Excepciones Preliminares.</w:t>
        <w:br/>
        <w:t>Sentencia de 26 de junio de 1987. Serie C No. 1, párr. 162; Caso Almonacid</w:t>
        <w:br/>
        <w:t>Arellano y otros, supra nota 25, párr. 56, y Caso Baena Ricardo y otros Vs.</w:t>
        <w:br/>
        <w:t>Panamá. Excepciones Preliminares. Sentencia de 18 de noviembre de 1999.</w:t>
        <w:br/>
        <w:t>Serie C No. 61, párr. 37. Cfr. también Ciertas Atribuciones de la Comisión</w:t>
        <w:br/>
        <w:t>Interamericana de Derechos Humanos (arts. 41, 42, 44, 46, 47, 50 y 51</w:t>
        <w:br/>
        <w:t>Convención Americana sobre Derechos Humanos). Opinión Consultiva OC-13/93</w:t>
        <w:br/>
        <w:t>del 16 de julio de 1993. Serie A No. 13, párr. 51.</w:t>
        <w:br/>
        <w:t>[24]  Cfr. Caso Neira Alegría y otros Vs. Perú. Excepciones Preliminares.</w:t>
        <w:br/>
        <w:t>Sentencia de 11 de diciembre de 1991. Serie C No. 13, párrs. 32-34, y Caso</w:t>
        <w:br/>
        <w:t>Cayara Vs. Perú. Excepciones Preliminares. Sentencia de 3 de febrero de</w:t>
        <w:br/>
        <w:t>1993. Serie C No. 14, párrs. 38-39. Cfr. también Ciertas Atribuciones de la</w:t>
        <w:br/>
        <w:t>Comisión Interamericana de Derechos Humanos (arts. 41, 42, 44, 46, 47, 50 y</w:t>
        <w:br/>
        <w:t>51 Convención Americana sobre Derechos Humanos), supra nota 26, párr. 51.</w:t>
        <w:br/>
        <w:t>[25]  Cfr. Caso Velásquez Rodríguez, supra nota 26, párr. 63, y Caso Baena</w:t>
        <w:br/>
        <w:t>Ricardo y otros, supra nota 26, párrs. 38-39.  Cfr. también Ciertas</w:t>
        <w:br/>
        <w:t>Atribuciones de la Comisión Interamericana de Derechos Humanos (arts. 41,</w:t>
        <w:br/>
        <w:t>42, 44, 46, 47, 50 y 51 Convención Americana sobre Derechos Humanos), supra</w:t>
        <w:br/>
        <w:t>nota 26, párr. 52.</w:t>
        <w:br/>
        <w:t>[26]  Cfr. Caso Baena Ricardo y otros, supra nota 26, párr. 37, y Ciertas</w:t>
        <w:br/>
        <w:t>Atribuciones de la Comisión Interamericana de Derechos Humanos (arts. 41,</w:t>
        <w:br/>
        <w:t>42, 44, 46, 47, 50 y 51 Convención Americana sobre Derechos Humanos), supra</w:t>
        <w:br/>
        <w:t>nota 26, párr. 50.</w:t>
        <w:br/>
        <w:t>[27]  Artículos 50 y 51 de la Convención Americana. Cfr. Caso Velásquez</w:t>
        <w:br/>
        <w:t>Rodríguez, supra nota 26, párr. 63; Caso Baena Ricardo y otros, supra nota</w:t>
        <w:br/>
        <w:t>26, párr. 37, y Caso Cayara, supra nota 27, párr. 39. Cfr. también Ciertas</w:t>
        <w:br/>
        <w:t>Atribuciones de la Comisión Interamericana de Derechos Humanos (arts. 41,</w:t>
        <w:br/>
        <w:t>42, 44, 46, 47, 50 y 51 Convención Americana sobre Derechos Humanos), supra</w:t>
        <w:br/>
        <w:t>nota 26, párr. 50.</w:t>
        <w:br/>
        <w:t>[28]  Cfr. Caso Baena Ricardo y otros, supra nota 26, párr. 37, y Ciertas</w:t>
        <w:br/>
        <w:t>Atribuciones de la Comisión Interamericana de Derechos Humanos (arts. 41,</w:t>
        <w:br/>
        <w:t>42, 44, 46, 47, 50 y 51 Convención Americana sobre Derechos Humanos), supra</w:t>
        <w:br/>
        <w:t>nota 26, párr. 50.</w:t>
        <w:br/>
        <w:t>[29]  Cfr. Caso Cayara, supra nota 27, párr. 63, y Caso Baena Ricardo y</w:t>
        <w:br/>
        <w:t>otros, supra nota 26, párr. 43.</w:t>
        <w:br/>
        <w:t>[30]  Cfr. Caso Trabajadores Cesados del Congreso (Aguado Alfaro y otros),</w:t>
        <w:br/>
        <w:t>supra nota 24, párr. 66.</w:t>
        <w:br/>
        <w:t>[31]  “Artículo 1386: Cada acto legal que causa daños a otro, impone una</w:t>
        <w:br/>
        <w:t>obligación a la persona que lleva la culpa del daño a compensar tal daño ".</w:t>
        <w:br/>
        <w:t>Cfr. Código Civil de Surinam (expediente de apéndices a la demanda, anexo</w:t>
        <w:br/>
        <w:t>4, folio 51).</w:t>
        <w:br/>
        <w:t>[32]  “Artículo 1387: Cado uno será responsable no solo por el daño que ha</w:t>
        <w:br/>
        <w:t>causado por su acto, sino también por el daño causado por su negligencia y</w:t>
        <w:br/>
        <w:t>descuido.” Cfr. Código Civil de Surinam (expediente de apéndices a la</w:t>
        <w:br/>
        <w:t>demanda, anexo 4, folio 51).</w:t>
        <w:br/>
        <w:t>[33]  “Artículo 1388: 1. Uno será responsable no solo por el daño causado</w:t>
        <w:br/>
        <w:t>por su propio acto, sino también por el daño causado debido a los actos de</w:t>
        <w:br/>
        <w:t>personas para quienes tiene la responsabilidad o de materiales u objetos en</w:t>
        <w:br/>
        <w:t>su posesión. […] 3. Los principales y los por lo cual designan a otros la</w:t>
        <w:br/>
        <w:t>responsabilidad por sus asuntos, serán responsables por el daño causado por</w:t>
        <w:br/>
        <w:t>sus empleados y sus designados durante el trabajo que llevan a cabo por</w:t>
        <w:br/>
        <w:t>ellos”. Cfr. Código Civil de Surinam (expediente de apéndices a la demanda,</w:t>
        <w:br/>
        <w:t>anexo 4, folio 51)</w:t>
        <w:br/>
        <w:t>[34]  “Artículo 1392: 1. Actos deliberados o imprudentes con fines de</w:t>
        <w:br/>
        <w:t>causar daño o mutilar o inutilizar un miembro del cuerpo humano, permiten a</w:t>
        <w:br/>
        <w:t>la victima reclamar indemnización no solo por los gastos a materia de su</w:t>
        <w:br/>
        <w:t>recuperación, sino también puede reclamar indemnización por los gastos</w:t>
        <w:br/>
        <w:t>causados por el daño o mutilación. 2. También se considera la posición</w:t>
        <w:br/>
        <w:t>mutua de las partes, incluido posición económica y las circunstancias de</w:t>
        <w:br/>
        <w:t>los hechos. 3. En general se aplica este ultimo articulo para apreciar el</w:t>
        <w:br/>
        <w:t>daño que ha surgido como resulta de una ofensa perpetuado contra la</w:t>
        <w:br/>
        <w:t>persona.” Cfr. Escrito de contestación de la demanda (fondo, tomo II, folio</w:t>
        <w:br/>
        <w:t>335).</w:t>
        <w:br/>
        <w:t>[35]  “Artículo 1393: 1. Una causa civil con respecto a la difamación puede</w:t>
        <w:br/>
        <w:t>servir para indemnizar el daño o reparar el prejuicio a nombre o reputación</w:t>
        <w:br/>
        <w:t>de la victima. 2. En apreciar este, el juez tomará en cuenta el grado menos</w:t>
        <w:br/>
        <w:t>grave o mas grave del insulto, asimismo la calidad, posición y estatus</w:t>
        <w:br/>
        <w:t>económico y circunstancias de las dos partes.” Cfr. Escrito de contestación</w:t>
        <w:br/>
        <w:t>de la demanda (fondo, tomo II, folio 336).</w:t>
        <w:br/>
        <w:t>[36]  Cfr. Case Velásquez Rodríguez, supra nota 26, párr. 88; Caso Nogueira</w:t>
        <w:br/>
        <w:t>de Carvalho y otros Vs. Brasil. Excepciones Preliminares y Fondo. Sentencia</w:t>
        <w:br/>
        <w:t>de 28 de noviembre de 2006. Serie C No. 161, párr. 51, y Caso Almonacid</w:t>
        <w:br/>
        <w:t>Arellano y otros, supra nota 25, párr. 64.</w:t>
        <w:br/>
        <w:t>[37]  Cfr. Caso Baena Ricardo y otros, supra nota 13, párr. 53.</w:t>
        <w:br/>
        <w:t>[38]  El Estado hizo referencia a: Pedido Formal para Iniciar un</w:t>
        <w:br/>
        <w:t>Procedimiento Urgente para Evitar Daños  Inmediatos e Irreparables, 15 de</w:t>
        <w:br/>
        <w:t>diciembre  de 2002; Información Adicional, 21 de mayo de 2003; Comentarios</w:t>
        <w:br/>
        <w:t>sobre el Informe del Estado Parte Surinam (CERD/C/446/Add.1), 26 de enero</w:t>
        <w:br/>
        <w:t>de 2004; Pedido para Iniciar un Procedimiento Urgente y un Procedimiento de</w:t>
        <w:br/>
        <w:t>Seguimiento  en Relación con la Adopción Inminente de Legislación</w:t>
        <w:br/>
        <w:t>Racialmente Discriminatoria por la República de Surinam, 6 de enero de</w:t>
        <w:br/>
        <w:t>2005, y Pedido de Seguimiento y Acción Urgente Acerca de la Situación de</w:t>
        <w:br/>
        <w:t>Indígenas y Tribus en Surinam, 8 de julio de 2005.</w:t>
        <w:br/>
        <w:t>[39]  Comité de Derechos Humanos de Naciones Unidas. Consideraciones sobre</w:t>
        <w:br/>
        <w:t>los informes presentados por los Estados Parte bajo el Artículo 40 del</w:t>
        <w:br/>
        <w:t>Pacto, Observaciones Finales sobre Surinam (octogésima sesión, 2004), N.U.</w:t>
        <w:br/>
        <w:t>Doc. CCPR/CO/80/SUR, 4 de mayo de 2004 (expediente de anexos al escrito de</w:t>
        <w:br/>
        <w:t>solicitudes y argumentos, anexo 4.3, folios 1492-1496).</w:t>
        <w:br/>
        <w:t>[40]  Comité de Naciones Unidas para la Eliminación de la Discriminación</w:t>
        <w:br/>
        <w:t>Racial, Consideraciones sobre los Informes presentados por los Estados</w:t>
        <w:br/>
        <w:t>Parte bajo el Artículo 9 de la Convención, Observaciones Finales sobre</w:t>
        <w:br/>
        <w:t>Surinam (sesión sesenta y cuarta, 2004), N.U. Doc. CERD/C/64/CO/9, 28 de</w:t>
        <w:br/>
        <w:t>abril de 2004 (expediente de anexos al escrito de solicitudes y argumentos,</w:t>
        <w:br/>
        <w:t>anexo 4.2, folios 1486-1491).</w:t>
        <w:br/>
        <w:t>[41]  Comité de Naciones Unidas para la Eliminación de la Discriminación</w:t>
        <w:br/>
        <w:t>Racial, Procedimiento de Seguimiento, Decisión 3(66) sobre Surinam</w:t>
        <w:br/>
        <w:t>(sexagésima cuarta sesión, 2005), N.U. Doc. CERD/C/66/SUR/Dec.3, 9 de marzo</w:t>
        <w:br/>
        <w:t>de 2005 (expediente de anexos al escrito de solicitudes y argumentos, anexo</w:t>
        <w:br/>
        <w:t>4.4, folios 1497-1498).</w:t>
        <w:br/>
        <w:t>[42]  Comité de Naciones Unidas para la Eliminación de la Discriminación</w:t>
        <w:br/>
        <w:t>Racial, Procedimiento de Acción Urgente, Decisión 3(62) sobre Surinam</w:t>
        <w:br/>
        <w:t>(sexagésima segunda sesión, 2003), N.U. Doc. CERD/C/62/CO/Dec.3, 21 de</w:t>
        <w:br/>
        <w:t>marzo de 2003 (expediente de anexos al escrito de solicitudes y argumentos,</w:t>
        <w:br/>
        <w:t>anexo 4.1, folios 1484-1485).</w:t>
        <w:br/>
        <w:t>[43]  Comité de Naciones Unidas para la Eliminación de la Discriminación</w:t>
        <w:br/>
        <w:t>Racial, Procedimiento de Acción Urgente, Decisión 1(67) sobre Surinam</w:t>
        <w:br/>
        <w:t>(sexagésima séptima sesión, 2005), N.U. Doc. CERD/C/DEC/SUR/2, 18 de agosto</w:t>
        <w:br/>
        <w:t>de 2005 (expediente de anexos al escrito de solicitudes y argumentos, anexo</w:t>
        <w:br/>
        <w:t>4.5, folios 1499-1500).</w:t>
        <w:br/>
        <w:t>[44]  Comité de Naciones Unidas para la Eliminación de la Discriminación</w:t>
        <w:br/>
        <w:t>Racial, Procedimiento de Acción Urgente, Decisión 1(69) sobre Surinam</w:t>
        <w:br/>
        <w:t>(sexagésima novena sesión, 2006), N.U. Doc. CERD/C/DEC/SUR/5, 18 de agosto</w:t>
        <w:br/>
        <w:t>de 2006 (expediente de anexos al escrito de solicitudes y argumentos, anexo</w:t>
        <w:br/>
        <w:t>4.6, folios 1501-1502).</w:t>
        <w:br/>
        <w:t>[45]  Comité de Naciones Unidas para la Eliminación de la Discriminación</w:t>
        <w:br/>
        <w:t>Racial, Procedimiento de Advertencia Temprana y Acción Urgente, Decisión</w:t>
        <w:br/>
        <w:t>1(68) sobre los Estados Unidos de América (sexagésima octava sesión, 2006),</w:t>
        <w:br/>
        <w:t>N.U. Doc. CERD/C/USA/DEC/1, 11 de abril de 2006, párr. 4.</w:t>
        <w:br/>
        <w:br/>
        <w:t>[46]  Cfr. Caso de la Comunidad Mayagna (Sumo) Awas  Tingni  Vs.  Nicaragua.</w:t>
        <w:br/>
        <w:t>Fondo, Reparaciones y Costas. Sentencia de 31 de agosto  de  2001.  Serie  C</w:t>
        <w:br/>
        <w:t>No. 79, párr. 86; Caso de la “Panel Blanca” (Paniagua Morales y  otros)  Vs.</w:t>
        <w:br/>
        <w:t>Guatemala. Reparaciones y Costas. Sentencia de 25 de mayo de 2001.  Serie  C</w:t>
        <w:br/>
        <w:t>No. 76, párr. 50, y Caso Bámaca  Velásquez  Vs.  Guatemala.  Reparaciones  y</w:t>
        <w:br/>
        <w:t>Costas. Sentencia de 22 de febrero de 2002. Serie C No. 91, párr.  15.  Cfr.</w:t>
        <w:br/>
        <w:t>también Caso del Penal Miguel Castro Castro, supra  nota  8,  párrs.  183  y</w:t>
        <w:br/>
        <w:t>184; Caso Almonacid Arellano y otros, supra nota 25, párrs. 67, 68 y  69,  y</w:t>
        <w:br/>
        <w:t>Caso Servellón García y otros, supra nota 11, párr. 34.</w:t>
        <w:br/>
        <w:t>[47]  Cfr. Caso de la “Panel Blanca” (Paniagua Morales y otros) v.</w:t>
        <w:br/>
        <w:t>Guatemala. Fondo. Sentencia de 8 de marzo de 1998. Serie C No. 37, párr.</w:t>
        <w:br/>
        <w:t>76; Caso Cantoral Huamaní y García Santa Cruz Vs. Perú. Excepción</w:t>
        <w:br/>
        <w:t>Preliminar, Fondo, Reparaciones y Costas. Sentencia de 10 de julio de 2007.</w:t>
        <w:br/>
        <w:t>Serie C No. 167. párr. 38, y Caso Zambrano Vélez y otros Vs. Ecuador.</w:t>
        <w:br/>
        <w:t>Fondo, Reparaciones y Costas. Sentencia de 4 de julio de 2007. Serie C No.</w:t>
        <w:br/>
        <w:t>166, párr. 32.</w:t>
        <w:br/>
        <w:t>[48]  Aunque el 30 de marzo de 2007 el Presidente decidió requerir los</w:t>
        <w:br/>
        <w:t>testimonios por declaración jurada del Sr. Michel Filisie, Ministro de</w:t>
        <w:br/>
        <w:t>Desarrollo Regional de Surinam y de Gaa’man Gazon Mathodja  (supra nota 4),</w:t>
        <w:br/>
        <w:t>el 25 de abril de 2007 el Estado informó a la Corte de su desistimiento de</w:t>
        <w:br/>
        <w:t>dichas declaraciones en este caso.</w:t>
        <w:br/>
        <w:br/>
        <w:t>[49]  Cfr. Caso Loayza Tamayo Vs. Perú. Reparaciones y Costas. Sentencia  de</w:t>
        <w:br/>
        <w:t>27 de noviembre de 1998. Serie C No. 42, párr. 53; Caso Cantoral  Huamaní  y</w:t>
        <w:br/>
        <w:t>García Santa Cruz, supra nota 50, párr. 41, y Case Zambrano Vélez  y  otros,</w:t>
        <w:br/>
        <w:t>supra nota 50, párr. 37.</w:t>
        <w:br/>
        <w:br/>
        <w:t>[50]  Cfr. Caso de la “Panel Blanca” (Paniagua Morales y otros), supra nota</w:t>
        <w:br/>
        <w:t>50, párr. 75; Caso Cantoral Huamaní y García Santa Cruz, supra nota 50,</w:t>
        <w:br/>
        <w:t>párr. 41, y Caso Zambrano Vélez y otros, supra nota 50, párr. 38.</w:t>
        <w:br/>
        <w:t>[51]  Cfr. Case Caso Loayza Tamayo Vs. Perú. Fondo. Sentencia de 17 de</w:t>
        <w:br/>
        <w:t>septiembre de 1997. Serie C No. 33, párr. 43; Caso Cantoral Huamaní y</w:t>
        <w:br/>
        <w:t>García Santa Cruz, supra nota 50, párr. 44, y Caso Zambrano Vélez y otros,</w:t>
        <w:br/>
        <w:t>supra nota 50, párr. 40.</w:t>
        <w:br/>
        <w:t>[52]  Caso Aloeboetoe y otros Vs. Surinam. Fondo. Sentencia de 4 de</w:t>
        <w:br/>
        <w:t>diciembre de 1991. Serie C No. 11.</w:t>
        <w:br/>
        <w:t>[53]  El artículo 2 establece que: “[s]i el  ejercicio  de  los  derechos  y</w:t>
        <w:br/>
        <w:t xml:space="preserve">      libertades mencionados en el articulo 1 no  estuviere  ya  garantizado</w:t>
        <w:br/>
        <w:t xml:space="preserve">      por disposiciones legislativas o de otro carácter, los Estados  Partes</w:t>
        <w:br/>
        <w:t xml:space="preserve">      se  comprometen  a  adoptar,  con   arreglo   a   sus   procedimientos</w:t>
        <w:br/>
        <w:t xml:space="preserve">      constitucionales y a las disposiciones de esta Convención, las medidas</w:t>
        <w:br/>
        <w:t xml:space="preserve">      legislativas o de  otro  carácter  que  fueren  necesarias  para  hace</w:t>
        <w:br/>
        <w:t xml:space="preserve">      efectivos tales derechos y libertades.”</w:t>
        <w:br/>
        <w:t>[54]  El  artículo  3  establece  que:  “[t]oda  persona  tiene  derecho  al</w:t>
        <w:br/>
        <w:t>reconocimiento de su personalidad jurídica.”</w:t>
        <w:br/>
        <w:t>[55]  El artículo 21 establece, inter alia,  que:  “1.  Toda  persona  tiene</w:t>
        <w:br/>
        <w:t>derecho al uso y goce de sus bienes.  La ley  puede  subordinar  tal  uso  y</w:t>
        <w:br/>
        <w:t>goce al interés social. 2. Ninguna persona puede ser privada de sus  bienes,</w:t>
        <w:br/>
        <w:t>excepto mediante el pago de indemnización justa,  por  razones  de  utilidad</w:t>
        <w:br/>
        <w:t>pública o de interés social y en los casos y según las  formas  establecidas</w:t>
        <w:br/>
        <w:t>por la ley.”</w:t>
        <w:br/>
        <w:t>[56]  El artículo 25 establece que: “1. Toda  persona  tiene  derecho  a  un</w:t>
        <w:br/>
        <w:t>recurso sencillo y rápido o a  cualquier  otro  recurso  efectivo  ante  los</w:t>
        <w:br/>
        <w:t>jueces o tribunales competentes, que la ampare contra actos que  violen  sus</w:t>
        <w:br/>
        <w:t>derechos  fundamentales  reconocidos  por  la  Constitución,  la  ley  o  la</w:t>
        <w:br/>
        <w:t>presente Convención, aun cuando tal violación sea cometida por personas  que</w:t>
        <w:br/>
        <w:t>actúen en ejercicio de sus funciones oficiales. 2.  Los  Estados  Partes  se</w:t>
        <w:br/>
        <w:t>comprometen:</w:t>
        <w:br/>
        <w:t xml:space="preserve">        a. a garantizar que la autoridad competente prevista por el sistema</w:t>
        <w:br/>
        <w:t xml:space="preserve">           legal del Estado decidirá sobre los derechos de toda persona que</w:t>
        <w:br/>
        <w:t xml:space="preserve">           interponga tal recurso;</w:t>
        <w:br/>
        <w:t xml:space="preserve">        b. a desarrollar las posibilidades de recurso judicial; y</w:t>
        <w:br/>
        <w:t xml:space="preserve">           a garantizar el cumplimiento, por las  autoridades  competentes,</w:t>
        <w:br/>
        <w:t xml:space="preserve">           de toda decisión en que se haya estimado procedente el recurso.”</w:t>
        <w:br/>
        <w:t>[57]  Articulo 1(1) establece que: [L]os Estados Partes en  esta  Convención</w:t>
        <w:br/>
        <w:t>se comprometen a respetar los derechos y libertades reconocidos en ella y  a</w:t>
        <w:br/>
        <w:t>garantizar su libre y pleno ejercicio a toda persona que esté  sujeta  a  su</w:t>
        <w:br/>
        <w:t>jurisdicción, sin discriminación alguna por motivos de  raza,  color,  sexo,</w:t>
        <w:br/>
        <w:t>idioma, religión, opiniones políticas o de  cualquier  otra  índole,  origen</w:t>
        <w:br/>
        <w:t>nacional  o  social,  posición  económica,  nacimiento  o   cualquier   otra</w:t>
        <w:br/>
        <w:t>condición social.”</w:t>
        <w:br/>
        <w:t>[58]  Este hecho fue reconocido por el Estado (fondo, tomo II, folio 291).</w:t>
        <w:br/>
        <w:t>Cfr. también Testimonio de Capitán Jefe y Fiscali Wazen Eduards durante la</w:t>
        <w:br/>
        <w:t>audiencia pública del 9 a 10 de mayo de 2007 (transcripción de audiencia</w:t>
        <w:br/>
        <w:t>pública, pp. 3-4).</w:t>
        <w:br/>
        <w:t>[59]  Este hecho fue reconocido por el Estado (fondo, tomo II, folio 288).</w:t>
        <w:br/>
        <w:t>Cfr. también Testimonio de Capitán Jefe y Fiscali Wazen Eduards, supra nota</w:t>
        <w:br/>
        <w:t>61 (transcripción de audiencia pública, p. 4), Peritaje del Profesor</w:t>
        <w:br/>
        <w:t>Richard Price durante la audiencia pública del 9 a 10 de mayo de 2007</w:t>
        <w:br/>
        <w:t>(transcripción de audiencia pública, p. 57), y peritaje de Salomon Emanuels</w:t>
        <w:br/>
        <w:t>durante la audiencia pública del 9 a 10 de mayo de 2007 (transcripción de</w:t>
        <w:br/>
        <w:t>audiencia pública, p. 67).</w:t>
        <w:br/>
        <w:t>[60]  Este hecho fue reconocido por el Estado (fondo, tomo II, folio 297).</w:t>
        <w:br/>
        <w:t>Cfr. también Profesor Richard Price, “Report in support of Provisional</w:t>
        <w:br/>
        <w:t>Measures”, el 15 de octubre de 2003 (expediente de apéndices a la demanda,</w:t>
        <w:br/>
        <w:t>anexo 2, folio 15).</w:t>
        <w:br/>
        <w:t>[61]  Aunque el asunto de los derechos de propiedad  está  en  controversia,</w:t>
        <w:br/>
        <w:t>las partes concuerdan en que el pueblo Saramaka  tiene  sus  propias  normas</w:t>
        <w:br/>
        <w:t>tradicionales y costumbres  con  respecto  a  la  forma  en  que  el  pueblo</w:t>
        <w:br/>
        <w:t>Saramaka usa y goza de la propiedad.</w:t>
        <w:br/>
        <w:t>[62]  Cfr. Profesor Richard Price, “Report in support of Provisional</w:t>
        <w:br/>
        <w:t>Measures”, supra nota 63.</w:t>
        <w:br/>
        <w:t>[63]  Al hacer referencia al término “territorio” la Corte se refiere a la</w:t>
        <w:br/>
        <w:t>totalidad de tierra y recursos que los Saramaka han utilizado</w:t>
        <w:br/>
        <w:t>tradicionalmente.  En este sentido, el territorio Saramaka pertenece de</w:t>
        <w:br/>
        <w:t>manera colectiva a los miembros del pueblo Saramaka, mientras que las</w:t>
        <w:br/>
        <w:t>tierras dentro de ese territorio están divididas entre los doce clanes</w:t>
        <w:br/>
        <w:t>Saramaka (supra párr. 100). Cfr. Affidávit de Capitán Jefe y Fiscali Eddie</w:t>
        <w:br/>
        <w:t>Fonkie, el 5 de abril de 2007 (expediente de affidávits y observaciones,</w:t>
        <w:br/>
        <w:t>anexo 4, folio 1911); Peritaje del Profesor Richard Price, supra nota 62</w:t>
        <w:br/>
        <w:t>(transcripción de audiencia pública, pp. 60-61), y Profesor Richard Price,</w:t>
        <w:br/>
        <w:t>“Report in support of Provisional Measures”, supra nota 63.</w:t>
        <w:br/>
        <w:t>[64]  Cfr. Profesor Richard Price, “Report in support of Provisional</w:t>
        <w:br/>
        <w:t>Measures”, supra nota 63, (folios 17-18).</w:t>
        <w:br/>
        <w:t>[65]  Cfr. Testimonio del Capitán Cesar Adjako durante la audiencia pública</w:t>
        <w:br/>
        <w:t>del 9 a 10 de mayo de 2007 (transcripción de audiencia pública, p. 15);</w:t>
        <w:br/>
        <w:t>Peritaje del Profesor Richard Price, supra nota 62 (transcripción de</w:t>
        <w:br/>
        <w:t>audiencia pública, p. 55); Informe del Profesor Richard Price del 30 de</w:t>
        <w:br/>
        <w:t>septiembre de 2000 (expediente de anexos a la demanda, anexo 1, folio 4), y</w:t>
        <w:br/>
        <w:t>Profesor Richard Price, “Report in support of Provisional Measures”, supra</w:t>
        <w:br/>
        <w:t>nota 63, (folio 16).</w:t>
        <w:br/>
        <w:t>[66]  Cfr. Profesor Richard Price, “Report in support of Provisional</w:t>
        <w:br/>
        <w:t>Measures”, supra nota 63, (folio 14), y Affidávit del Dr. Peter Poole de 30</w:t>
        <w:br/>
        <w:t>de abril de 2007 (expediente de affidávits y observaciones, anexo 8, folio</w:t>
        <w:br/>
        <w:t>1961).</w:t>
        <w:br/>
        <w:t>[67]  Cfr. Profesor Richard Price, “Report in support of Provisional</w:t>
        <w:br/>
        <w:t>Measures”, supra nota 63.</w:t>
        <w:br/>
        <w:t>[68]  Testimonio del Capitán Jefe y Fiscali Wazen Eduards, supra nota 61</w:t>
        <w:br/>
        <w:t>(transcripción de audiencia pública, p. 5).</w:t>
        <w:br/>
        <w:t>[69]  Cfr. Peritaje del Profesor Richard Price, supra nota 62</w:t>
        <w:br/>
        <w:t>(transcripción de audiencia pública, p. 55); informe del Profesor Richard</w:t>
        <w:br/>
        <w:t>Price, supra nota 68, y Profesor Richard Price, “Report in support of</w:t>
        <w:br/>
        <w:t>Provisional Measures”, supra nota 63, (folio 16).</w:t>
        <w:br/>
        <w:t>[70]  Cfr. Peritaje del Profesor Richard Price, supra nota 62</w:t>
        <w:br/>
        <w:t>(transcripción de audiencia pública, p. 55); informe del Profesor Richard</w:t>
        <w:br/>
        <w:t>Price, supra nota 68, y Profesor Richard Price, “Report in support of</w:t>
        <w:br/>
        <w:t>Provisional Measures”, supra nota 63, (folio 16).</w:t>
        <w:br/>
        <w:t>[71]  Cfr. Peritaje del Profesor Richard Price, supra nota 62</w:t>
        <w:br/>
        <w:t>(transcripción de audiencia pública, p. 55); Informe del Profesor Richard</w:t>
        <w:br/>
        <w:t>Price, supra nota 68, y Profesor Richard Price, “Report in support of</w:t>
        <w:br/>
        <w:t>Provisional Measures”, supra nota 63, (folio 16).</w:t>
        <w:br/>
        <w:t>[72]  Cfr. Caso de la Comunidad Mayagna (Sumo) Awas Tingni, supra nota 49,</w:t>
        <w:br/>
        <w:t>párrs. 148-149, y 151; Caso Comunidad Indígena Sawhoyamaxa Vs. Paraguay.</w:t>
        <w:br/>
        <w:t>fondo, Reparaciones y Costas. Sentencia de 29 de marzo de 2006. Serie C No.</w:t>
        <w:br/>
        <w:t>146, párrs. 118-121, y 131, y Caso de la Comunidad Indígena Yakye Axa Vs.</w:t>
        <w:br/>
        <w:t>Paraguay. fondo, Reparaciones y Costas. Sentencia de 17 de junio de 2005.</w:t>
        <w:br/>
        <w:t>Serie C No. 125, párrs. 124, 131, 135-137 y 154.</w:t>
        <w:br/>
        <w:t>[73]  Desde el año 1972, en la resolución adoptada  por  la  Comisión  sobre</w:t>
        <w:br/>
        <w:t>“Protección Especial de las Poblaciones Indígenas – Acción para Combatir  el</w:t>
        <w:br/>
        <w:t>Racismo y la Discriminación Racial”, la Comisión declaró  que  “por  razones</w:t>
        <w:br/>
        <w:t>históricas y por principios morales y humanitarios, la  protección  especial</w:t>
        <w:br/>
        <w:t>de las  poblaciones  indígenas  constituye  un  sagrado  compromiso  de  los</w:t>
        <w:br/>
        <w:t>Estados”. Cfr. Resolución sobre la Protección Especial  de  las  Poblaciones</w:t>
        <w:br/>
        <w:t>Indígenas.  Acción para Combatir el  Racismo  y  la  Discriminación  Racial,</w:t>
        <w:br/>
        <w:t>OEA/Ser.L/V/II/.29 Doc. 41 rev. 2, 13 de marzo de 1973, citado  en  Comisión</w:t>
        <w:br/>
        <w:t>Interamericana de Derechos Humanos, Informe 12/85, Caso No. 7615,  Yanomami.</w:t>
        <w:br/>
        <w:t>Brasil, 5 de marzo de 1985, párr. 8. Cfr.  también  Comisión  Interamericana</w:t>
        <w:br/>
        <w:t>de Derechos Humanos, Informe sobre  la  Situación  de  Derechos  Humanos  en</w:t>
        <w:br/>
        <w:t>Ecuador, OAS/Ser.L/V/II.96 Doc.10 rev 1,  25  abril  de  1997,  Capitulo  IX</w:t>
        <w:br/>
        <w:t>(señalando que “Dentro  del  derecho  internacional  en  general,  y  en  el</w:t>
        <w:br/>
        <w:t>derecho interamericano específicamente, se requiere de  protección  especial</w:t>
        <w:br/>
        <w:t>para  que  los  pueblos  indígenas  puedan  ejercer  sus  derechos  plena  y</w:t>
        <w:br/>
        <w:t>equitativamente con el resto de la población. Además, quizás  sea  necesario</w:t>
        <w:br/>
        <w:t>establecer medidas especiales de protección para  los  pueblos  indígenas  a</w:t>
        <w:br/>
        <w:t>fin de garantizar su supervivencia física y cultural --un derecho  protegido</w:t>
        <w:br/>
        <w:t>en  varios   instrumentos   y   convenciones   internacionales.”);   UNCERD,</w:t>
        <w:br/>
        <w:t>Recomendación General No. 23, Los Derechos de los Pueblos Indígenas  (sesión</w:t>
        <w:br/>
        <w:t>cincuenta y uno, 1997), U.N. Doc. A/52/18, anexo V, 18 de  agosto  de  1997,</w:t>
        <w:br/>
        <w:t>párr. 4 (invitando a  los  Estados  Partes  a  tomar  ciertas  medidas  para</w:t>
        <w:br/>
        <w:t>reconocer y garantizar los derechos de los pueblos indígenas), y ECHR,  Caso</w:t>
        <w:br/>
        <w:t>Connors Vs. El Reino Unido, Sentencia del 27 de mayo de  2004,  Demanda  no.</w:t>
        <w:br/>
        <w:t>66746/01, párr. 84 (señalando que los Estados tienen la obligación de  tomar</w:t>
        <w:br/>
        <w:t>acciones positivas para promover y proteger las  diferentes  tradiciones  de</w:t>
        <w:br/>
        <w:t>minorías bajo el umbral de igualdad bajo la ley).</w:t>
        <w:br/>
        <w:t>[74]  Cfr. Caso de la Comunidad Moiwana Vs. Surinam. Excepciones</w:t>
        <w:br/>
        <w:t>Preliminares, fondo, Reparaciones y Costas. Sentencia de 15 de junio de</w:t>
        <w:br/>
        <w:t>2005. Serie C No. 124, párrs. 132-133.</w:t>
        <w:br/>
        <w:t>[75]  Cfr. Caso de la Comunidad Moiwana, supra nota 77, párr. 133.</w:t>
        <w:br/>
        <w:t>[76]  Caso Comunidad Indígena Sawhoyamaxa, supra nota 75, párr. 118. Cfr.</w:t>
        <w:br/>
        <w:t>también Caso de la Comunidad Indígena Yakye Axa, supra nota 75, párr. 137.</w:t>
        <w:br/>
        <w:t>[77]  Caso de la Comunidad Mayagna (Sumo) Awas Tingni, supra nota 49, párr.</w:t>
        <w:br/>
        <w:t>148.</w:t>
        <w:br/>
        <w:t>[78]  Caso Comunidad Indígena Sawhoyamaxa, supra nota 75, párr. 120</w:t>
        <w:br/>
        <w:t>(citando Caso de la Comunidad Mayagna (Sumo) Awas Tingni, supra nota 49,</w:t>
        <w:br/>
        <w:t>párr. 149).</w:t>
        <w:br/>
        <w:t>[79]  Caso de la Comunidad Indígena Yakye Axa, supra nota 75, párr. 143.</w:t>
        <w:br/>
        <w:t>[80]        Caso de la Comunidad Mayagna (Sumo) Awas Tingni, supra nota 49,</w:t>
        <w:br/>
        <w:t>párr. 149. Cfr. también Caso Masacre Plan de Sánchez Vs. Guatemala.</w:t>
        <w:br/>
        <w:t>Reparaciones y Costas. Sentencia de 19 de noviembre de 2004. Serie C No.</w:t>
        <w:br/>
        <w:t>116, párr. 85; Caso Comunidad Indígena Sawhoyamaxa, supra nota 75, párr.</w:t>
        <w:br/>
        <w:t>118, y Caso de la Comunidad Indígena Yakye Axa, supra nota 75, párr. 131.</w:t>
        <w:br/>
        <w:t>[81]  Cfr. Caso de la Comunidad Mayagna (Sumo) Awas Tingni, supra nota 49,</w:t>
        <w:br/>
        <w:t>párrs. 148-149, y 151; 148-149, y 151; Caso Comunidad Indígena Sawhoyamaxa,</w:t>
        <w:br/>
        <w:t>supra nota 75, párrs. 118-121, y Caso de la Comunidad Indígena Yakye Axa,</w:t>
        <w:br/>
        <w:t>supra nota 75, párrs. 124, 131, 135 y 154. Cfr. también Comisión</w:t>
        <w:br/>
        <w:t>Interamericana de Derechos Humanos, Informe 75/02, Case 11.140. Mary y</w:t>
        <w:br/>
        <w:t>Carrie Dann. Estados Unidos, 27 de diciembre de 2002, párr. 128 (observando</w:t>
        <w:br/>
        <w:t>que “la continua utilización de sistemas colectivos tradicionales de</w:t>
        <w:br/>
        <w:t>control y uso del territorio son esenciales en muchas circunstancias para</w:t>
        <w:br/>
        <w:t>el bienestar individual y colectivo y en efecto para la supervivencia de</w:t>
        <w:br/>
        <w:t>los pueblos indígenas”), y Comisión Interamericana de Derechos Humanos,</w:t>
        <w:br/>
        <w:t>Informe 40/04, fondo. Caso 12.052. Comunidades Indígenas Mayas del Distrito</w:t>
        <w:br/>
        <w:t>de Toledo. Belice, 12 de octubre de 2004, párr. 114 (haciendo énfasis en</w:t>
        <w:br/>
        <w:t>que “los órganos del sistema interamericano de derechos humanos han</w:t>
        <w:br/>
        <w:t>reconocido que los pueblos indígenas gozan de una relación particular con</w:t>
        <w:br/>
        <w:t xml:space="preserve">la tierra y los recursos tradicionalmente ocupados y usados por ellos, </w:t>
        <w:br/>
        <w:t>conforme a los cuales esas tierras y recursos son considerados de propiedad</w:t>
        <w:br/>
        <w:t>y goce de las comunidades indígenas en su conjunto y de acuerdo con el cual</w:t>
        <w:br/>
        <w:t>el uso y goce de la tierra y de sus recursos son componentes integrales de</w:t>
        <w:br/>
        <w:t>la supervivencia física y cultural de las comunidades indígenas y de la</w:t>
        <w:br/>
        <w:t>efectiva realización de sus derechos humanos en términos más generales.”)</w:t>
        <w:br/>
        <w:t>[82]  Cfr. Caso de la Comunidad Mayagna (Sumo) Awas Tingni, supra nota 49,</w:t>
        <w:br/>
        <w:t>párrs. 148, 150 y 152-153.</w:t>
        <w:br/>
        <w:t>[83]  Cfr. Caso de la Comunidad Indígena Yakye Axa, supra nota 75, párrs.</w:t>
        <w:br/>
        <w:t>138-139, y Caso Comunidad Indígena Sawhoyamaxa, supra nota 75, párrs. 122-</w:t>
        <w:br/>
        <w:t>123.</w:t>
        <w:br/>
        <w:t>[84]  Cfr. Caso de la Comunidad Indígena Yakye Axa, supra nota 75, párrs.</w:t>
        <w:br/>
        <w:t>127-130, y Caso Comunidad Indígena Sawhoyamaxa, supra nota 75, párr. 117.</w:t>
        <w:br/>
        <w:t>[85]  Surinam ratificó ambos el 28 de marzo de 1977. Pacto Internacional de</w:t>
        <w:br/>
        <w:t>Derechos Civiles y Políticos, 19 Diciembre 1966, 99U.N.T.S. 171, Can T.S.</w:t>
        <w:br/>
        <w:t>1976 No. 47, 6 I.L.M. 368 (entró en vigencia el 23 de marzo de 1976), y</w:t>
        <w:br/>
        <w:t>Pacto Internacional de Derechos Económicos, Sociales y Culturales, 16</w:t>
        <w:br/>
        <w:t>Diciembre 1966, 993 U.N.T.S. 3, 6 I.L.M. 368 (entró en vigencia el 3 de</w:t>
        <w:br/>
        <w:t>enero de 1976).</w:t>
        <w:br/>
        <w:t>[86]  Cfr. ONU,  Comité  de  Derechos  Económicos,  Sociales  y  Culturales,</w:t>
        <w:br/>
        <w:t>Consideración de Informes presentados por Estados Partes bajo los  Artículos</w:t>
        <w:br/>
        <w:t>16  y  17  del  Pacto.   Observaciones  Finales  sobre  la  Federación  Rusa</w:t>
        <w:br/>
        <w:t>(trigésimo primera sesión). N.U. Doc. E/C.12/1/Add.94, 12  de  diciembre  de</w:t>
        <w:br/>
        <w:t>2003, párr. 11, en el cual el Comité expresó preocupación por la  “situación</w:t>
        <w:br/>
        <w:t>precaria de las  comunidades  indígenas  en  el  Estado  Parte,  las  cuales</w:t>
        <w:br/>
        <w:t>afectan su derecho a la auto-determinación según el artículo 1 del Pacto”.</w:t>
        <w:br/>
        <w:t>[87]  Artículo 1 común del PIDCP y PIDESC.</w:t>
        <w:br/>
        <w:t>[88]  Cfr. Artículo 29 de la Convención Americana. Cfr. también</w:t>
        <w:br/>
        <w:t>Interpretación de la Declaración Americana de los Derechos y Deberes del</w:t>
        <w:br/>
        <w:t>Hombre en el Marco del Artículo 64 de la Convención Americana sobre</w:t>
        <w:br/>
        <w:t>Derechos Humanos. Opinión Consultiva OC-10/89 del 14 de julio de 1989.</w:t>
        <w:br/>
        <w:t>Serie A No. 10, párr. 37, y El Derecho a la Información sobre la Asistencia</w:t>
        <w:br/>
        <w:t>Consular en el Marco de las Garantías del Debido Proceso Legal. Opinión</w:t>
        <w:br/>
        <w:t>Consultiva OC-16/99 de 1 de octubre de 1999. Serie A No. 16, párrs. 113-115</w:t>
        <w:br/>
        <w:t>(sosteniendo una interpretación de los instrumentos internacionales de</w:t>
        <w:br/>
        <w:t>derechos humanos que tenga en consideración el desarrollo progresivo del</w:t>
        <w:br/>
        <w:t>corpus juris gentium del derecho internacional de los derechos humanos en</w:t>
        <w:br/>
        <w:t>el tiempo y en su estado actual.</w:t>
        <w:br/>
        <w:t>[89]  Cfr. Caso de la Comunidad Moiwana, supra nota 77, párr. 133.</w:t>
        <w:br/>
        <w:t>[90]  ONU, Comité de Derechos Humanos, Comentario General No. 23:  Los</w:t>
        <w:br/>
        <w:t>derechos de las minorías (Art. 27) (quincuagésima sesión, 1994), ONU. Doc.</w:t>
        <w:br/>
        <w:t>CCPR/C/21Rev.1/Add.5, 4 de agosto de 1994, párrs. 1 y 3.2.</w:t>
        <w:br/>
        <w:t>[91]  Cfr. Caso de la Comunidad Moiwana, supra nota 77, párrs. 86.5 y 130.</w:t>
        <w:br/>
        <w:t>[92]  Cfr. Comité de Naciones Unidas para la Eliminación de la</w:t>
        <w:br/>
        <w:t>Discriminación Racial, Consideraciones sobre los Informes presentados por</w:t>
        <w:br/>
        <w:t>los Estados Parte bajo el Artículo 9 de la Convención, Observaciones</w:t>
        <w:br/>
        <w:t>Finales sobre Surinam, supra nota 43, párr. 11.</w:t>
        <w:br/>
        <w:t>[93]  Cfr. Comité de Derechos Humanos de  Naciones  Unidas.  Consideraciones</w:t>
        <w:br/>
        <w:t>sobre los informes presentados por los Estados Parte  bajo  el  Artículo  40</w:t>
        <w:br/>
        <w:t>del Pacto, Observaciones Finales sobre Surinam,  supra  nota  42,  párr.  21</w:t>
        <w:br/>
        <w:t>(expresando  preocupación  “sobre  la  falta  de  reconocimiento   legal   y</w:t>
        <w:br/>
        <w:t>garantías para la protección de los  derecho  indígenas  y  tribales  a  sus</w:t>
        <w:br/>
        <w:t>tierras y otros recursos”, y  recomendando  que  Surinam  “garantice  a  los</w:t>
        <w:br/>
        <w:t>miembros de comunidades indígenas  el  pleno  goce  de  todos  los  derechos</w:t>
        <w:br/>
        <w:t>reconocidos en el artículo 27 del Pacto y que adopte legislación  específica</w:t>
        <w:br/>
        <w:t>para  tal  propósito”)   (expediente   de   anexos   al   escrito   de   los</w:t>
        <w:br/>
        <w:t>representantes, anexo 4.3, folios 1495-1496).</w:t>
        <w:br/>
        <w:t>[94]  Cfr. ONU, Informe del Relator  Especial  sobre  la  situación  de  los</w:t>
        <w:br/>
        <w:t>derechos humanos  y  libertades  fundamentales  de  los  pueblos  indígenas,</w:t>
        <w:br/>
        <w:t>Rodolfo Stavenhagen, presentado de conformidad con la resolución 2001/65  de</w:t>
        <w:br/>
        <w:t>la Comisión (quincuagésimo novena sesión), ONU Doc.  E/CN.4/2003/90,  21  de</w:t>
        <w:br/>
        <w:t>enero de 2003, párr. 21 (explicando que,  “[l]egalmente,  el  Estado  es  el</w:t>
        <w:br/>
        <w:t>dueño de  la  tierra  que  ocupan,  y  éste  puede  otorgar  concesiones  de</w:t>
        <w:br/>
        <w:t>propiedad privada a  particulares.   Las  tierras,  territorios  y  recursos</w:t>
        <w:br/>
        <w:t>indígenas y tribales no están reconocidos en la  ley.  […]  No  obstante  se</w:t>
        <w:br/>
        <w:t>hayan  presentado  peticiones  al  Gobierno  nacional  y  ante  el   Sistema</w:t>
        <w:br/>
        <w:t>Interamericano de protección de derechos humanos  (Comisión  y  Corte),  las</w:t>
        <w:br/>
        <w:t>comunidades indígenas y  maroon  aún  no  han  recibido  la  protección  que</w:t>
        <w:br/>
        <w:t>requieren”). El Banco  Interamericano  de  Desarrollo  asimismo  apoyó  este</w:t>
        <w:br/>
        <w:t>análisis en su estudio realizado  en  agosto  del  2006  sobre  los  pueblos</w:t>
        <w:br/>
        <w:t>indígenas y maroon en Surinam.  Dicho estudio indica que “la  ley  surinamés</w:t>
        <w:br/>
        <w:t>no reconoce ni protege el sistema tradicional de tenencia de  la  tierra  de</w:t>
        <w:br/>
        <w:t>los pueblos indígenas y tribales, ni su relación  especial  con  el  bosque.</w:t>
        <w:br/>
        <w:t>Todas  las  tierras  y  todos  los  recursos  naturales  se  entienden   que</w:t>
        <w:br/>
        <w:t>pertenecen al Estado”. Cfr.  Banco  Interamericano  de  Desarrollo,  Pueblos</w:t>
        <w:br/>
        <w:t>Indígenas y Maroon en Surinam, agosto del 2006 (fondo, tomo II, folio 567).</w:t>
        <w:br/>
        <w:t>[95]  Cfr. Testimonio del Capitán Jefe y Fiscali Wazen Eduards, supra nota</w:t>
        <w:br/>
        <w:t>61 (transcripción de audiencia pública, p. 8); Testimonio del Capitán Cesar</w:t>
        <w:br/>
        <w:t>Adjako, supra nota 68 (transcripción de audiencia pública, p. 16),</w:t>
        <w:br/>
        <w:t>Affidávit de Silvi Adjako, 7 y 8 de abril de 2007 (expediente de affidávits</w:t>
        <w:br/>
        <w:t>y observaciones, anexo 5, folios 1919-1925); Dictamen del Profesor Richard</w:t>
        <w:br/>
        <w:t>Price, supra nota 62 (transcripción de audiencia pública, p. 59); Dictamen</w:t>
        <w:br/>
        <w:t>de Salomon Emanuels, supra nota 62 (transcripción de audiencia pública, pp.</w:t>
        <w:br/>
        <w:t>67 y 69), y Affidávit del Capitán Jefe y Fiscali Eddie Fonkie, supra nota</w:t>
        <w:br/>
        <w:t>66, (folios 1911-1912).</w:t>
        <w:br/>
        <w:t>[96]  Cfr. Testimonio del Capitán Jefe y Fiscali Wazen Eduards, supra nota</w:t>
        <w:br/>
        <w:t>61 (transcripción de audiencia pública, p. 8); Testimonio del Capitán Cesar</w:t>
        <w:br/>
        <w:t>Adjako, supra nota 68 (transcripción de audiencia pública, p. 16); Dictamen</w:t>
        <w:br/>
        <w:t>del Profesor Richard Price, supra nota 62 (transcripción de audiencia</w:t>
        <w:br/>
        <w:t>pública, p. 59); Dictamen de Salomon Emanuels, supra nota 62 (transcripción</w:t>
        <w:br/>
        <w:t>de audiencia pública, pp. 67 y 69), y Affidávit del Capitán Jefe y Fiscali</w:t>
        <w:br/>
        <w:t>Eddie Fonkie, supra nota 66.</w:t>
        <w:br/>
        <w:t>[97]  Cfr. Affidávit del Capitán Jefe y Fiscali Eddie Fonkie, supra nota</w:t>
        <w:br/>
        <w:t>66, y Dictamen del Profesor Richard Price, supra nota 62 (transcripción de</w:t>
        <w:br/>
        <w:t>audiencia pública, p. 60).</w:t>
        <w:br/>
        <w:t>[98]  Affidávit del Capitán Jefe y Fiscali Eddie Fonkie, supra nota 66.</w:t>
        <w:br/>
        <w:t>[99]  Dictamen del Profesor Richard Price, supra nota 62 (transcripción de</w:t>
        <w:br/>
        <w:t>audiencia pública, p. 60).</w:t>
        <w:br/>
        <w:t>[100]       Cfr., por ejemplo, CtEDH, Connors vs. El Reino Unido, supra</w:t>
        <w:br/>
        <w:t>nota 76, párr. 84 (declarando que los Estados tienen una obligación</w:t>
        <w:br/>
        <w:t>positiva de adoptar los pasos necesarios para salvaguardar y proteger los</w:t>
        <w:br/>
        <w:t>diferentes estilos de vida de las minorías con el fin de garantizarles el</w:t>
        <w:br/>
        <w:t>derecho a la igualdad ante la ley). Cfr. también, Comisión Interamericana</w:t>
        <w:br/>
        <w:t>de Derechos Humanos, Informe sobre la Situación de Derechos Humanos en</w:t>
        <w:br/>
        <w:t>Ecuador, supra nota 76 (señalando que “en el derecho internacional general</w:t>
        <w:br/>
        <w:t>y en el derecho interamericano específicamente, protecciones especiales</w:t>
        <w:br/>
        <w:t>para los pueblos indígenas pueden ser necesarios para que estos ejerzan sus</w:t>
        <w:br/>
        <w:t>derechos plenamente y con igualdad ante el resto de la población.</w:t>
        <w:br/>
        <w:t>Adicionalmente, puede que se requieran protecciones especiales para los</w:t>
        <w:br/>
        <w:t>pueblos indígenas con el fin de garantizar su supervivencia física y</w:t>
        <w:br/>
        <w:t>cultural – lo cual es un derecho protegido en varios convenios e</w:t>
        <w:br/>
        <w:t>instrumentos internacionales”). Cfr. también ONU, Convención Internacional</w:t>
        <w:br/>
        <w:t>sobre la Eliminación de todas las formas de Discriminación Racial, Art. 1.4</w:t>
        <w:br/>
        <w:t>(señalando que “[l]as medidas especiales adoptadas con el fin exclusivo de</w:t>
        <w:br/>
        <w:t>asegurar el adecuado progreso de ciertos grupos raciales o étnicos o de</w:t>
        <w:br/>
        <w:t>ciertas personas que requieran la protección que pueda ser necesaria con</w:t>
        <w:br/>
        <w:t>objeto de garantizarles, en condiciones de igualdad, el disfrute o</w:t>
        <w:br/>
        <w:t>ejercicio de los derechos humanos y de las libertades fundamentales no se</w:t>
        <w:br/>
        <w:t>considerarán como medidas de discriminación racial […]”, y Comité de</w:t>
        <w:br/>
        <w:t>Naciones Unidas para la Eliminación de la Discriminación Racial,</w:t>
        <w:br/>
        <w:t>Recomendación General No. 23, Derechos de los Pueblos Indígenas, supra nota</w:t>
        <w:br/>
        <w:t>76, párr. 4 (haciendo un llamado a los Estados a adoptar ciertas medidas</w:t>
        <w:br/>
        <w:t>con el fin de reconocer y garantizar los derechos de los pueblos</w:t>
        <w:br/>
        <w:t>indígenas).</w:t>
        <w:br/>
        <w:t>[101]       Decreto L-1 del 15 de junio de  1982,  que  contiene  principios</w:t>
        <w:br/>
        <w:t>básicos  sobre  la  política  de  tierras,  SB  1982,  no.  10,  Artículo  4</w:t>
        <w:br/>
        <w:t>(expediente de anexos a la demanda, anexo 5, folio 53).</w:t>
        <w:br/>
        <w:t>[102]       Decreto L-1 del 15 de junio de 1982, supra nota 104.</w:t>
        <w:br/>
        <w:t>[103]       Decreto E 58 de 8 de mayo de 1986, que contiene reglas</w:t>
        <w:br/>
        <w:t>generales para la explotación y exploración de minerales (Decreto de</w:t>
        <w:br/>
        <w:t>Minería), Artículos 47 y 48 (expediente de anexos a la demanda, anexo 8,</w:t>
        <w:br/>
        <w:t>folio 144).</w:t>
        <w:br/>
        <w:t>[104]       Decreto E 58 de 8 de mayo de 1986, supra nota 106, Artículo</w:t>
        <w:br/>
        <w:t>46(b).</w:t>
        <w:br/>
        <w:t>[105]       Decreto E 58 de 8 de mayo de 1986, supra nota 106, Artículo</w:t>
        <w:br/>
        <w:t>46(c).</w:t>
        <w:br/>
        <w:t>[106]       Decreto E 58 de 8 de mayo de 1986, supra nota 106, Artículo</w:t>
        <w:br/>
        <w:t>46(a).</w:t>
        <w:br/>
        <w:t>[107]       Cfr. Artículo 41(2) de la Ley de Gestión Forestal, 18 de</w:t>
        <w:br/>
        <w:t>septiembre de 1992 (expediente de anexos a la demanda, anexo 6, folio 75).</w:t>
        <w:br/>
        <w:t>Cfr. también Testimonio del Capitán Cesar Adjako, supra nota 68</w:t>
        <w:br/>
        <w:t>(transcripción de audiencia pública, p. 19), y Testimonio de Rene</w:t>
        <w:br/>
        <w:t>Somopawiro durante la audiencia pública en la Corte los días 9 y 10 de mayo</w:t>
        <w:br/>
        <w:t>de 2007 (transcripción de audiencia pública, pp. 40 y 53).</w:t>
        <w:br/>
        <w:t>[108]       Cfr. Testimonio de Rene Somopawiro, supra nota 110</w:t>
        <w:br/>
        <w:t>(transcripción de audiencia pública, pp. 39 y 42).</w:t>
        <w:br/>
        <w:t>[109]       Cfr. Testimonio del Capitán Cesar Adjako, supra nota 68</w:t>
        <w:br/>
        <w:t>(transcripción de audiencia pública, pp. 18-20), y Testimonio de Rene</w:t>
        <w:br/>
        <w:t>Somopawiro, supra nota 110 (transcripción de audiencia pública, p. 49).</w:t>
        <w:br/>
        <w:t>[110]       Testimonio de Rene Somopawiro, supra nota 110 (transcripción de</w:t>
        <w:br/>
        <w:t>audiencia pública, p. 52).</w:t>
        <w:br/>
        <w:t>[111]       Cfr. Testimonio de Rene Somopawiro, supra nota 110</w:t>
        <w:br/>
        <w:t>(transcripción de audiencia pública, p. 52).</w:t>
        <w:br/>
        <w:t>[112]       Cfr. Artículo 41 de la Ley de Gestión Forestal, supra nota 110,</w:t>
        <w:br/>
        <w:t>(folios 74-75).</w:t>
        <w:br/>
        <w:t>[113]       Cfr. Caso de la Comunidad Mayagna (Sumo) Awas Tingni, supra</w:t>
        <w:br/>
        <w:t>nota 49, párr. 153; Caso de la Comunidad Indígena Yakye Axa, supra nota 75,</w:t>
        <w:br/>
        <w:t>párr. 215, y Caso de la Comunidad Moiwana, supra nota 77, párr. 209.</w:t>
        <w:br/>
        <w:t>[114]       La Corte observa que en el caso de la Comunidad Moiwana se</w:t>
        <w:br/>
        <w:t>ordenó al Estado crear un mecanismo efectivo para la delimitación,</w:t>
        <w:br/>
        <w:t>demarcación y titulación del territorio tradicional de la comunidad</w:t>
        <w:br/>
        <w:t>Moiwana. Cfr. Caso de la Comunidad Moiwana, supra nota 77, párr. 209.</w:t>
        <w:br/>
        <w:t>[115]       Cfr. Caso de la Comunidad Indígena Yakye Axa, supra nota 75,</w:t>
        <w:br/>
        <w:t>párr. 143.</w:t>
        <w:br/>
        <w:t>[116]       Constitución de Surinam, Artículo 41 (expediente de anexos a la</w:t>
        <w:br/>
        <w:t>demanda, anexo 3, folio 28), y Decreto E 58 de 8 de mayo de 1986, supra</w:t>
        <w:br/>
        <w:t>nota 106, Artículo 2 (folio 120).</w:t>
        <w:br/>
        <w:t>[117]       Testimonio del Capitán Jefe y Fiscali Wazen Eduards, supra nota</w:t>
        <w:br/>
        <w:t>61 (transcripción de audiencia pública, p. 8).</w:t>
        <w:br/>
        <w:t>[118]       Cfr. Caso de la Comunidad Indígena Yakye Axa, supra nota 75,</w:t>
        <w:br/>
        <w:t>párr. 137, y Caso Comunidad Indígena Sawhoyamaxa, supra nota 75, párr. 118.</w:t>
        <w:br/>
        <w:t>[119]       La Corte también toma nota que la Comisión Africana, así como</w:t>
        <w:br/>
        <w:t>la Corte Suprema de Canadá y la Corte Constitucional de  África del Sur han</w:t>
        <w:br/>
        <w:t>declarado que los derechos de las comunidades indígenas a las tierras deben</w:t>
        <w:br/>
        <w:t>ser entendidos de manera tal que incluyan los recursos naturales que allí</w:t>
        <w:br/>
        <w:t>se encuentren.  Sin embargo, la Comisión Africana y la Corte Suprema de</w:t>
        <w:br/>
        <w:t>Canadá han observado que tales derechos no son absolutos, y que pueden ser</w:t>
        <w:br/>
        <w:t>restringidos bajo ciertas condiciones. Cfr. Comisión Africana sobre</w:t>
        <w:br/>
        <w:t>Derechos Humanos y de los Pueblos, The Social and Economic Rights Action</w:t>
        <w:br/>
        <w:t>Center and the Center for Economic and Social Rights v. Nigeria,</w:t>
        <w:br/>
        <w:t>Comunicación 155/96 (2001), párrs. 42, 54 y 55, y Delgamuukw v. British</w:t>
        <w:br/>
        <w:t>Columbia, [1997] 3 S.C.R. 1010 (11 de diciembre de 1997), párrs. 194, 199 y</w:t>
        <w:br/>
        <w:t>201.  La Corte Constitucional de África del Sur, citando una ley interna</w:t>
        <w:br/>
        <w:t>que requería la devolución de tierras a dueños que habían sido desposeídos</w:t>
        <w:br/>
        <w:t>de éstas por políticas racialmente discriminatorias, sostuvo el derecho de</w:t>
        <w:br/>
        <w:t>un pueblo indígena a los recursos minerales que se encontraban en tales</w:t>
        <w:br/>
        <w:t>tierras.  Cfr. Alexkor Ltd. and the Government of South Africa v.</w:t>
        <w:br/>
        <w:t>Richtersveld Community and Others, CCT/1903 (14 de octubre de 2003), párr.</w:t>
        <w:br/>
        <w:t>102.</w:t>
        <w:br/>
        <w:t>[120]       Cfr. Caso de la Comunidad Indígena Yakye Axa, supra nota 75,</w:t>
        <w:br/>
        <w:t>párr. 137, y Caso Comunidad Indígena Sawhoyamaxa, supra nota 75, párr. 118.</w:t>
        <w:br/>
        <w:t>[121]       Cfr. Caso de la Comunidad Indígena Yakye Axa, supra nota 75,</w:t>
        <w:br/>
        <w:t>párrs. 124 y 137, y Caso Comunidad Indígena Sawhoyamaxa, supra nota 75,</w:t>
        <w:br/>
        <w:t>párrs. 118 y 121.</w:t>
        <w:br/>
        <w:t>[122]       Cfr. Caso de la Comunidad Indígena Yakye Axa, supra nota 75,</w:t>
        <w:br/>
        <w:t>párrs. 144-145 citando (mutatis mutandi) Caso Ricardo Canese Vs. Paraguay.</w:t>
        <w:br/>
        <w:t>fondo, Reparaciones y Costas. Sentencia de 31 de agosto de 2004. Serie C</w:t>
        <w:br/>
        <w:t>No. 111, párr. 96; Caso Herrera Ulloa Vs. Costa Rica. Excepciones</w:t>
        <w:br/>
        <w:t>Preliminares, fondo, Reparaciones y Costas. Sentencia de 2 de julio de</w:t>
        <w:br/>
        <w:t>2004. Serie C No. 107, párr. 127, y Caso Ivcher Bronstein Vs. Perú. fondo,</w:t>
        <w:br/>
        <w:t>Reparaciones y Costas. Sentencia de 6 de febrero de 2001. Serie C No. 74.</w:t>
        <w:br/>
        <w:t>párr. 155. Cfr., también, Caso Comunidad Indígena Sawhoyamaxa, supra nota</w:t>
        <w:br/>
        <w:t>75, párr. 137.</w:t>
        <w:br/>
        <w:t>[123]       Cfr., e.g. Comité de Derechos Humanos de las Naciones Unidas,</w:t>
        <w:br/>
        <w:t>Länsman y otros vs. Finlandia (quincuagésima segunda sesión, 1994),</w:t>
        <w:br/>
        <w:t>Comunicación No. 511/1992, ONU Doc. CCPR/C/52/D/511/1994, 8 de noviembre de</w:t>
        <w:br/>
        <w:t>1994, párr. 9.4 (permitiendo que los Estados lleven a cabo actividades de</w:t>
        <w:br/>
        <w:t>desarrollo que limiten los derechos de una minoría cultural, siempre y</w:t>
        <w:br/>
        <w:t>cuando dicha actividad no extinga por completo el modo de vida del pueblo</w:t>
        <w:br/>
        <w:t>indígena).</w:t>
        <w:br/>
        <w:t>[124]       Al utilizar el término (plan de desarrollo o inversión) la</w:t>
        <w:br/>
        <w:t>Corte supone cualquier actividad que pueda afectar la integridad de las</w:t>
        <w:br/>
        <w:t>tierras y recursos naturales dentro del territorio Saramaka, en particular,</w:t>
        <w:br/>
        <w:t>cualquier propuesta relacionada con concesiones madereras o mineras.</w:t>
        <w:br/>
        <w:t>[125]       Cfr., e.g. OIT Convenio No. 169, Artículo 15(2) (declarando que</w:t>
        <w:br/>
        <w:t>“[e]n caso de que pertenezca al Estado la propiedad de los minerales o de</w:t>
        <w:br/>
        <w:t>los recursos del subsuelo, o tenga derechos sobre otros recursos existentes</w:t>
        <w:br/>
        <w:t>en las tierras, los gobiernos deberán establecer o mantener procedimientos</w:t>
        <w:br/>
        <w:t>con miras a consultar a los pueblos interesados, a fin de determinar si los</w:t>
        <w:br/>
        <w:t>intereses de esos pueblos serían perjudicados, y en qué medida, antes de</w:t>
        <w:br/>
        <w:t>emprender o autorizar cualquier programa de prospección o explotación de</w:t>
        <w:br/>
        <w:t>los recursos existentes en sus tierras. Los pueblos interesados deberán</w:t>
        <w:br/>
        <w:t>participar siempre que sea posible en los beneficios que reporten tales</w:t>
        <w:br/>
        <w:t>actividades, y percibir una indemnización equitativa por cualquier daño que</w:t>
        <w:br/>
        <w:t>puedan sufrir como resultado de esas actividades.”)  El Banco Mundial ha</w:t>
        <w:br/>
        <w:t>implementado requisitos similares, Banco Mundial, Política Operacional</w:t>
        <w:br/>
        <w:t>Revisada y Procedimientos del Banco en relación con Pueblos Indígenas</w:t>
        <w:br/>
        <w:t>(OP/BP 4.10).  Otros documentos hablan de manera más amplia sobre el</w:t>
        <w:br/>
        <w:t>derecho de una minoría de participar en las decisiones que le afectan</w:t>
        <w:br/>
        <w:t>directa o indirectamente. Cfr., e.g. ONU, Comité de Derechos Humanos,</w:t>
        <w:br/>
        <w:t>Comentario General No. 23:  Los derechos de las minorías (Art. 27), supra</w:t>
        <w:br/>
        <w:t>nota 93, párr. 7 (indicando que el goce de los derechos culturales conforme</w:t>
        <w:br/>
        <w:t>al artículo 27 del PIDCP “puede requerir la adopción de medidas positivas</w:t>
        <w:br/>
        <w:t>legales de protección y medidas que garanticen la participación efectiva de</w:t>
        <w:br/>
        <w:t>los miembros de comunidades minoritarias en las decisiones que les</w:t>
        <w:br/>
        <w:t>afectan”); Comité de Naciones Unidas para la Eliminación de la</w:t>
        <w:br/>
        <w:t>Discriminación Racial, Recomendación General No. 23, Derechos de los</w:t>
        <w:br/>
        <w:t>Pueblos Indígenas, supra nota 76, párr. 4(d) (haciendo un llamado a los</w:t>
        <w:br/>
        <w:t>Estados a “[g]arantizar que los miembros de los pueblos indígenas tengan el</w:t>
        <w:br/>
        <w:t>mismo derecho con respecto a la participación efectiva en la vida pública y</w:t>
        <w:br/>
        <w:t>que no se tome ninguna decisión que guarde una relación directa con sus</w:t>
        <w:br/>
        <w:t>derechos o intereses sin su consentimiento informado”).</w:t>
        <w:br/>
        <w:t>[126]       Comité de Derechos Humanos de las Naciones Unidas, Apirana</w:t>
        <w:br/>
        <w:t>Mahuika y otros v. Nueva Zelanda (sesión setenta, 2000), ONU Doc.</w:t>
        <w:br/>
        <w:t>CCPR/C/70/D/547/1993, 15 de noviembre de 2000, párr. 9.5.</w:t>
        <w:br/>
        <w:t>[127]       Por un voto de 143 a favor y 4 en contra, con 11 abstenciones,</w:t>
        <w:br/>
        <w:t>la Asamblea General de las Naciones Unidas adoptó, el 13 de septiembre de</w:t>
        <w:br/>
        <w:t>2007, la Declaración de las Naciones Unidas sobre los Derechos de los</w:t>
        <w:br/>
        <w:t>Pueblos Indígenas (Cfr.</w:t>
        <w:br/>
        <w:t>http://www.un.org/News/Press/docs/2007/ga10612.doc.htm).</w:t>
        <w:br/>
        <w:t>[128]       La Corte observa que, al explicar la posición del Estado a</w:t>
        <w:br/>
        <w:t>favor de este texto, el representante de Surinam hizo referencia al texto</w:t>
        <w:br/>
        <w:t>del artículo 32 de esta Declaración.  Al respecto, el comunicado de prensa</w:t>
        <w:br/>
        <w:t>emitido por las Naciones Unidas señaló: “[El representante de Surinam] dijo</w:t>
        <w:br/>
        <w:t>que su Gobierno aceptó el hecho que los Estados deberían buscar consultar</w:t>
        <w:br/>
        <w:t>previamente a fin de evitar desconsiderar los derechos humanos. El nivel de</w:t>
        <w:br/>
        <w:t>dichas consultas depende de las circunstancias específicas. No se deben</w:t>
        <w:br/>
        <w:t>entender a dichas consultas como un fin en si mismas, sino como un medio</w:t>
        <w:br/>
        <w:t>para servir el objetivo de respetar los intereses de aquellos que</w:t>
        <w:br/>
        <w:t>utilizaron la tierra”, supra nota 130.  Cfr. también</w:t>
        <w:br/>
        <w:t>http://www.un.org/esa/socdev/unpfii/es/drip.html.</w:t>
        <w:br/>
        <w:t>[129]       Testimonio de Comisionado de Distrito Rudy Strijk durante la</w:t>
        <w:br/>
        <w:t>audiencia pública en la Corte los días 9 y 10 de mayo de 2007</w:t>
        <w:br/>
        <w:t>(transcripción de audiencia pública, p. 23).</w:t>
        <w:br/>
        <w:t>[130]       Asimismo, en Comunidades Indígenas Maya en el Distrito de</w:t>
        <w:br/>
        <w:t>Toledo vs. Belice, la Comisión Interamericana observó que los Estados deben</w:t>
        <w:br/>
        <w:t>llevar a cabo consultas efectivas y plenamente informadas con comunidades</w:t>
        <w:br/>
        <w:t>indígenas con relación a hechos o decisiones que pudieran afectar sus</w:t>
        <w:br/>
        <w:t>territorios tradicionales.  En dicho caso, la Comisión determinó que un</w:t>
        <w:br/>
        <w:t>procedimiento de “consentimiento pleno e informado” requiere “como mínimo,</w:t>
        <w:br/>
        <w:t>que todos los integrantes de la comunidad estén plenamente enterados de la</w:t>
        <w:br/>
        <w:t>naturaleza y consecuencias del proceso que estén provistos de una</w:t>
        <w:br/>
        <w:t>oportunidad efectiva para participar de manera individual o colectiva”.</w:t>
        <w:br/>
        <w:t>Cfr. Comisión Interamericana de Derechos Humanos, Informe 40/04, Fondo.</w:t>
        <w:br/>
        <w:t>Caso 12.052. Comunidades Indígenas Maya en el Distrito de Toledo, supra</w:t>
        <w:br/>
        <w:t>nota 84, párr. 142. Cfr. también, los Principio del Ecuador, Principio 5.</w:t>
        <w:br/>
        <w:t>[131]       ONU, Informe del Relator Especial sobre la situación de los</w:t>
        <w:br/>
        <w:t>derechos humanos y libertades fundamentales de los pueblos indígenas, supra</w:t>
        <w:br/>
        <w:t>nota 97, p. 2.</w:t>
        <w:br/>
        <w:t>[132]       ONU, Informe del Relator Especial sobre la situación de los</w:t>
        <w:br/>
        <w:t>derechos humanos y libertades fundamentales de los pueblos indígenas, supra</w:t>
        <w:br/>
        <w:t>nota 97, párr. 66.</w:t>
        <w:br/>
        <w:t>[133] El CEDR ha  observado  que  “[e]n  cuanto  a  la  explotación  de  los</w:t>
        <w:br/>
        <w:t>recursos que yacen en el subsuelo en tierras  tradicionales  de  comunidades</w:t>
        <w:br/>
        <w:t>indígenas, el Comité observa que la mera consulta con estas  comunidades  no</w:t>
        <w:br/>
        <w:t>es suficiente para cumplir con los requisitos establecidos por el Comité  en</w:t>
        <w:br/>
        <w:t>su recomendación general XXIII sobre los derechos de los pueblos  indígenas.</w:t>
        <w:br/>
        <w:t xml:space="preserve"> El Comité, por lo  tanto,  recomiendo  que  se  obtenga  el  consentimiento</w:t>
        <w:br/>
        <w:t>previo e informado de dichas comunidades”.  Cfr. Comité de  Naciones  Unidas</w:t>
        <w:br/>
        <w:t>para la Eliminación de la  Discriminación  Racial,  Consideraciones  de  los</w:t>
        <w:br/>
        <w:t>Informes presentados por los Estados Partes conforme al  artículo  9  de  la</w:t>
        <w:br/>
        <w:t>Convención. Observaciones Finales respecto del  Ecuador  (sesión  sesenta  y</w:t>
        <w:br/>
        <w:t>dos, 2003), ONU Doc. CERD/C/62/CO/2, 2 de junio de 2003, párr.  16.</w:t>
        <w:br/>
        <w:t>[134]       Cfr. Declaración de las Naciones Unidas Sobre  los  Derechos  de</w:t>
        <w:br/>
        <w:t>los Pueblos Indígenas, supra nota 130, Artículo  32.2  (señalando  que  “Los</w:t>
        <w:br/>
        <w:t>Estados celebrarán consultas y  cooperarán  de  buena  fe  con  los  pueblos</w:t>
        <w:br/>
        <w:t>indígenas  interesados   por   conducto   de   sus   propias   instituciones</w:t>
        <w:br/>
        <w:t>representativas a fin de obtener su consentimiento libre e  informado  antes</w:t>
        <w:br/>
        <w:t>de aprobar cualquier proyecto que afecte  a  sus  tierras  o  territorios  y</w:t>
        <w:br/>
        <w:t>otros  recursos,  particularmente  en  relación  con   el   desarrollo,   la</w:t>
        <w:br/>
        <w:t>utilización o la explotación de  recursos  minerales,  hídricos  o  de  otro</w:t>
        <w:br/>
        <w:t>tipo”.  Cfr. también O.I.T. Convenio  No.  169,  supra  nota  128,  Artículo</w:t>
        <w:br/>
        <w:t>15(2) (señalando que “[l]os pueblos interesados deberán  participar  siempre</w:t>
        <w:br/>
        <w:t>que sea  posible  en  los  beneficios  que  reporten  tales  actividades,  y</w:t>
        <w:br/>
        <w:t>percibir una indemnización equitativa por cualquier daño que  puedan  sufrir</w:t>
        <w:br/>
        <w:t>como resultado de esas actividades”).</w:t>
        <w:br/>
        <w:t>[135]        Comité  de  Naciones  Unidas  para   la   Eliminación   de   la</w:t>
        <w:br/>
        <w:t>Discriminación Racial, Consideraciones de los Informes presentados  por  los</w:t>
        <w:br/>
        <w:t>Estados Partes conforme  al  artículo  9  de  la  Convención.  Observaciones</w:t>
        <w:br/>
        <w:t>Finales respecto del Ecuador, para. 16.</w:t>
        <w:br/>
        <w:t>[136]       ONU, Informe del Relator Especial sobre la situación de los</w:t>
        <w:br/>
        <w:t>derechos humanos y libertades fundamentales de los pueblos indígenas, supra</w:t>
        <w:br/>
        <w:t>nota 97, párr. 66.</w:t>
        <w:br/>
        <w:t>[137]       Mapa preparado por el Ministerio de Recursos Naturales</w:t>
        <w:br/>
        <w:t>(expediente de anexos a la demanda, anexo 16, folios 180-181).</w:t>
        <w:br/>
        <w:t>[138]       Testimonio de Rene Somopawiro, supra nota 110 (transcripción de</w:t>
        <w:br/>
        <w:t>audiencia pública, pp. 45-46).</w:t>
        <w:br/>
        <w:t>[139]       Testimonio del Comisionado de Distrito Rudy Strijk, supra nota</w:t>
        <w:br/>
        <w:t>132 (transcripción de audiencia pública, p. 26).</w:t>
        <w:br/>
        <w:t>[140]       Dictamen del Profesor Richard Price, supra nota 62</w:t>
        <w:br/>
        <w:t>(transcripción de audiencia pública, pp. 55-56).</w:t>
        <w:br/>
        <w:t>[141]       Dictamen del Profesor Richard Price, supra nota 62</w:t>
        <w:br/>
        <w:t>(transcripción de audiencia pública, pp. 55-56).</w:t>
        <w:br/>
        <w:t>[142]       Dictamen del Profesor Richard Price, supra nota 62</w:t>
        <w:br/>
        <w:t>(transcripción de audiencia pública, pp. 55-56).</w:t>
        <w:br/>
        <w:t>[143]       Testimonio del Capitán Jefe y Fiscali Wazen Eduards, supra nota</w:t>
        <w:br/>
        <w:t>61 (transcripción de audiencia pública, p. 6).</w:t>
        <w:br/>
        <w:t>[144]       Testimonio del Capitán Cesar Adjako, supra nota 68</w:t>
        <w:br/>
        <w:t>(transcripción de audiencia pública, pp. 15-16).</w:t>
        <w:br/>
        <w:t>[145]       Testimonio del Capitán Cesar Adjako, supra nota 68</w:t>
        <w:br/>
        <w:t>(transcripción de audiencia pública, p. 14).</w:t>
        <w:br/>
        <w:t>[146]       Cfr. Dictamen del Profesor Richard Price, supra nota 62</w:t>
        <w:br/>
        <w:t>(transcripción de audiencia pública, p. 58), y Testimonio del Capitán Cesar</w:t>
        <w:br/>
        <w:t>Adjako, supra nota 68 (transcripción de audiencia pública, p. 13).</w:t>
        <w:br/>
        <w:t>[147]       Testimonio del Comisionado de Distrito Rudy Strijk, supra nota</w:t>
        <w:br/>
        <w:t>132 (transcripción de audiencia pública, pp. 26 y 30).</w:t>
        <w:br/>
        <w:t>[148]       Testimonio del Comisionado de Distrito Rudy Strijk, supra nota</w:t>
        <w:br/>
        <w:t>132 (transcripción de audiencia pública, p. 30).</w:t>
        <w:br/>
        <w:t>[149]       Cfr. Testimonio de Rene Somopawiro, supra nota 110</w:t>
        <w:br/>
        <w:t>(transcripción de audiencia pública, p. 47).</w:t>
        <w:br/>
        <w:t>[150]       Cfr. Mapa II,  presentado  por  Peter  Poole  ante  la  Comisión</w:t>
        <w:br/>
        <w:t>Interamericana  durante  la  audiencia  pública  del  5  de  marzo  de  2006</w:t>
        <w:br/>
        <w:t>(expediente de anexos a la demanda, anexo 15, folio 172).</w:t>
        <w:br/>
        <w:t>[151]       Cfr. Affidávit del Dr. Peter Poole, supra nota 69 (folio 1965).</w:t>
        <w:br/>
        <w:t>[152]       Cfr. Testimonio del Capitán Jefe y Fiscali Wazen Eduards, supra</w:t>
        <w:br/>
        <w:t>nota 61 (transcripción de audiencia pública, pp. 4-5).</w:t>
        <w:br/>
        <w:t>[153]       Cfr. Testimonio del Capitán Cesar Adjako, supra nota 68</w:t>
        <w:br/>
        <w:t>(transcripción de audiencia pública, p. 16).</w:t>
        <w:br/>
        <w:t>[154]       Cfr. Affidávit de Silvi Adjako, supra nota 98 (folio 1924).</w:t>
        <w:br/>
        <w:t>[155]       Cfr. Affidávit de S. Hugo Jabini de 3 de abril de 2007</w:t>
        <w:br/>
        <w:t>(expediente de affidávits y observaciones, anexo 6, folios 1937-38).</w:t>
        <w:br/>
        <w:t>[156]       Affidávit de Silvi Adjako, supra nota 98, (folio 1924).</w:t>
        <w:br/>
        <w:t>[157]       Affidávit de S. Hugo Jabini, supra nota 158 (folio 1938).</w:t>
        <w:br/>
        <w:t>[158]       Cfr. Affidávit del Dr. Robert Goodland de 27 de abril de 2007</w:t>
        <w:br/>
        <w:t>(expediente de affidávits y observaciones, anexo 3, folios 1887-1894), y</w:t>
        <w:br/>
        <w:t>Affidávit del Dr. Peter Poole, supra nota 69 (folios 1964-65).</w:t>
        <w:br/>
        <w:t>[159]       Affidávit del Dr. Robert Goodland, supra nota 161 (folio 1888).</w:t>
        <w:br/>
        <w:t>[160]       Affidávit del Dr. Robert Goodland, supra nota 161 (folio 1892).</w:t>
        <w:br/>
        <w:t>[161]       Affidávit del Dr. Robert Goodland, supra nota 161 (folio 1892).</w:t>
        <w:br/>
        <w:t>[162]       Affidávit del Dr. Peter Poole, supra nota 69 (folio 1964).</w:t>
        <w:br/>
        <w:t>[163]       Cfr. Affidávit del Dr. Robert Goodland, supra nota 161 (folios</w:t>
        <w:br/>
        <w:t>1890-1891), y Affidávit del Dr. Peter Poole, supra nota 69 (folios 1964-</w:t>
        <w:br/>
        <w:t>1965).</w:t>
        <w:br/>
        <w:t>[164]       Affidávit del Dr. Robert Goodland, supra nota 161 (folios</w:t>
        <w:br/>
        <w:t>1891).</w:t>
        <w:br/>
        <w:t>[165]       Cfr. Affidávit del Dr. Robert Goodland, supra nota 161 (folios</w:t>
        <w:br/>
        <w:t>1890-1891).</w:t>
        <w:br/>
        <w:t>[166]       Cfr. Affidávit del Dr. Peter Poole, supra nota 69 (folio 1964).</w:t>
        <w:br/>
        <w:t>[167]       Cfr. Affidávit del Dr. Robert Goodland, supra nota 161 (folio</w:t>
        <w:br/>
        <w:t>1894) (citando las estadísticas forestales de 1999 a 2005 de la Fundación</w:t>
        <w:br/>
        <w:t>de Manejo Forestal de Surinam), y Resumen de las concesiones madereras en</w:t>
        <w:br/>
        <w:t>la Región Pokigron.  Mapa producido por la Fundación de Manejo Forestal de</w:t>
        <w:br/>
        <w:t>Surinam, Ministerio de Recursos Naturales, agosto 2003 (expediente de</w:t>
        <w:br/>
        <w:t>anexos al escrito de los representantes, anexo 1.1, folio 1460).</w:t>
        <w:br/>
        <w:t>[168]       Testimonio del Capitán Jefe y Fiscali Wazen Eduards, supra nota</w:t>
        <w:br/>
        <w:t>61 (transcripción de audiencia pública, p. 8).</w:t>
        <w:br/>
        <w:t>[169]       Cfr. Mapa preparado por el Ministerio de Recursos Naturales,</w:t>
        <w:br/>
        <w:t>supra nota 140.</w:t>
        <w:br/>
        <w:t>[170]       Caso de la Comunidad Indígena Yakye Axa, supra nota 75, párr.</w:t>
        <w:br/>
        <w:t>144.  Cfr. también, Comité de Derechos Humanos de las Naciones Unidas, Iván</w:t>
        <w:br/>
        <w:t>Kitok vs. Suecia, Comunicación No. 197/1985, ONU Doc. CCPR/C/33/D/197/1985,</w:t>
        <w:br/>
        <w:t>10 de agosto de 1988, párr. 9.8.</w:t>
        <w:br/>
        <w:t>[171]       Cfr. Caso de la Comunidad Indígena Yakye Axa, supra nota 75,</w:t>
        <w:br/>
        <w:t>párrs. 144-145, y Caso Comunidad Indígena Sawhoyamaxa, supra nota 75, párr.</w:t>
        <w:br/>
        <w:t>137.</w:t>
        <w:br/>
        <w:t>[172]       Cfr. Caso “Cinco Pensionistas”, supra nota 8,  párr.  155;  Caso</w:t>
        <w:br/>
        <w:t>Escué Zapata, supra nota 22, y Caso Bueno Alves, supra nota 8, párr. 121.</w:t>
        <w:br/>
        <w:t>[173]       Este derecho también está reconocido en otros instrumentos</w:t>
        <w:br/>
        <w:t>internacionales. Cfr., inter alia, Declaración Universal de Derechos</w:t>
        <w:br/>
        <w:t>Humanos, Artículo 6; PIDCP, Artículo 16; Declaración Americana de los</w:t>
        <w:br/>
        <w:t>Derechos y Deberes del Hombre, Artículo XVII, y Carta Africana sobre</w:t>
        <w:br/>
        <w:t>Derechos Humanos y de los Pueblos, Artículo 5.</w:t>
        <w:br/>
        <w:t>[174]       Cfr. Caso Bámaca Velásquez Vs. Guatemala. fondo. Sentencia de</w:t>
        <w:br/>
        <w:t>25 de noviembre de 2000. Serie C No. 70, párr. 179; Caso Comunidad Indígena</w:t>
        <w:br/>
        <w:t>Sawhoyamaxa, supra nota 75, párr. 188, y Caso de las Niñas Yean y Bosico</w:t>
        <w:br/>
        <w:t>Vs. República Dominicana. Excepciones Preliminares, fondo, Reparaciones y</w:t>
        <w:br/>
        <w:t>Costas. Sentencia de 8 de septiembre de 2005. Serie C No. 130, párr. 177.</w:t>
        <w:br/>
        <w:t>Cfr. también Comité de Derechos Humanos de las Naciones Unidas,</w:t>
        <w:br/>
        <w:t>Consideración de los Informes presentados por los Estados Partes conforme</w:t>
        <w:br/>
        <w:t>al artículo 40 del Pacto, Observaciones Finales respecto de Gabón, ONU Doc.</w:t>
        <w:br/>
        <w:t>CCPR/C/31/ADD.4, 18 de noviembre de 1996, párr. 54.</w:t>
        <w:br/>
        <w:t>[175]       Caso Comunidad Indígena Sawhoyamaxa, supra nota 75, párr. 188.</w:t>
        <w:br/>
        <w:t>[176]       Cfr. Caso Bámaca Velásquez, supra nota 177, párr. 179; Caso La</w:t>
        <w:br/>
        <w:t>Cantuta Vs. Perú. fondo, Reparaciones y Costas. Sentencia de 29 de</w:t>
        <w:br/>
        <w:t>noviembre de 2006. Serie C No. 162, párr. 120, y Caso Comunidad Indígena</w:t>
        <w:br/>
        <w:t>Sawhoyamaxa, supra nota 75, párr. 188.</w:t>
        <w:br/>
        <w:t>[177]       Cfr. Caso de las Niñas Yean y Bosico, supra nota 177, párr.</w:t>
        <w:br/>
        <w:t>179, y Caso Comunidad Indígena Sawhoyamaxa, supra nota 75, párr. 188.</w:t>
        <w:br/>
        <w:t>[178]       Caso Comunidad Indígena Sawhoyamaxa, supra nota 75, párr. 189.</w:t>
        <w:br/>
        <w:t>[179]       Cfr. Caso Comunidad Indígena Sawhoyamaxa, supra nota 75, párr.</w:t>
        <w:br/>
        <w:t>189.</w:t>
        <w:br/>
        <w:t>[180]       Cfr. Constitución de Surinam, Artículo 41, supra nota 119, y</w:t>
        <w:br/>
        <w:t>Artículo 1386 del Código Civil de Surinam (expediente de anexos a la</w:t>
        <w:br/>
        <w:t>demanda, anexo 4, folios 51).</w:t>
        <w:br/>
        <w:t>[181]       Cfr. Caso Comunidad Indígena Sawhoyamaxa, supra nota 75, párrs.</w:t>
        <w:br/>
        <w:t>188-190.</w:t>
        <w:br/>
        <w:t>[182]       Durante el procedimiento de este caso ante la Corte, y</w:t>
        <w:br/>
        <w:t>anteriormente durante el procedimiento de la petición ante la Comisión, se</w:t>
        <w:br/>
        <w:t>han utilizado varios nombres para referirse a este caso.  En el informe del</w:t>
        <w:br/>
        <w:t>artículo 50 la Comisión utilizó el nombre “12 Clanes Saramaka”; en las</w:t>
        <w:br/>
        <w:t>Resoluciones del Presidente de la Corte de 30 de marzo y 14 de abril de</w:t>
        <w:br/>
        <w:t>2007 se utilizó el nombre “Comunidad Saramaka”, y en varias comunicaciones</w:t>
        <w:br/>
        <w:t>entre la Secretaría de la Corte y las partes se ha utilizado el nombre de</w:t>
        <w:br/>
        <w:t>“Wazen Edwards y otros”.  Sin embargo, en reconocimiento del derecho de los</w:t>
        <w:br/>
        <w:t>miembros del pueblo Saramaka al uso y goce de la propiedad de conformidad</w:t>
        <w:br/>
        <w:t>con su sistema comunal y tradiciones ancestrales como comunidad tribal, la</w:t>
        <w:br/>
        <w:t>Corte considera que el nombre “Pueblo Saramaka” es más apropiado.</w:t>
        <w:br/>
        <w:t>[183]       Cfr. Caso de la Comunidad Moiwana, supra nota 77, párr. 86.5.</w:t>
        <w:br/>
        <w:t>[184]       Affidávit de Mariska Muskiet de 3 de abril de 2007 (expediente</w:t>
        <w:br/>
        <w:t>de affidávits y observaciones, anexo 7, folio 1946).</w:t>
        <w:br/>
        <w:t>[185]       Cfr., por ejemplo, caso Marijkedorp (decidiendo que los  títulos</w:t>
        <w:br/>
        <w:t>de  propiedad  privada  opacan  las  formas  tradicionales  de  tenencia  de</w:t>
        <w:br/>
        <w:t>tierras).  Cfr. además Affidávit de  Mariska  Muskiet,  supra  nota  187,  y</w:t>
        <w:br/>
        <w:t>Banco Interamericano de Desarrollo, Pueblos Indígenas y Maroons en  Surinam,</w:t>
        <w:br/>
        <w:t>supra nota 97, (folio 568) (declarando que  “[b]ajo  el  derecho  surinamés,</w:t>
        <w:br/>
        <w:t>las comunidades y pueblos  indígenas  y  tribales  carecen  de  personalidad</w:t>
        <w:br/>
        <w:t>jurídica y por tanto no tienen la capacidad para ejercer  sus  derechos  […]</w:t>
        <w:br/>
        <w:t>Cualquier intento por parte de pueblos indígenas para hacer uso del  sistema</w:t>
        <w:br/>
        <w:t>judicial a, por tanto, fracasado”)</w:t>
        <w:br/>
        <w:t>[186]       Cfr. Caso Comunidad Indígena Sawhoyamaxa, supra nota 75, párr.</w:t>
        <w:br/>
        <w:t>189.</w:t>
        <w:br/>
        <w:t>[187] Cfr. Artículos 1386, 1387, 1388, 1392 y 1393 del Código Civil de</w:t>
        <w:br/>
        <w:t>Surinam (expediente de anexos a la demanda, anexo 4, folios 51) y</w:t>
        <w:br/>
        <w:t>Contestación a la demanda (fondo, volumen II, folios 335-336).</w:t>
        <w:br/>
        <w:t>[188]       Cf. Garantías Judiciales en Estados de Emergencia  (arts.  27.2,</w:t>
        <w:br/>
        <w:t>25 y 8 Convención Americana sobre Derechos Humanos). Opinión Consultiva  OC-</w:t>
        <w:br/>
        <w:t>9/87 del 6 de octubre de 1987. Serie A No. 9, párr. 24.</w:t>
        <w:br/>
        <w:t>[189]        Cfr.  Caso  Castillo  Petruzzi  y  otros   Vs.   Perú.   fondo,</w:t>
        <w:br/>
        <w:t>Reparaciones y Costas. Sentencia de 30 de mayo de  1999.  Serie  C  No.  52,</w:t>
        <w:br/>
        <w:t>párr. 185; Caso Claude Reyes  y  otros  Vs.  Chile.  fondo,  Reparaciones  y</w:t>
        <w:br/>
        <w:t>Costas. Sentencia de 19 de septiembre de 2006. Serie C No. 151,  párr.  130,</w:t>
        <w:br/>
        <w:t>y Caso Yatama, supra nota 13, párr. 168. Cfr. también  Garantías  Judiciales</w:t>
        <w:br/>
        <w:t>en Estados de Emergencia (arts. 27.2, 25  y  8  Convención  Americana  sobre</w:t>
        <w:br/>
        <w:t>Derechos Humanos), supra nota 191, párr. 24.</w:t>
        <w:br/>
        <w:t>[190]       Cfr. Caso de la Comunidad Indígena Yakye Axa, supra nota 75,</w:t>
        <w:br/>
        <w:t>párr. 63.</w:t>
        <w:br/>
        <w:t>[191]       Cfr. Caso de la Comunidad Indígena Yakye Axa, supra nota 75,</w:t>
        <w:br/>
        <w:t>párr. 96.</w:t>
        <w:br/>
        <w:t>[192]       Affidávit de Mariska Muskiet, supra nota 187, (folio 1943).</w:t>
        <w:br/>
        <w:t>[193]       Affidávit de Mariska Muskiet, supra nota 187.</w:t>
        <w:br/>
        <w:t>[194]       Affidávit de Mariska Muskiet, supra nota 187, (folio 1950).</w:t>
        <w:br/>
        <w:t>[195]       Affidávit de Mariska Muskiet, supra nota 187, (folio 1950).</w:t>
        <w:br/>
        <w:t>[196]       Affidávit de Mariska Muskiet, supra nota 187 (folio 1950). Cfr.</w:t>
        <w:br/>
        <w:t>también ONU, Informe del Relator Especial sobre la situación de los</w:t>
        <w:br/>
        <w:t>derechos humanos y libertades fundamentales de los pueblos indígenas,</w:t>
        <w:br/>
        <w:t>Rodolfo Stavenhagen, U.N. Doc. A/59/258, 12 de agosto de 2004, párr. 29</w:t>
        <w:br/>
        <w:t>(por el cual el Relator Especial enfatizó que “los pueblos indígenas no</w:t>
        <w:br/>
        <w:t>tienen acceso igualitario al sistema judicial y se encuentran con</w:t>
        <w:br/>
        <w:t>discriminación de todo tipo en la operación del sistema de justicia.”)</w:t>
        <w:br/>
        <w:t>[197]       Decreto E 58 de 8 de mayo de 1986, supra nota 106, Artículo 46</w:t>
        <w:br/>
        <w:t>(a) (folio 144).</w:t>
        <w:br/>
        <w:t>[198]       Decreto E 58 de 8 de mayo de 1986, supra nota 106, Artículo 46</w:t>
        <w:br/>
        <w:t>(a) (folio 144).</w:t>
        <w:br/>
        <w:t>[199]       Affidávit de la Dra. M. R. Hoever-Venoaks  de  29  de  abril  de</w:t>
        <w:br/>
        <w:t>2007 (expediente de affidávits y observaciones, anexo 10, folio 1982).</w:t>
        <w:br/>
        <w:t>[200]       Peticiones presentadas por las presuntas víctimas ante el</w:t>
        <w:br/>
        <w:t>Presidente de la República de Surinam el 15 de enero de 2003 y 16 de abril</w:t>
        <w:br/>
        <w:t>de 2000, de conformidad con el artículo 22 de la Constitución de Surinam</w:t>
        <w:br/>
        <w:t>supra nota 119 (folios 182-185 y 204-205); y peticiones presentadas de</w:t>
        <w:br/>
        <w:t>conformidad con el artículo 41 de la Ley de Gestión Forestal de 1992 el 24</w:t>
        <w:br/>
        <w:t>de octubre de 2005 y el 1 de julio de 2000 (expediente de anexos a la</w:t>
        <w:br/>
        <w:t>demanda, anexo 17, folios 182-185, y anexo 18, folios 205-208).</w:t>
        <w:br/>
        <w:t>[201]       El artículo 63(1) establece que:  “[c]uando  [la  Corte]  decida</w:t>
        <w:br/>
        <w:t>que hubo violación  de un derecho o libertad protegidos en [la]  Convención,</w:t>
        <w:br/>
        <w:t>la Corte dispondrá que se  garantice al lesionado en el goce de  su  derecho</w:t>
        <w:br/>
        <w:t>o libertad conculcados.  Dispondrá asimismo, si ello fuera  procedente,  que</w:t>
        <w:br/>
        <w:t>se reparen las consecuencias de la medida o situación que ha configurado  la</w:t>
        <w:br/>
        <w:t>vulneración de esos derechos y el pago de  una  justa   indemnización  a  la</w:t>
        <w:br/>
        <w:t>parte lesionada.”</w:t>
        <w:br/>
        <w:t>[202] Cfr. Caso Velásquez Rodríguez Vs. Honduras. Reparaciones y Costas.</w:t>
        <w:br/>
        <w:t>Sentencia de 21 de julio de 1989. Serie C No. 7, párr. 25; Caso Cantoral</w:t>
        <w:br/>
        <w:t>Huamaní y García Santa Cruz, supra nota 50, párr. 156, y Caso Zambrano</w:t>
        <w:br/>
        <w:t>Vélez y otros, supra nota 50, párr. 131.</w:t>
        <w:br/>
        <w:t>[203] Cfr. Caso Aloeboetoe y otros Vs. Surinam. Reparaciones y Costas.</w:t>
        <w:br/>
        <w:t>Sentencia de 10 de septiembre de 1993. Serie C No. 15, párr. 44; Caso</w:t>
        <w:br/>
        <w:t>Cantoral Huamaní y García Santa Cruz, supra nota 50, párr. 165, y Caso</w:t>
        <w:br/>
        <w:t>Zambrano Vélez y otros, supra nota 50, párr. 131.</w:t>
        <w:br/>
        <w:t>[204]       Cfr. Caso Velásquez Rodríguez, supra nota 205, párrs. 25-26;</w:t>
        <w:br/>
        <w:t>Caso Garrido y Baigorria Vs. Argentina. Reparaciones y Costas. Sentencia de</w:t>
        <w:br/>
        <w:t>27 de agosto de 1998. Serie C No. 39, párr. 43, y Caso de la “Panel Blanca”</w:t>
        <w:br/>
        <w:t>(Paniagua Morales y otros), supra nota 49, párrs. 76-79. Cfr. también Caso</w:t>
        <w:br/>
        <w:t>La Cantuta, supra nota 179, párrs. 200-203, y Caso del Penal Miguel Castro</w:t>
        <w:br/>
        <w:t>Castro, supra nota 8, párrs. 414-416.</w:t>
        <w:br/>
        <w:t>[205]       Cfr. Caso de las Masacres de Ituango Vs. Colombia. Excepción</w:t>
        <w:br/>
        <w:t>Preliminar, fondo, Reparaciones y Costas. Sentencia de 1 de julio de 2006.</w:t>
        <w:br/>
        <w:t>Serie C No. 148, párr. 98, y Caso Goiburú y otros, supra nota 11, párr. 29.</w:t>
        <w:br/>
        <w:t>Cfr. también Caso de la Comunidad Mayagna (Sumo) Awas Tingni, supra nota</w:t>
        <w:br/>
        <w:t>49, párrs. 162-167.</w:t>
        <w:br/>
        <w:t>[206]       El pueblo Saramaka está compuesto por aproximadamente unas</w:t>
        <w:br/>
        <w:t>30,000 personas.  Dada la escasez de información de censos ciertos acerca</w:t>
        <w:br/>
        <w:t>de la composición de la comunidad Saramaka, se estima que ésta está</w:t>
        <w:br/>
        <w:t>compuesta por entre 25,000 a 34,482 integrantes.  El pueblo Saramaka</w:t>
        <w:br/>
        <w:t>también está disperso a través de la región superior del Río Surinam, en el</w:t>
        <w:br/>
        <w:t>Distrito Brokopondo, y en otras áreas de Surinam, incluyendo la capital,</w:t>
        <w:br/>
        <w:t>Paramaribo (supra párr. 80).</w:t>
        <w:br/>
        <w:t>[207]       Cfr. Caso de la Comunidad Mayagna (Sumo) Awas Tingni, supra</w:t>
        <w:br/>
        <w:t>nota 49, párr. 164; Caso de la Comunidad Indígena Yakye Axa, supra nota 75,</w:t>
        <w:br/>
        <w:t>párr. 189, y Caso Comunidad Indígena Sawhoyamaxa, supra nota 75, párr. 204.</w:t>
        <w:br/>
        <w:t>[208]       Cfr. Caso Suárez Rosero Vs. Ecuador. Reparaciones y Costas.</w:t>
        <w:br/>
        <w:t>Sentencia de 20 de enero de 1999. Serie C No. 44, párr. 72; Caso Cantoral</w:t>
        <w:br/>
        <w:t>Huamaní y García Santa Cruz, supra nota 50, párr. 180, y Caso  Zambrano</w:t>
        <w:br/>
        <w:t>Vélez y otros, supra nota 50, párr. 142.</w:t>
        <w:br/>
        <w:t>[209]       Cfr. Caso Velásquez Rodríguez, supra nota 205, párr. 50; Caso</w:t>
        <w:br/>
        <w:t>Cantoral Benavides Vs. Perú. Reparaciones y Costas. Sentencia de 3 de</w:t>
        <w:br/>
        <w:t>diciembre de 2001. Serie C No. 88, párrs. 53 y 57, y Caso Bámaca Velásquez,</w:t>
        <w:br/>
        <w:t>supra nota 49, párr. 43.  Cfr. también Caso La Cantuta, supra nota 179,</w:t>
        <w:br/>
        <w:t>párrs. 213 y 216, y Caso del Penal Miguel Castro Castro, supra nota 8,</w:t>
        <w:br/>
        <w:t>párrs. 423 y 430.</w:t>
        <w:br/>
        <w:t>[210] Cfr. Case Garrido y Baigorria, supra nota 207, párr. 79, y Caso de la</w:t>
        <w:br/>
        <w:t>“Panel Blanca” (Paniagua Morales y otros), supra nota 49, párr. 212. Cfr.</w:t>
        <w:br/>
        <w:t>también Caso La Cantuta, supra nota 179, párr. 243, y Caso del Penal Miguel</w:t>
        <w:br/>
        <w:t>Castro Castro, supra nota 8, párr. 455.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