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t xml:space="preserve">                Caso de la masacre de La Rochela vs. Colombia</w:t>
        <w:br/>
        <w:br/>
        <w:br/>
        <w:t xml:space="preserve">                      Sentencia de 28 de enero de 2008</w:t>
        <w:br/>
        <w:t xml:space="preserve">      (Interpretación de la Sentencia de Fondo, Reparaciones y Costas)</w:t>
        <w:br/>
        <w:br/>
        <w:br/>
        <w:br/>
        <w:br/>
        <w:t>En el caso de la masacre de La Rochela,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Jueza; y</w:t>
        <w:br/>
        <w:t xml:space="preserve">      Rhadys Abreu Blondet, Jueza;</w:t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la  demanda  de  interpretación  de   la   Sentencia   de   fondo,</w:t>
        <w:br/>
        <w:t>reparaciones y costas dictada por la Corte el 11 de mayo de 2007 en el  caso</w:t>
        <w:br/>
        <w:t>de la masacre de La  Rochela  vs.  Colombia  (en  adelante  “la  demanda  de</w:t>
        <w:br/>
        <w:t>interpretación”), interpuesta por el Estado de  Colombia  (en  adelante  “el</w:t>
        <w:br/>
        <w:t>Estado” o “Colombia”).</w:t>
        <w:br/>
        <w:br/>
        <w:t xml:space="preserve">                                      I</w:t>
        <w:br/>
        <w:t xml:space="preserve"> Introducción de la demanda de interpretación y procedimiento ante la Corte</w:t>
        <w:br/>
        <w:br/>
        <w:t>1.    El 3  de  septiembre  de  2007  el  Estado  presentó  una  demanda  de</w:t>
        <w:br/>
        <w:t>interpretación de la Sentencia de fondo, reparaciones  y  costas[1]  emitida</w:t>
        <w:br/>
        <w:t>en este caso el 11 de  mayo  de  2007  (en  adelante  “la  Sentencia”),  con</w:t>
        <w:br/>
        <w:t>fundamento en los artículos 67 de la Convención y 59 del Reglamento.  En  su</w:t>
        <w:br/>
        <w:t>demanda  de  interpretación  el  Estado  solicitó  la  “aclaración   de   la</w:t>
        <w:br/>
        <w:t>[S]entencia […] teniendo en  cuenta  que  en  relación  con  [la  misma]  se</w:t>
        <w:br/>
        <w:t>presentan  […]  dudas”  sobre  la  indemnización  por  daño  inmaterial,  la</w:t>
        <w:br/>
        <w:t>divulgación pública de los resultados de los procesos penales y el  pago  de</w:t>
        <w:br/>
        <w:t>costas y gastos.</w:t>
        <w:br/>
        <w:br/>
        <w:t>2.    El 4 de septiembre de 2007, de conformidad  con  lo  dispuesto  en  el</w:t>
        <w:br/>
        <w:t>artículo 59.2 del Reglamento y siguiendo instrucciones  del  Presidente  del</w:t>
        <w:br/>
        <w:t>Tribunal,  la  Secretaría  de  la  Corte  (en  adelante   “la   Secretaría”)</w:t>
        <w:br/>
        <w:t>transmitió  copia  de  la  demanda   de   interpretación   a   la   Comisión</w:t>
        <w:br/>
        <w:t>Interamericana  de  Derechos  Humanos  (en  adelante  “la  Comisión”  o  “la</w:t>
        <w:br/>
        <w:t>Comisión Interamericana”) y a los  representantes  de  las  víctimas  y  sus</w:t>
        <w:br/>
        <w:t>familiares (en adelante “los representantes”) y les  comunicó  que  contaban</w:t>
        <w:br/>
        <w:t>con un  plazo  improrrogable  hasta  el  4  de  octubre  de  2007  para  que</w:t>
        <w:br/>
        <w:t>presentaran las alegaciones escritas que estimaren  pertinentes.   Asimismo,</w:t>
        <w:br/>
        <w:t>se recordó al Estado que, de conformidad con lo  dispuesto  en  el  artículo</w:t>
        <w:br/>
        <w:t>59.4  del  Reglamento,  “[l]a  demanda  de  interpretación  no  suspende  la</w:t>
        <w:br/>
        <w:t>ejecución de la Sentencia”. El 3 y 4 de octubre de 2007  los  representantes</w:t>
        <w:br/>
        <w:t>y  la  Comisión  presentaron,  respectivamente,  las  referidas  alegaciones</w:t>
        <w:br/>
        <w:t>escritas.</w:t>
        <w:br/>
        <w:br/>
        <w:t xml:space="preserve">                                     II</w:t>
        <w:br/>
        <w:t xml:space="preserve">                    Competencia y Composición de la Corte</w:t>
        <w:br/>
        <w:br/>
        <w:t>3.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4.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En esta ocasión, la Corte se integra con los mismos jueces  que</w:t>
        <w:br/>
        <w:t>profirieron la Sentencia cuya interpretación ha sido solicitada.</w:t>
        <w:br/>
        <w:br/>
        <w:t xml:space="preserve">                                     III</w:t>
        <w:br/>
        <w:t xml:space="preserve">                                Admisibilidad</w:t>
        <w:br/>
        <w:br/>
        <w:br/>
        <w:t>5.    Corresponde a la Corte verificar si los  términos  de  la  demanda  de</w:t>
        <w:br/>
        <w:t>interpretación  satisfacen  los  requisitos  establecidos  en   las   normas</w:t>
        <w:br/>
        <w:t>aplicables, a saber el artículo 67 de la Convención y los artículos  29.3  y</w:t>
        <w:br/>
        <w:t>59 del Reglamento.</w:t>
        <w:br/>
        <w:br/>
        <w:t>6. 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7.    El artículo 59 del Reglamento dispone, en lo pertinente, que:</w:t>
        <w:br/>
        <w:br/>
        <w:t xml:space="preserve">      1.  La demanda de interpretación a que se refiere el artículo 67 de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8.     La  Corte  constata  que  el   Estado   interpuso   la   demanda   de</w:t>
        <w:br/>
        <w:t>interpretación dentro  del  plazo  establecido  en  el  artículo  67  de  la</w:t>
        <w:br/>
        <w:t>Convención, toda vez que  la  Sentencia  fue  notificada  al  Estado,  a  la</w:t>
        <w:br/>
        <w:t>Comisión Interamericana y a los representantes el 8 de junio de 2007.</w:t>
        <w:br/>
        <w:br/>
        <w:t>9.     Por  otro  lado,  tal  como  lo  ha  dispuesto   anteriormente   este</w:t>
        <w:br/>
        <w:t>Tribunal[2],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t>10.    Para  analizar  la  procedencia  de  la  demanda  de   interpretación</w:t>
        <w:br/>
        <w:t>presentada por el Estado y, en su caso, aclarar el sentido o alcance  de  la</w:t>
        <w:br/>
        <w:t>Sentencia, seguidamente la  Corte  analizará  de  forma  separada  las  tres</w:t>
        <w:br/>
        <w:t>situaciones planteadas en la misma, así como  las  observaciones  relevantes</w:t>
        <w:br/>
        <w:t>de la Comisión y los representantes.</w:t>
        <w:br/>
        <w:br/>
        <w:t xml:space="preserve">                                     IV</w:t>
        <w:br/>
        <w:t xml:space="preserve">    Situación de las señoras Paola Martínez Ortiz y Blanca Herrera Suárez</w:t>
        <w:br/>
        <w:br/>
        <w:t>11.   El Estado señaló que a favor de estas dos  compañeras  permanentes  de</w:t>
        <w:br/>
        <w:t>dos de las víctimas fallecidas declaradas por la Corte en su  Sentencia  fue</w:t>
        <w:br/>
        <w:t>ordenada  una  indemnización   que   tenía   como   objeto   “equiparar   la</w:t>
        <w:br/>
        <w:t>indemnización que recibieron en el orden interno, la cual  fue  menor  a  la</w:t>
        <w:br/>
        <w:t>que se entregó a las  cónyuges”.  Sin  embargo,  el  Estado  indicó  que  el</w:t>
        <w:br/>
        <w:t>párrafo 270 de la Sentencia dispone que al momento de la liquidación de  las</w:t>
        <w:br/>
        <w:t>reparaciones ordenadas, se podrá descontar las cantidades otorgadas a  nivel</w:t>
        <w:br/>
        <w:t>interno en los procesos contencioso  administrativos.  Por  esta  razón,  el</w:t>
        <w:br/>
        <w:t>Estado “desea que la Corte aclare si de los US $30.000 [treinta mil  dólares</w:t>
        <w:br/>
        <w:t>de los Estados Unidos de América o  su  equivalente  en  moneda  colombiana]</w:t>
        <w:br/>
        <w:t>ordenados en la Sentencia se debe descontar lo que se haya pagado en  virtud</w:t>
        <w:br/>
        <w:t>de los procesos internos”.</w:t>
        <w:br/>
        <w:br/>
        <w:t>12.   Al respecto, la Comisión expresó que “el pago de la indemnización  por</w:t>
        <w:br/>
        <w:t>el monto de $30.000 [treinta mil dólares de los Estados Unidos de América  o</w:t>
        <w:br/>
        <w:t>su equivalente en moneda colombiana]  corresponde  al  monto  que  la  Corte</w:t>
        <w:br/>
        <w:t>decidió otorgar en equidad con el objeto de equiparar la  desventaja  en  la</w:t>
        <w:br/>
        <w:t>reparación  recibida  por  su  condición   de   compañeras   [permanentes]”.</w:t>
        <w:br/>
        <w:t>Asimismo, manifestó que  “[s]ería  ilusorio  pretender  descontar  el  monto</w:t>
        <w:br/>
        <w:t>pagado de la indemnización ordenada, cuando éste se ordenó con la  finalidad</w:t>
        <w:br/>
        <w:t>de equiparar los pagos efectuados por el Estado colombiano”.</w:t>
        <w:br/>
        <w:br/>
        <w:t>13.   Los representantes consideraron que “si bien la Sentencia da  lugar  a</w:t>
        <w:br/>
        <w:t>cierta confusión sobre este punto, un análisis integral de la  misma  revela</w:t>
        <w:br/>
        <w:t>que la intención de la Corte no pudo haber sido la de ordenar  descontar  de</w:t>
        <w:br/>
        <w:t>los US$ 30.000 [treinta mil dólares de los Estados Unidos de  América  o  su</w:t>
        <w:br/>
        <w:t>equivalente  en  moneda  colombiana]  las  indemnizaciones  por  daño  moral</w:t>
        <w:br/>
        <w:t>recibidas a nivel interno por las señoras Martínez y Herrera”. Al  respecto,</w:t>
        <w:br/>
        <w:t>resaltaron que “la Corte otorg[ó] una indemnización  por  concepto  de  daño</w:t>
        <w:br/>
        <w:t>inmaterial de US$ 70.000 [setenta mil  dólares  de  los  Estados  Unidos  de</w:t>
        <w:br/>
        <w:t>América o su equivalente en moneda colombiana] a los cónyuges  y  compañeros</w:t>
        <w:br/>
        <w:t>permanentes de las víctimas que no fueron indemnizados a nivel interno”,  es</w:t>
        <w:br/>
        <w:t>decir, según los representantes, “la Corte consideró que,  en  equidad,  las</w:t>
        <w:br/>
        <w:t>esposas y compañeros/as permanentes de las víctimas de la  masacre  deberían</w:t>
        <w:br/>
        <w:t>recibir una indemnización de US$ 70.000 [setenta mil dólares de los  Estados</w:t>
        <w:br/>
        <w:t>Unidos de América o su equivalente en moneda  colombiana]  por  concepto  de</w:t>
        <w:br/>
        <w:t>daño  inmaterial”.  Agregaron  que  si  se  llega  a  descontar  los  montos</w:t>
        <w:br/>
        <w:t>recibidos a nivel interno,  las  señoras  Martínez  y  Herrera  “terminarían</w:t>
        <w:br/>
        <w:t>recibiendo una indemnización total de US$ 30.000  [treinta  mil  dólares  de</w:t>
        <w:br/>
        <w:t>los Estados Unidos de América o su equivalente  en  moneda  colombiana]  por</w:t>
        <w:br/>
        <w:t>concepto de daño inmaterial, un monto sustancialmente  inferior  a  los  US$</w:t>
        <w:br/>
        <w:t>70.000  [setenta  mil  dólares  de  los  Estados  Unidos  de  América  o  su</w:t>
        <w:br/>
        <w:t>equivalente en moneda  colombiana]  ordenados  por  la  Corte  a  los  demás</w:t>
        <w:br/>
        <w:t>compañeros y compañeras permanentes de las víctimas”. En  esta  medida,  los</w:t>
        <w:br/>
        <w:t>representantes concluyeron que “descontar las  indemnizaciones  internas  de</w:t>
        <w:br/>
        <w:t>estas dos señoras llevaría a un resultado manifiestamente inconsistente,  ya</w:t>
        <w:br/>
        <w:t>que  agravaría  la  situación  de  desigualdad  que  el  párrafo  268  busca</w:t>
        <w:br/>
        <w:t>remediar”.</w:t>
        <w:br/>
        <w:br/>
        <w:t>14.   La Corte constata que en la pregunta formulada por el  Estado  subyace</w:t>
        <w:br/>
        <w:t>una duda sobre el sentido o alcance del fallo, razón por la cual  procede  a</w:t>
        <w:br/>
        <w:t>interpretarlo.</w:t>
        <w:br/>
        <w:br/>
        <w:t>15.   Al momento de fijar el pago de indemnizaciones por  concepto  de  daño</w:t>
        <w:br/>
        <w:t>inmaterial, el Tribunal consideró adecuada la reparación que el  Estado,  en</w:t>
        <w:br/>
        <w:t>el marco de su jurisdicción contencioso  administrativa,  había  otorgado  a</w:t>
        <w:br/>
        <w:t>los familiares de las víctimas que habían acudido a  dicha  jurisdicción[3].</w:t>
        <w:br/>
        <w:t>Sin embargo, la Corte consideró como excepción a lo anterior el caso  de  la</w:t>
        <w:br/>
        <w:t>víctima sobreviviente Arturo Salgado  Garzón  y  el  de  las  señoras  Paola</w:t>
        <w:br/>
        <w:t>Martínez Ortiz y Blanca Herrera Suárez. En  estos  tres  casos  el  Tribunal</w:t>
        <w:br/>
        <w:t>consideró que no hubo una  reparación  adecuada  en  el  ámbito  interno[4].</w:t>
        <w:br/>
        <w:t>Además de estos casos, la Corte fijó una indemnización por  daño  inmaterial</w:t>
        <w:br/>
        <w:t>para las doce víctimas fallecidas, ya que no se  dispuso  una  indemnización</w:t>
        <w:br/>
        <w:t>en el ámbito interno por el sufrimiento propio de  estas  víctimas,  y  para</w:t>
        <w:br/>
        <w:t>aquellos familiares que no  recibieron  indemnización  a  nivel  interno  ni</w:t>
        <w:br/>
        <w:t>fueron incluidos en  el  acuerdo  parcial  sobre  reparaciones[5].  Como  se</w:t>
        <w:br/>
        <w:t>observa, se trata de tres escenarios distintos de reparación.</w:t>
        <w:br/>
        <w:br/>
        <w:t>16.   En relación con las señoras Paola  Martínez  Ortiz  y  Blanca  Herrera</w:t>
        <w:br/>
        <w:t>Suárez la Corte señaló lo siguiente:</w:t>
        <w:br/>
        <w:br/>
        <w:t xml:space="preserve">      268.  En primer término, en cuanto a las señoras Paola Martínez  Ortiz</w:t>
        <w:br/>
        <w:t xml:space="preserve">      y Blanca Herrera Suárez, compañeras permanentes de las  víctimas  Luis</w:t>
        <w:br/>
        <w:t xml:space="preserve">      Orlando Hernández Muñoz y Samuel Vargas Páez,  respectivamente,  éstas</w:t>
        <w:br/>
        <w:t xml:space="preserve">      recibieron en el ámbito interno un monto de indemnización menor al que</w:t>
        <w:br/>
        <w:t xml:space="preserve">      fue otorgado a las esposas formalmente casadas con otras víctimas.  De</w:t>
        <w:br/>
        <w:t xml:space="preserve">      acuerdo a  la  jurisprudencia  constante  de  este  Tribunal  y  a  lo</w:t>
        <w:br/>
        <w:t xml:space="preserve">      dispuesto en el artículo 2.15  de  su  Reglamento,  resulta  necesario</w:t>
        <w:br/>
        <w:t xml:space="preserve">      concederles una indemnización por  concepto  de  daño  inmaterial  con</w:t>
        <w:br/>
        <w:t xml:space="preserve">      vistas a equiparar las indemnizaciones recibidas, ya que  dicha  norma</w:t>
        <w:br/>
        <w:t xml:space="preserve">      otorga igualdad de tratamiento a cónyuges  y  compañeros  permanentes.</w:t>
        <w:br/>
        <w:t xml:space="preserve">      Por ello, la Corte fija, en equidad,  la  cantidad  de  US$  30.000,00</w:t>
        <w:br/>
        <w:t xml:space="preserve">      (treinta mil dólares de los Estados Unidos de América o su equivalente</w:t>
        <w:br/>
        <w:t xml:space="preserve">      en moneda colombiana) para cada una  de  las  señoras  Paola  Martínez</w:t>
        <w:br/>
        <w:t xml:space="preserve">      Ortiz y Blanca Herrera Suárez.</w:t>
        <w:br/>
        <w:br/>
        <w:t>17.   En el siguiente párrafo, la  Corte  analizó  el  caso  de  la  víctima</w:t>
        <w:br/>
        <w:t>sobreviviente Arturo  Salgado  Garzón,  quien  tampoco  había  recibido  una</w:t>
        <w:br/>
        <w:t>reparación adecuada en el ámbito interno. Respecto de las  señoras  Martínez</w:t>
        <w:br/>
        <w:t>y Herrera y del señor Salgado, la Corte precisó con claridad lo siguiente:</w:t>
        <w:br/>
        <w:br/>
        <w:t xml:space="preserve">      270.  Al momento de la liquidación de las reparaciones  ordenadas  por</w:t>
        <w:br/>
        <w:t xml:space="preserve">      esta Corte en los dos párrafos anteriores el  Estado  podrá  descontar</w:t>
        <w:br/>
        <w:t xml:space="preserve">      las cantidades que otorgó a nivel interno en los procesos  contencioso</w:t>
        <w:br/>
        <w:t xml:space="preserve">      administrativos por concepto de “daño moral”.</w:t>
        <w:br/>
        <w:br/>
        <w:t>18.   Un escenario de reparación distinto a  los  anteriores  fue  analizado</w:t>
        <w:br/>
        <w:t>por la Corte en los párrafos 271 a 273. Se trata de los  familiares  que  no</w:t>
        <w:br/>
        <w:t>recibieron indemnización a nivel interno ni fueron incluidos en  el  acuerdo</w:t>
        <w:br/>
        <w:t>parcial sobre reparaciones. Respecto de las compañeras  permanentes  que  se</w:t>
        <w:br/>
        <w:t>encontraban en este escenario de reparación el Tribunal fijó el pago de  US$</w:t>
        <w:br/>
        <w:t>70.000,00 (setenta mil dólares de  los  Estados  Unidos  de  América)  o  su</w:t>
        <w:br/>
        <w:t>equivalente en moneda colombiana[6].</w:t>
        <w:br/>
        <w:br/>
        <w:t>19.   Como ha sido explicado, la Corte desarrolló  argumentos  distintos  en</w:t>
        <w:br/>
        <w:t>cada escenario de reparación.  En primer lugar, analizó lo  reparado  en  el</w:t>
        <w:br/>
        <w:t>ámbito interno, señaló qué casos consideró reparados adecuadamente y  cuáles</w:t>
        <w:br/>
        <w:t>no,  para  seguidamente  fijar  una   indemnización   que   permitiera   una</w:t>
        <w:br/>
        <w:t>compensación justa para todos  aquellos  que  acudieron  a  la  jurisdicción</w:t>
        <w:br/>
        <w:t>contencioso administrativa colombiana. En segundo lugar, analizó el caso  de</w:t>
        <w:br/>
        <w:t>las personas que no  fueron  reparadas  en  el  ámbito  interno  y  fijó  la</w:t>
        <w:br/>
        <w:t>indemnización correspondiente.</w:t>
        <w:br/>
        <w:br/>
        <w:t>20.   Teniendo en cuenta lo anterior, la Corte rechaza el argumento  de  los</w:t>
        <w:br/>
        <w:t>representantes en el  sentido  de  que,  al  efectuar  el  descuento  de  lo</w:t>
        <w:br/>
        <w:t>recibido en el ámbito interno, las señoras Martínez y Herrera recibirían  un</w:t>
        <w:br/>
        <w:t>monto sustancialmente inferior al recibido por los compañeros  y  compañeras</w:t>
        <w:br/>
        <w:t>permanentes que  no  recibieron  indemnización  en  el  ámbito  interno.  En</w:t>
        <w:br/>
        <w:t>efecto, la situación de desigualdad que se busca remediar es la que  existió</w:t>
        <w:br/>
        <w:t>entre  quienes  agotaron  la  jurisdicción  contencioso  administrativa   en</w:t>
        <w:br/>
        <w:t>Colombia, no entre quienes lo hicieron y quienes no lo hicieron.  Tratándose</w:t>
        <w:br/>
        <w:t>de  dos  situaciones  diferentes,  el  criterio  de  equidad  que  opera  es</w:t>
        <w:br/>
        <w:t>distinto.</w:t>
        <w:br/>
        <w:br/>
        <w:t>21.   De conformidad con lo anteriormente señalado,  el  Tribunal  considera</w:t>
        <w:br/>
        <w:t>que la pregunta formulada por  el  Estado  versa  sobre  un  párrafo  de  la</w:t>
        <w:br/>
        <w:t>Sentencia cuya interpretación gramatical es suficiente  para  determinar  su</w:t>
        <w:br/>
        <w:t>sentido y alcance. En este sentido, la Corte  aclara  que  el  Estado  puede</w:t>
        <w:br/>
        <w:t>descontar de los US$ 30.000 (treinta mil dólares de los  Estados  Unidos  de</w:t>
        <w:br/>
        <w:t>América) fijados por esta Corte para cada una  de  las  señoras  Martínez  y</w:t>
        <w:br/>
        <w:t>Herrera las indemnizaciones por daño  moral  recibidas  por  éstas  a  nivel</w:t>
        <w:br/>
        <w:t>interno.</w:t>
        <w:br/>
        <w:br/>
        <w:t xml:space="preserve">                                      V</w:t>
        <w:br/>
        <w:t xml:space="preserve">    Respecto de la divulgación pública de los resultados de los procesos</w:t>
        <w:br/>
        <w:t xml:space="preserve">                                   penales</w:t>
        <w:br/>
        <w:br/>
        <w:br/>
        <w:t>22.   El Estado señaló que la Sentencia ordenó que  los  resultados  de  los</w:t>
        <w:br/>
        <w:t>procesos penales en  el  presente  caso  sean  públicamente  divulgados.  Al</w:t>
        <w:br/>
        <w:t>respecto, “el Estado desea que la Corte Interamericana  aclare  qué  implica</w:t>
        <w:br/>
        <w:t>el cumplimiento de esta medida del párrafo 295.   ¿Es  necesario  hacer  una</w:t>
        <w:br/>
        <w:t>divulgación especial? ¿A  qué  se  refiere  la  Corte  con  ‘los  resultados</w:t>
        <w:br/>
        <w:t>penales’? ¿Incluye también la divulgación de  las  sentencias  absolutorias?</w:t>
        <w:br/>
        <w:t>¿Debe hacerse pública cada vez que se emita una  sentencia  relacionada  con</w:t>
        <w:br/>
        <w:t>el caso?“.</w:t>
        <w:br/>
        <w:br/>
        <w:t>23.    La  Comisión  consideró  procedente  que  el  Estado   “efectúe   las</w:t>
        <w:br/>
        <w:t>investigaciones pertinentes con el objeto de acabar con la impunidad  en  el</w:t>
        <w:br/>
        <w:t>caso y  que  le  dé  a  éstas  la  mayor  divulgación  pública  posible,  de</w:t>
        <w:br/>
        <w:t>conformidad con el espíritu de reparación que lo motiva;  en  reconocimiento</w:t>
        <w:br/>
        <w:t>de la importancia del esclarecimiento de los  hechos,  la  determinación  de</w:t>
        <w:br/>
        <w:t>las responsabilidades pertinentes y la cesación de la impunidad en  el  caso</w:t>
        <w:br/>
        <w:t>y en aras de mitigar el daño causado y de que  ésta  contribuya  a  ser  una</w:t>
        <w:br/>
        <w:t>garantía de no repetición de hechos como los del presente caso”.</w:t>
        <w:br/>
        <w:br/>
        <w:t>24.   Los representantes consideraron que las preguntas del Estado  “revelan</w:t>
        <w:br/>
        <w:t>una cierta indeterminación en la medida de reparación ordenada, y por  tanto</w:t>
        <w:br/>
        <w:t>valdría la pena que la Corte especifique  una  modalidad  de  cumplimiento”.</w:t>
        <w:br/>
        <w:t>Resaltaron que  “la  medida  claramente  contempla  que  los  ‘hechos’  sean</w:t>
        <w:br/>
        <w:t>públicamente  conocidos”.   Al  respecto,  consideraron  que  “es  necesario</w:t>
        <w:br/>
        <w:t>difundir los hechos establecidos por las sentencias a nivel  interno,  y  no</w:t>
        <w:br/>
        <w:t>únicamente las sanciones establecidas o las  partes  resolutivas”,  lo  cual</w:t>
        <w:br/>
        <w:t>sería “consistente con lo que la Corte habitualmente ordena respecto  a  sus</w:t>
        <w:br/>
        <w:t>propias sentencias”. De otra parte, los  representantes  señalaron  que  “la</w:t>
        <w:br/>
        <w:t>modalidad de cumplimiento debe ser parecida a la que utiliza la  Corte  para</w:t>
        <w:br/>
        <w:t>difundir los hechos establecidos y las sanciones impuestas por  sus  propias</w:t>
        <w:br/>
        <w:t>sentencias”. En este sentido, sugirieron “que la Corte obligue al  Estado  a</w:t>
        <w:br/>
        <w:t>publicar periódicamente (cada 6 o 12 meses), en  un  diario  de  circulación</w:t>
        <w:br/>
        <w:t>nacional, un  resumen  de  los  avances  procesales  y  sentencias  dictadas</w:t>
        <w:br/>
        <w:t>(hechos  tanto  como  condenas  o  absoluciones)  en  cumplimiento   de   la</w:t>
        <w:br/>
        <w:t>obligación de identificar, juzgar y  sancionar  a  los  responsables  de  la</w:t>
        <w:br/>
        <w:t>masacre de La Rochela”. Finalmente, solicitaron que  “[e]ste  resumen  [sea]</w:t>
        <w:br/>
        <w:t>previamente consultado con los representantes de las víctimas”.</w:t>
        <w:br/>
        <w:br/>
        <w:t>25.   Respecto de lo  planteado  por  el  Estado,  si  bien  no  corresponde</w:t>
        <w:br/>
        <w:t>propiamente a un supuesto de interpretación  de  la  Sentencia  sino  a  una</w:t>
        <w:br/>
        <w:t>discusión sobre su cumplimiento, la Corte considera conveniente  aclarar  el</w:t>
        <w:br/>
        <w:t>sentido y alcance de esta reparación.</w:t>
        <w:br/>
        <w:br/>
        <w:t>26.   Entre las  medidas  de  satisfacción  y  garantías  de  no  repetición</w:t>
        <w:br/>
        <w:t>adoptadas por  el  Tribunal  en  su  fallo,  se  incluyó  la  obligación  de</w:t>
        <w:br/>
        <w:t>investigar los hechos que generaron las  violaciones  del  presente  caso  e</w:t>
        <w:br/>
        <w:t>identificar, juzgar y, en su caso, sancionar a  los  responsables[7].  Luego</w:t>
        <w:br/>
        <w:t>de efectuar algunas precisiones sobre los alcances de  esta  obligación,  la</w:t>
        <w:br/>
        <w:t>Corte señaló lo siguiente:</w:t>
        <w:br/>
        <w:br/>
        <w:t xml:space="preserve">      295.  A  la  luz  de  las  anteriores  consideraciones,  en  un  plazo</w:t>
        <w:br/>
        <w:t xml:space="preserve">      razonable, el Estado debe conducir eficazmente  los  procesos  penales</w:t>
        <w:br/>
        <w:t xml:space="preserve">      que se encuentran en trámite y los que se llegaren  a  abrir,  y  debe</w:t>
        <w:br/>
        <w:t xml:space="preserve">      adoptar todas las medidas necesarias que permitan  el  esclarecimiento</w:t>
        <w:br/>
        <w:t xml:space="preserve">      de  los  hechos  del  presente  caso,  en  aras   de   determinar   la</w:t>
        <w:br/>
        <w:t xml:space="preserve">      responsabilidad de quienes participaron en dichas violaciones, tomando</w:t>
        <w:br/>
        <w:t xml:space="preserve">      en cuenta lo indicado por este Tribunal en los párrafos 151 a  198  de</w:t>
        <w:br/>
        <w:t xml:space="preserve">      la […]  Sentencia.  Los  resultados  de  estos  procesos  deberán  ser</w:t>
        <w:br/>
        <w:t xml:space="preserve">      públicamente divulgados por el  Estado,  de  manera  que  la  sociedad</w:t>
        <w:br/>
        <w:t xml:space="preserve">      colombiana pueda conocer la verdad acerca de los hechos de la  masacre</w:t>
        <w:br/>
        <w:t xml:space="preserve">      de La Rochela.</w:t>
        <w:br/>
        <w:br/>
        <w:t>27.   Para el presente caso,  la  Corte  aclara  que,  en  el  marco  de  la</w:t>
        <w:br/>
        <w:t>reparación ordenada, la expresión “resultados de los procesos penales”  hace</w:t>
        <w:br/>
        <w:t>alusión a las decisiones judiciales penales de carácter  firme  que  generan</w:t>
        <w:br/>
        <w:t>la finalización del proceso y  resuelven  la  controversia  principal,  sean</w:t>
        <w:br/>
        <w:t>estas de carácter absolutorio o condenatorio.  Estos  resultados  deben  ser</w:t>
        <w:br/>
        <w:t>divulgados,  de  tal  forma  que  la  sociedad  pueda  conocer  los   hechos</w:t>
        <w:br/>
        <w:t>examinados y, en su caso, los responsables. Los  mecanismos  de  divulgación</w:t>
        <w:br/>
        <w:t>serán analizados en el marco  de  la  supervisión  del  cumplimiento  de  la</w:t>
        <w:br/>
        <w:t>Sentencia.</w:t>
        <w:br/>
        <w:br/>
        <w:t xml:space="preserve">                                     VI</w:t>
        <w:br/>
        <w:t xml:space="preserve">                     Respecto al pago de costas y gastos</w:t>
        <w:br/>
        <w:br/>
        <w:t>28.   El Estado señaló que la Sentencia dispuso el pago de  US$  2.000  (dos</w:t>
        <w:br/>
        <w:t>mil dólares de los Estados Unidos de América) o  su  equivalente  en  moneda</w:t>
        <w:br/>
        <w:t>colombiana por concepto de gastos para cada grupo familiar de  las  víctimas</w:t>
        <w:br/>
        <w:t>fallecidas y para el señor Arturo Salgado. Al respecto, el  Estado  pregunta</w:t>
        <w:br/>
        <w:t>si “se puede hacer  entrega  de  este  pago  a  los  representantes  de  los</w:t>
        <w:br/>
        <w:t>familiares de las víctimas en el proceso ante la Corte” o si  “debe  hacerse</w:t>
        <w:br/>
        <w:t>de manera directa a la persona que el grupo familiar designe para ello”.  El</w:t>
        <w:br/>
        <w:t>Estado precisa que esta  duda  surge  porque  “habitualmente  en  los  casos</w:t>
        <w:br/>
        <w:t>colombianos,  la  organización  no  gubernamental  que  representó   a   los</w:t>
        <w:br/>
        <w:t>familiares de las víctimas en el proceso ante la  Corte  Interamericana,  es</w:t>
        <w:br/>
        <w:t>quien  realiza  el  cobro  de  las  indemnizaciones”.  Asimismo,  el  Estado</w:t>
        <w:br/>
        <w:t>pregunta “qué debe hacer el Estado en caso  de  que  el  grupo  familiar  no</w:t>
        <w:br/>
        <w:t>designe una persona para que en su representación reciba esta  cantidad?”  y</w:t>
        <w:br/>
        <w:t>agrega el interrogante de si “la falta de designación puede obedecer  a  una</w:t>
        <w:br/>
        <w:t>falta de acuerdo entre los familiares[,] ¿Cómo debe el  Estado  proceder  en</w:t>
        <w:br/>
        <w:t>ese caso?”.</w:t>
        <w:br/>
        <w:br/>
        <w:t>29.   La Comisión consideró que el párrafo 305 de la Sentencia “es claro  en</w:t>
        <w:br/>
        <w:t>establecer la modalidad de pago correspondiente  y  no  considera  necesario</w:t>
        <w:br/>
        <w:t>referirse  a  los  demás  aspectos  planteados  por  el  Estado  por  cuanto</w:t>
        <w:br/>
        <w:t>constituyen suposiciones de posibles escenarios y no  situaciones  concretas</w:t>
        <w:br/>
        <w:t>que requieran de una aclaración de la Corte”.</w:t>
        <w:br/>
        <w:br/>
        <w:t>30.   Los representantes indicaron que  en  el  párrafo  305  “la  Corte  no</w:t>
        <w:br/>
        <w:t>especifica cómo se debe realizar” el pago de lo  otorgado  por  concepto  de</w:t>
        <w:br/>
        <w:t>gastos. Al respecto, consideraron que “el pago debe hacerse  directamente  a</w:t>
        <w:br/>
        <w:t>los  familiares  de  la  víctima  y  no  a  sus   representantes   legales”.</w:t>
        <w:br/>
        <w:t>Adicionalmente,  indicaron  que  “para  determinar  qué  miembro  del  grupo</w:t>
        <w:br/>
        <w:t>familiar recibe el pago ordenado en el párrafo 305, la Corte debe seguir  el</w:t>
        <w:br/>
        <w:t>orden establecido en el párrafo 251 de la Sentencia para la  entrega  de  la</w:t>
        <w:br/>
        <w:t>indemnización por concepto de daño emergente”.</w:t>
        <w:br/>
        <w:br/>
        <w:t>31.   Al respecto, el párrafo 305 de la Sentencia señala lo siguiente:</w:t>
        <w:br/>
        <w:br/>
        <w:t xml:space="preserve">      305.  La Corte toma en cuenta que las víctimas  y  sus  representantes</w:t>
        <w:br/>
        <w:t xml:space="preserve">      incurrieron en gastos durante el procedimiento interno e internacional</w:t>
        <w:br/>
        <w:t xml:space="preserve">      del presente caso. Por una parte, los representantes han solicitado  a</w:t>
        <w:br/>
        <w:t xml:space="preserve">      la Corte que tome en consideración “los perjuicios  patrimoniales  que</w:t>
        <w:br/>
        <w:t xml:space="preserve">      han sufrido [los familiares de las víctimas] como consecuencia […]  de</w:t>
        <w:br/>
        <w:t xml:space="preserve">      la búsqueda de justicia, verdad y reparación”.   El  Tribunal  observa</w:t>
        <w:br/>
        <w:t xml:space="preserve">      que pese a que no fueron aportados los comprobantes de gastos,  es  de</w:t>
        <w:br/>
        <w:t xml:space="preserve">      presumir que los familiares de las víctimas han incurrido en numerosos</w:t>
        <w:br/>
        <w:t xml:space="preserve">      gastos, algunos de ellos sufragados con apoyo de  sus  representantes,</w:t>
        <w:br/>
        <w:t xml:space="preserve">      durante los procedimientos administrativo y penal  internos,  que  han</w:t>
        <w:br/>
        <w:t xml:space="preserve">      tenido una duración de más de 17 años, así como  en  todas  las  demás</w:t>
        <w:br/>
        <w:t xml:space="preserve">      acciones de denuncia de lo ocurrido y de búsqueda de justicia que  han</w:t>
        <w:br/>
        <w:t xml:space="preserve">      realizado con relación a los hechos de la masacre de La  Rochela.   En</w:t>
        <w:br/>
        <w:t xml:space="preserve">      razón de lo anterior, el Tribunal fija en equidad la cantidad  de  US$</w:t>
        <w:br/>
        <w:t xml:space="preserve">      2.000,00 (dos mil dólares de  los  Estados  Unidos  de  América  o  su</w:t>
        <w:br/>
        <w:t xml:space="preserve">      equivalente en moneda colombiana)  para  el  grupo  familiar  de  cada</w:t>
        <w:br/>
        <w:t xml:space="preserve">      víctima fallecida y  para  la  víctima  sobreviviente  Arturo  Salgado</w:t>
        <w:br/>
        <w:t xml:space="preserve">      Garzón.  Los grupos familiares  de  las  víctimas  fallecidas  deberán</w:t>
        <w:br/>
        <w:t xml:space="preserve">      designar una persona en su representación para que reciba la  referida</w:t>
        <w:br/>
        <w:t xml:space="preserve">      cantidad. El Estado deberá realizar los pagos en el plazo de un año.</w:t>
        <w:br/>
        <w:br/>
        <w:t>32.   La Corte observa que este párrafo de la Sentencia es claro en señalar</w:t>
        <w:br/>
        <w:t>que los grupos familiares y el señor Arturo  Salgado  Garzón  son  los  que</w:t>
        <w:br/>
        <w:t>deben recibir el pago por concepto de gastos.</w:t>
        <w:br/>
        <w:br/>
        <w:t>33.   Respecto al segundo interrogante formulado por el  Estado,  la  Corte</w:t>
        <w:br/>
        <w:t>considera que si no se designa una persona que reciba el pago por  concepto</w:t>
        <w:br/>
        <w:t>de gastos o si el grupo familiar no logra un acuerdo al  respecto,  procede</w:t>
        <w:br/>
        <w:t>lo establecido por la Sentencia en cuanto a la  modalidad  de  cumplimiento</w:t>
        <w:br/>
        <w:t>del pago. En ese sentido, si por causas atribuibles a los beneficiarios del</w:t>
        <w:br/>
        <w:t>pago de gastos no fuese posible que  éstos  lo  reciban  dentro  del  plazo</w:t>
        <w:br/>
        <w:t>fijado por el Tribunal, el Estado consignará dichos montos en una cuenta  o</w:t>
        <w:br/>
        <w:t>certificado de depósito en una institución financiera colombiana  solvente,</w:t>
        <w:br/>
        <w:t>en dólares estadounidenses y en las condiciones financieras más  favorables</w:t>
        <w:br/>
        <w:t>que permitan la legislación y la práctica bancaria.  Si al cabo de 10  años</w:t>
        <w:br/>
        <w:t>el monto correspondiente a gastos no  ha  sido  reclamado,  las  cantidades</w:t>
        <w:br/>
        <w:t>serán devueltas al Estado con los intereses devengados.</w:t>
        <w:br/>
        <w:br/>
        <w:t xml:space="preserve">                                     VII</w:t>
        <w:br/>
        <w:t xml:space="preserve">                             Puntos Resolutivos</w:t>
        <w:br/>
        <w:br/>
        <w:t>34.   Por las razones expuestas,</w:t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</w:t>
        <w:br/>
        <w:br/>
        <w:br/>
        <w:t>Decide:</w:t>
        <w:br/>
        <w:br/>
        <w:br/>
        <w:t>Por unanimidad,</w:t>
        <w:br/>
        <w:br/>
        <w:t>1.    Declarar admisible la demanda de interpretación  de  la  Sentencia  de</w:t>
        <w:br/>
        <w:t>fondo, reparaciones y costas dictada  el  11  de  mayo  de  2007,  según  lo</w:t>
        <w:br/>
        <w:t>señalado en los párrafos 8, 14, 25, 32 y 33 de la presente Sentencia.</w:t>
        <w:br/>
        <w:br/>
        <w:t>2.    Determinar el alcance  de  lo  dispuesto  en  el  párrafo  270  de  la</w:t>
        <w:br/>
        <w:t>Sentencia de fondo, reparaciones y costas dictada el 11 de mayo de 2007,  en</w:t>
        <w:br/>
        <w:t>los términos del párrafo 21 de la presente Sentencia.</w:t>
        <w:br/>
        <w:br/>
        <w:t>3.    Determinar el alcance  de  lo  dispuesto  en  el  párrafo  295  de  la</w:t>
        <w:br/>
        <w:t>Sentencia de fondo, reparaciones y costas dictada el 11 de mayo de 2007,  en</w:t>
        <w:br/>
        <w:t>los términos del párrafo 27 de la presente Sentencia.</w:t>
        <w:br/>
        <w:br/>
        <w:t>4.    Determinar el alcance  de  lo  dispuesto  en  el  párrafo  305  de  la</w:t>
        <w:br/>
        <w:t>Sentencia de fondo, reparaciones y costas dictada el 11 de mayo de 2007,  en</w:t>
        <w:br/>
        <w:t>los términos de los párrafos 32 y 33 de la presente Sentencia.</w:t>
        <w:br/>
        <w:br/>
        <w:t>5.    Solicitar a la Secretaría  de  la  Corte  que  notifique  la  presente</w:t>
        <w:br/>
        <w:t>Sentencia a los representantes de las víctimas y sus familiares,  al  Estado</w:t>
        <w:br/>
        <w:t>de Colombia y a la Comisión Interamericana de Derechos Humanos.</w:t>
        <w:br/>
        <w:br/>
        <w:t>Redactada en español y en inglés, haciendo fe el texto en  español,  en  San</w:t>
        <w:br/>
        <w:t>José, Costa Rica, el día 28 de enero de 2008.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Cecilia Medina Quiroga Manuel E. Ventura Robles</w:t>
        <w:br/>
        <w:br/>
        <w:br/>
        <w:br/>
        <w:br/>
        <w:br/>
        <w:t>Diego García-Sayán     Leonardo A. Franco</w:t>
        <w:br/>
        <w:br/>
        <w:br/>
        <w:br/>
        <w:br/>
        <w:br/>
        <w:t>Margarette May Macaulay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br/>
        <w:t>[1]   Cfr. Caso de la masacre de La Rochela. Fondo, Reparaciones  y  Costas.</w:t>
        <w:br/>
        <w:t>Sentencia de 11 de mayo de 2007. Serie C No. 163.</w:t>
        <w:br/>
        <w:br/>
        <w:t>[2]   Cfr. Caso Loayza Tamayo. Interpretación  de  la  Sentencia  de  Fondo.</w:t>
        <w:br/>
        <w:t>Resolución de la Corte de 8 de marzo de 1998. Serie  C  No.  47,  párr.  16;</w:t>
        <w:br/>
        <w:t>Caso La Cantuta. Interpretación de la Sentencia  de  Fondo,  Reparaciones  y</w:t>
        <w:br/>
        <w:t>Costas. Sentencia de 30 de noviembre de 2007. Serie C No. 173,  párr.  9,  y</w:t>
        <w:br/>
        <w:t>Caso  Trabajadores  Cesados  del   Congreso   (Aguado   Alfaro   y   otros).</w:t>
        <w:br/>
        <w:t>Interpretación  de  la  Sentencia  de   Excepciones   Preliminares,   Fondo,</w:t>
        <w:br/>
        <w:t>Reparaciones y Costas. Sentencia de 30 de noviembre de  2007.  Serie  C  No.</w:t>
        <w:br/>
        <w:t>174, párr. 11.</w:t>
        <w:br/>
        <w:br/>
        <w:t>[3]   Cfr. Caso de la masacre de La Rochela, supra nota 1, párr. 266.</w:t>
        <w:br/>
        <w:br/>
        <w:t>[4]   Cfr. Caso de la masacre de La Rochela, supra  nota  1,  párrs.  266  a</w:t>
        <w:br/>
        <w:t>268.</w:t>
        <w:br/>
        <w:br/>
        <w:t>[5]   Cfr. Caso de la masacre de La Rochela, supra nota 1, párrs. 267 y  271</w:t>
        <w:br/>
        <w:t>a 273.</w:t>
        <w:br/>
        <w:br/>
        <w:t>[6]   Cfr. Caso de la masacre de La Rochela, supra nota 1, párr. 273.</w:t>
        <w:br/>
        <w:br/>
        <w:t>[7]   Cfr. Caso de la masacre de La Rochela, supra  nota  1,  párrs.  287  a</w:t>
        <w:br/>
        <w:t>295.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