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Caso Caballero Delgado y Santana Vs. Colombia</w:t>
        <w:br/>
        <w:br/>
        <w:br/>
        <w:t xml:space="preserve">                        Sentencia de 21 enero de 1994</w:t>
        <w:br/>
        <w:t xml:space="preserve">                         (Excepciones Preliminares)</w:t>
        <w:br/>
        <w:br/>
        <w:br/>
        <w:br/>
        <w:t>En el caso Caballero Delgado y Santana,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Sonia Picado Sotela, Presidenta</w:t>
        <w:br/>
        <w:t xml:space="preserve">      Rafael Nieto Navia, Juez</w:t>
        <w:br/>
        <w:t xml:space="preserve">      Héctor Fix-Zamudio, Juez</w:t>
        <w:br/>
        <w:t xml:space="preserve">      Alejandro Montiel Argüello, Juez</w:t>
        <w:br/>
        <w:t xml:space="preserve">      Hernán Salgado Pesantes, Juez</w:t>
        <w:br/>
        <w:t xml:space="preserve">      Asdrúbal Aguiar-Aranguren, Juez;</w:t>
        <w:br/>
        <w:br/>
        <w:br/>
        <w:t>presentes, además,</w:t>
        <w:br/>
        <w:br/>
        <w:br/>
        <w:t xml:space="preserve">      Manuel E. Ventura Robles, Secretario y</w:t>
        <w:br/>
        <w:t xml:space="preserve">      Ana María Reina, Secretaria adjunta</w:t>
        <w:br/>
        <w:br/>
        <w:br/>
        <w:t>de acuerdo con el artículo 31.6 del Reglamento de  la  Corte  Interamericana</w:t>
        <w:br/>
        <w:t>de Derechos Humanos  (en  adelante  “el  Reglamento”),  dicta  la  siguiente</w:t>
        <w:br/>
        <w:t>sentencia sobre las excepciones preliminares interpuestas  por  el  Gobierno</w:t>
        <w:br/>
        <w:t>de la República de Colombia (en adelante “el Gobierno” o “Colombia”).</w:t>
        <w:br/>
        <w:br/>
        <w:br/>
        <w:t xml:space="preserve">                                      I</w:t>
        <w:br/>
        <w:br/>
        <w:t>1.    Este caso fue sometido a la Corte Interamericana de  Derechos  Humanos</w:t>
        <w:br/>
        <w:t>(en adelante “la Corte”) por la Comisión Interamericana de Derechos  Humanos</w:t>
        <w:br/>
        <w:t>(en adelante “la Comisión”) el 24 de diciembre de 1992.  Se originó el 4  de</w:t>
        <w:br/>
        <w:t>abril de 1989 por medio de una “solicitud de acción urgente” enviada en  esa</w:t>
        <w:br/>
        <w:t>fecha a la Comisión y en una denuncia (Nº 10.319) contra  Colombia  recibida</w:t>
        <w:br/>
        <w:t>en la Secretaría de la Comisión el 5 de abril de 1989.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el artículo 26 y  siguientes  del</w:t>
        <w:br/>
        <w:t>Reglamento.  La Comisión sometió este caso  con  el  fin  de  que  la  Corte</w:t>
        <w:br/>
        <w:t>decida si hubo  violación,  por  parte  del  Gobierno  involucrado,  de  los</w:t>
        <w:br/>
        <w:t>artículos 4 (Derecho a la vida), 5 (Derecho a  la  integridad  personal),  7</w:t>
        <w:br/>
        <w:t>(Derecho a la libertad personal), 8 (Garantías judiciales) y 25  (Protección</w:t>
        <w:br/>
        <w:t>judicial) en relación con el artículo 1.1 de la Convención en  perjuicio  de</w:t>
        <w:br/>
        <w:t>los señores Isidro Caballero Delgado y María  del  Carmen  Santana.   Además</w:t>
        <w:br/>
        <w:t>consideró que se violó  el  artículo  2  de  la  Convención,  por  no  haber</w:t>
        <w:br/>
        <w:t>adoptado disposiciones de  derecho  interno  tendientes  a  hacer  efectivos</w:t>
        <w:br/>
        <w:t>tales derechos “en base al principio pacta  sunt  servanda”  y  el  artículo</w:t>
        <w:br/>
        <w:t>51.2 de la misma en relación con el 29.b, al incumplir  las  recomendaciones</w:t>
        <w:br/>
        <w:t>formuladas por la Comisión.  Solicitó que la Corte declare que  el  Gobierno</w:t>
        <w:br/>
        <w:t>debe  “inic[iar]  las  investigaciones  necesarias   hasta   identificar   y</w:t>
        <w:br/>
        <w:t>sancionar a los culpables [. .  .],  inform[ar]  a  los  familiares  de  las</w:t>
        <w:br/>
        <w:t>víctimas sobre su paradero [. . .], reparar e indemnizar  a  los  familiares</w:t>
        <w:br/>
        <w:t>de las víctimas por los hechos cometidos por sus agentes [. . .]  [y]  pagar</w:t>
        <w:br/>
        <w:t>las costas  de  este  proceso”.   Designó  como  su  delegado  para  que  la</w:t>
        <w:br/>
        <w:t>represente a Leo  Valladares  Lanza,  miembro  y  como  asistentes  a  Edith</w:t>
        <w:br/>
        <w:t>Márquez Rodríguez, Secretaria ejecutiva y Manuel Velasco Clark,  abogado  de</w:t>
        <w:br/>
        <w:t>la Secretaría.  Designó como asesores legales para el presente  caso  a  los</w:t>
        <w:br/>
        <w:t>señores  Gustavo  Gallón  Giraldo,  María  Consuelo  del  Río,  Jorge  Gómez</w:t>
        <w:br/>
        <w:t>Lizarazo, Juan E. Méndez y José Miguel Vivanco.</w:t>
        <w:br/>
        <w:br/>
        <w:t>3.    La demanda junto con sus  anexos  fue  remitida  al  Gobierno  por  la</w:t>
        <w:br/>
        <w:t>Secretaría de la Corte el 15 de enero de 1993, previo  examen  de  la  misma</w:t>
        <w:br/>
        <w:t>hecho por el Presidente de la Corte (en adelante “el Presidente”).</w:t>
        <w:br/>
        <w:br/>
        <w:t>4.    Mediante carta de  28  de  enero  de  1993  el  Gobierno  de  Colombia</w:t>
        <w:br/>
        <w:t>comunicó la designación del abogado Jaime Bernal Cuéllar como agente  y  del</w:t>
        <w:br/>
        <w:t>abogado Weiner Ariza Moreno como agente alterno.</w:t>
        <w:br/>
        <w:br/>
        <w:t>5.    El Presidente mediante  resolución  de  5  de  febrero  de  1993  y  a</w:t>
        <w:br/>
        <w:t>solicitud del Gobierno, resolvió otorgarle una prórroga de 45 días al  plazo</w:t>
        <w:br/>
        <w:t>establecido en el artículo 29.1 del Reglamento para contestar la demanda  en</w:t>
        <w:br/>
        <w:t>este caso.  La contestación de la demanda fue entregada  el 2  de  junio  de</w:t>
        <w:br/>
        <w:t>1993.  Igualmente el 16 de febrero de 1993, se le otorgó una prórroga de  15</w:t>
        <w:br/>
        <w:t>días para la presentación de excepciones preliminares.</w:t>
        <w:br/>
        <w:br/>
        <w:t>6.    Al amparo de lo dispuesto en el artículo 31 del Reglamento,  el  2  de</w:t>
        <w:br/>
        <w:t>marzo de 1993 el Gobierno interpuso excepciones preliminares.   La  Comisión</w:t>
        <w:br/>
        <w:t>respondió dichas excepciones preliminares el 6 de abril de 1993.</w:t>
        <w:br/>
        <w:br/>
        <w:t>7.    Por resolución de 3 de junio de 1993 el Presidente dispuso convocar  a</w:t>
        <w:br/>
        <w:t>una audiencia pública en la sede de la Corte para el día jueves 15 de  julio</w:t>
        <w:br/>
        <w:t>de 1993, a las 15:00 horas, con el fin  de  oír  las  observaciones  de  las</w:t>
        <w:br/>
        <w:t>partes sobre las excepciones preliminares presentadas por el Gobierno.</w:t>
        <w:br/>
        <w:br/>
        <w:t>8.    El 12 de julio de 1993 fue electo  Presidente  de  la  Corte  el  Juez</w:t>
        <w:br/>
        <w:t>Rafael Nieto Navia.  Como  el  nuevo  Presidente  es  nacional  de  Colombia</w:t>
        <w:br/>
        <w:t>cedió, mediante resolución de 13 de julio de 1993, la  presidencia  para  el</w:t>
        <w:br/>
        <w:t>conocimiento de este caso a la Juez Sonia Picado Sotela, Vicepresidenta.</w:t>
        <w:br/>
        <w:br/>
        <w:t>9.    La audiencia pública tuvo lugar en la sede de la Corte en la  fecha  y</w:t>
        <w:br/>
        <w:t>hora previstas.</w:t>
        <w:br/>
        <w:br/>
        <w:t>Comparecieron ante la Corte</w:t>
        <w:br/>
        <w:br/>
        <w:t>por el Gobierno de Colombia:</w:t>
        <w:br/>
        <w:br/>
        <w:t xml:space="preserve">      Jaime Bernal Cuéllar, agente</w:t>
        <w:br/>
        <w:br/>
        <w:t xml:space="preserve">      Weiner Ariza Moreno, agente alterno</w:t>
        <w:br/>
        <w:br/>
        <w:t xml:space="preserve">      Francisco Javier Echeverri, asesor;</w:t>
        <w:br/>
        <w:br/>
        <w:t>por la Comisión Interamericana de Derechos Humanos:</w:t>
        <w:br/>
        <w:br/>
        <w:t xml:space="preserve">      Leo Valladares Lanza, delegado</w:t>
        <w:br/>
        <w:br/>
        <w:t xml:space="preserve">      Manuel Velasco Clark, asistente</w:t>
        <w:br/>
        <w:br/>
        <w:t xml:space="preserve">      Gustavo Gallón Giraldo, asesor</w:t>
        <w:br/>
        <w:br/>
        <w:t xml:space="preserve">      Juan E. Méndez, asesor</w:t>
        <w:br/>
        <w:br/>
        <w:t xml:space="preserve">      José M. Vivanco, asesor.</w:t>
        <w:br/>
        <w:br/>
        <w:br/>
        <w:t xml:space="preserve">                                     II</w:t>
        <w:br/>
        <w:br/>
        <w:t>10.   Según la denuncia el día 7 de febrero de 1989, en  el  lugar  conocido</w:t>
        <w:br/>
        <w:t>como Guaduas, jurisdicción del Municipio de San  Alberto,  Departamento  del</w:t>
        <w:br/>
        <w:t>Cesar, Colombia, Isidro Caballero Delgado y María del Carmen Santana  fueron</w:t>
        <w:br/>
        <w:t>retenidos por una patrulla militar conformada por unidades del  Ejército  de</w:t>
        <w:br/>
        <w:t>Colombia acantonado en la base  militar  del  Líbano  (jurisdicción  de  San</w:t>
        <w:br/>
        <w:t>Alberto) adscrita a la Quinta Brigada con sede en Bucaramanga.</w:t>
        <w:br/>
        <w:br/>
        <w:t>11.   De acuerdo con la demanda la detención  se  habría  producido  por  la</w:t>
        <w:br/>
        <w:t>activa participación del señor Isidro Caballero como dirigente sindical  del</w:t>
        <w:br/>
        <w:t>magisterio santandereano desde hacía 11 años.  Con anterioridad  y  por  las</w:t>
        <w:br/>
        <w:t>mismas razones, había estado detenido en la Cárcel  Modelo  de  Bucaramanga,</w:t>
        <w:br/>
        <w:t>acusado de pertenecer al Movimiento  19  de  Abril,  y  se  le  concedió  la</w:t>
        <w:br/>
        <w:t>libertad en 1986; sin embargo desde esa fecha era permanentemente  hostigado</w:t>
        <w:br/>
        <w:t>y amenazado.  María del Carmen Santana, “de  quien  la  Comisión  posee  muy</w:t>
        <w:br/>
        <w:t>poca información, [también] pertenecía al Movimiento 19 de Abril  (M-19)”  y</w:t>
        <w:br/>
        <w:t>colaboraba con Isidro Caballero  promoviendo  la  participación  del  pueblo</w:t>
        <w:br/>
        <w:t>para la realización del “Encuentro por la Convivencia  y  la  Normalización”</w:t>
        <w:br/>
        <w:t>que se realizaría el 16 de febrero de 1989 en el Municipio de  San  Alberto.</w:t>
        <w:br/>
        <w:t>Esta era una actividad organizada por el “Comité Regional de Diálogo”,  cuyo</w:t>
        <w:br/>
        <w:t>objetivo era “procurar una salida política al conflicto armado,  propiciando</w:t>
        <w:br/>
        <w:t>encuentros, foros y debates en diferentes regiones”.</w:t>
        <w:br/>
        <w:br/>
        <w:t>12.   Según la demanda, el  7  de  febrero  de  1989,  Elida  González,  una</w:t>
        <w:br/>
        <w:t>campesina que transitaba por el mismo lugar en  que  fueron  capturadas  las</w:t>
        <w:br/>
        <w:t>víctimas, fue retenida por la  misma  patrulla  del  Ejército  y  dejada  en</w:t>
        <w:br/>
        <w:t>libertad.  Ella pudo observar a Isidro Caballero  con  un  uniforme  militar</w:t>
        <w:br/>
        <w:t>camuflado y a una mujer que iba con ellos.  Javier Páez,  habitante  de  esa</w:t>
        <w:br/>
        <w:t>región que les sirvió de guía, fue retenido por  el  Ejército,  torturado  y</w:t>
        <w:br/>
        <w:t>dejado en libertad  posteriormente.   Por  los  interrogatorios  a  que  fue</w:t>
        <w:br/>
        <w:t>sometido y por las comunicaciones de radio de la  patrulla  militar  que  lo</w:t>
        <w:br/>
        <w:t>retuvo, supo de la captura de Isidro Caballero Delgado y  María  del  Carmen</w:t>
        <w:br/>
        <w:t>Santana y, una vez puesto  en  libertad,  dio  aviso  a  las  organizaciones</w:t>
        <w:br/>
        <w:t>sindicales y políticas a las que ellos pertenecían, las  cuales  a  su  vez,</w:t>
        <w:br/>
        <w:t>informaron a sus familiares.</w:t>
        <w:br/>
        <w:br/>
        <w:t>13.   Agrega la  demanda  que  la  familia  de  Isidro  Caballero  y  varios</w:t>
        <w:br/>
        <w:t>organismos sindicales y de derechos humanos iniciaron  la  búsqueda  de  los</w:t>
        <w:br/>
        <w:t>detenidos en las  instalaciones  militares  en  donde  se  negó  que  Isidro</w:t>
        <w:br/>
        <w:t>Caballero y  María  del  Carmen  Santana  hubieran  sido  aprehendidos.   Se</w:t>
        <w:br/>
        <w:t>entablaron acciones judiciales y administrativas para ubicar el paradero  de</w:t>
        <w:br/>
        <w:t>los  desaparecidos  y  sancionar  a  los  responsables  directos   pero   no</w:t>
        <w:br/>
        <w:t>obtuvieron resultados  positivos.   Tampoco  se  obtuvo  reparación  de  los</w:t>
        <w:br/>
        <w:t>perjuicios causados.</w:t>
        <w:br/>
        <w:br/>
        <w:t>14.   Las gestiones judiciales incoadas, de acuerdo con la  demanda,  fueron</w:t>
        <w:br/>
        <w:t>un  recurso  de  hábeas  corpus  ante  el  Juzgado   Primero   Superior   de</w:t>
        <w:br/>
        <w:t>Bucaramanga, una investigación en la Justicia Penal Ordinaria ante  el  Juez</w:t>
        <w:br/>
        <w:t>Segundo de Instrucción Criminal Ambulante y una investigación Penal  Militar</w:t>
        <w:br/>
        <w:t>ante  el  Juez  26  de  Instrucción  Penal  Militar,  adscrito  al  Batallón</w:t>
        <w:br/>
        <w:t>Santander con sede en  Ocaña.   Se  realizaron  las  siguientes  actuaciones</w:t>
        <w:br/>
        <w:t>administrativas:  intervención de la Consejería para la Defensa,  Protección</w:t>
        <w:br/>
        <w:t>y Promoción de los Derechos Humanos  de  la  Presidencia  de  la  República,</w:t>
        <w:br/>
        <w:t>intervención  de  la  Procuraduría  Regional  de  Bucaramanga,  actuación  y</w:t>
        <w:br/>
        <w:t>gestiones del Procurador  Segundo  Delegado  para  la  Policía  Judicial  de</w:t>
        <w:br/>
        <w:t>Derechos Humanos y del Procurador Delegado para las Fuerzas Militares  y  se</w:t>
        <w:br/>
        <w:t>hicieron gestiones ante la  Viceprocuraduría  General  de  la  Nación  y  la</w:t>
        <w:br/>
        <w:t>Procuraduría  Delegada  para  las   Fuerzas   Militares.    Como   gestiones</w:t>
        <w:br/>
        <w:t>extrajudiciales  se  utilizó  el  recurso  de  la  denuncia  y  la  protesta</w:t>
        <w:br/>
        <w:t>públicas.</w:t>
        <w:br/>
        <w:br/>
        <w:t>15.   Dice la Comisión que el 4 de abril de 1989, “motu proprio y  antes  de</w:t>
        <w:br/>
        <w:t>recibir comunicación formal de los  peticionarios,  sobre  la  base  de  una</w:t>
        <w:br/>
        <w:t>solicitud de acción urgente enviada  por  fuente  confiable,  transmitió  al</w:t>
        <w:br/>
        <w:t>Gobierno [. . .] la denuncia [. . .] [y]  solicit[ó]  medidas  excepcionales</w:t>
        <w:br/>
        <w:t>para proteger la vida e integridad personal”  de  las  víctimas.   El  5  de</w:t>
        <w:br/>
        <w:t>abril del  mismo  año,  la  Comisión  recibió  la  denuncia  formal  de  los</w:t>
        <w:br/>
        <w:t>peticionarios a la que dio curso bajo el Nº 10.319.  El 26 de septiembre  de</w:t>
        <w:br/>
        <w:t>1991 la Comisión emitió el informe Nº 31/91, en  cuya  parte  resolutiva  se</w:t>
        <w:br/>
        <w:t>dispuso:</w:t>
        <w:br/>
        <w:br/>
        <w:t xml:space="preserve">            1.   Que el Gobierno de Colombia ha dejado  de  cumplir  con  su</w:t>
        <w:br/>
        <w:t xml:space="preserve">      obligación de respetar y garantizar los  Artículos  4  (derecho  a  la</w:t>
        <w:br/>
        <w:t xml:space="preserve">      vida), 5 (derecho a la integridad personal), 7 (derecho a la  libertad</w:t>
        <w:br/>
        <w:t xml:space="preserve">      personal) y  25  (sobre  protección  judicial),  en  conexión  con  el</w:t>
        <w:br/>
        <w:t xml:space="preserve">      Artículo 1.1, consagrados en la Convención  Americana  sobre  Derechos</w:t>
        <w:br/>
        <w:t xml:space="preserve">      Humanos, de la cual Colombia es Estado Parte, respecto del secuestro y</w:t>
        <w:br/>
        <w:t xml:space="preserve">      posterior desaparición de Isidro Caballero Delgado y María del  Carmen</w:t>
        <w:br/>
        <w:t xml:space="preserve">      Santana.</w:t>
        <w:br/>
        <w:br/>
        <w:br/>
        <w:t xml:space="preserve">            2.    Recomendar  al  Estado  de  Colombia  pagar  indemnización</w:t>
        <w:br/>
        <w:t xml:space="preserve">      compensatoria a los familiares de las víctimas.</w:t>
        <w:br/>
        <w:br/>
        <w:br/>
        <w:t xml:space="preserve">            3.   Recomendar al Gobierno de Colombia se  continúe  (sic)  con</w:t>
        <w:br/>
        <w:t xml:space="preserve">      las investigaciones hasta identificar y  sancionar  penalmente  a  los</w:t>
        <w:br/>
        <w:t xml:space="preserve">      culpables, evitándose de esta manera la consumación de hechos de grave</w:t>
        <w:br/>
        <w:t xml:space="preserve">      impunidad que lesionan las bases mismas del orden jurídico.</w:t>
        <w:br/>
        <w:br/>
        <w:br/>
        <w:t xml:space="preserve">             4.    Solicitar  al  Gobierno  de  Colombia  que  garantice  la</w:t>
        <w:br/>
        <w:t xml:space="preserve">      seguridad  y  otorgue  la  protección   necesaria   a   los   testigos</w:t>
        <w:br/>
        <w:t xml:space="preserve">      presenciales de los hechos que, con riesgo de sus vidas, han  prestado</w:t>
        <w:br/>
        <w:t xml:space="preserve">      su colaboración para el esclarecimiento de los hechos.</w:t>
        <w:br/>
        <w:br/>
        <w:br/>
        <w:t xml:space="preserve">            5.   Incluir este Informe en  el  próximo  Informe  Anual  a  la</w:t>
        <w:br/>
        <w:t xml:space="preserve">      Asamblea General de la Organización de Estados Americanos, en caso  de</w:t>
        <w:br/>
        <w:t xml:space="preserve">      no recibirse la respuesta dentro del plazo de 90 días a partir de este</w:t>
        <w:br/>
        <w:t xml:space="preserve">      informe.</w:t>
        <w:br/>
        <w:br/>
        <w:br/>
        <w:t xml:space="preserve">            6.   Comunicar  este  informe  al  Gobierno  de  Colombia  y  al</w:t>
        <w:br/>
        <w:t xml:space="preserve">      reclamante, los que no están autorizados a publicarlo.</w:t>
        <w:br/>
        <w:br/>
        <w:t>16.   Mediante nota que el Gobierno hizo llegar  a  la  Comisión  el  16  de</w:t>
        <w:br/>
        <w:t>enero de 1992, se solicitó a ésta “reconsideración  de  estos  informes,  en</w:t>
        <w:br/>
        <w:t>virtud del artículo 54  del  Reglamento  de  la  Comisión”  y  se  dio  como</w:t>
        <w:br/>
        <w:t>argumento para sustentar esa solicitud “las actividades desplegadas por  las</w:t>
        <w:br/>
        <w:t>diferentes   entidades   estatales   encargadas   de   asuntos   penales   y</w:t>
        <w:br/>
        <w:t>disciplinarios, con miras a profundizar dichas  investigaciones,  atendiendo</w:t>
        <w:br/>
        <w:t>así las recomendaciones de la Honorable Comisión”.  En  comunicación  de  18</w:t>
        <w:br/>
        <w:t>de febrero, la Secretaria ejecutiva de la Comisión informó al  Gobierno  que</w:t>
        <w:br/>
        <w:t>ésta había decidido “dejar firmes los informes aprobados previamente por  la</w:t>
        <w:br/>
        <w:t>Comisión, aplazando la decisión de publicarlos para el siguiente período  de</w:t>
        <w:br/>
        <w:t>sesiones”.  El Gobierno, a su vez, pidió, en comunicación de 24 de  febrero,</w:t>
        <w:br/>
        <w:t>aclaración  de  la  expresión  “‘dejar   firmes   los   informes   aprobados</w:t>
        <w:br/>
        <w:t>previamente por la  Comisión'  para  que  se  precise  si  fue  decidida  la</w:t>
        <w:br/>
        <w:t>reconsideración solicitada por  Colombia  en  los  casos  10.319,  10.454  y</w:t>
        <w:br/>
        <w:t>10.581 y en caso afirmativo  obtener  el  texto  auténtico  de  la  decisión</w:t>
        <w:br/>
        <w:t>correspondiente, si ésta ha sido expedida”.   Esta  solicitud  del  Gobierno</w:t>
        <w:br/>
        <w:t>fue respondida el 28 de febrero por el Presidente de  la  Comisión,  en  los</w:t>
        <w:br/>
        <w:t>siguientes términos:</w:t>
        <w:br/>
        <w:br/>
        <w:t xml:space="preserve">      [L]a Comisión  acordó  postergar  la  decisión  definitiva  sobre  los</w:t>
        <w:br/>
        <w:t xml:space="preserve">      informes N°s. 31, 32 y 33/91 -aprobados  durante  su  80°  período  de</w:t>
        <w:br/>
        <w:t xml:space="preserve">      sesiones-, habida cuenta de los alegatos presentados por el  Ilustrado</w:t>
        <w:br/>
        <w:t xml:space="preserve">      Gobierno  de  Colombia  y  de  las  manifestaciones  de  voluntad   de</w:t>
        <w:br/>
        <w:t xml:space="preserve">      cooperación de su Gobierno con la Comisión Interamericana.</w:t>
        <w:br/>
        <w:br/>
        <w:br/>
        <w:t xml:space="preserve">            Esta decisión, sin embargo,  en  modo  alguno  implica  que  los</w:t>
        <w:br/>
        <w:t xml:space="preserve">      Informes ya aprobados por la Comisión durante el mes de septiembre  de</w:t>
        <w:br/>
        <w:t xml:space="preserve">      1991 hayan perdido vigencia, sino que se  ha  suspendido  la  decisión</w:t>
        <w:br/>
        <w:t xml:space="preserve">      sobre  su  adopción  como  informes  definitivos,  con  el   propósito</w:t>
        <w:br/>
        <w:t xml:space="preserve">      precisamente de dar una nueva oportunidad al Gobierno de  Colombia  de</w:t>
        <w:br/>
        <w:t xml:space="preserve">      cumplir efectivamente  con  las  recomendaciones  concretas  en  ellos</w:t>
        <w:br/>
        <w:t xml:space="preserve">      contenidas.</w:t>
        <w:br/>
        <w:br/>
        <w:br/>
        <w:t xml:space="preserve">            En  consecuencia,  la  CIDH  tomará  una  decisión  de  carácter</w:t>
        <w:br/>
        <w:t xml:space="preserve">      definitivo sobre su eventual publicación en el curso de su 82° período</w:t>
        <w:br/>
        <w:t xml:space="preserve">      de sesiones, tomando como base para ello, tanto la  efectiva  adopción</w:t>
        <w:br/>
        <w:t xml:space="preserve">      de  las  recomendaciones   formuladas   en   los   mismos,   como   la</w:t>
        <w:br/>
        <w:t xml:space="preserve">      implementación de aquellas que sean  presentadas  al  Gobierno  en  el</w:t>
        <w:br/>
        <w:t xml:space="preserve">      curso de la visita in loco que realizará la Comisión durante el mes de</w:t>
        <w:br/>
        <w:t xml:space="preserve">      mayo próximo.</w:t>
        <w:br/>
        <w:br/>
        <w:t>17.   Durante su  82º  período  de  sesiones,  en  septiembre  de  1992,  la</w:t>
        <w:br/>
        <w:t>Comisión recibió el informe sobre las gestiones realizadas por  la  Comisión</w:t>
        <w:br/>
        <w:t>Especial  durante  la  visita  in  loco  y  recibió  en  audiencia   a   los</w:t>
        <w:br/>
        <w:t>representantes del Gobierno y a los peticionarios.  El 25 de  septiembre  de</w:t>
        <w:br/>
        <w:t>1992 aprobó el informe 31/92  de  25  de  septiembre  de  1992,  cuya  parte</w:t>
        <w:br/>
        <w:t>dispositiva reza lo siguiente:</w:t>
        <w:br/>
        <w:br/>
        <w:t xml:space="preserve">            1.   Desestimar la solicitud de reconsideración planteada por el</w:t>
        <w:br/>
        <w:t xml:space="preserve">      Gobierno de Colombia, ratificar el informe Nº 31/91, de  fecha  29  de</w:t>
        <w:br/>
        <w:t xml:space="preserve">      septiembre  de  1991  y  remitir  el  presente   caso   a   la   Corte</w:t>
        <w:br/>
        <w:t xml:space="preserve">      Interamericana de Derechos Humanos.</w:t>
        <w:br/>
        <w:br/>
        <w:br/>
        <w:t xml:space="preserve">            2.   Comunicar el presente informe al Gobierno de  la  República</w:t>
        <w:br/>
        <w:t xml:space="preserve">      de Colombia y al peticionario con  indicación  de  que  no  puede  ser</w:t>
        <w:br/>
        <w:t xml:space="preserve">      publicado y de que el plazo a que se refiere el artículo  51.1  de  la</w:t>
        <w:br/>
        <w:t xml:space="preserve">      Convención Americana sobre Derechos Humanos corre a partir del día  25</w:t>
        <w:br/>
        <w:t xml:space="preserve">      de septiembre de 1992,  fecha  de  la  adopción  definitiva  de  dicho</w:t>
        <w:br/>
        <w:t xml:space="preserve">      informe.</w:t>
        <w:br/>
        <w:br/>
        <w:br/>
        <w:t xml:space="preserve">                                     III</w:t>
        <w:br/>
        <w:br/>
        <w:t>18.   La Corte es competente para conocer del presente  caso.   Colombia  es</w:t>
        <w:br/>
        <w:t>Estado Parte de la Convención desde el 31 de  julio  de  1973  y  aceptó  la</w:t>
        <w:br/>
        <w:t>competencia contenciosa de la Corte a que se refiere el artículo  62  de  la</w:t>
        <w:br/>
        <w:t>Convención el 21 de junio de 1985.</w:t>
        <w:br/>
        <w:br/>
        <w:br/>
        <w:t xml:space="preserve">                                     IV</w:t>
        <w:br/>
        <w:br/>
        <w:t>19.   El Gobierno alegó como excepciones preliminares las siguientes:</w:t>
        <w:br/>
        <w:br/>
        <w:t xml:space="preserve">      a.    falta de iniciativa de la Comisión para una solución amistosa;</w:t>
        <w:br/>
        <w:t xml:space="preserve">      b.    incorrecta aplicación de los artículos 50 y 51 de la Convención;</w:t>
        <w:br/>
        <w:t xml:space="preserve">      y</w:t>
        <w:br/>
        <w:t xml:space="preserve">      c.    falta de agotamiento de los recursos internos.</w:t>
        <w:br/>
        <w:br/>
        <w:br/>
        <w:t xml:space="preserve">                                      V</w:t>
        <w:br/>
        <w:br/>
        <w:t>20.   La Corte entra ahora a considerar la  primera  de  dichas  excepciones</w:t>
        <w:br/>
        <w:t>preliminares.</w:t>
        <w:br/>
        <w:br/>
        <w:t>Para fundarla, el Gobierno alegó tanto en su escrito como  en  la  audiencia</w:t>
        <w:br/>
        <w:t>respectiva, que la Comisión infringió lo dispuesto por el  artículo  48.1.f)</w:t>
        <w:br/>
        <w:t>de la Convención, en cuanto no se puso a  disposición  de  las  partes  para</w:t>
        <w:br/>
        <w:t>lograr una solución amistosa del asunto, no  obstante  que  el  Gobierno  en</w:t>
        <w:br/>
        <w:t>ningún momento negó los hechos materia de la denuncia, y  por  ello  resulta</w:t>
        <w:br/>
        <w:t>arbitraria la afirmación que se incluye en el informe  Nº  31/91  de  26  de</w:t>
        <w:br/>
        <w:t>septiembre de 1991, en el sentido de que los hechos materia de  la  denuncia</w:t>
        <w:br/>
        <w:t>no son, “por su naturaleza”, susceptibles de  ser  resueltos  a  través  del</w:t>
        <w:br/>
        <w:t>procedimiento  de  solución  amistosa  y  porque  las  partes   tampoco   lo</w:t>
        <w:br/>
        <w:t>solicitaron de acuerdo con el artículo 45 del Reglamento de la Comisión.</w:t>
        <w:br/>
        <w:br/>
        <w:t>21.   El Gobierno sostiene que  el  citado  precepto  de  la  Convención  no</w:t>
        <w:br/>
        <w:t>faculta a la Comisión para trasladar a las partes la obligación,  que  tiene</w:t>
        <w:br/>
        <w:t>en forma exclusiva, de ponerse a su disposición  para  lograr  una  solución</w:t>
        <w:br/>
        <w:t>amistosa, para luego argumentar la Comisión que quien  no  la  pidió  ya  no</w:t>
        <w:br/>
        <w:t>puede sostener que  ella  violó  la  Convención.   Además,  en  opinión  del</w:t>
        <w:br/>
        <w:t>Gobierno, el artículo 45.1 del Reglamento de la Comisión  no  corresponde  a</w:t>
        <w:br/>
        <w:t>un desarrollo exacto del alcance y contenido  del  artículo  48.1.f)  de  la</w:t>
        <w:br/>
        <w:t>Convención, por la razón elemental  de  que  los  Estados  Partes  no  deben</w:t>
        <w:br/>
        <w:t>encontrarse en la incómoda posición de  tener  que  solicitar  una  solución</w:t>
        <w:br/>
        <w:t>amistosa, lo que podría interpretarse como una confesión  anticipada  de  su</w:t>
        <w:br/>
        <w:t>responsabilidad con los consiguientes riesgos políticos y procesales.</w:t>
        <w:br/>
        <w:br/>
        <w:t>22.   Alega  el  Gobierno  que  de  manera  indebida  la  Comisión  pretende</w:t>
        <w:br/>
        <w:t>extender al presente  el  criterio  sustentado  por  la  Corte  en  el  caso</w:t>
        <w:br/>
        <w:t>Velásquez  Rodríguez  en  su  sentencia  de  26  de  junio  de  1987   sobre</w:t>
        <w:br/>
        <w:t>excepciones preliminares, ya que  las  circunstancias  que  motivaron  dicha</w:t>
        <w:br/>
        <w:t>decisión difieren sustancialmente de este asunto, pues en aquel el  Gobierno</w:t>
        <w:br/>
        <w:t>de  Honduras  negó  en  repetidas   oportunidades   que   hubiera   existido</w:t>
        <w:br/>
        <w:t>participación de autoridades gubernamentales o militares en la  desaparición</w:t>
        <w:br/>
        <w:t>forzada de la víctima, e incluso llegó a negar  que  dicha  desaparición  se</w:t>
        <w:br/>
        <w:t>hubiese producido.  En el presente caso ha dicho el Gobierno que</w:t>
        <w:br/>
        <w:br/>
        <w:t xml:space="preserve">      en ningún momento negó el hecho real y  material  de  la  desaparición</w:t>
        <w:br/>
        <w:t xml:space="preserve">      forzada de una persona.  Además, los distintos procesos judiciales que</w:t>
        <w:br/>
        <w:t xml:space="preserve">      se iniciaron con el fin de localizar a la  víctima  y  determinar  los</w:t>
        <w:br/>
        <w:t xml:space="preserve">      autores de este comportamiento indican un reconocimiento de que en las</w:t>
        <w:br/>
        <w:t xml:space="preserve">      violaciones a los derechos individuales pudieron  tener  participación</w:t>
        <w:br/>
        <w:t xml:space="preserve">      autoridades militares colombianas.  La disputa central que se  produce</w:t>
        <w:br/>
        <w:t xml:space="preserve">      entre el Gobierno de Colombia y la Comisión,  tiene  que  ver  con  la</w:t>
        <w:br/>
        <w:t xml:space="preserve">      identidad de los responsables de las violaciones y si las  autoridades</w:t>
        <w:br/>
        <w:t xml:space="preserve">      judiciales nacionales cumplieron debidamente con sus  obligaciones  de</w:t>
        <w:br/>
        <w:t xml:space="preserve">      detener a dichas personas o imponerles las sanciones respectivas.</w:t>
        <w:br/>
        <w:br/>
        <w:t>23.   A su vez la Comisión, tanto  en  su  escrito  de  contestación  a  las</w:t>
        <w:br/>
        <w:t>excepciones  preliminares  como   en   la   audiencia   respectiva,   afirmó</w:t>
        <w:br/>
        <w:t>sustancialmente que a  partir  del  fallo  de  la  Corte  que  resolvió  las</w:t>
        <w:br/>
        <w:t>excepciones preliminares interpuestas por el  Gobierno  de  Honduras  en  el</w:t>
        <w:br/>
        <w:t>caso Velásquez Rodríguez en su sentencia de 26 de junio de 1987, ha  quedado</w:t>
        <w:br/>
        <w:t>establecido de manera definitiva que el procedimiento de  solución  amistosa</w:t>
        <w:br/>
        <w:t>contemplado  en  la  Convención  no  debe  considerarse  como   un   trámite</w:t>
        <w:br/>
        <w:t>obligatorio para la Comisión, sino una opción que está abierta a las  partes</w:t>
        <w:br/>
        <w:t>y a la Comisión misma, de acuerdo con las condiciones y  características  de</w:t>
        <w:br/>
        <w:t>cada caso.  Además, dice la Comisión  que  en  ese  fallo  se  determinó  la</w:t>
        <w:br/>
        <w:t>validez del artículo 45 de su Reglamento, en virtud de que no contradice  la</w:t>
        <w:br/>
        <w:t>Convención, sino que por el contrario,  desarrolla  de  manera  adecuada  al</w:t>
        <w:br/>
        <w:t>artículo 48.1.f) de la misma.</w:t>
        <w:br/>
        <w:br/>
        <w:t>24.   Señala además la Comisión que en el caso Velásquez Rodríguez la  Corte</w:t>
        <w:br/>
        <w:t>se abstuvo de  apreciar  la  conducta  del  Gobierno  de  Honduras  ante  la</w:t>
        <w:br/>
        <w:t>Comisión y si las pretensiones de las partes estaban suficientemente  claras</w:t>
        <w:br/>
        <w:t>y precisas, en virtud de que la cuestión esencial era  que  la  Comisión  no</w:t>
        <w:br/>
        <w:t>estaba obligada siempre a iniciar el procedimiento de solución amistosa.</w:t>
        <w:br/>
        <w:br/>
        <w:t>25.   Observa  la  Corte  que  la  Comisión  y  el  Gobierno  sostienen  una</w:t>
        <w:br/>
        <w:t>interpretación diversa de los artículos 48.1.f) de la Convención  y  45  del</w:t>
        <w:br/>
        <w:t>Reglamento  de  la  primera,  así  como  sobre  los  alcances  del  criterio</w:t>
        <w:br/>
        <w:t>establecido por  este  Tribunal  al  decidir  las  excepciones  preliminares</w:t>
        <w:br/>
        <w:t>planteadas por el Gobierno de Honduras en  los  casos  Velásquez  Rodríguez,</w:t>
        <w:br/>
        <w:t>Godínez Cruz, y Fairén Garbi y Solís Corrales, resueltos por  sentencias  de</w:t>
        <w:br/>
        <w:t>26 de junio de 1987 y que son similares en este aspecto.</w:t>
        <w:br/>
        <w:br/>
        <w:t>26.   Esta Corte sostuvo en los tres casos mencionados que:</w:t>
        <w:br/>
        <w:br/>
        <w:t xml:space="preserve">      Desde un punto de vista literal, la frase utilizada  por  el  artículo</w:t>
        <w:br/>
        <w:t xml:space="preserve">      48.1.f) de la Convención, la Comisión ‘se pondrá a disposición de  las</w:t>
        <w:br/>
        <w:t xml:space="preserve">      partes interesadas, a fin de llegar a una solución  amistosa’,  parece</w:t>
        <w:br/>
        <w:t xml:space="preserve">      establecer un trámite obligatorio.  Sin embargo,  la  Corte  considera</w:t>
        <w:br/>
        <w:t xml:space="preserve">      que una interpretación, de acuerdo con el contexto de  la  Convención,</w:t>
        <w:br/>
        <w:t xml:space="preserve">      lleva al convencimiento de que  esa  actuación  de  la  Comisión  debe</w:t>
        <w:br/>
        <w:t xml:space="preserve">      intentarse  sólo  cuando  las  circunstancias  de   una   controversia</w:t>
        <w:br/>
        <w:t xml:space="preserve">      determinen  la  necesidad  o  la   conveniencia   de   utilizar   este</w:t>
        <w:br/>
        <w:t xml:space="preserve">      instrumento, supuestos sujetos a la apreciación de la  Comisión  (Caso</w:t>
        <w:br/>
        <w:t xml:space="preserve">      Velásquez Rodríguez, Excepciones  Preliminares,  Sentencia  de  26  de</w:t>
        <w:br/>
        <w:t xml:space="preserve">      junio de 1987.  Serie C No. 1, párr. 44; Caso  Fairén  Garbi  y  Solís</w:t>
        <w:br/>
        <w:t xml:space="preserve">      Corrales, Excepciones Preliminares, Sentencia de 26 de junio de  1987.</w:t>
        <w:br/>
        <w:t xml:space="preserve">      Serie C No. 2, párr. 49; Caso Godínez Cruz, Excepciones  Preliminares,</w:t>
        <w:br/>
        <w:t xml:space="preserve">      Sentencia de 26 de junio de 1987.  Serie C No. 3, párr. 47).</w:t>
        <w:br/>
        <w:br/>
        <w:t>Después de transcribir el artículo 45.2 del Reglamento de  la  Comisión,  la</w:t>
        <w:br/>
        <w:t>Corte agregó:</w:t>
        <w:br/>
        <w:br/>
        <w:t xml:space="preserve">      Lo anterior significa que la Comisión posee facultades discrecionales,</w:t>
        <w:br/>
        <w:t xml:space="preserve">      pero de ninguna manera arbitrarias, para decidir,  en  cada  caso,  si</w:t>
        <w:br/>
        <w:t xml:space="preserve">      resulta conveniente o adecuado el procedimiento de  solución  amistosa</w:t>
        <w:br/>
        <w:t xml:space="preserve">      para resolver el asunto  en  beneficio  del  respeto  a  los  derechos</w:t>
        <w:br/>
        <w:t xml:space="preserve">      humanos (Caso Velásquez Rodríguez, Excepciones Preliminares, párr. 45;</w:t>
        <w:br/>
        <w:t xml:space="preserve">      Caso Fairén Garbi y Solís Corrales,  Excepciones  Preliminares,  párr.</w:t>
        <w:br/>
        <w:t xml:space="preserve">      50; Caso Godínez Cruz, Excepciones Preliminares, párr. 48).</w:t>
        <w:br/>
        <w:br/>
        <w:t>27.   La Corte ha dicho que la Comisión no tiene facultades  arbitrarias  en</w:t>
        <w:br/>
        <w:t>esta materia.  Es muy clara la  intención  de  la  Convención  respecto  del</w:t>
        <w:br/>
        <w:t>papel conciliador que debe cumplir la Comisión antes  de  que  un  caso  sea</w:t>
        <w:br/>
        <w:t>enviado a la Corte o publicado.</w:t>
        <w:br/>
        <w:br/>
        <w:t>Sólo en casos excepcionales y, naturalmente, con razones de fondo, puede  la</w:t>
        <w:br/>
        <w:t>Comisión omitir el procedimiento de  la  conciliación  porque  está  de  por</w:t>
        <w:br/>
        <w:t>medio la protección de los derechos de las víctimas  o  de  sus  familiares.</w:t>
        <w:br/>
        <w:t>No parece ser suficiente decir, como lo hace la Comisión, que no  se  acudió</w:t>
        <w:br/>
        <w:t>a este procedimiento simplemente por razón de la “naturaleza” del asunto.</w:t>
        <w:br/>
        <w:br/>
        <w:t>28.   La Corte estima que la Comisión debió  fundamentar  cuidadosamente  su</w:t>
        <w:br/>
        <w:t>rechazo a la solución amistosa, de acuerdo con la conducta observada por  el</w:t>
        <w:br/>
        <w:t>Estado a quien se imputa la violación.</w:t>
        <w:br/>
        <w:br/>
        <w:t>29.   Sin embargo esta  negativa  de  la  Comisión  no  causó  un  perjuicio</w:t>
        <w:br/>
        <w:t>irreparable a Colombia porque el Estado, si no estaba de acuerdo  con  ella,</w:t>
        <w:br/>
        <w:t>tenía la facultad de solicitar la iniciación del procedimiento  de  solución</w:t>
        <w:br/>
        <w:t>amistosa de acuerdo con el inciso 1 del artículo 45  del  Reglamento  de  la</w:t>
        <w:br/>
        <w:t>Comisión, que dispone:</w:t>
        <w:br/>
        <w:br/>
        <w:t xml:space="preserve">            A solicitud de  cualquiera  de  las  partes,  o  por  iniciativa</w:t>
        <w:br/>
        <w:t xml:space="preserve">      propia, la  Comisión  se  pondrá  a  disposición  de  las  mismas,  en</w:t>
        <w:br/>
        <w:t xml:space="preserve">      cualquier etapa del examen de una petición, a  fin  de  llegar  a  una</w:t>
        <w:br/>
        <w:t xml:space="preserve">      solución amistosa del asunto, fundada en el respeto  de  los  derechos</w:t>
        <w:br/>
        <w:t xml:space="preserve">      humanos  establecidos  en  la  Convención  Americana  sobre   Derechos</w:t>
        <w:br/>
        <w:t xml:space="preserve">      Humanos.</w:t>
        <w:br/>
        <w:br/>
        <w:t>30.    En  un  procedimiento  de  solución  amistosa  es  indispensable   la</w:t>
        <w:br/>
        <w:t>intervención y decisión  de  las  partes  involucradas.   Aún  interpretando</w:t>
        <w:br/>
        <w:t>literalmente las disposiciones de la Convención y haciendo  caso  omiso  del</w:t>
        <w:br/>
        <w:t>Reglamento de la Comisión,  ésta  solamente  podría  sugerir  a  las  partes</w:t>
        <w:br/>
        <w:t>entablar las conversaciones enderezadas  a  la  solución  amistosa  pero  no</w:t>
        <w:br/>
        <w:t>podría, por carecer  de  poder  para  ello,  decidirla.   La  Comisión  debe</w:t>
        <w:br/>
        <w:t>propiciar el acercamiento pero sus  resultados  no  dependen  de  ella.   De</w:t>
        <w:br/>
        <w:t>alcanzarse el acuerdo debe ella cerciorarse  de  que  los  derechos  humanos</w:t>
        <w:br/>
        <w:t>hayan sido adecuadamente defendidos.</w:t>
        <w:br/>
        <w:br/>
        <w:t>Si una parte tiene interés en la solución amistosa puede proponerla.  En  el</w:t>
        <w:br/>
        <w:t>caso del Estado y frente al objeto y fin del tratado, que es la  defensa  de</w:t>
        <w:br/>
        <w:t>los derechos humanos en él protegidos, no podría  entenderse  esa  propuesta</w:t>
        <w:br/>
        <w:t>como un reconocimiento  de  responsabilidad  sino,  al  contrario,  como  un</w:t>
        <w:br/>
        <w:t>cumplimiento de buena fe de los propósitos de la Convención.</w:t>
        <w:br/>
        <w:br/>
        <w:t>La Corte no encuentra  aceptable  que  el  Gobierno  arguya  como  excepción</w:t>
        <w:br/>
        <w:t>preliminar  que  la  Comisión  no  ejecutó  el  procedimiento  de   solución</w:t>
        <w:br/>
        <w:t>amistosa, cuando frente a las disposiciones  del  Reglamento  él  tenía  esa</w:t>
        <w:br/>
        <w:t>misma facultad.  No se puede exigir de otro un comportamiento que uno  mismo</w:t>
        <w:br/>
        <w:t>pudo cumplir en igualdad de condiciones pero no lo hizo.</w:t>
        <w:br/>
        <w:br/>
        <w:t>31.   Por estas razones la Corte desecha esta excepción preliminar.</w:t>
        <w:br/>
        <w:br/>
        <w:br/>
        <w:t xml:space="preserve">                                     VI</w:t>
        <w:br/>
        <w:br/>
        <w:t>32.   La segunda excepción preliminar  que  ha  presentado  el  Gobierno  se</w:t>
        <w:br/>
        <w:t>apoya en la violación en su perjuicio del procedimiento establecido por  los</w:t>
        <w:br/>
        <w:t>artículos 50 y 51 de la Convención por parte de  la  Comisión,  por  lo  que</w:t>
        <w:br/>
        <w:t>pretende que la Corte deseche la demanda por haberse  presentado  de  manera</w:t>
        <w:br/>
        <w:t>irregular.</w:t>
        <w:br/>
        <w:br/>
        <w:t>33.   Alega  el  Gobierno  que  el  trámite  previsto  por  los  mencionados</w:t>
        <w:br/>
        <w:t>preceptos de  la  Convención  está  conformado  por  diferentes  etapas,  la</w:t>
        <w:br/>
        <w:t>primera de las cuales, de competencia exclusiva de la Comisión, se  agotaría</w:t>
        <w:br/>
        <w:t>con la tramitación del informe.   La  segunda  estaría  constituida  por  el</w:t>
        <w:br/>
        <w:t>plazo  de  tres  meses  para  que  se  solucione  el  caso  o  se  ponga  en</w:t>
        <w:br/>
        <w:t>conocimiento  de  la  Corte.   Una  tercera  estaría   conformada   por   la</w:t>
        <w:br/>
        <w:t>competencia exclusiva de la Corte cuando  el  caso  se  le  ha  sometido  de</w:t>
        <w:br/>
        <w:t>manera oportuna  dentro  del  plazo  mencionado,  o  por  el  contrario,  le</w:t>
        <w:br/>
        <w:t>corresponde a la Comisión adoptar las medidas previstas en  el  artículo  51</w:t>
        <w:br/>
        <w:t>de la Convención.  Estas tres etapas sucesivas no admitirían  interferencias</w:t>
        <w:br/>
        <w:t>ni podrían omitirse sin ocasionar una lesión al derecho de  defensa  de  los</w:t>
        <w:br/>
        <w:t>Estados Partes.</w:t>
        <w:br/>
        <w:br/>
        <w:t>34.   El Gobierno estima que la Comisión integró y confundió los  diferentes</w:t>
        <w:br/>
        <w:t>trámites y funciones que le están encomendados por los artículos 50 y 51  de</w:t>
        <w:br/>
        <w:t>la Convención, con lo cual impidió que las partes conocieran  con  exactitud</w:t>
        <w:br/>
        <w:t>si alguna etapa procesal se encontraba agotada  y  cuáles  eran  los  plazos</w:t>
        <w:br/>
        <w:t>aplicables que tienen  carácter  perentorio.   Que  poco  importa  si  dicha</w:t>
        <w:br/>
        <w:t>confusión fue producto de una interpretación equivocada o de un descuido  de</w:t>
        <w:br/>
        <w:t>la Comisión, pero lo cierto es  que  produjo  efectos  negativos  sobre  los</w:t>
        <w:br/>
        <w:t>derechos que la Convención otorga a Colombia.</w:t>
        <w:br/>
        <w:br/>
        <w:t>35.   Al respecto, el Gobierno señala que el 26 de  septiembre  de  1991  la</w:t>
        <w:br/>
        <w:t>Comisión  adoptó  su  informe  Nº  31/91,  en   el   cual   formuló   varias</w:t>
        <w:br/>
        <w:t>recomendaciones al Gobierno y decidió incluirlo en el  Informe  Anual  a  la</w:t>
        <w:br/>
        <w:t>Asamblea General de la Organización de los Estados Americanos en caso de  no</w:t>
        <w:br/>
        <w:t>recibir respuesta de Colombia en el plazo de 90 días.   Agrega  el  Gobierno</w:t>
        <w:br/>
        <w:t>que  por  nota  de  16  de  enero  de  1992,  a  su  juicio  presentada  con</w:t>
        <w:br/>
        <w:t>posterioridad al vencimiento del  citado  plazo  de  90  días,  solicitó  la</w:t>
        <w:br/>
        <w:t>reconsideración del caso fundado en el artículo  54  del  Reglamento  de  la</w:t>
        <w:br/>
        <w:t>Comisión, precepto que sólo se aplica a los casos contra Estados que no  son</w:t>
        <w:br/>
        <w:t>Partes en la Convención.  Por carta fechada el 28 de febrero de ese año,  el</w:t>
        <w:br/>
        <w:t>Presidente de la Comisión informó al Gobierno que había  acordado  postergar</w:t>
        <w:br/>
        <w:t>la decisión definitiva del informe  Nº  31/91  en  virtud  de  los  alegatos</w:t>
        <w:br/>
        <w:t>presentados por Colombia y las manifestaciones  de  cooperación  del  mismo,</w:t>
        <w:br/>
        <w:t>pero que dicha decisión en modo  alguno  implicaba  que  el  citado  informe</w:t>
        <w:br/>
        <w:t>aprobado en septiembre de 1991 hubiese perdido su vigencia,  sino  que  sólo</w:t>
        <w:br/>
        <w:t>se había suspendido la decisión sobre su adopción  como  informe  definitivo</w:t>
        <w:br/>
        <w:t>con el propósito de  dar  una  nueva  oportunidad  al  Gobierno  de  cumplir</w:t>
        <w:br/>
        <w:t>efectivamente con las  recomendaciones  concretas  contenidas  en  el  mismo</w:t>
        <w:br/>
        <w:t>informe.</w:t>
        <w:br/>
        <w:br/>
        <w:t>36.   En opinión del Gobierno, la resolución de febrero  de  1992  determinó</w:t>
        <w:br/>
        <w:t>el rechazo del recurso de reconsideración contra el informe regulado por  el</w:t>
        <w:br/>
        <w:t>artículo 50 de la Convención, en tanto que la decisión sobre el informe  del</w:t>
        <w:br/>
        <w:t>artículo 51 quedó postergada.  Fue hasta el 25 de septiembre de 1992  cuando</w:t>
        <w:br/>
        <w:t>la Comisión decidió desestimar la solicitud de reconsideración  y  ratificar</w:t>
        <w:br/>
        <w:t>el informe Nº  31/91,  así  como  remitir  el  caso  a  la  Corte.   Además,</w:t>
        <w:br/>
        <w:t>estableció el 25  de  septiembre  de  1992  como  la  fecha  definitiva  del</w:t>
        <w:br/>
        <w:t>informe.</w:t>
        <w:br/>
        <w:br/>
        <w:t>37.   En tales condiciones, considera el Gobierno que el asunto ya no  podía</w:t>
        <w:br/>
        <w:t>presentarse ante esta Corte, en virtud de que el plazo  de  tres  meses  del</w:t>
        <w:br/>
        <w:t>artículo 51 de la Convención venció en tres ocasiones,  según  se  tomen  en</w:t>
        <w:br/>
        <w:t>cuenta para el cómputo, los días 26 de septiembre de 1991, el 16 de enero  o</w:t>
        <w:br/>
        <w:t>el 28 de febrero de 1992.  Como la demanda se presentó por la Comisión  ante</w:t>
        <w:br/>
        <w:t>la Corte el 24 de diciembre de  1992,  lo  fue  con  mucha  posterioridad  a</w:t>
        <w:br/>
        <w:t>cualesquiera de los plazos mencionados, que son de carácter fatal.</w:t>
        <w:br/>
        <w:br/>
        <w:t>38.   Por su parte, la Comisión afirma que no es exacto lo sostenido por  el</w:t>
        <w:br/>
        <w:t>Gobierno en el sentido de que  el  plazo  de  tres  meses  regulado  por  el</w:t>
        <w:br/>
        <w:t>artículo 51.1 de la Convención debe  considerarse  como  fatal,  ya  que  la</w:t>
        <w:br/>
        <w:t>Corte consideró en su sentencia de 11 de  diciembre  de  1991,  al  resolver</w:t>
        <w:br/>
        <w:t>sobre las excepciones preliminares en el caso Neira  Alegría  y  otros  que,</w:t>
        <w:br/>
        <w:t>como tal plazo  puede  ser  prorrogado  no  puede  considerarse  perentorio.</w:t>
        <w:br/>
        <w:t>Agrega la Comisión que la prórroga se produjo en virtud de que  el  Gobierno</w:t>
        <w:br/>
        <w:t>solicitó, antes del vencimiento del plazo fijado en el informe Nº 31/91,  la</w:t>
        <w:br/>
        <w:t>reconsideración de este último.</w:t>
        <w:br/>
        <w:br/>
        <w:t>Por otra parte, esta instancia no puede desconocerse  con  el  argumento  de</w:t>
        <w:br/>
        <w:t>que no era aplicable puesto que sólo pueden interponerla los Estados que  no</w:t>
        <w:br/>
        <w:t>son parte en la Convención, ya que, al decidir las excepciones  preliminares</w:t>
        <w:br/>
        <w:t>en el caso Velásquez Rodríguez, la Corte determinó que si  bien  el  recurso</w:t>
        <w:br/>
        <w:t>de reconsideración no se contempla en la Convención y  el  artículo  54  del</w:t>
        <w:br/>
        <w:t>Reglamento de la Comisión lo reserva a los Estados que  no  son  Partes,  se</w:t>
        <w:br/>
        <w:t>ajusta al espíritu y propósitos de la Convención (Caso Velásquez  Rodríguez,</w:t>
        <w:br/>
        <w:t>Excepciones Preliminares, supra 26, párr. 69;  Caso  Fairén  Garbi  y  Solís</w:t>
        <w:br/>
        <w:t>Corrales, Excepciones Preliminares, supra 26, párr. 69; Caso  Godínez  Cruz,</w:t>
        <w:br/>
        <w:t>Excepciones Preliminares, supra 26, párr. 72).  También, de acuerdo  con  el</w:t>
        <w:br/>
        <w:t>caso Neira Alegría y otros, en virtud de un principio  básico  de  buena  fe</w:t>
        <w:br/>
        <w:t>que rige en el derecho internacional de los derechos humanos,  no  se  puede</w:t>
        <w:br/>
        <w:t>pedir  algo  de  otro  y,  una  vez  obtenido  lo  solicitado,  impugnar  la</w:t>
        <w:br/>
        <w:t>competencia de quien lo otorgó (Caso  Neira  Alegría  y  otros,  Excepciones</w:t>
        <w:br/>
        <w:t>Preliminares, Sentencia de 11 de diciembre de 1991.  Serie C No.  13,  párr.</w:t>
        <w:br/>
        <w:t>35).</w:t>
        <w:br/>
        <w:br/>
        <w:t>39.   Afirma la Comisión que no es  correcta  la  aseveración  que  hace  el</w:t>
        <w:br/>
        <w:t>Gobierno en el sentido de que la petición  de  reconsideración  la  presentó</w:t>
        <w:br/>
        <w:t>fuera del plazo de 90 días contados a partir de la fecha  de  la  aprobación</w:t>
        <w:br/>
        <w:t>del informe Nº 31/91 el 26 de septiembre de 1991, ya  que  este  cómputo  es</w:t>
        <w:br/>
        <w:t>equivocado en virtud de que el informe fue comunicado al Gobierno el  17  de</w:t>
        <w:br/>
        <w:t>octubre del mismo año y es a partir de entonces cuando empieza a  correr  el</w:t>
        <w:br/>
        <w:t>plazo.  Y que, como la reconsideración se hizo  valer  el  16  de  enero  de</w:t>
        <w:br/>
        <w:t>1992, se  introdujo  un  día  antes  del  vencimiento  del  plazo,  pues  la</w:t>
        <w:br/>
        <w:t>jurisprudencia de la Corte ha establecido que los 90 días deben  contarse  a</w:t>
        <w:br/>
        <w:t>partir  de  la  remisión  al  Gobierno  respectivo  de  las  recomendaciones</w:t>
        <w:br/>
        <w:t>pertinentes.</w:t>
        <w:br/>
        <w:br/>
        <w:t>40.   A juicio de la Comisión tampoco es admisible el argumento de  Colombia</w:t>
        <w:br/>
        <w:t>en el sentido de que la reconsideración fue rechazada en  febrero  de  1992,</w:t>
        <w:br/>
        <w:t>ya que la decisión de esa fecha determinó la suspensión de la  adopción  del</w:t>
        <w:br/>
        <w:t>informe Nº 31/91 como definitivo, por lo  que  no  se  había  abandonado  ni</w:t>
        <w:br/>
        <w:t>superado la etapa regulada por el artículo 50 de la  Convención.   La  frase</w:t>
        <w:br/>
        <w:t>sobre que el informe no había perdido vigencia, significa que  el  mismo  no</w:t>
        <w:br/>
        <w:t>había sido revocado.  En su  aclaración  del  28  de  febrero  de  1992,  el</w:t>
        <w:br/>
        <w:t>Presidente de la Comisión comunicó al Gobierno que la suspensión tenía  como</w:t>
        <w:br/>
        <w:t>objeto otorgar una  nueva  oportunidad  a  Colombia  para  cumplir  con  las</w:t>
        <w:br/>
        <w:t>recomendaciones contenidas en el documento.</w:t>
        <w:br/>
        <w:br/>
        <w:t>41.   Tampoco considera aceptable la Comisión el argumento del  Gobierno  en</w:t>
        <w:br/>
        <w:t>el sentido de que la decisión de febrero de  1992  implicaba  que  se  había</w:t>
        <w:br/>
        <w:t>iniciado el trámite relativo al documento previsto en el artículo 51  de  la</w:t>
        <w:br/>
        <w:t>Convención, por lo que ya se había perdido la oportunidad de llevar el  caso</w:t>
        <w:br/>
        <w:t>a la Corte.  Según la Comisión, esa decisión sólo  estableció  una  prórroga</w:t>
        <w:br/>
        <w:t>para resolver sobre la cuestión como, en efecto, lo hizo en  el  período  de</w:t>
        <w:br/>
        <w:t>sesiones de septiembre de 1992.</w:t>
        <w:br/>
        <w:br/>
        <w:t>42.   Son varias las cuestiones debatidas  en  esta  excepción.   En  primer</w:t>
        <w:br/>
        <w:t>lugar, la Corte no comparte el argumento del Gobierno en el sentido  de  que</w:t>
        <w:br/>
        <w:t>el plazo establecido por el artículo 51.1 de la  Convención  tiene  carácter</w:t>
        <w:br/>
        <w:t>perentorio, pues este Tribunal ha sostenido que puede ser  prorrogado  (Caso</w:t>
        <w:br/>
        <w:t>Neira Alegría y otros, Excepciones Preliminares, supra 38, párrs. 32-34).</w:t>
        <w:br/>
        <w:br/>
        <w:t>La Corte ha afirmado que</w:t>
        <w:br/>
        <w:br/>
        <w:t xml:space="preserve">      [e]l artículo 51.1 estipula que la Comisión, dentro de los tres  meses</w:t>
        <w:br/>
        <w:t xml:space="preserve">      siguientes a la remisión del informe, debe optar por enviar el caso  a</w:t>
        <w:br/>
        <w:t xml:space="preserve">      la Corte o por emitir posteriormente su  opinión  o  conclusiones,  en</w:t>
        <w:br/>
        <w:t xml:space="preserve">      ambas hipótesis si el asunto no ha sido solucionado.  En el curso  del</w:t>
        <w:br/>
        <w:t xml:space="preserve">      plazo, sin embargo, pueden presentarse diversas circunstancias que  lo</w:t>
        <w:br/>
        <w:t xml:space="preserve">      interrumpan o, incluso, que hagan necesaria la elaboración de un nuevo</w:t>
        <w:br/>
        <w:t xml:space="preserve">      informe o la reanudación del plazo desde el principio.  En  cada  caso</w:t>
        <w:br/>
        <w:t xml:space="preserve">      será necesario hacer el análisis  respectivo  para  determinar  si  el</w:t>
        <w:br/>
        <w:t xml:space="preserve">      plazo  venció  o  no  y   cuáles   fueron   las   circunstancias   que</w:t>
        <w:br/>
        <w:t xml:space="preserve">      razonablemente  lo  interrumpieron,  si  las   hubo    (Caso   Cayara,</w:t>
        <w:br/>
        <w:t xml:space="preserve">      Excepciones Preliminares, Sentencia de 3 de febrero de 1993.  Serie  C</w:t>
        <w:br/>
        <w:t xml:space="preserve">      No. 14, párr. 39).</w:t>
        <w:br/>
        <w:br/>
        <w:t>43.   En este contexto, la solicitud de reconsideración  presentada  por  el</w:t>
        <w:br/>
        <w:t>Gobierno el 16 de enero de 1992  podía  interrumpir  el  plazo  de  90  días</w:t>
        <w:br/>
        <w:t>otorgado por la Comisión a Colombia para  cumplir  con  las  recomendaciones</w:t>
        <w:br/>
        <w:t>del informe  Nº  31/91.   La  controversia  sobre  si  dicha  instancia  fue</w:t>
        <w:br/>
        <w:t>presentada antes o con posterioridad a  que  finalizaran  los  90  días,  se</w:t>
        <w:br/>
        <w:t>dilucida con lo establecido en el artículo 51.1 de la Convención  claramente</w:t>
        <w:br/>
        <w:t>que tal término debe contarse a partir de la comunicación al Gobierno,  pues</w:t>
        <w:br/>
        <w:t>fue  entonces  cuando  éste  tuvo  conocimiento  del  informe   y   de   las</w:t>
        <w:br/>
        <w:t>recomendaciones en él contenidas.  En  esas  condiciones,  la  instancia  de</w:t>
        <w:br/>
        <w:t>reconsideración se presentó un día antes de vencerse el plazo, que  finalizó</w:t>
        <w:br/>
        <w:t>el 17 del citado mes de enero de 1992.</w:t>
        <w:br/>
        <w:br/>
        <w:t>44.    La  Corte  ha  señalado,  al  aceptar  las  excepciones  preliminares</w:t>
        <w:br/>
        <w:t>propuestas por el Perú en el caso Cayara, que no obstante que</w:t>
        <w:br/>
        <w:br/>
        <w:t xml:space="preserve">      [e]s un principio comúnmente aceptado que el sistema  procesal  es  un</w:t>
        <w:br/>
        <w:t xml:space="preserve">      medio para realizar la justicia y que ésta no puede ser sacrificada en</w:t>
        <w:br/>
        <w:t xml:space="preserve">      aras  de  meras  formalidades,  [d]entro   de   ciertos   límites   de</w:t>
        <w:br/>
        <w:t xml:space="preserve">      temporalidad y razonabilidad,  ciertas  omisiones  o  retrasos  en  la</w:t>
        <w:br/>
        <w:t xml:space="preserve">      observancia de los  procedimientos,  pueden  ser  dispensados,  si  se</w:t>
        <w:br/>
        <w:t xml:space="preserve">      conserva un adecuado equilibrio  entre  la  justicia  y  la  seguridad</w:t>
        <w:br/>
        <w:t xml:space="preserve">      jurídica  (Caso Cayara, Excepciones Preliminares, supra 42, párr. 42).</w:t>
        <w:br/>
        <w:br/>
        <w:t>Y añadió luego:</w:t>
        <w:br/>
        <w:br/>
        <w:br/>
        <w:t xml:space="preserve">      La Corte debe guardar un justo equilibrio entre la protección  de  los</w:t>
        <w:br/>
        <w:t xml:space="preserve">      derechos humanos, fin último del sistema, y la  seguridad  jurídica  y</w:t>
        <w:br/>
        <w:t xml:space="preserve">      equidad procesal que aseguran la estabilidad  y  confiabilidad  de  la</w:t>
        <w:br/>
        <w:t xml:space="preserve">      tutela internacional [, porque lo contrario] acarrearía la pérdida  de</w:t>
        <w:br/>
        <w:t xml:space="preserve">      la autoridad y credibilidad indispensables en los  órganos  encargados</w:t>
        <w:br/>
        <w:t xml:space="preserve">      de administrar el sistema de protección de derechos  humanos   (ibid.,</w:t>
        <w:br/>
        <w:t xml:space="preserve">      párr. 63).</w:t>
        <w:br/>
        <w:br/>
        <w:t>45.   El Gobierno ha planteado esta segunda excepción con  base  en  que  la</w:t>
        <w:br/>
        <w:t>Comisión atendió una petición “extemporánea” del propio  Gobierno  para  que</w:t>
        <w:br/>
        <w:t>se reconsiderara el informe, fundada en un artículo  inaplicable  porque  se</w:t>
        <w:br/>
        <w:t>refiere a Estados no Partes en la Convención.   Independientemente  de  que,</w:t>
        <w:br/>
        <w:t>como queda dicho, a la luz del artículo 51.1 de la Convención  la  solicitud</w:t>
        <w:br/>
        <w:t>no fue extemporánea, la Corte debe recordar aquí lo que ya dijo en  un  caso</w:t>
        <w:br/>
        <w:t>anterior sobre la buena fe que  debe  gobernar  estos  asuntos  (Caso  Neira</w:t>
        <w:br/>
        <w:t>Alegría y otros, Excepciones Preliminares, supra 38,  párr.  35)  y  agregar</w:t>
        <w:br/>
        <w:t>que cuando una parte solicita algo,  así  sea  fundada  en  una  disposición</w:t>
        <w:br/>
        <w:t>inaplicable,  no  puede  luego  de  que   se   lo   concedan   impugnar   la</w:t>
        <w:br/>
        <w:t>fundamentación.</w:t>
        <w:br/>
        <w:br/>
        <w:t>46.    Al  plantear  la  excepción  que  se  discute,  hace  Colombia  otras</w:t>
        <w:br/>
        <w:t>consideraciones  que  merecen  un  trato  diferente.   Dice   el   Gobierno,</w:t>
        <w:br/>
        <w:t>refiriéndose a la carta que el Presidente de la Comisión enviara  con  fecha</w:t>
        <w:br/>
        <w:t>28 de febrero de 1992, que las  frases  “postergar  la  decisión  definitiva</w:t>
        <w:br/>
        <w:t>sobre los informes”, “se ha  suspendido  la  decisión  sobre  adopción  como</w:t>
        <w:br/>
        <w:t>informes definitivos”  y  “la  Comisión  tomará  una  decisión  de  carácter</w:t>
        <w:br/>
        <w:t>definitivo sobre  su  eventual  publicación”,  “señalan  claramente  que  la</w:t>
        <w:br/>
        <w:t>Comisión ha acordado postergar la  adopción  del  informe  originado  en  el</w:t>
        <w:br/>
        <w:t>mandato  del  artículo  51”.   Añade  el  Gobierno  que  ha  llegado  a  “la</w:t>
        <w:br/>
        <w:t>conclusión de que los ‘informes definitivos’ a los que se refiere [la  carta</w:t>
        <w:br/>
        <w:t>en cuestión], son informes cuyo sustento normativo es el  artículo  51.   Lo</w:t>
        <w:br/>
        <w:t>anterior se desprende del hecho  de  que  estos  últimos  informes  son  los</w:t>
        <w:br/>
        <w:t>únicos que se pueden dar a la publicación, cosa que no ocurre  con  relación</w:t>
        <w:br/>
        <w:t>a los informes provenientes de lo ordenado por el artículo 50”.</w:t>
        <w:br/>
        <w:br/>
        <w:t>Agrega que “si ha  de  caracterizarse  como  ‘definitivo’  alguno  de  estos</w:t>
        <w:br/>
        <w:t>informes a los que se refieren los artículos [50 y 51],  no  cabe  la  menor</w:t>
        <w:br/>
        <w:t>duda que [el] único informe ‘definitivo’  que  la  Comisión  está  facultada</w:t>
        <w:br/>
        <w:t>para adoptar es el informe mencionado en el artículo 51”.</w:t>
        <w:br/>
        <w:br/>
        <w:t>47.   Sobre este particular las constancias que aparecen  en  el  expediente</w:t>
        <w:br/>
        <w:t>son las siguientes:</w:t>
        <w:br/>
        <w:br/>
        <w:t xml:space="preserve">      a.    El informe Nº 31/91 de  26  de  septiembre  de  1991,  resuelve:</w:t>
        <w:br/>
        <w:t xml:space="preserve">      “Incluir este Informe en  el  próximo  Informe  Anual  a  la  Asamblea</w:t>
        <w:br/>
        <w:t xml:space="preserve">      General de la Organización de los Estados Americanos, en  caso  de  no</w:t>
        <w:br/>
        <w:t xml:space="preserve">      recibirse la respuesta dentro del plazo de 90 días a  partir  de  este</w:t>
        <w:br/>
        <w:t xml:space="preserve">      informe”.</w:t>
        <w:br/>
        <w:br/>
        <w:br/>
        <w:t xml:space="preserve">      b.    El Acta de 6 de febrero de 1992 en la que  la  Comisión  decide:</w:t>
        <w:br/>
        <w:t xml:space="preserve">      “Dejar firmes los informes de  los  casos  10.319,  10.454  y  10.581,</w:t>
        <w:br/>
        <w:t xml:space="preserve">      haciendo nuevas recomendaciones al Gobierno y dándole un término  para</w:t>
        <w:br/>
        <w:t xml:space="preserve">      su cumplimiento.  Si se cumplen las recomendaciones de la Comisión, el</w:t>
        <w:br/>
        <w:t xml:space="preserve">      informe no se publica”.</w:t>
        <w:br/>
        <w:br/>
        <w:br/>
        <w:t xml:space="preserve">      c.    La carta del 18 de febrero de  1992  en  la  que  la  Secretaria</w:t>
        <w:br/>
        <w:t xml:space="preserve">      ejecutiva de la Comisión informa al Gobierno que ésta resolvió  “dejar</w:t>
        <w:br/>
        <w:t xml:space="preserve">      firmes los informes aprobados previamente  por  [ella],  aplazando  la</w:t>
        <w:br/>
        <w:t xml:space="preserve">      decisión de publicarlos para el siguiente período de sesiones”.</w:t>
        <w:br/>
        <w:br/>
        <w:br/>
        <w:t xml:space="preserve">      d.    En respuesta a la carta que le dirigiera el 24 del mismo mes  el</w:t>
        <w:br/>
        <w:t xml:space="preserve">      Embajador de Colombia ante la OEA, en la que le solicitaba  aclaración</w:t>
        <w:br/>
        <w:t xml:space="preserve">      sobre la expresión “dejar firmes los  informes  aprobados  previamente</w:t>
        <w:br/>
        <w:t xml:space="preserve">      por la Comisión”, el Presidente de la misma en carta fechada el 28  de</w:t>
        <w:br/>
        <w:t xml:space="preserve">      febrero de 1992, dice que “la CIDH tomará  una  decisión  de  carácter</w:t>
        <w:br/>
        <w:t xml:space="preserve">      definitivo sobre su eventual publicación en el curso de su 82° período</w:t>
        <w:br/>
        <w:t xml:space="preserve">      de sesiones”.</w:t>
        <w:br/>
        <w:br/>
        <w:br/>
        <w:t xml:space="preserve">      e.    El informe Nº 31/92 de 25 de septiembre de 1992, por el cual  se</w:t>
        <w:br/>
        <w:t xml:space="preserve">      decidió enviar el caso a  la  Corte,  no  hace  mención  alguna  a  la</w:t>
        <w:br/>
        <w:t xml:space="preserve">      publicación, restableciendo el plazo del artículo 51.1.</w:t>
        <w:br/>
        <w:br/>
        <w:br/>
        <w:t xml:space="preserve">      f.    La respuesta de la Comisión a los argumentos del Gobierno, según</w:t>
        <w:br/>
        <w:t xml:space="preserve">      la cual:</w:t>
        <w:br/>
        <w:br/>
        <w:t xml:space="preserve">                 El Gobierno quiere hacer creer que la frase [‘la  Comisión</w:t>
        <w:br/>
        <w:t xml:space="preserve">           tomará una decisión de carácter definitivo sobre  (la)  eventual</w:t>
        <w:br/>
        <w:t xml:space="preserve">           publicación (del informe)’]  lo  confundió  porque  lo  llevó  a</w:t>
        <w:br/>
        <w:t xml:space="preserve">           pensar que la  Comisión  habría  abandonado  la  posibilidad  de</w:t>
        <w:br/>
        <w:t xml:space="preserve">           llevar el caso a la Corte y estaría dando inicio  al  trámite  a</w:t>
        <w:br/>
        <w:t xml:space="preserve">           que se refiere el informe del artículo 51 de la Convención.</w:t>
        <w:br/>
        <w:br/>
        <w:br/>
        <w:t xml:space="preserve">                 Esta situación fue también examinada por la  Corte  en  el</w:t>
        <w:br/>
        <w:t xml:space="preserve">           caso  Velásquez,  con  motivo  de  la  excepción  planteada  por</w:t>
        <w:br/>
        <w:t xml:space="preserve">           Honduras, a propósito del envío  simultáneo  a  la  Corte  y  la</w:t>
        <w:br/>
        <w:t xml:space="preserve">           publicación de los informes en los casos:  Velásquez  Rodríguez,</w:t>
        <w:br/>
        <w:t xml:space="preserve">           Godínez Cruz y Fairén Garbi y  Solís  Corrales,  en  el  Informe</w:t>
        <w:br/>
        <w:t xml:space="preserve">           Anual de la Comisión del año 1985-1986.</w:t>
        <w:br/>
        <w:br/>
        <w:br/>
        <w:t xml:space="preserve">                 La Corte decidió en aquella oportunidad que debido  a  que</w:t>
        <w:br/>
        <w:t xml:space="preserve">           ‘Según el artículo 51 de la Convención, es  la  elaboración  del</w:t>
        <w:br/>
        <w:t xml:space="preserve">           informe la que está condicionada a que no se haya acudido  a  la</w:t>
        <w:br/>
        <w:t xml:space="preserve">           Corte y no la introducción de la demanda la que  está  sujeta  a</w:t>
        <w:br/>
        <w:t xml:space="preserve">           que no se haya preparado o publicado el informe’,  la  ejecución</w:t>
        <w:br/>
        <w:t xml:space="preserve">           de ambos actos  procesales  simultáneamente,  puede  afectar  el</w:t>
        <w:br/>
        <w:t xml:space="preserve">           valor  jurídico  del  informe  publicado,  pero  no  acarrea  la</w:t>
        <w:br/>
        <w:t xml:space="preserve">           inadmisibilidad de la demanda ante la  Corte.   En  el  presente</w:t>
        <w:br/>
        <w:t xml:space="preserve">           caso estos hechos no se dieron; sin embargo, es útil subrayar la</w:t>
        <w:br/>
        <w:t xml:space="preserve">           decisión  de  la  Corte,  porque  establece   que   incluso   la</w:t>
        <w:br/>
        <w:t xml:space="preserve">           publicación del informe no  vicia  fatalmente  el  procedimiento</w:t>
        <w:br/>
        <w:t xml:space="preserve">           ante la Corte y, por lo tanto, la referencia  a  la  publicación</w:t>
        <w:br/>
        <w:t xml:space="preserve">           hecha en la nota del Presidente, no implica, en modo alguno, que</w:t>
        <w:br/>
        <w:t xml:space="preserve">           la Comisión clausura definitiva e irremediablemente su derecho a</w:t>
        <w:br/>
        <w:t xml:space="preserve">           llevar el caso  a  la  Corte,  máxime  cuando  el  plazo  estaba</w:t>
        <w:br/>
        <w:t xml:space="preserve">           suspendido en virtud de la solicitud de reconsideración.</w:t>
        <w:br/>
        <w:br/>
        <w:t xml:space="preserve">      g.    La afirmación de la Comisión de  que  todos  los  documentos  se</w:t>
        <w:br/>
        <w:t xml:space="preserve">      referían a tres casos y no solamente al sub judice.</w:t>
        <w:br/>
        <w:br/>
        <w:t>48.   Sobre la aplicación de los artículos 50 y  51  de  la  Convención,  la</w:t>
        <w:br/>
        <w:t>Corte, al tratar un asunto similar en los casos contra Honduras, señaló que</w:t>
        <w:br/>
        <w:br/>
        <w:t xml:space="preserve">      sí conviene tener presente, en cambio, que la preparación del  informe</w:t>
        <w:br/>
        <w:t xml:space="preserve">      previsto por el artículo 51 está sometida a la  condición  de  que  el</w:t>
        <w:br/>
        <w:t xml:space="preserve">      asunto no haya sido elevado a la consideración de la Corte, dentro del</w:t>
        <w:br/>
        <w:t xml:space="preserve">      plazo de tres meses dispuesto por  el  mismo  artículo  51.1,  lo  que</w:t>
        <w:br/>
        <w:t xml:space="preserve">      equivale a decir que, si el caso ha sido introducido ante la Corte, la</w:t>
        <w:br/>
        <w:t xml:space="preserve">      Comisión no está autorizada para elaborar el informe a que se  refiere</w:t>
        <w:br/>
        <w:t xml:space="preserve">      el artículo 51 [y que]  [.  .  .]  una  vez  que  un  asunto  ha  sido</w:t>
        <w:br/>
        <w:t xml:space="preserve">      introducido  ante  ella,  no  son  aplicables  las  disposiciones  del</w:t>
        <w:br/>
        <w:t xml:space="preserve">      artículo 51, relativas a la preparación de un  nuevo  informe  por  la</w:t>
        <w:br/>
        <w:t xml:space="preserve">      Comisión, que contenga su opinión y sus recomendaciones, el cual  sólo</w:t>
        <w:br/>
        <w:t xml:space="preserve">      es procedente, según la Convención,  tres  meses  después  de  haberse</w:t>
        <w:br/>
        <w:t xml:space="preserve">      hecho la comunicación a que se  refiere  el  artículo  50.   Según  el</w:t>
        <w:br/>
        <w:t xml:space="preserve">      artículo 51 de la Convención, es la elaboración  del  informe  la  que</w:t>
        <w:br/>
        <w:t xml:space="preserve">      está condicionada a que no  se  haya  acudido  a  la  Corte  y  no  la</w:t>
        <w:br/>
        <w:t xml:space="preserve">      introducción de la demanda la  que  está  sujeta  a  que  no  se  haya</w:t>
        <w:br/>
        <w:t xml:space="preserve">      preparado o publicado el informe.  En  consecuencia,  si  la  Comisión</w:t>
        <w:br/>
        <w:t xml:space="preserve">      procede a preparar o a publicar el informe del artículo 51, a pesar de</w:t>
        <w:br/>
        <w:t xml:space="preserve">      haber introducido ya el caso ante la Corte, puede considerarse que  ha</w:t>
        <w:br/>
        <w:t xml:space="preserve">      aplicado   indebidamente   las   disposiciones   de   la   Convención,</w:t>
        <w:br/>
        <w:t xml:space="preserve">      circunstancia ésta que puede afectar el valor  jurídico  del  informe,</w:t>
        <w:br/>
        <w:t xml:space="preserve">      pero que no acarrea la inadmisibilidad de la demanda puesto que,  como</w:t>
        <w:br/>
        <w:t xml:space="preserve">      se dijo, el texto de la Convención no condiciona, de  ninguna  manera,</w:t>
        <w:br/>
        <w:t xml:space="preserve">      la introducción de la  instancia  a  la  no  publicación  del  informe</w:t>
        <w:br/>
        <w:t xml:space="preserve">      previsto por el artículo 51  (Caso  Velásquez  Rodríguez,  Excepciones</w:t>
        <w:br/>
        <w:t xml:space="preserve">      Preliminares, supra 26, párrs. 63 y 76;  Caso  Fairén  Garbi  y  Solís</w:t>
        <w:br/>
        <w:t xml:space="preserve">      Corrales, Excepciones Preliminares, supra 26, párrs.  63  y  75;  Caso</w:t>
        <w:br/>
        <w:t xml:space="preserve">      Godínez Cruz, Excepciones Preliminares, supra 26, párrs. 66 y 78).</w:t>
        <w:br/>
        <w:br/>
        <w:t>49.   Al resolver una consulta que le formularon los gobiernos de  Argentina</w:t>
        <w:br/>
        <w:t>y Uruguay, acerca de la recta interpretación de los artículos 50 y 51 de  la</w:t>
        <w:br/>
        <w:t>Convención, la Corte  dijo  que  en  el  procedimiento  que  esos  artículos</w:t>
        <w:br/>
        <w:t>señalan hay tres etapas, a saber:</w:t>
        <w:br/>
        <w:br/>
        <w:t xml:space="preserve">      En la primera, regulada por el artículo 50,  la  Comisión,  siempre  y</w:t>
        <w:br/>
        <w:t xml:space="preserve">      cuando no se haya alcanzado una solución amistosa, puede  exponer  los</w:t>
        <w:br/>
        <w:t xml:space="preserve">      hechos  y  sus  conclusiones  en  un  documento  dirigido  al   Estado</w:t>
        <w:br/>
        <w:t xml:space="preserve">      interesado  y  que  tiene  carácter  preliminar.   Este  ‘informe’  se</w:t>
        <w:br/>
        <w:t xml:space="preserve">      transmite con  carácter  reservado  al  Estado  para  que  adopte  las</w:t>
        <w:br/>
        <w:t xml:space="preserve">      proposiciones  y  recomendaciones  de  la  Comisión  y  solucione   el</w:t>
        <w:br/>
        <w:t xml:space="preserve">      problema.  El Estado no tiene la facultad de publicarlo.</w:t>
        <w:br/>
        <w:br/>
        <w:br/>
        <w:t xml:space="preserve">      Una recta interpretación del artículo 50, basada en un presupuesto  de</w:t>
        <w:br/>
        <w:t xml:space="preserve">      igualdad de las partes, implica que la Comisión tampoco puede publicar</w:t>
        <w:br/>
        <w:t xml:space="preserve">      ese informe preliminar, el cual se transmite, en la terminología de la</w:t>
        <w:br/>
        <w:t xml:space="preserve">      Convención, solamente ‘a los Estados interesados’.</w:t>
        <w:br/>
        <w:br/>
        <w:br/>
        <w:t xml:space="preserve">      [. . .]</w:t>
        <w:br/>
        <w:br/>
        <w:br/>
        <w:t xml:space="preserve">      Una segunda etapa está regulada por el artículo 51 y, en ella,  si  en</w:t>
        <w:br/>
        <w:t xml:space="preserve">      el plazo de tres meses el asunto no ha sido solucionado por el  Estado</w:t>
        <w:br/>
        <w:t xml:space="preserve">      al  cual  se  ha  dirigido  el  informe  preliminar   atendiendo   las</w:t>
        <w:br/>
        <w:t xml:space="preserve">      proposiciones formuladas en el  mismo,  la  Comisión  está  facultada,</w:t>
        <w:br/>
        <w:t xml:space="preserve">      dentro de dicho período, para decidir si somete el caso a la Corte por</w:t>
        <w:br/>
        <w:t xml:space="preserve">      medio de la demanda respectiva o bien si continúa con el  conocimiento</w:t>
        <w:br/>
        <w:t xml:space="preserve">      del asunto.  Esta decisión no es discrecional, sino que debe  apoyarse</w:t>
        <w:br/>
        <w:t xml:space="preserve">      en la alternativa que sea más favorable para la tutela de los derechos</w:t>
        <w:br/>
        <w:t xml:space="preserve">      establecidos en la Convención.</w:t>
        <w:br/>
        <w:br/>
        <w:br/>
        <w:t xml:space="preserve">      [. . .]</w:t>
        <w:br/>
        <w:br/>
        <w:br/>
        <w:t xml:space="preserve">      Puede  existir  una  tercera  etapa  con  posterioridad   al   informe</w:t>
        <w:br/>
        <w:t xml:space="preserve">      definitivo.  En efecto, vencido el plazo que la Comisión  ha  dado  al</w:t>
        <w:br/>
        <w:t xml:space="preserve">      Estado para cumplir las recomendaciones contenidas en este último  sin</w:t>
        <w:br/>
        <w:t xml:space="preserve">      que se acaten, la Comisión decidirá si lo publica o no, decisión  ésta</w:t>
        <w:br/>
        <w:t xml:space="preserve">      que también debe apoyarse en la  alternativa  más  favorable  para  la</w:t>
        <w:br/>
        <w:t xml:space="preserve">      tutela de los derechos humanos [Ciertas atribuciones  de  la  Comisión</w:t>
        <w:br/>
        <w:t xml:space="preserve">      Interamericana de Derechos Humanos (arts. 41, 42, 44, 46, 47, 50 y  51</w:t>
        <w:br/>
        <w:t xml:space="preserve">      de la Convención Americana sobre Derechos Humanos), Opinión Consultiva</w:t>
        <w:br/>
        <w:t xml:space="preserve">      OC-13/93 del 16 de julio de 1993.  Serie A No. 13,  párrs.  48,  50  y</w:t>
        <w:br/>
        <w:t xml:space="preserve">      54].</w:t>
        <w:br/>
        <w:br/>
        <w:t>50.   De los recaudos  aparece  que  la  Comisión,  al  aprobar  y  tramitar</w:t>
        <w:br/>
        <w:t>posteriormente el informe Nº 31/91, no pensó en enviar el caso  a  la  Corte</w:t>
        <w:br/>
        <w:t>sino solamente en publicarlo.  La decisión cambió  un  año  después,  en  el</w:t>
        <w:br/>
        <w:t>informe Nº 31/92.  Las razones de ese cambio  no  son  todo  lo  claras  que</w:t>
        <w:br/>
        <w:t>fuera de desear y para nada ayuda la imprecisa carta de la Comisión  del  28</w:t>
        <w:br/>
        <w:t>de febrero de 1992.  En el ínterin entre la solicitud de  reconsideración  y</w:t>
        <w:br/>
        <w:t>el informe Nº 31/92 la Comisión practicó una  visita  in  loco,  durante  la</w:t>
        <w:br/>
        <w:t>cual  llevó a cabo  una  audiencia  en  la  que  el  Gobierno  manifestó  su</w:t>
        <w:br/>
        <w:t>imposibilidad de indemnizar en virtud de que el Informe de la  Comisión  “no</w:t>
        <w:br/>
        <w:t>tenía el carácter de decisión obligatoria como una  sentencia  de  la  Corte</w:t>
        <w:br/>
        <w:t>Interamericana, sino de simple recomendación”, aludiendo a disposiciones  de</w:t>
        <w:br/>
        <w:t>orden interno.</w:t>
        <w:br/>
        <w:br/>
        <w:t>51.   Puede colegirse de lo anterior que, en  opinión  de  la  Comisión,  la</w:t>
        <w:br/>
        <w:t>única manera de lograr que el Gobierno indemnizara a  quienes,  según  ella,</w:t>
        <w:br/>
        <w:t>eran víctimas,  era  mediante  una  sentencia  de  la  Corte  Interamericana</w:t>
        <w:br/>
        <w:t>ejecutable en el orden interno.  Una interpretación semejante concuerda  con</w:t>
        <w:br/>
        <w:t>el objeto y fin de la Convención, que  es  la  protección  de  los  derechos</w:t>
        <w:br/>
        <w:t>humanos y la Corte tiene que aceptarla.</w:t>
        <w:br/>
        <w:br/>
        <w:t>52.   Debe la Corte, sin embargo, puntualizar que  no  existe  razón  alguna</w:t>
        <w:br/>
        <w:t>para que la Comisión no dé estricto cumplimiento  a  las  normas  procesales</w:t>
        <w:br/>
        <w:t>porque, como lo ha dicho ya y lo reitera ahora, es verdad que  el  objeto  y</w:t>
        <w:br/>
        <w:t>fin de la Convención no pueden sacrificarse al procedimiento pero  éste,  en</w:t>
        <w:br/>
        <w:t>aras de la seguridad jurídica, obliga a la Comisión.</w:t>
        <w:br/>
        <w:br/>
        <w:t>53.    La  Corte  considera,  igualmente,  que  las  manifestaciones  de  la</w:t>
        <w:br/>
        <w:t>Comisión sobre la eventual publicación del informe no deben entenderse  como</w:t>
        <w:br/>
        <w:t>decisiones anticipadas de la misma, pues estuvieron siempre condicionadas  a</w:t>
        <w:br/>
        <w:t>la conducta que asumiera el Gobierno frente a las recomendaciones.</w:t>
        <w:br/>
        <w:br/>
        <w:t>54.   Debe, entonces, concluirse que el plazo de 90 días a  que  se  refiere</w:t>
        <w:br/>
        <w:t>el artículo 51.1 de la Convención,  al  haberse  prorrogado  a  solicitud  y</w:t>
        <w:br/>
        <w:t>beneficio del Gobierno por medio de un recurso de reconsideración, empezó  a</w:t>
        <w:br/>
        <w:t>contarse a partir del 2 de octubre de 1992, fecha en la que se  comunicó  al</w:t>
        <w:br/>
        <w:t>Gobierno la decisión de 25 de septiembre anterior, en la cual el informe  se</w:t>
        <w:br/>
        <w:t>adoptó de manera  definitiva.   Como  la  demanda  fue  introducida  por  la</w:t>
        <w:br/>
        <w:t>Comisión ante la Corte el 24 de diciembre  de  1992,  hay  que  considerarla</w:t>
        <w:br/>
        <w:t>oportunamente presentada.</w:t>
        <w:br/>
        <w:br/>
        <w:t>55.   En consecuencia, la Corte  desecha  la  segunda  excepción  preliminar</w:t>
        <w:br/>
        <w:t>presentada por el Gobierno.</w:t>
        <w:br/>
        <w:br/>
        <w:br/>
        <w:t xml:space="preserve">                                     VII</w:t>
        <w:br/>
        <w:br/>
        <w:t>56.   En la tercera excepción, Colombia invoca  el  no  agotamiento  de  los</w:t>
        <w:br/>
        <w:t>recursos internos por parte de las presuntas víctimas.  Para ello se  apoya,</w:t>
        <w:br/>
        <w:t>esencialmente, en los siguientes argumentos:  que desde la primera  vez  que</w:t>
        <w:br/>
        <w:t>compareció ante la Comisión, Colombia sostuvo que no se habían  agotado  los</w:t>
        <w:br/>
        <w:t>recursos internos, los que no se limitan al hábeas corpus; que esta Corte  y</w:t>
        <w:br/>
        <w:t>la Comisión han considerado que en eventos en los  cuales  se  investiga  la</w:t>
        <w:br/>
        <w:t>desaparición de ciudadanos, el único recurso “reparador”  es  la  exhibición</w:t>
        <w:br/>
        <w:t>personal y que las demás acciones internas  no  tienen  eficacia  suficiente</w:t>
        <w:br/>
        <w:t>para reparar el eventual daño causado por  el  Estado.   Que  si  bien  esta</w:t>
        <w:br/>
        <w:t>afirmación es acertada, es parte de una noción de hábeas  corpus  mucho  más</w:t>
        <w:br/>
        <w:t>amplia que la establecida en la legislación colombiana,  en  la  que  no  se</w:t>
        <w:br/>
        <w:t>despliega una actividad encaminada propiamente a establecer el  paradero  de</w:t>
        <w:br/>
        <w:t>la persona privada de la libertad, sino que se parte  del  conocimiento  del</w:t>
        <w:br/>
        <w:t>lugar de retención y de las autoridades comprometidas  en  la  violación  de</w:t>
        <w:br/>
        <w:t>los derechos constitucionales y legales.  En caso contrario, otras  son  las</w:t>
        <w:br/>
        <w:t>vías procesales idóneas para investigar la ilegal privación de  la  libertad</w:t>
        <w:br/>
        <w:t>y restablecer el derecho vulnerado, o en  su  caso,  para  sancionar  a  los</w:t>
        <w:br/>
        <w:t>responsables y determinar las indemnizaciones a que hubiere lugar.</w:t>
        <w:br/>
        <w:br/>
        <w:t>57.   Agrega el Gobierno que en el ordenamiento colombiano existen  acciones</w:t>
        <w:br/>
        <w:t>eficaces y concretas que pueden solucionar la cuestión,  y  entre  ellas  se</w:t>
        <w:br/>
        <w:t>señalan la acción penal, que tiene como propósito establecer si se violó  la</w:t>
        <w:br/>
        <w:t>ley penal por parte de particulares  o  agentes  del  Estado;  así  como  la</w:t>
        <w:br/>
        <w:t>acción contencioso administrativa  que  se  dirige  contra  la  Nación  como</w:t>
        <w:br/>
        <w:t>persona  jurídica  para  que  se  restablezca  el   derecho,   mediante   la</w:t>
        <w:br/>
        <w:t>indemnización de perjuicios por actos atribuidos a sus agentes.</w:t>
        <w:br/>
        <w:br/>
        <w:t>58.   Por su parte, la  Comisión  considera  que  el  hábeas  corpus  es  un</w:t>
        <w:br/>
        <w:t>derecho reconocido internacionalmente, por lo que no debe ser  diferente  en</w:t>
        <w:br/>
        <w:t>cada país como lo pretende  el  Gobierno,  pues  ello  implicaría  un  claro</w:t>
        <w:br/>
        <w:t>desacato del artículo 2 de la Convención que ordena  a  los  Estados  Partes</w:t>
        <w:br/>
        <w:t>que adopten disposiciones de derecho interno encaminadas a  hacer  efectivos</w:t>
        <w:br/>
        <w:t>los derechos y libertades consagrados en ella.  Por lo que, si  a  pesar  de</w:t>
        <w:br/>
        <w:t>que teóricamente el hábeas corpus es  el  recurso  idóneo  para  reparar  la</w:t>
        <w:br/>
        <w:t>violación, si no ofrece garantías de eficacia  real,  como  lo  sostiene  el</w:t>
        <w:br/>
        <w:t>Gobierno, no sería obligatorio agotarlo, de conformidad con las  excepciones</w:t>
        <w:br/>
        <w:t>previstas en el artículo 46, numeral 2 de la Convención.</w:t>
        <w:br/>
        <w:br/>
        <w:t>59.   La Comisión señala, por otra  parte,  que  los  familiares  de  Isidro</w:t>
        <w:br/>
        <w:t>Caballero acudieron también ante  la  jurisdicción  penal  ordinaria,  penal</w:t>
        <w:br/>
        <w:t>militar y ante el Ministerio Público en busca  de  investigación  y  de  una</w:t>
        <w:br/>
        <w:t>sanción penal y disciplinaria para  los  responsables  de  su  desaparición,</w:t>
        <w:br/>
        <w:t>instancias que no tuvieron resultados efectivos.  Todas  estas  gestiones  y</w:t>
        <w:br/>
        <w:t>otras más de carácter extrajudicial realizadas por  la   familia  de  Isidro</w:t>
        <w:br/>
        <w:t>Caballero no deben ser consideradas recursos que deben agotarse para  acudir</w:t>
        <w:br/>
        <w:t>a la Comisión.  Sin embargo se intentaron y demuestran el empeño por  agotar</w:t>
        <w:br/>
        <w:t>todas las posibilidades existentes.</w:t>
        <w:br/>
        <w:br/>
        <w:t>60.   La Comisión  sostiene,  además,  que  según  el  Tribunal  Europeo  de</w:t>
        <w:br/>
        <w:t>Derechos Humanos</w:t>
        <w:br/>
        <w:br/>
        <w:t xml:space="preserve">      las excepciones de inadmisibilidad no invocadas en forma específica  y</w:t>
        <w:br/>
        <w:t xml:space="preserve">      oportuna por el gobierno no deben ser estudiadas por el  Tribunal  por</w:t>
        <w:br/>
        <w:t xml:space="preserve">      cuanto ha caducado para el gobierno la oportunidad de presentarlas,  y</w:t>
        <w:br/>
        <w:t xml:space="preserve">      que la oportunidad para presentar esas excepciones es al inicio  mismo</w:t>
        <w:br/>
        <w:t xml:space="preserve">      del trámite ante la Comisión, es decir en el estado inicial del examen</w:t>
        <w:br/>
        <w:t xml:space="preserve">      de admisibilidad, salvo que no hubiese podido invocarlas oportunamente</w:t>
        <w:br/>
        <w:t xml:space="preserve">      por razones no imputables al propio gobierno (Eur. Court H. R., Artico</w:t>
        <w:br/>
        <w:t xml:space="preserve">      judgment of 13 May 1980, Series A No. 37, párrs. 23 y ss.)</w:t>
        <w:br/>
        <w:br/>
        <w:t>y que  “el  Estado  que  alega  el  no  agotamiento  tiene  a  su  cargo  el</w:t>
        <w:br/>
        <w:t>señalamiento  de  los  recursos  internos  que  deben  agotarse  y   de   su</w:t>
        <w:br/>
        <w:t>efectividad” (Caso Velásquez Rodríguez, Excepciones Preliminares, supra  26,</w:t>
        <w:br/>
        <w:t>párr. 88; Caso Fairén Garbi  y  Solís  Corrales,  Excepciones  Preliminares,</w:t>
        <w:br/>
        <w:t>supra 26, párr. 87; Caso Godínez Cruz, Excepciones Preliminares,  supra  26,</w:t>
        <w:br/>
        <w:t>párr. 90).</w:t>
        <w:br/>
        <w:br/>
        <w:t>61.   Finalmente, la Comisión afirma  que,  como  el  informe  Nº  31/91  lo</w:t>
        <w:br/>
        <w:t>expresa, resulta evidente que los peticionarios no  han  podido  lograr  una</w:t>
        <w:br/>
        <w:t>protección efectiva de los organismos jurisdiccionales internos, y por  ello</w:t>
        <w:br/>
        <w:t>el Gobierno no puede  alegar  el  no  agotamiento  de  los  recursos  de  la</w:t>
        <w:br/>
        <w:t>legislación colombiana,  en  consideración  que  no  ha  tenido  efectos  la</w:t>
        <w:br/>
        <w:t>investigación de los hechos denunciados como el mismo Gobierno lo admite  en</w:t>
        <w:br/>
        <w:t>su solicitud de reconsideración del 16 de enero de 1992.</w:t>
        <w:br/>
        <w:br/>
        <w:t>62.   La  Corte  considera  que  la  cuestión  fundamental  que  se  plantea</w:t>
        <w:br/>
        <w:t>respecto a esta excepción preliminar es la  determinación  de  los  recursos</w:t>
        <w:br/>
        <w:t>internos que deben agotarse previamente a la  instancia  ante  la  Comisión,</w:t>
        <w:br/>
        <w:t>para cumplir con lo dispuesto en el artículo 46.1 de la Convención.</w:t>
        <w:br/>
        <w:br/>
        <w:t>63.   La Corte ya dijo que:</w:t>
        <w:br/>
        <w:br/>
        <w:t xml:space="preserve">      El artículo 46.1.a) de la  Convención  remite  ‘a  los  principios  de</w:t>
        <w:br/>
        <w:t xml:space="preserve">      Derecho Internacional generalmente reconocidos’.  Estos principios  no</w:t>
        <w:br/>
        <w:t xml:space="preserve">      se refieren sólo a  la  existencia  formal  de  tales  recursos,  sino</w:t>
        <w:br/>
        <w:t xml:space="preserve">      también a que éstos sean adecuados y efectivos, como  resulta  de  las</w:t>
        <w:br/>
        <w:t xml:space="preserve">      excepciones contempladas en el artículo 46.2.</w:t>
        <w:br/>
        <w:br/>
        <w:br/>
        <w:t xml:space="preserve">      Que sean adecuados significa que la función de esos  recursos,  dentro</w:t>
        <w:br/>
        <w:t xml:space="preserve">      del sistema de derecho interno, sea idónea para proteger la  situación</w:t>
        <w:br/>
        <w:t xml:space="preserve">      jurídica infringida.  En  todos  los  ordenamientos  internos  existen</w:t>
        <w:br/>
        <w:t xml:space="preserve">      múltiples  recursos,  pero  no  todos  son  aplicables  en  todas  las</w:t>
        <w:br/>
        <w:t xml:space="preserve">      circunstancias.  Si, en un caso específico, el recurso no es adecuado,</w:t>
        <w:br/>
        <w:t xml:space="preserve">      es obvio que no hay que agotarlo.  Así lo indica el principio  de  que</w:t>
        <w:br/>
        <w:t xml:space="preserve">      la norma está encaminada a producir un efecto y no puede interpretarse</w:t>
        <w:br/>
        <w:t xml:space="preserve">      en  el  sentido  de  que  no  produzca  ninguno  o  su  resultado  sea</w:t>
        <w:br/>
        <w:t xml:space="preserve">      manifiestamente absurdo  o  irrazonable   (Caso  Velásquez  Rodríguez,</w:t>
        <w:br/>
        <w:t xml:space="preserve">      Sentencia de 29 de julio de 1988.  Serie C No. 4, párrs.  63-64;  Caso</w:t>
        <w:br/>
        <w:t xml:space="preserve">      Godínez Cruz, Sentencia de 20 de enero de 1989.  Serie C No. 5, párrs.</w:t>
        <w:br/>
        <w:t xml:space="preserve">      66-67; Caso Fairén Garbi y Solís Corrales, Sentencia de 15 de marzo de</w:t>
        <w:br/>
        <w:t xml:space="preserve">      1989.  Serie C No. 6, párrs. 87-88).</w:t>
        <w:br/>
        <w:br/>
        <w:t>64.   La Corte ha decidido anteriormente que, según el objeto y  fin  de  la</w:t>
        <w:br/>
        <w:t>Convención, de acuerdo con una interpretación del  artículo  46.1.a)  de  la</w:t>
        <w:br/>
        <w:t>misma, el  recurso  adecuado  tratándose  de  la  denuncia  de  desaparición</w:t>
        <w:br/>
        <w:t>forzada de personas sería normalmente el de  exhibición  personal  o  hábeas</w:t>
        <w:br/>
        <w:t>corpus, ya que en estos casos es urgente la actuación de las  autoridades  y</w:t>
        <w:br/>
        <w:t>por tal motivo “la exhibición personal o hábeas corpus  sería,  normalmente,</w:t>
        <w:br/>
        <w:t>el [recurso] adecuado para hallar a una persona presuntamente  detenida  por</w:t>
        <w:br/>
        <w:t>las autoridades, averiguar si lo está legalmente y, llegado el caso,  lograr</w:t>
        <w:br/>
        <w:t>su libertad”  (Caso Velásquez Rodríguez, Sentencia de 29 de julio  de  1988,</w:t>
        <w:br/>
        <w:t>supra 63, párr. 65;  Caso Godínez Cruz, Sentencia de 20 de  enero  de  1989,</w:t>
        <w:br/>
        <w:t>supra 63, párr. 68; Caso Fairén Garbi y Solís Corrales, Sentencia de  15  de</w:t>
        <w:br/>
        <w:t>marzo de 1989, supra 63, párr. 90).</w:t>
        <w:br/>
        <w:br/>
        <w:t>65.   En este caso está demostrado que María Nodelia Parra Rodríguez, en  su</w:t>
        <w:br/>
        <w:t>calidad de compañera  de  Isidro  Caballero  Delgado,  interpuso  el  10  de</w:t>
        <w:br/>
        <w:t>febrero de 1989, recurso de hábeas corpus ante la Juez Primero Superior  del</w:t>
        <w:br/>
        <w:t>Distrito de Bucaramanga, por la desaparición de la  víctima  que  junto  con</w:t>
        <w:br/>
        <w:t>una “joven CARMEN” habrían  sido  detenidos  indebidamente  por  autoridades</w:t>
        <w:br/>
        <w:t>militares.  La Juez, como aparece  en  el  expediente  respectivo,  no  sólo</w:t>
        <w:br/>
        <w:t>solicitó información sobre el particular a las entidades  del  Estado  donde</w:t>
        <w:br/>
        <w:t>una persona puede estar detenida por diversas causas, a saber:  a la  Cárcel</w:t>
        <w:br/>
        <w:t>Modelo  de  dicha  ciudad,  a  la  Policía  Judicial   y   al   Departamento</w:t>
        <w:br/>
        <w:t>Administrativo de Seguridad (DAS) sino que también se dirigió  personalmente</w:t>
        <w:br/>
        <w:t>a la  Quinta  Brigada,  donde  según  la  peticionaria  se  encontraban  los</w:t>
        <w:br/>
        <w:t>detenidos, lo que significa que la Juez, de acuerdo con las finalidades  del</w:t>
        <w:br/>
        <w:t>hábeas corpus, hizo lo  que  estaba  a  su  alcance  para  localizar  a  los</w:t>
        <w:br/>
        <w:t>presuntos detenidos.  Como todas estas  autoridades  informaron  que  dichas</w:t>
        <w:br/>
        <w:t>personas no se encontraban en  esas  dependencias  ni  existían  órdenes  de</w:t>
        <w:br/>
        <w:t>aprehensión o sentencias condenatorias, la Juez, en la  misma  fecha  de  la</w:t>
        <w:br/>
        <w:t>interposición del recurso, es decir, con gran celeridad en  la  tramitación,</w:t>
        <w:br/>
        <w:t>declaró  improcedente  la  instancia,  por  considerar  que  no   se   había</w:t>
        <w:br/>
        <w:t>demostrado que Isidro Caballero hubiese sido privado de su libertad.</w:t>
        <w:br/>
        <w:br/>
        <w:t>66.   La Corte  hace  notar  que  el  recurso  de  hábeas  corpus  sólo  fue</w:t>
        <w:br/>
        <w:t>interpuesto y resuelto a favor de Isidro Caballero Delgado  y  no  de  María</w:t>
        <w:br/>
        <w:t>del Carmen Santana, a pesar de que en la relación de los hechos se  menciona</w:t>
        <w:br/>
        <w:t>a una “joven CARMEN”.  Pero como el Gobierno no  invocó  esta  circunstancia</w:t>
        <w:br/>
        <w:t>en sus excepciones preliminares, este Tribunal  no  se  pronuncia  sobre  el</w:t>
        <w:br/>
        <w:t>particular.</w:t>
        <w:br/>
        <w:br/>
        <w:t>67.   Como el procedimiento ante la Comisión se inició  el  5  de  abril  de</w:t>
        <w:br/>
        <w:t>1989 por la denuncia de la desaparición forzada de Isidro Caballero  Delgado</w:t>
        <w:br/>
        <w:t>y María del Carmen Santana, es decir, con posterioridad a  la  interposición</w:t>
        <w:br/>
        <w:t>y resolución del recurso de hábeas corpus  con  resultados  negativos,  esta</w:t>
        <w:br/>
        <w:t>Corte considera que los denunciantes cumplieron  con  lo  dispuesto  por  el</w:t>
        <w:br/>
        <w:t>artículo  46.1.a)  de  la  Convención,  pues  agotaron  el  recurso  interno</w:t>
        <w:br/>
        <w:t>adecuado y efectivo  para  asuntos  de  desaparición  forzada  de  personas.</w:t>
        <w:br/>
        <w:t>Todas las demás instancias internas son materia del  fondo  del  asunto,  ya</w:t>
        <w:br/>
        <w:t>que están relacionadas con  la  conducta  que  ha  observado  Colombia  para</w:t>
        <w:br/>
        <w:t>cumplir con sus obligaciones de protección de los derechos  consagrados  por</w:t>
        <w:br/>
        <w:t>la Convención.</w:t>
        <w:br/>
        <w:br/>
        <w:t>68.   Por todo lo anterior, debe concluirse  que  es  infundada  la  tercera</w:t>
        <w:br/>
        <w:t>excepción formulada por el Gobierno.</w:t>
        <w:br/>
        <w:br/>
        <w:br/>
        <w:t xml:space="preserve">                                    VIII</w:t>
        <w:br/>
        <w:br/>
        <w:t>Por tanto,</w:t>
        <w:br/>
        <w:br/>
        <w:t>LA CORTE,</w:t>
        <w:br/>
        <w:br/>
        <w:t>RESUELVE:</w:t>
        <w:br/>
        <w:br/>
        <w:br/>
        <w:t>por unanimidad,</w:t>
        <w:br/>
        <w:br/>
        <w:t>1.    Desestimar las excepciones preliminares interpuestas por  el  Gobierno</w:t>
        <w:br/>
        <w:t>de Colombia.</w:t>
        <w:br/>
        <w:br/>
        <w:br/>
        <w:t>por unanimidad,</w:t>
        <w:br/>
        <w:br/>
        <w:t>2.    Continuar con el conocimiento del presente caso.</w:t>
        <w:br/>
        <w:br/>
        <w:t>Redactada en castellano e  inglés,  haciendo  fe  el  texto  en  castellano.</w:t>
        <w:br/>
        <w:t>Leída en sesión pública en la sede de la Corte en San José, Costa  Rica,  el</w:t>
        <w:br/>
        <w:t>día 21 de enero de 1994.</w:t>
        <w:br/>
        <w:br/>
        <w:br/>
        <w:br/>
        <w:br/>
        <w:br/>
        <w:br/>
        <w:t xml:space="preserve">                             Sonia Picado Sotela</w:t>
        <w:br/>
        <w:t xml:space="preserve">                                 Presidenta</w:t>
        <w:br/>
        <w:br/>
        <w:t xml:space="preserve">      Rafael Nieto Navia    Héctor Fix-Zamudio</w:t>
        <w:br/>
        <w:br/>
        <w:br/>
        <w:t xml:space="preserve">      Alejandro Montiel Argüello  Hernán Salgado Pesantes</w:t>
        <w:br/>
        <w:br/>
        <w:br/>
        <w:br/>
        <w:t xml:space="preserve">                          Asdrúbal Aguiar-Aranguren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Sonia Picado Sotela</w:t>
        <w:br/>
        <w:t xml:space="preserve">      Presidenta</w:t>
        <w:br/>
        <w:t>Manuel E. Ventura Robles</w:t>
        <w:br/>
        <w:t xml:space="preserve">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