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t xml:space="preserve">        Caso Apitz Barbera y otros (“Corte Primera de lo Contencioso</w:t>
        <w:br/>
        <w:t xml:space="preserve">                       Administrativo”) vs. Venezuela</w:t>
        <w:br/>
        <w:br/>
        <w:br/>
        <w:t xml:space="preserve">                      Sentencia de 5 de agosto de 2008</w:t>
        <w:br/>
        <w:br/>
        <w:t xml:space="preserve">            (Excepción preliminar, Fondo, Reparaciones y Costas)</w:t>
        <w:br/>
        <w:br/>
        <w:br/>
        <w:t>En el caso Apitz Barbera y otros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Cecilia Medina Quiroga, Presidenta;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Jueza, y</w:t>
        <w:br/>
        <w:t xml:space="preserve">      Rhadys Abreu Blondet, Jueza;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t>1.    El 29 de noviembre de 2006  la  Comisión  Interamericana  de  Derechos</w:t>
        <w:br/>
        <w:t>Humanos  (en  adelante  “la  Comisión”  o  “la   Comisión   Interamericana”)</w:t>
        <w:br/>
        <w:t>presentó, de conformidad con los artículos 51 y 61  de  la  Convención,  una</w:t>
        <w:br/>
        <w:t>demanda contra la  República  Bolivariana  de  Venezuela  (en  adelante  “el</w:t>
        <w:br/>
        <w:t>Estado” o “Venezuela”) que dio inicio al presente caso. La denuncia  inicial</w:t>
        <w:br/>
        <w:t>fue presentada ante la Comisión el 6 de abril de 2004.  El  8  de  marzo  de</w:t>
        <w:br/>
        <w:t>2005 la Comisión aprobó el Informe No. 24/05, mediante el  cual  declaró  el</w:t>
        <w:br/>
        <w:t>caso admisible. Más tarde, el 20 de julio de  2006  la  Comisión  aprobó  el</w:t>
        <w:br/>
        <w:t>Informe de  fondo  No.  64/06,  en  los  términos  del  artículo  50  de  la</w:t>
        <w:br/>
        <w:t>Convención, el cual contenía determinadas recomendaciones  para  el  Estado.</w:t>
        <w:br/>
        <w:t>Este informe fue notificado  al  Estado  el  14  de  agosto  de  2006.  Tras</w:t>
        <w:br/>
        <w:t>considerar que Venezuela no había adoptado sus recomendaciones  la  Comisión</w:t>
        <w:br/>
        <w:t>decidió someter el presente caso a la jurisdicción de la Corte. La  Comisión</w:t>
        <w:br/>
        <w:t>designó como delegados a los señores Paulo Sérgio Pinheiro,  Comisionado,  y</w:t>
        <w:br/>
        <w:t>Santiago A. Canton, Secretario Ejecutivo, y  como  asesores  legales  a  los</w:t>
        <w:br/>
        <w:t>abogados  Ariel  E.  Dulitzky,  Elizabeth  Abi-Mershed,  Débora  Benchoam  y</w:t>
        <w:br/>
        <w:t>Manuela Cuvi Rodríguez, especialistas de la Secretaría Ejecutiva.</w:t>
        <w:br/>
        <w:br/>
        <w:br/>
        <w:t>2.    La demanda se relaciona con la destitución  de  los  ex-jueces  de  la</w:t>
        <w:br/>
        <w:t>Corte Primera de  lo  Contencioso  Administrativo  (en  adelante  “la  Corte</w:t>
        <w:br/>
        <w:t>Primera”) Ana María Ruggeri Cova, Perkins  Rocha  Contreras  y  Juan  Carlos</w:t>
        <w:br/>
        <w:t>Apitz Barbera el 30 de octubre de 2003, por  haber  incurrido  en  un  error</w:t>
        <w:br/>
        <w:t>judicial inexcusable al  conceder  un  amparo  cautelar  que  suspendió  los</w:t>
        <w:br/>
        <w:t>efectos de un acto administrativo  que  había  negado  el  registro  de  una</w:t>
        <w:br/>
        <w:t>compraventa. La Comisión alegó que la destitución por dicho  error  “resulta</w:t>
        <w:br/>
        <w:t>contraria al principio de  independencia  judicial  pues  atenta  contra  la</w:t>
        <w:br/>
        <w:t>garantía de fallar libremente en derecho” y que se los destituyó “por  haber</w:t>
        <w:br/>
        <w:t>incurrido en un supuesto error judicial inexcusable cuando  lo  que  existía</w:t>
        <w:br/>
        <w:t>era una  diferencia  razonable  y  razonada  de  interpretaciones  jurídicas</w:t>
        <w:br/>
        <w:t>posibles sobre una figura procesal determinada, en  grave  violación  de  su</w:t>
        <w:br/>
        <w:t>derecho a un debido proceso por la falta de motivación de  la  decisión  que</w:t>
        <w:br/>
        <w:t>los destituyó y sin que tuvieran  a  su  disposición  un  recurso  sencillo,</w:t>
        <w:br/>
        <w:t>rápido y efectivo que se pronunciara sobre  la  destitución  de  que  fueron</w:t>
        <w:br/>
        <w:t>objeto”. De otra parte, la  Comisión  indicó  que  la  Corte  Primera  había</w:t>
        <w:br/>
        <w:t>adoptado decisiones “que generaron reacciones adversas por  parte  de  altos</w:t>
        <w:br/>
        <w:t>funcionarios  del  Poder  Ejecutivo”  y  que  un  “conjunto   de   indicios”</w:t>
        <w:br/>
        <w:t>permitiría inferir que el  órgano  que  ordenó  la  destitución  carecía  de</w:t>
        <w:br/>
        <w:t>independencia e  imparcialidad  y  que  dicha  destitución  obedecía  a  una</w:t>
        <w:br/>
        <w:t>“desviación de poder” que se explicaría en la “relación de  causalidad  [que</w:t>
        <w:br/>
        <w:t>existiría] entre las declaraciones del Presidente de la  República  y  altos</w:t>
        <w:br/>
        <w:t>funcionarios del Estado por los fallos contrarios a intereses  del  gobierno</w:t>
        <w:br/>
        <w:t>y la investigación disciplinaria que  fue  impulsada  y  que  devino  en  la</w:t>
        <w:br/>
        <w:t>destitución de las víctimas”.</w:t>
        <w:br/>
        <w:br/>
        <w:br/>
        <w:t>3.    En la demanda la Comisión solicitó a  la  Corte  que  declare  que  el</w:t>
        <w:br/>
        <w:t>Estado es responsable por la violación de los derechos  consagrados  en  los</w:t>
        <w:br/>
        <w:t>artículos  8  (Garantías  Judiciales)  y  25  (Protección  Judicial)  de  la</w:t>
        <w:br/>
        <w:t>Convención Americana, en relación con las obligaciones establecidas  en  los</w:t>
        <w:br/>
        <w:t>artículos 1.1 (Obligación de Respetar los Derechos) y 2  (Deber  de  Adoptar</w:t>
        <w:br/>
        <w:t>Disposiciones  de  Derecho  Interno)  de  la  misma,  en  perjuicio  de  las</w:t>
        <w:br/>
        <w:t>presuntas  víctimas.  Asimismo,  solicitó  que  se  ordenaran   determinadas</w:t>
        <w:br/>
        <w:t>medidas de reparación.</w:t>
        <w:br/>
        <w:br/>
        <w:br/>
        <w:t>4.     El  19  de  febrero  de  2007  el  señor  Héctor   Faúndez   Ledesma,</w:t>
        <w:br/>
        <w:t>representante de las presuntas victimas (en  adelante  “el  representante”),</w:t>
        <w:br/>
        <w:t>presentó su escrito  de  solicitudes,  argumentos  y  pruebas  (en  adelante</w:t>
        <w:br/>
        <w:t>“escrito de solicitudes y argumentos”) en los términos del artículo  23  del</w:t>
        <w:br/>
        <w:t>Reglamento.  Además  de  lo  indicado  por  la  Comisión,  el  representante</w:t>
        <w:br/>
        <w:t>sostuvo, inter alia, que el órgano que ordenó la destitución se “limit[ó]  a</w:t>
        <w:br/>
        <w:t>ejecutar una orden impartida, expresa o tácitamente, por  el  Presidente  de</w:t>
        <w:br/>
        <w:t>la República” y que “los jueces de la Corte Primera […]  fueron  destituidos</w:t>
        <w:br/>
        <w:t>por razones estrictamente políticas, a  fin  de  dar  paso  a  otros  jueces</w:t>
        <w:br/>
        <w:t>cercanos al oficialismo y al ideario político del actual  Gobierno”.  Indicó</w:t>
        <w:br/>
        <w:t>también que a las presuntas víctimas “se  les  sometió  a  un  procedimiento</w:t>
        <w:br/>
        <w:t>inédito, desprovisto de todas las garantías indispensables para su  defensa”</w:t>
        <w:br/>
        <w:t>y agregó que “ese no es el procedimiento seguido respecto  de  otros  jueces</w:t>
        <w:br/>
        <w:t>que han mostrado una clara inclinación a favor del partido  político  en  el</w:t>
        <w:br/>
        <w:t>gobierno”. El representante concluyó que, además de los artículos  invocados</w:t>
        <w:br/>
        <w:t>por la Comisión, el  Estado  sería  responsable  por  la  violación  de  los</w:t>
        <w:br/>
        <w:t>derechos consagrados en los artículos 23 (Derechos Políticos), 24  (Igualdad</w:t>
        <w:br/>
        <w:t>ante la Ley) y  ”de  los  derechos  que  derivan  de  la  forma  democrática</w:t>
        <w:br/>
        <w:t>representativa de gobierno (artículo 29 [c] de la Convención) y de la  Carta</w:t>
        <w:br/>
        <w:t>Democrática Interamericana en relación con lo dispuesto por el  artículo  29</w:t>
        <w:br/>
        <w:t>[d] de  la  Convención”,  todos  ellos  en  relación  con  las  obligaciones</w:t>
        <w:br/>
        <w:t>generales consagradas en los artículos 1.1 y 2 de la misma.</w:t>
        <w:br/>
        <w:br/>
        <w:br/>
        <w:t>5.    El 23 de abril de 2007 el Estado  presentó  su  escrito  de  excepción</w:t>
        <w:br/>
        <w:t>preliminar, contestación  de  la  demanda  y  observaciones  al  escrito  de</w:t>
        <w:br/>
        <w:t>solicitudes y argumentos (en adelante  “contestación  de  la  demanda”).  La</w:t>
        <w:br/>
        <w:t>excepción preliminar interpuesta está relacionada con la supuesta  falta  de</w:t>
        <w:br/>
        <w:t>agotamiento de recursos internos. De otra parte, el Estado  señaló  que  “el</w:t>
        <w:br/>
        <w:t>funcionamiento de la Corte Primera […] fue muy cuestionado”,  razón  por  la</w:t>
        <w:br/>
        <w:t>cual “no se[ría] cierto como pretenden hacer  ver  los  demandantes  que  se</w:t>
        <w:br/>
        <w:t>trate  de  una  persecución  política,  sino  que  [la  destitución  de  sus</w:t>
        <w:br/>
        <w:t>magistrados] fue producto del mal funcionamiento y de la negligencia de  los</w:t>
        <w:br/>
        <w:t>miembros de la Corte Primera en [el]  ejercicio  de  sus  atribuciones”.  El</w:t>
        <w:br/>
        <w:t>Estado designó a la señora Mayerling Rojas Villasmil  como  Agente[1]  y  al</w:t>
        <w:br/>
        <w:t>señor Enrique Sánchez como Agente alterno[2].</w:t>
        <w:br/>
        <w:br/>
        <w:br/>
        <w:t>6.    De conformidad con el artículo 37.4 del Reglamento, el 20 y el  26  de</w:t>
        <w:br/>
        <w:t>junio de 2007 la Comisión y el representante,  respectivamente,  presentaron</w:t>
        <w:br/>
        <w:t>sus alegatos sobre la excepción preliminar interpuesta por el Estado.</w:t>
        <w:br/>
        <w:br/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>7.    La demanda de la Comisión fue notificada al Estado el 27 de  diciembre</w:t>
        <w:br/>
        <w:t>de 2006[3] y al representante el 26 de diciembre del mismo año.  Durante  el</w:t>
        <w:br/>
        <w:t>proceso ante este Tribunal,  además  de  la  presentación  de  los  escritos</w:t>
        <w:br/>
        <w:t>principales  remitidos  por  las  partes  (supra  párrs.  1,  4  y  5),   la</w:t>
        <w:br/>
        <w:t>Presidencia de la Corte[4] (en adelante “la Presidencia”) ordenó recibir,  a</w:t>
        <w:br/>
        <w:t>través  de  declaraciones  rendidas  ante  fedatario  público   (affidávit),</w:t>
        <w:br/>
        <w:t>algunos de los  testimonios  y  peritajes  ofrecidos  oportunamente  por  la</w:t>
        <w:br/>
        <w:t>Comisión, el representante y el Estado. Las partes tuvieron  oportunidad  de</w:t>
        <w:br/>
        <w:t>presentar observaciones a estas declaraciones.  Finalmente,  la  Presidencia</w:t>
        <w:br/>
        <w:t>convocó  a  las  partes  a  una  audiencia   pública   para   escuchar   las</w:t>
        <w:br/>
        <w:t>declaraciones de dos de las presuntas víctimas, propuestas por  la  Comisión</w:t>
        <w:br/>
        <w:t>y  por  el  representante,  dos  testigos  propuestos  por  el  Estado,   la</w:t>
        <w:br/>
        <w:t>declaración a título informativo de un declarante propuesto por el Estado  y</w:t>
        <w:br/>
        <w:t>la declaración de un perito ofrecido por  el  representante,  así  como  los</w:t>
        <w:br/>
        <w:t>alegatos finales orales sobre  la  excepción  preliminar  y  los  eventuales</w:t>
        <w:br/>
        <w:t>fondo, reparaciones y costas. Esta audiencia pública fue celebrada los  días</w:t>
        <w:br/>
        <w:t>31 de enero y 1 de febrero de 2008 durante el LXXVIII Período  Ordinario  de</w:t>
        <w:br/>
        <w:t>Sesiones de la Corte, llevado a  cabo  en  la  ciudad  de  San  José,  Costa</w:t>
        <w:br/>
        <w:t>Rica[5].</w:t>
        <w:br/>
        <w:br/>
        <w:br/>
        <w:t>8.    El 22 de enero de 2008 el Tribunal recibió un escrito  en  calidad  de</w:t>
        <w:br/>
        <w:t>amicus curiae presentado por la Comisión  Internacional  de  Juristas  y  la</w:t>
        <w:br/>
        <w:t>Fundación para el Debido Proceso Legal.</w:t>
        <w:br/>
        <w:br/>
        <w:br/>
        <w:t>9.    El 3 de marzo de  2008  el  Estado  remitió  su  escrito  de  alegatos</w:t>
        <w:br/>
        <w:t>finales, el 4 de marzo de 2008 lo hizo el representante y el 10 de marzo  de</w:t>
        <w:br/>
        <w:t>2008, la Comisión.</w:t>
        <w:br/>
        <w:br/>
        <w:t>10.   El 25 de junio de  2008  el  Tribunal  solicitó  al  Estado  y  a  los</w:t>
        <w:br/>
        <w:t>representantes que presentaran determinada prueba  para  mejor  resolver[6],</w:t>
        <w:br/>
        <w:t>la cual fue remitida el 1 de julio de 2008 por el representante y  el  4  de</w:t>
        <w:br/>
        <w:t>julio de 2008 por el Estado.</w:t>
        <w:br/>
        <w:br/>
        <w:br/>
        <w:br/>
        <w:br/>
        <w:t xml:space="preserve">                                     III</w:t>
        <w:br/>
        <w:br/>
        <w:br/>
        <w:t xml:space="preserve">                                   Prueba</w:t>
        <w:br/>
        <w:br/>
        <w:br/>
        <w:t>11.   Con base en lo establecido en los artículos 44 y  45  del  Reglamento,</w:t>
        <w:br/>
        <w:t>así como en la jurisprudencia del  Tribunal  respecto  de  la  prueba  y  su</w:t>
        <w:br/>
        <w:t>apreciación[7], la Corte  procederá  a  examinar  y  valorar  los  elementos</w:t>
        <w:br/>
        <w:t>probatorios documentales remitidos por las partes en diversas  oportunidades</w:t>
        <w:br/>
        <w:t>procesales, así como las declaraciones rendidas  mediante  affidávit  y  las</w:t>
        <w:br/>
        <w:t>recibidas en audiencia pública. Para ello, el  Tribunal  se  atendrá  a  los</w:t>
        <w:br/>
        <w:t>principios de la sana crítica, dentro del marco legal correspondiente[8].</w:t>
        <w:br/>
        <w:br/>
        <w:br/>
        <w:br/>
        <w:br/>
        <w:br/>
        <w:t xml:space="preserve">      1.    Prueba documental, testimonial y pericial</w:t>
        <w:br/>
        <w:br/>
        <w:br/>
        <w:t>12.   Fueron recibidas las declaraciones  rendidas  ante  fedatario  público</w:t>
        <w:br/>
        <w:t>(affidávit) por los siguientes testigos y peritos[9]:</w:t>
        <w:br/>
        <w:br/>
        <w:br/>
        <w:t xml:space="preserve">      a)    Ana María Ruggeri Cova, presunta víctima y testigo propuesta por</w:t>
        <w:br/>
        <w:t xml:space="preserve">      la Comisión y el representante. Declaró, inter alia, sobre los  hechos</w:t>
        <w:br/>
        <w:t xml:space="preserve">      que dieron lugar a su destitución como magistrada de la Corte Primera,</w:t>
        <w:br/>
        <w:t xml:space="preserve">      así como sobre el supuesto daño sufrido  como  consecuencia  de  dicha</w:t>
        <w:br/>
        <w:t xml:space="preserve">      destitución.</w:t>
        <w:br/>
        <w:br/>
        <w:br/>
        <w:t xml:space="preserve">      b)     Jacqueline  Ardizzone  Montilla,  testigo  propuesta   por   el</w:t>
        <w:br/>
        <w:t xml:space="preserve">      representante.  Declaró,  inter  alia,  sobre  la   manera   como   la</w:t>
        <w:br/>
        <w:t xml:space="preserve">      destitución de su esposo Juan Carlos  Apitz  afectó  su  salud  y  sus</w:t>
        <w:br/>
        <w:t xml:space="preserve">      relaciones sociales y familiares.</w:t>
        <w:br/>
        <w:br/>
        <w:br/>
        <w:t xml:space="preserve">      c)     María  Costanza  Cipriani  Rondón,  testigo  propuesta  por  el</w:t>
        <w:br/>
        <w:t xml:space="preserve">      representante.  Declaró,  inter  alia,  sobre   la  manera   como   la</w:t>
        <w:br/>
        <w:t xml:space="preserve">      destitución de su esposo Perkins Rocha Contreras afectó su salud y sus</w:t>
        <w:br/>
        <w:t xml:space="preserve">      relaciones sociales y familiares.</w:t>
        <w:br/>
        <w:br/>
        <w:br/>
        <w:t xml:space="preserve">      d)     Sofía  Yamile  Guzmán.   Secretaria   de   la   Sala   Político</w:t>
        <w:br/>
        <w:t xml:space="preserve">      Administrativa del Tribunal Supremo de Justicia. Testigo propuesta por</w:t>
        <w:br/>
        <w:t xml:space="preserve">      el  Estado.  Declaró,  inter  alia,   sobre   la   duración   de   los</w:t>
        <w:br/>
        <w:t xml:space="preserve">      procedimientos judiciales ante la  Sala  Político  Administrativa  del</w:t>
        <w:br/>
        <w:t xml:space="preserve">      Tribunal Supremo  de  Justicia  y  las  etapas  que  comprenden  tales</w:t>
        <w:br/>
        <w:t xml:space="preserve">      procesos.</w:t>
        <w:br/>
        <w:br/>
        <w:br/>
        <w:t xml:space="preserve">      e)     José  Leonardo  Requena  Cabello.   Secretario   de   la   Sala</w:t>
        <w:br/>
        <w:t xml:space="preserve">      Constitucional del Tribunal Supremo de Justicia. Testigo propuesto por</w:t>
        <w:br/>
        <w:t xml:space="preserve">      el  Estado.  Declaró,  inter  alia,   sobre   la   duración   de   los</w:t>
        <w:br/>
        <w:t xml:space="preserve">      procedimientos judiciales ante la  Sala  Constitucional  del  Tribunal</w:t>
        <w:br/>
        <w:t xml:space="preserve">      Supremo de Justicia y las etapas que comprenden tales procesos.</w:t>
        <w:br/>
        <w:br/>
        <w:br/>
        <w:t xml:space="preserve">      f)    Alexis José  Crespo  Daza.  Juez  de  la  Corte  Segunda  de  lo</w:t>
        <w:br/>
        <w:t xml:space="preserve">      Contencioso Administrativo. Testigo propuesto por el Estado.  Declaró,</w:t>
        <w:br/>
        <w:t xml:space="preserve">      inter alia, sobre su relación con el caso de las presuntas víctimas  y</w:t>
        <w:br/>
        <w:t xml:space="preserve">      su ingreso al Poder Judicial como Magistrado de dicha Corte Segunda.</w:t>
        <w:br/>
        <w:br/>
        <w:br/>
        <w:t xml:space="preserve">      g)    Param Cumaraswamy. Entre 1994 y 2003 se desempeñó  como  Relator</w:t>
        <w:br/>
        <w:t xml:space="preserve">      Especial de la Comisión de Derechos Humanos  de  las  Naciones  Unidas</w:t>
        <w:br/>
        <w:t xml:space="preserve">      sobre la Independencia de Jueces y Abogados. Perito propuesto  por  la</w:t>
        <w:br/>
        <w:t xml:space="preserve">      Comisión. Declaró, inter alia, sobre las garantías que deben tener los</w:t>
        <w:br/>
        <w:t xml:space="preserve">      jueces en un Estado de Derecho  para  asegurar  la  independencia  del</w:t>
        <w:br/>
        <w:t xml:space="preserve">      Poder Judicial  y  la  separación  de  poderes,  su  relación  con  la</w:t>
        <w:br/>
        <w:t xml:space="preserve">      existencia de jueces provisionales y su relación con las normas  sobre</w:t>
        <w:br/>
        <w:t xml:space="preserve">      nombramiento y destitución de jueces.</w:t>
        <w:br/>
        <w:br/>
        <w:br/>
        <w:t xml:space="preserve">      h)    Jesús María Casal Hernández. Abogado y Doctor en Derecho. Perito</w:t>
        <w:br/>
        <w:t xml:space="preserve">      propuesto por la Comisión.  Informó,  inter  alia,  sobre  el  derecho</w:t>
        <w:br/>
        <w:t xml:space="preserve">      interno  venezolano  en  relación  con  el  funcionamiento  del  Poder</w:t>
        <w:br/>
        <w:t xml:space="preserve">      Judicial, la alegada falta de garantías para asegurar la independencia</w:t>
        <w:br/>
        <w:t xml:space="preserve">      del Poder Judicial y la separación de  poderes,  su  relación  con  la</w:t>
        <w:br/>
        <w:t xml:space="preserve">      existencia de jueces provisionales y su relación con las normas  sobre</w:t>
        <w:br/>
        <w:t xml:space="preserve">      nombramiento y destitución de jueces en Venezuela.</w:t>
        <w:br/>
        <w:br/>
        <w:br/>
        <w:t xml:space="preserve">      i)     Román  Duque  Corredor.  Ex-magistrado  de  la  Sala   Político</w:t>
        <w:br/>
        <w:t xml:space="preserve">      Administrativa de la Corte Suprema de Justicia. Perito  propuesto  por</w:t>
        <w:br/>
        <w:t xml:space="preserve">      la Comisión. Informó, inter alia, sobre el derecho interno  venezolano</w:t>
        <w:br/>
        <w:t xml:space="preserve">      en relación con el funcionamiento del  Poder  Judicial,  el  error  de</w:t>
        <w:br/>
        <w:t xml:space="preserve">      derecho como causal de sanción  disciplinaria,  la  alegada  falta  de</w:t>
        <w:br/>
        <w:t xml:space="preserve">      garantías para asegurar la  independencia  del  Poder  Judicial  y  la</w:t>
        <w:br/>
        <w:t xml:space="preserve">      separación de  poderes,  su  relación  con  la  existencia  de  jueces</w:t>
        <w:br/>
        <w:t xml:space="preserve">      provisionales y su  relación  con  las  normas  sobre  nombramiento  y</w:t>
        <w:br/>
        <w:t xml:space="preserve">      destitución de jueces en Venezuela.</w:t>
        <w:br/>
        <w:br/>
        <w:br/>
        <w:t xml:space="preserve">      j)    Edgar José López Albujas. Periodista dedicado a la cobertura  de</w:t>
        <w:br/>
        <w:t xml:space="preserve">      la  fuente  judicial.  Declarante   informativo   propuesto   por   el</w:t>
        <w:br/>
        <w:t xml:space="preserve">      representante. Se refirió, inter alia, a los hechos  que  rodearon  la</w:t>
        <w:br/>
        <w:t xml:space="preserve">      destitución de los jueces de la Corte Primera.</w:t>
        <w:br/>
        <w:br/>
        <w:br/>
        <w:t xml:space="preserve">      k)    Alberto Arteaga Sánchez. Profesor de Derecho  Penal.  Declarante</w:t>
        <w:br/>
        <w:t xml:space="preserve">      informativo propuesto por el representante. Se refirió, inter alia,  a</w:t>
        <w:br/>
        <w:t xml:space="preserve">      la detención del chofer Alfredo Romero, el allanamiento de la sede  de</w:t>
        <w:br/>
        <w:t xml:space="preserve">      la  Corte  Primera  y  las  supuestas   acusaciones   formuladas   por</w:t>
        <w:br/>
        <w:t xml:space="preserve">      funcionarios públicos, a través de la radio y la televisión, en contra</w:t>
        <w:br/>
        <w:t xml:space="preserve">      de los jueces de la Corte Primera.</w:t>
        <w:br/>
        <w:br/>
        <w:br/>
        <w:t>13.   La Corte observa que  el  representante  expresó  que  “los  notarios</w:t>
        <w:br/>
        <w:t>venezolanos, que dependen del Ministerio  de  Relaciones  Interiores  y  de</w:t>
        <w:br/>
        <w:t>Justicia, se negaron a recibir y  certificar  las  declaraciones  de  María</w:t>
        <w:br/>
        <w:t>[Costanza] Cipriani Rondón, […] Edgar López, Jesús María Casal,  y  Alberto</w:t>
        <w:br/>
        <w:t>Arteaga Sánchez, las cuáles sólo pudieron ser certificadas ante  el  Cónsul</w:t>
        <w:br/>
        <w:t>de Costa Rica en Caracas”. El Estado no controvirtió lo anterior.</w:t>
        <w:br/>
        <w:br/>
        <w:br/>
        <w:t>14.   Al respecto, la Corte lamenta la actitud de aquellos notarios que  se</w:t>
        <w:br/>
        <w:t>negaron a recibir las declaraciones señaladas, particularmente porque ellos</w:t>
        <w:br/>
        <w:t>ejercen  una  función  pública  que  están   obligados   a   realizar   sin</w:t>
        <w:br/>
        <w:t>discriminación, teniendo en cuenta que, además, su actuación incide  en  el</w:t>
        <w:br/>
        <w:t>procedimiento ante este Tribunal. Asimismo, se recuerda  que,  conforme  al</w:t>
        <w:br/>
        <w:t>artículo 24.1 del Reglamento, los Estados Partes en un caso tienen el deber</w:t>
        <w:br/>
        <w:t>de “facilitar [la]  ejecución  de  órdenes  de  comparecencia  de  personas</w:t>
        <w:br/>
        <w:t>residentes en su territorio o que se encuentren en el mismo”. Las  personas</w:t>
        <w:br/>
        <w:t>mencionadas por el representante en el párrafo anterior  fueron  convocadas</w:t>
        <w:br/>
        <w:t>por la Presidencia de la Corte  para  que  rindan  sus  declaraciones  ante</w:t>
        <w:br/>
        <w:t>fedatario público, razón por  la  cual  el  Estado  debe  garantizar,  como</w:t>
        <w:br/>
        <w:t>proyección del principio de buena fe que debe regir  la  ejecución  de  las</w:t>
        <w:br/>
        <w:t>obligaciones convencionales[10], que no exista  ningún  obstáculo  para  la</w:t>
        <w:br/>
        <w:t>práctica de la prueba.</w:t>
        <w:br/>
        <w:br/>
        <w:br/>
        <w:t>15.   En cuanto a la prueba rendida en audiencia pública, la Corte  escuchó</w:t>
        <w:br/>
        <w:t>las declaraciones de las siguientes personas[11]:</w:t>
        <w:br/>
        <w:br/>
        <w:br/>
        <w:t xml:space="preserve">      a)    Juan Carlos Apitz Barbera. Presunta víctima y testigo  propuesto</w:t>
        <w:br/>
        <w:t xml:space="preserve">      por la Comisión y el representante. Declaró,  inter  alia,  sobre  los</w:t>
        <w:br/>
        <w:t xml:space="preserve">      hechos que dieron lugar a su destitución como magistrado de  la  Corte</w:t>
        <w:br/>
        <w:t xml:space="preserve">      Primera, el procedimiento que  se  utilizó  para  ello,  los  recursos</w:t>
        <w:br/>
        <w:t xml:space="preserve">      internos  utilizados  y  la  forma  como  estos  hechos  supuestamente</w:t>
        <w:br/>
        <w:t xml:space="preserve">      afectaron su salud física y emocional y sus relaciones sociales  y  de</w:t>
        <w:br/>
        <w:t xml:space="preserve">      familia.</w:t>
        <w:br/>
        <w:br/>
        <w:br/>
        <w:t xml:space="preserve">      b)    Perkins Rocha Contreras. Presunta víctima  y  testigo  propuesto</w:t>
        <w:br/>
        <w:t xml:space="preserve">      por la Comisión y el representante. Declaró,  inter  alia,  sobre  los</w:t>
        <w:br/>
        <w:t xml:space="preserve">      hechos que dieron lugar a su destitución como magistrado de  la  Corte</w:t>
        <w:br/>
        <w:t xml:space="preserve">      Primera, el procedimiento que  se  utilizó  para  ello,  los  recursos</w:t>
        <w:br/>
        <w:t xml:space="preserve">      internos  utilizados  y  la  forma  como  estos  hechos  supuestamente</w:t>
        <w:br/>
        <w:t xml:space="preserve">      afectaron su salud física y emocional y sus relaciones sociales  y  de</w:t>
        <w:br/>
        <w:t xml:space="preserve">      familia.</w:t>
        <w:br/>
        <w:br/>
        <w:br/>
        <w:t xml:space="preserve">      c)    Servio Tulio León Briceño. Inspector General  de  Tribunales  al</w:t>
        <w:br/>
        <w:t xml:space="preserve">      momento de los hechos del presente  caso.  Testigo  propuesto  por  el</w:t>
        <w:br/>
        <w:t xml:space="preserve">      Estado. Declaró, inter  alia,  sobre  la  naturaleza  jurídica  de  la</w:t>
        <w:br/>
        <w:t xml:space="preserve">      Inspectoría General de Tribunales y la forma en  que  se  instruyó  el</w:t>
        <w:br/>
        <w:t xml:space="preserve">      procedimiento disciplinario adelantado  en  contra  de  las  presuntas</w:t>
        <w:br/>
        <w:t xml:space="preserve">      víctimas.</w:t>
        <w:br/>
        <w:br/>
        <w:br/>
        <w:t xml:space="preserve">      d)     Damián  Adolfo  Nieto  Carrillo.  Miembro  de  la  Comisión  de</w:t>
        <w:br/>
        <w:t xml:space="preserve">      Funcionamiento y Reestructuración  del  Sistema  Judicial.  Declarante</w:t>
        <w:br/>
        <w:t xml:space="preserve">      informativo propuesto por el Estado. Declaró,  inter  alia,  sobre  el</w:t>
        <w:br/>
        <w:t xml:space="preserve">      régimen disciplinario  judicial  en  Venezuela  y  sobre  las  medidas</w:t>
        <w:br/>
        <w:t xml:space="preserve">      adoptadas para garantizar la independencia del Poder Judicial.</w:t>
        <w:br/>
        <w:br/>
        <w:br/>
        <w:br/>
        <w:br/>
        <w:br/>
        <w:br/>
        <w:t xml:space="preserve">      2.    Valoración de la prueba</w:t>
        <w:br/>
        <w:br/>
        <w:br/>
        <w:t>16.   En  este  caso,  como  en  otros[12],  el  Tribunal  admite  el  valor</w:t>
        <w:br/>
        <w:t>probatorio de aquellos documentos presentados oportunamente por  las  partes</w:t>
        <w:br/>
        <w:t>que no fueron controvertidos ni objetados, ni cuya autenticidad  fue  puesta</w:t>
        <w:br/>
        <w:t>en duda. En relación con los documentos remitidos  como  prueba  para  mejor</w:t>
        <w:br/>
        <w:t>resolver (supra párr. 10), la Corte los incorpora al acervo  probatorio,  en</w:t>
        <w:br/>
        <w:t>aplicación de lo dispuesto en el artículo 45.2 del Reglamento.</w:t>
        <w:br/>
        <w:br/>
        <w:t>17.   El Tribunal observa que varios documentos citados por  las  partes  en</w:t>
        <w:br/>
        <w:t>sus respectivos escritos no fueron aportados a  la  Corte[13].  Respecto  de</w:t>
        <w:br/>
        <w:t>algunos se envió el enlace electrónico directo a  una  página  de  Internet.</w:t>
        <w:br/>
        <w:t>Otros, correspondientes a instituciones públicas  del  Estado,  sólo  fueron</w:t>
        <w:br/>
        <w:t>citados, pero pudieron ser ubicados a través del  Internet.  Conforme  a  la</w:t>
        <w:br/>
        <w:t>jurisprudencia de esta  Corte,  es  deber  de  las  partes  adjuntar  a  sus</w:t>
        <w:br/>
        <w:t>respectivos escritos principales toda la documentación que  pretendan  hacer</w:t>
        <w:br/>
        <w:t>valer como prueba, de tal forma que sea conocida por el Tribunal y  por  las</w:t>
        <w:br/>
        <w:t>demás partes de manera inmediata[14]. Sin perjuicio de esto, en el  presente</w:t>
        <w:br/>
        <w:t>caso, la Corte observa que los documentos  aportados  de  esta  manera  eran</w:t>
        <w:br/>
        <w:t>oportunos y las partes tuvieron la posibilidad de controvertirlos,  pero  no</w:t>
        <w:br/>
        <w:t>lo hicieron.  Por  ello,  dichos  documentos  se  aceptan  e  incorporan  al</w:t>
        <w:br/>
        <w:t>expediente, ya que no se afectó  la  seguridad  jurídica  ni  el  equilibrio</w:t>
        <w:br/>
        <w:t>procesal de las partes.</w:t>
        <w:br/>
        <w:br/>
        <w:t>18.   En cuanto a los documentos de prensa presentados,  la  Corte  constata</w:t>
        <w:br/>
        <w:t>que algunos de ellos se  encuentran  sin  fecha[15].  Sin  embargo,  ninguna</w:t>
        <w:br/>
        <w:t>parte los objetó por este hecho ni cuestionó su autenticidad, motivo por  el</w:t>
        <w:br/>
        <w:t>cual podrán ser apreciados cuando  recojan  hechos  públicos  y  notorios  o</w:t>
        <w:br/>
        <w:t>declaraciones de funcionarios  del  Estado,  o  cuando  corroboren  aspectos</w:t>
        <w:br/>
        <w:t>relacionados con el caso[16].</w:t>
        <w:br/>
        <w:br/>
        <w:br/>
        <w:t>19.   Asimismo, el Tribunal admite los documentos aportados por el Estado  y</w:t>
        <w:br/>
        <w:t>los representantes en el transcurso de la audiencia pública, puesto que  los</w:t>
        <w:br/>
        <w:t>estima útiles para la presente causa y además no  fueron  objetados,  ni  su</w:t>
        <w:br/>
        <w:t>autenticidad o veracidad puestas en duda.</w:t>
        <w:br/>
        <w:br/>
        <w:br/>
        <w:t>20.    Respecto  de  los  testimonios  y  peritajes,  la  Corte  los  estima</w:t>
        <w:br/>
        <w:t>pertinentes en cuanto se ajusten al objeto definido por  la  Presidencia  en</w:t>
        <w:br/>
        <w:t>la Resolución que ordenó recibirlos (supra párr. 7), tomando en  cuenta  las</w:t>
        <w:br/>
        <w:t>observaciones de las partes[17], las cuales serán analizadas en el  capítulo</w:t>
        <w:br/>
        <w:t>que corresponda. Este Tribunal estima que  las  declaraciones  testimoniales</w:t>
        <w:br/>
        <w:t>rendidas por las presuntas víctimas no pueden  ser  valoradas  aisladamente,</w:t>
        <w:br/>
        <w:t>dado que tienen un interés directo en este caso, razón  por  la  cual  serán</w:t>
        <w:br/>
        <w:t>apreciadas dentro del conjunto de las pruebas del proceso[18].</w:t>
        <w:br/>
        <w:br/>
        <w:br/>
        <w:br/>
        <w:br/>
        <w:br/>
        <w:t xml:space="preserve">                                     IV</w:t>
        <w:br/>
        <w:br/>
        <w:br/>
        <w:t xml:space="preserve">                            Excepción preliminar</w:t>
        <w:br/>
        <w:br/>
        <w:br/>
        <w:t xml:space="preserve">               (falta de agotamiento de los recursos internos)</w:t>
        <w:br/>
        <w:br/>
        <w:br/>
        <w:t>21.   El Estado sostuvo que “las presuntas víctimas no ha[bían] agotado  los</w:t>
        <w:br/>
        <w:t>mecanismos legales  pertinentes  de  la  jurisdicción  interna  y  por  ende</w:t>
        <w:br/>
        <w:t>incurr[ían] en […] falta de  interés  procesal”.  Respecto  de  los  señores</w:t>
        <w:br/>
        <w:t>Apitz y Rocha, el Estado expresó que no habían agotado  todos  los  recursos</w:t>
        <w:br/>
        <w:t>de la jurisdicción interna por no haber interpuesto  “recurso  de  revisión”</w:t>
        <w:br/>
        <w:t>contra una decisión del 3 de junio de 2003  emitida  por  la  Sala  Político</w:t>
        <w:br/>
        <w:t>Administrativa (en adelante “la SPA”) del Tribunal Supremo de  Justicia  (en</w:t>
        <w:br/>
        <w:t>adelante “el TSJ”). Asimismo, el Estado  señaló  que  los  señores  Apitz  y</w:t>
        <w:br/>
        <w:t>Rocha no interpusieron “solicitud de avocamiento” contra la decisión  de  18</w:t>
        <w:br/>
        <w:t>de abril de 2007 de la SPA. El Estado indicó que ambos  recursos  resultaban</w:t>
        <w:br/>
        <w:t>idóneos para resolver  la  situación  y  que  las  presuntas  víctimas  “los</w:t>
        <w:br/>
        <w:t>conocían perfectamente, pero no los interpusieron ni  agotaron  por  razones</w:t>
        <w:br/>
        <w:t>puramente personales”. Respecto de la señora Ruggeri, el  Estado  alegó  que</w:t>
        <w:br/>
        <w:t>“a diferencia de sus antiguos colegas, no  interpuso  ante  los  órganos  de</w:t>
        <w:br/>
        <w:t>administración de justicia venezolanos recurso alguno con  la  finalidad  de</w:t>
        <w:br/>
        <w:t>enervar  los  efectos  del  pronunciamiento  emanado  de  la   Comisión   de</w:t>
        <w:br/>
        <w:t>Funcionamiento y Reestructuración del Sistema  Judicial”  (en  adelante  “la</w:t>
        <w:br/>
        <w:t>CFRSJ”).</w:t>
        <w:br/>
        <w:br/>
        <w:br/>
        <w:t>22.   La Comisión alegó que el Estado se refirió por  primera  vez  al  tema</w:t>
        <w:br/>
        <w:t>del agotamiento de los recursos internos el 26 de octubre  de  2004  en  sus</w:t>
        <w:br/>
        <w:t>observaciones sobre el fondo del asunto, es decir, de modo extemporáneo.  La</w:t>
        <w:br/>
        <w:t>Comisión reiteró lo expresado en su informe de  admisibilidad  en  cuanto  a</w:t>
        <w:br/>
        <w:t>que el Estado “renunció a la  excepción  de  falta  de  agotamiento  de  los</w:t>
        <w:br/>
        <w:t>recursos internos, ya que no la presentó en la primera oportunidad  procesal</w:t>
        <w:br/>
        <w:t>que tuvo, es decir, en  su  respuesta  a  la  petición  que  dio  inicio  al</w:t>
        <w:br/>
        <w:t>trámite”. Agregó que “dado que el Estado no  ha  aportado  nuevos  elementos</w:t>
        <w:br/>
        <w:t>que justifiquen una nueva decisión de la  Corte”  solicita  se  “rechace  la</w:t>
        <w:br/>
        <w:t>excepción preliminar […], en tanto [… que] con ella  se  pretende  que  este</w:t>
        <w:br/>
        <w:t>[T]ribunal vuelva a revisar una cuestión ya  resuelta  definitivamente”  por</w:t>
        <w:br/>
        <w:t>la Comisión.</w:t>
        <w:br/>
        <w:br/>
        <w:br/>
        <w:t>23.   El representante sostuvo, inter alia,  que  “el  Estado  demandado  no</w:t>
        <w:br/>
        <w:t>alegó, en su debida oportunidad, ante la Comisión,  una  supuesta  falta  de</w:t>
        <w:br/>
        <w:t>agotamiento de los recursos internos, y no se opuso a  la  admisibilidad  de</w:t>
        <w:br/>
        <w:t>la petición ante esa instancia”, razón  por  la  cual  debe  entenderse  que</w:t>
        <w:br/>
        <w:t>renunció tácitamente a la excepción de falta de agotamiento de los  recursos</w:t>
        <w:br/>
        <w:t>internos.</w:t>
        <w:br/>
        <w:br/>
        <w:br/>
        <w:t>24.   En el presente caso, la Corte constata que el Estado no  interpuso  la</w:t>
        <w:br/>
        <w:t>excepción preliminar de falta de agotamiento de los recursos  internos  sino</w:t>
        <w:br/>
        <w:t>hasta después del informe de admisibilidad, a través de un escrito  allegado</w:t>
        <w:br/>
        <w:t>durante la etapa de fondo[19]. En consecuencia, la  Corte  concluye  que  el</w:t>
        <w:br/>
        <w:t>Estado renunció en forma tácita a  presentar  esta  defensa  en  el  momento</w:t>
        <w:br/>
        <w:t>procesal oportuno.</w:t>
        <w:br/>
        <w:br/>
        <w:br/>
        <w:br/>
        <w:br/>
        <w:br/>
        <w:t xml:space="preserve">                                      V</w:t>
        <w:br/>
        <w:br/>
        <w:br/>
        <w:t xml:space="preserve">                                 Competencia</w:t>
        <w:br/>
        <w:br/>
        <w:br/>
        <w:t>25.   La Corte Interamericana es competente, en los  términos  del  artículo</w:t>
        <w:br/>
        <w:t>62.3 de la Convención, para conocer  el  presente  caso,  en  razón  de  que</w:t>
        <w:br/>
        <w:t>Venezuela es Estado Parte en la Convención Americana desde el  9  de  agosto</w:t>
        <w:br/>
        <w:t>de 1977 y reconoció la competencia contenciosa del Tribunal el 24  de  junio</w:t>
        <w:br/>
        <w:t>de 1981.</w:t>
        <w:br/>
        <w:br/>
        <w:br/>
        <w:br/>
        <w:br/>
        <w:t xml:space="preserve">                                     VI</w:t>
        <w:br/>
        <w:t xml:space="preserve">  Artículos 8 (Garantías Judiciales)[20] y 25 (Protección Judicial)[21] en</w:t>
        <w:br/>
        <w:t xml:space="preserve"> relación con los artículos 1.1 (Obligación de Respetar los Derechos)[22] y</w:t>
        <w:br/>
        <w:t xml:space="preserve"> 2 (Deber de Adoptar Disposiciones de Derecho Interno)[23] de la Convención</w:t>
        <w:br/>
        <w:t xml:space="preserve">                                  Americana</w:t>
        <w:br/>
        <w:br/>
        <w:t>26.   Conforme a las pruebas aportadas, la Corte encuentra  probado  que  el</w:t>
        <w:br/>
        <w:t>órgano disciplinario judicial que  destituyó  a  los  ex-magistrados  Apitz,</w:t>
        <w:br/>
        <w:t>Rocha y Ruggeri tuvo su origen en un proceso  de  transición  constitucional</w:t>
        <w:br/>
        <w:t>que se inició en 1999  con  el  establecimiento  de  una  Asamblea  Nacional</w:t>
        <w:br/>
        <w:t>Constituyente (en adelante la “Asamblea Constituyente”), que  tras  declarar</w:t>
        <w:br/>
        <w:t>la  existencia  de  una  “crisis  institucional”  y  la  necesidad  de   una</w:t>
        <w:br/>
        <w:t>“reorganización de todos los órganos del poder público”[24],  aprobó  el  15</w:t>
        <w:br/>
        <w:t>de diciembre  de  1999  la  Constitución  de  la  República  Bolivariana  de</w:t>
        <w:br/>
        <w:t>Venezuela (en adelante “la Constitución”). En lo relativo al Poder  Judicial</w:t>
        <w:br/>
        <w:t>la Constitución estableció la creación de  tribunales  disciplinarios,  cuyo</w:t>
        <w:br/>
        <w:t>marco normativo se encontraría en el Código de Ética del Juez  Venezolano  o</w:t>
        <w:br/>
        <w:t>Jueza Venezolana[25] (en adelante “el Código  de  Ética”).  Además,  en  sus</w:t>
        <w:br/>
        <w:t>disposiciones transitorias la Constitución ordenaba que en el  plazo  de  un</w:t>
        <w:br/>
        <w:t>año  desde  la  instalación  de  la  Asamblea  Nacional  debía  dictarse  la</w:t>
        <w:br/>
        <w:t>legislación referida al Sistema Judicial, y que “[h]asta tanto  se  sancione</w:t>
        <w:br/>
        <w:t>[la ley orgánica sobre la defensa pública], la [CFRSJ] estará  a  cargo  del</w:t>
        <w:br/>
        <w:t>desarrollo y operatividad  efectiva  del  Sistema  Autónomo  de  la  Defensa</w:t>
        <w:br/>
        <w:t>Pública”[26].</w:t>
        <w:br/>
        <w:br/>
        <w:br/>
        <w:t>27.   Dos semanas después  de  la  adopción  de  la  nueva  Constitución  la</w:t>
        <w:br/>
        <w:t>Asamblea Constituyente emitió un  decreto  de  “Régimen  de  Transición  del</w:t>
        <w:br/>
        <w:t>Poder Público”[27], por el cual se  creó  la  CFRSJ.  A  este  organismo  se</w:t>
        <w:br/>
        <w:t>atribuyó  provisionalmente,  entre  otras  atribuciones,   “la   competencia</w:t>
        <w:br/>
        <w:t>disciplinaria judicial que corresponde a los Tribunales  disciplinarios,  de</w:t>
        <w:br/>
        <w:t>conformidad con el  artículo  267  de  la  Constitución  […]  hasta  que  la</w:t>
        <w:br/>
        <w:t>Asamblea Nacional apruebe  la  legislación  que  determine  los  procesos  y</w:t>
        <w:br/>
        <w:t>tribunales disciplinarios”[28].</w:t>
        <w:br/>
        <w:br/>
        <w:br/>
        <w:t>28.   Al mismo tiempo que  la  CFRSJ  se  creó  la  Inspectoría  General  de</w:t>
        <w:br/>
        <w:t>Tribunales (en adelante “la IGT”), como “órgano auxiliar de  la  CFRSJ  […],</w:t>
        <w:br/>
        <w:t>en la inspección y vigilancia de  los  tribunales  de  la  República,  y  la</w:t>
        <w:br/>
        <w:t>instrucción  de  los  expedientes  disciplinarios  de  los  jueces  y  demás</w:t>
        <w:br/>
        <w:t>funcionarios judiciales”. La IGT realiza  la  investigación  correspondiente</w:t>
        <w:br/>
        <w:t>y, en caso  de  estimar  que  existen  faltas  disciplinarias,  presenta  su</w:t>
        <w:br/>
        <w:t>acusación a la CFRSJ[29].</w:t>
        <w:br/>
        <w:br/>
        <w:br/>
        <w:t>29.   La competencia de la CFRSJ como el órgano  disciplinario  judicial,  y</w:t>
        <w:br/>
        <w:t>por tanto de la IGT como su órgano auxiliar, fue confirmada el 2  de  agosto</w:t>
        <w:br/>
        <w:t>del año 2000 por el TSJ[30] y en el año 2004 por la Ley  Orgánica  del  TSJ,</w:t>
        <w:br/>
        <w:t>aunque   siempre   condicionada   a   la   creación   de   los    tribunales</w:t>
        <w:br/>
        <w:t>disciplinarios[31]. Hasta la emisión de esta sentencia no se han creado  los</w:t>
        <w:br/>
        <w:t>tribunales disciplinarios ni se ha adoptado el Código de Ética, por  lo  que</w:t>
        <w:br/>
        <w:t>estos órganos provisorios siguen ejerciendo dichas atribuciones.</w:t>
        <w:br/>
        <w:br/>
        <w:br/>
        <w:t>30.   La Corte Primera fue creada por el artículo 184 de la Ley Orgánica  de</w:t>
        <w:br/>
        <w:t>la Corte Suprema de Justicia de 30 de julio de 1976[32].  La  Corte  Primera</w:t>
        <w:br/>
        <w:t>tiene competencia, inter alia, para conocer del control de todos  los  actos</w:t>
        <w:br/>
        <w:t>administrativos del poder público, con excepción de aquellos que emanan  del</w:t>
        <w:br/>
        <w:t>Presidente de la República y de sus  Ministros[33],  y  sus  sentencias  son</w:t>
        <w:br/>
        <w:t>recurribles únicamente ante el TSJ[34].</w:t>
        <w:br/>
        <w:br/>
        <w:br/>
        <w:t>31.   El 12 de septiembre de 2000 la Sala Plena del TSJ designó a Ana  María</w:t>
        <w:br/>
        <w:t>Ruggeri Cova, Evelyn Margarita Marrero Ortiz,  Luisa  Estela  Morales,  Juan</w:t>
        <w:br/>
        <w:t>Carlos Apitz Barbera y Perkins Rocha Contreras  “para  ocupar  con  carácter</w:t>
        <w:br/>
        <w:t>provisorio los cargos de Magistrados  de  la  Corte  Primera”[35],  y  dicho</w:t>
        <w:br/>
        <w:t>nombramiento se hizo “mientras se provee  sobre  la  titularidad  de  dichos</w:t>
        <w:br/>
        <w:t>cargos de acuerdo con los concursos correspondientes”[36].</w:t>
        <w:br/>
        <w:br/>
        <w:br/>
        <w:t>32.   El 11  de  junio  de  2002  la  Corte  Primera  emitió  una  sentencia</w:t>
        <w:br/>
        <w:t>resolviendo una solicitud  de  amparo  cautelar  y  un  recurso  contencioso</w:t>
        <w:br/>
        <w:t>administrativo  de  nulidad  interpuestos  contra  un  acto   administrativo</w:t>
        <w:br/>
        <w:t>emitido por el  Registrador  Subalterno  del  Primer  Circuito  de  Registro</w:t>
        <w:br/>
        <w:t>Público del Municipio Baruta del Estado Miranda. Este funcionario se  negaba</w:t>
        <w:br/>
        <w:t>a protocolizar una propiedad. La  Corte  Primera,  por  unanimidad,  declaró</w:t>
        <w:br/>
        <w:t>procedente el amparo y admitió a trámite el recurso de nulidad[37]. El 8  de</w:t>
        <w:br/>
        <w:t>octubre  de  2002  la  mencionada  Registraduría  Subalterna   solicitó   el</w:t>
        <w:br/>
        <w:t>avocamiento de la SPA  para  que  conociera,  entre  otros,  del  expediente</w:t>
        <w:br/>
        <w:t>relacionado con  el  amparo  cautelar  declarado  procedente  por  la  Corte</w:t>
        <w:br/>
        <w:t>Primera[38]. Al respecto, esta Corte constata  que  el  avocamiento  es  una</w:t>
        <w:br/>
        <w:t>institución jurídica de carácter excepcional[39], que permite  sustraer  del</w:t>
        <w:br/>
        <w:t>conocimiento y decisión de  un  asunto  al  órgano  judicial  que  sería  el</w:t>
        <w:br/>
        <w:t>naturalmente competente para resolverlo. Esto ocurre  cuando  el  juicio  de</w:t>
        <w:br/>
        <w:t>que se trate “rebase el interés  privado  involucrado  y  afecte  de  manera</w:t>
        <w:br/>
        <w:t>directa al interés público” o que “exista la necesidad de evitar  flagrantes</w:t>
        <w:br/>
        <w:t>injusticias”[40].</w:t>
        <w:br/>
        <w:br/>
        <w:br/>
        <w:t>33.   Conociendo de este avocamiento, el 3 de junio de 2003 la  SPA  declaró</w:t>
        <w:br/>
        <w:t>la nulidad del fallo emitido por la Corte Primera y  estableció  que  al  no</w:t>
        <w:br/>
        <w:t>haber declarado ésta la improcedencia de la pretensión cautelar incurrió  en</w:t>
        <w:br/>
        <w:t>un “grave error jurídico de carácter inexcusable”[41].</w:t>
        <w:br/>
        <w:br/>
        <w:br/>
        <w:t>34.   Conforme a la doctrina del TSJ, el error judicial inexcusable ha  sido</w:t>
        <w:br/>
        <w:t>entendido como “aquél que no  puede  justificarse  por  criterios  jurídicos</w:t>
        <w:br/>
        <w:t>razonables, lo cual le confiere el carácter de falta grave  que  amerita  la</w:t>
        <w:br/>
        <w:t>máxima sanción disciplinaria, esto  es,  la  destitución”.  Se  ha  señalado</w:t>
        <w:br/>
        <w:t>además que “se trata de un concepto  jurídico  indeterminado  o  indefinido,</w:t>
        <w:br/>
        <w:t>por lo cual se requiere en cada asunto particular ponderar la actitud de  un</w:t>
        <w:br/>
        <w:t>juez normal y de acuerdo a ello  y  a  las  características  propias  de  la</w:t>
        <w:br/>
        <w:t>cultura  jurídica  del  país,  establecer  el  carácter  inexcusable  de  la</w:t>
        <w:br/>
        <w:t>actuación  del   funcionario   judicial”.   En   ese   contexto,   ha   sido</w:t>
        <w:br/>
        <w:t>jurisprudencia  reiterada  considerar  que  “incurre  el   juez   en   error</w:t>
        <w:br/>
        <w:t>inexcusable o injustificable cuando, por ejemplo, establece  una  condena  a</w:t>
        <w:br/>
        <w:t>muerte o a pena perpetua de presidio o cuando dicta una  medida  de  embargo</w:t>
        <w:br/>
        <w:t>sobre una plaza pública, por citar algunos  casos  de  extrema  gravedad  en</w:t>
        <w:br/>
        <w:t>[el] ordenamiento jurídico [venezolano]”[42].</w:t>
        <w:br/>
        <w:br/>
        <w:br/>
        <w:t>35.   Al referirse al caso, la SPA consideró  “una  irregularidad  sumamente</w:t>
        <w:br/>
        <w:t>grave que la Corte Primera […], en la oportunidad de pronunciarse  sobre  la</w:t>
        <w:br/>
        <w:t>solicitud cautelar de amparo, haya declarado la  misma  procedente[,  …]  ya</w:t>
        <w:br/>
        <w:t>que los efectos naturales de [esa decisión] habrían de ser que  se  inscriba</w:t>
        <w:br/>
        <w:t>(protocolice) el documento objeto de la solicitud registral, lo  cual  tiene</w:t>
        <w:br/>
        <w:t>claros efectos constitutivos que, potencialmente, pueden crear una serie  de</w:t>
        <w:br/>
        <w:t>situaciones contrarias a la debida seguridad jurídica que  debe  expresar  y</w:t>
        <w:br/>
        <w:t>brindar el sistema registral inmobiliario”[43]. Esta  sentencia  ordenó  que</w:t>
        <w:br/>
        <w:t>se remitiera copia de la misma a la IGT[44].</w:t>
        <w:br/>
        <w:br/>
        <w:br/>
        <w:t>36.   El 17 de julio de 2003, una vez recibida la  copia  del  fallo  de  la</w:t>
        <w:br/>
        <w:t>SPA,  la  IGT  “ac[ordó]  iniciar  de  oficio  la  investigación  preliminar</w:t>
        <w:br/>
        <w:t>correspondiente”[45]. El 5 de septiembre de 2003  la  IGT  comisionó  a  una</w:t>
        <w:br/>
        <w:t>inspectora para impulsar la averiguación y ordenó notificar de este hecho  a</w:t>
        <w:br/>
        <w:t>los afectados[46], lo que se llevó  a  cabo  entre  los  días  10  y  12  de</w:t>
        <w:br/>
        <w:t>septiembre de 2003[47].</w:t>
        <w:br/>
        <w:br/>
        <w:br/>
        <w:t>37.   El 7 de octubre de 2003 la IGT formuló acusación ante la CFRSJ  contra</w:t>
        <w:br/>
        <w:t>los cinco miembros de la Corte Primera. Sostuvo  que  “los  Magistrados  […]</w:t>
        <w:br/>
        <w:t>dictaron una sentencia […] en la que incurrieron  en  grave  error  judicial</w:t>
        <w:br/>
        <w:t>inexcusable, según lo establecido [por] la [SPA]” y que esto “implica[ba  la</w:t>
        <w:br/>
        <w:t>existencia]  del  ilícito  disciplinario  previsto  en  el  ordinal  4°  del</w:t>
        <w:br/>
        <w:t>artículo 40 de la Ley  de  Carrera  Judicial”.  Solicitó  que  “les  [fuera]</w:t>
        <w:br/>
        <w:t>aplicada la sanción de destitución”[48].</w:t>
        <w:br/>
        <w:br/>
        <w:br/>
        <w:t>38.   El 30 de octubre de 2003 la CFRSJ decidió destituir a  cuatro  de  los</w:t>
        <w:br/>
        <w:t>cinco miembros de la Corte Primera. En relación  con  la  magistrada  Evelyn</w:t>
        <w:br/>
        <w:t>Marrero declaró “de imposible ejecución la sanción”[49],  dado  que  contaba</w:t>
        <w:br/>
        <w:t>con requisitos para su jubilación. Posteriormente, al conocer de un  recurso</w:t>
        <w:br/>
        <w:t>de reconsideración interpuesto por la magistrada Luisa Estella  Morales,  la</w:t>
        <w:br/>
        <w:t>CFRSJ revocó su  sanción  de  destitución  y  ordenó  que  se  tramitara  su</w:t>
        <w:br/>
        <w:t>jubilación[50].</w:t>
        <w:br/>
        <w:br/>
        <w:br/>
        <w:t>39.   Los magistrados Apitz y Rocha interpusieron, en contra de  la  sanción</w:t>
        <w:br/>
        <w:t>de destitución, un  recurso  jerárquico[51]  ante  la  Sala  Plena  del  TSJ</w:t>
        <w:br/>
        <w:t>alegando la incompetencia de la CFRSJ para  destituirlos,  recurso  que  fue</w:t>
        <w:br/>
        <w:t>desechado[52]. También interpusieron un recurso  contencioso  administrativo</w:t>
        <w:br/>
        <w:t>de nulidad junto con amparo cautelar ante la SPA, alegando, inter  alia,  la</w:t>
        <w:br/>
        <w:t>violación del derecho a ser juzgado por  su  juez  natural,  del  derecho  a</w:t>
        <w:br/>
        <w:t>defensa  y  al  debido  proceso,  de  la  presunción  de  inocencia,  de  la</w:t>
        <w:br/>
        <w:t>independencia de la función jurisdiccional, y  arguyendo  la  existencia  de</w:t>
        <w:br/>
        <w:t>una desviación de poder[53]. El amparo fue  desechado  y,  a  la  fecha,  el</w:t>
        <w:br/>
        <w:t>recurso de nulidad no ha sido resuelto en el fondo.</w:t>
        <w:br/>
        <w:br/>
        <w:t>40.   Tras la destitución y  jubilación  de  los  integrantes  de  la  Corte</w:t>
        <w:br/>
        <w:t>Primera, un artículo periodístico señaló que “[l]a Corte Primera  […]  quedó</w:t>
        <w:br/>
        <w:t>acéfala”[54]. Según un affidávit aportado a este expediente,  “[d]espués  de</w:t>
        <w:br/>
        <w:t>la  destitución  de  los  jueces  de  la  Corte  Primera,  ésta  se  mantuvo</w:t>
        <w:br/>
        <w:t>inoperante durante ocho  meses,  hasta  que  por  resolución  del  [TSJ]  se</w:t>
        <w:br/>
        <w:t>crearon dos cortes para esa instancia y  se  designaron  a  sus  respectivos</w:t>
        <w:br/>
        <w:t>jueces titulares y suplentes”[55]. En un artículo  de  prensa  de  abril  de</w:t>
        <w:br/>
        <w:t>2004 -6 meses después de la destitución- se expresa que “[e]n vista  de  que</w:t>
        <w:br/>
        <w:t>la Corte Primera […] permanece cerrada, la  Sala  Constitucional  del  [TSJ]</w:t>
        <w:br/>
        <w:t>estableció una vía procesal alterna para detener los daños causados  por  la</w:t>
        <w:br/>
        <w:t>denegación  de  justicia”[56].  En  octubre  de  2005  se   realizaron   los</w:t>
        <w:br/>
        <w:t>nombramientos de los Magistrados de las  Cortes  Primera  y  Segunda  de  lo</w:t>
        <w:br/>
        <w:t>Contencioso Administrativo[57].</w:t>
        <w:br/>
        <w:br/>
        <w:t>41.   La Corte pasa ahora a analizar los alegatos de  las  partes  sobre  la</w:t>
        <w:br/>
        <w:t>supuesta violación de las garantías judiciales y la protección judicial.</w:t>
        <w:br/>
        <w:br/>
        <w:br/>
        <w:br/>
        <w:br/>
        <w:br/>
        <w:t xml:space="preserve">      1.    Libre remoción de jueces provisorios</w:t>
        <w:br/>
        <w:br/>
        <w:br/>
        <w:t>42.   La primera cuestión a determinar es si los  Estados  deben  ofrecer  a</w:t>
        <w:br/>
        <w:t>los jueces provisorios un procedimiento  de  remoción  igual  o  similar  al</w:t>
        <w:br/>
        <w:t>ofrecido a los jueces titulares. La Comisión consideró que “más allá de  que</w:t>
        <w:br/>
        <w:t>los jueces en un país sean titulares o provisorios,  deben  ser  y  aparecer</w:t>
        <w:br/>
        <w:t>como independientes”, razón por la cual “[s]u  destitución  debe  realizarse</w:t>
        <w:br/>
        <w:t>en estricto apego a los procedimientos establecidos en  la  ley,  respetando</w:t>
        <w:br/>
        <w:t>su derecho a un debido proceso”. Por su  parte,  el  representante  denunció</w:t>
        <w:br/>
        <w:t>que “[e]l carácter  provisorio  (o  temporal)  de  los  jueces  implica  que</w:t>
        <w:br/>
        <w:t>carecen de estabilidad en sus cargos y que para separarlos de los mismos  no</w:t>
        <w:br/>
        <w:t>es imprescindible la apertura de un procedimiento previo  que  garantice  el</w:t>
        <w:br/>
        <w:t>derecho a la defensa, como tampoco lo es comprobar que  hayan  incurrido  en</w:t>
        <w:br/>
        <w:t>una falta disciplinaria”. El Estado señaló que “habiendo sido los  ex–jueces</w:t>
        <w:br/>
        <w:t>provisorios de la Corte Primera  funcionarios  temporales  y  por  lo  tanto</w:t>
        <w:br/>
        <w:t>desprovistos de la titularidad  en  el  cargo,  su  destitución  se  produjo</w:t>
        <w:br/>
        <w:t>mediante un procedimiento  disciplinario  donde  se  [o]torgaron  todas  las</w:t>
        <w:br/>
        <w:t>garantías  y  protección  judiciales  que  se  le  confieren  a  los  jueces</w:t>
        <w:br/>
        <w:t>titulares”.</w:t>
        <w:br/>
        <w:br/>
        <w:br/>
        <w:t>43.   La Corte observa que los Estados están obligados a  asegurar  que  los</w:t>
        <w:br/>
        <w:t>jueces provisorios sean independientes y, por ello, debe  otorgarles  cierto</w:t>
        <w:br/>
        <w:t>tipo  de  estabilidad  y  permanencia   en   el   cargo,   puesto   que   la</w:t>
        <w:br/>
        <w:t>provisionalidad no equivale a  libre  remoción.  En  efecto,  el  Comité  de</w:t>
        <w:br/>
        <w:t>Derechos Humanos de Naciones Unidas expresó que  la  destitución  de  jueces</w:t>
        <w:br/>
        <w:t>por el Poder Ejecutivo antes de  la  expiración  del  mandato  para  el  que</w:t>
        <w:br/>
        <w:t>fueron nombrados, sin que  se  les  dé  razón  concreta  alguna  y  sin  que</w:t>
        <w:br/>
        <w:t>dispongan de una protección judicial efectiva para impugnar la  destitución,</w:t>
        <w:br/>
        <w:t>es incompatible con la independencia judicial[58]. En  similar  sentido,  la</w:t>
        <w:br/>
        <w:t>Corte considera que la provisionalidad no debe significar alteración  alguna</w:t>
        <w:br/>
        <w:t>del  régimen  de  garantías  para  el  buen  desempeño  del  juzgador  y  la</w:t>
        <w:br/>
        <w:t>salvaguarda  de  los  propios  justiciables.  Además,  no  debe   extenderse</w:t>
        <w:br/>
        <w:t>indefinidamente  en  el  tiempo  y  debe  estar  sujeta  a   una   condición</w:t>
        <w:br/>
        <w:t>resolutoria, tal como el  cumplimiento  de  un  plazo  predeterminado  o  la</w:t>
        <w:br/>
        <w:t>celebración y conclusión de un concurso público de oposición y  antecedentes</w:t>
        <w:br/>
        <w:t>que nombre al reemplazante del juez provisorio con carácter  permanente[59].</w:t>
        <w:br/>
        <w:t>Los nombramientos provisionales deben constituir una situación de  excepción</w:t>
        <w:br/>
        <w:t>y  no  la  regla.  De  esta  manera,  la  extensión  en  el  tiempo  de   la</w:t>
        <w:br/>
        <w:t>provisionalidad de los jueces o el hecho de que la mayoría de los jueces  se</w:t>
        <w:br/>
        <w:t>encuentren en  dicha  situación,  generan  importantes  obstáculos  para  la</w:t>
        <w:br/>
        <w:t>independencia judicial. Esta situación de vulnerabilidad del Poder  Judicial</w:t>
        <w:br/>
        <w:t>se acentúa si tampoco existen procesos de  destitución  respetuosos  de  las</w:t>
        <w:br/>
        <w:t>obligaciones internacionales de los Estados.</w:t>
        <w:br/>
        <w:br/>
        <w:br/>
        <w:t>44.   Esta Corte ha destacado con anterioridad que los  diferentes  sistemas</w:t>
        <w:br/>
        <w:t>políticos han ideado procedimientos estrictos tanto para el nombramiento  de</w:t>
        <w:br/>
        <w:t>jueces como para su destitución. Sobre este último  punto,  el  Tribunal  ha</w:t>
        <w:br/>
        <w:t>afirmado que la autoridad a cargo del proceso  de  destitución  de  un  juez</w:t>
        <w:br/>
        <w:t>debe conducirse imparcialmente  en  el  procedimiento  establecido  para  el</w:t>
        <w:br/>
        <w:t>efecto y permitir el ejercicio del derecho de defensa[60]. Ello es así  toda</w:t>
        <w:br/>
        <w:t>vez que la libre remoción de jueces fomenta la duda objetiva del  observador</w:t>
        <w:br/>
        <w:t>sobre  la  posibilidad  efectiva  de  aquellos  de   decidir   controversias</w:t>
        <w:br/>
        <w:t>concretas sin temor a represalias[61].</w:t>
        <w:br/>
        <w:br/>
        <w:br/>
        <w:t>45.   De otro lado, puesto que el nombramiento de jueces provisionales  debe</w:t>
        <w:br/>
        <w:t>estar sujeto a aquellas condiciones de servicio que  aseguren  el  ejercicio</w:t>
        <w:br/>
        <w:t>independiente de su cargo[62], el régimen de ascenso,  traslado,  asignación</w:t>
        <w:br/>
        <w:t>de causas, suspensión y cesación de  funciones  del  que  gozan  los  jueces</w:t>
        <w:br/>
        <w:t>titulares debe mantenerse intacto en el caso de los jueces  que  carecen  de</w:t>
        <w:br/>
        <w:t>dicha titularidad.</w:t>
        <w:br/>
        <w:br/>
        <w:br/>
        <w:t>46.   En el presente caso, la Corte constata que el  Estado  ofreció  a  las</w:t>
        <w:br/>
        <w:t>víctimas un proceso ante la CFRSJ previo a su  destitución.  Queda  entonces</w:t>
        <w:br/>
        <w:t>por  determinar  si  dicho  procedimiento  se  ajustó  a  las   obligaciones</w:t>
        <w:br/>
        <w:t>contraídas por el Estado frente a  la  Convención  Americana.  Al  respecto,</w:t>
        <w:br/>
        <w:t>este Tribunal ha señalado que</w:t>
        <w:br/>
        <w:br/>
        <w:br/>
        <w:t xml:space="preserve">      [t]odos los órganos que ejerzan funciones de naturaleza  materialmente</w:t>
        <w:br/>
        <w:t xml:space="preserve">      jurisdiccional tienen el deber de adoptar decisiones justas basadas en</w:t>
        <w:br/>
        <w:t xml:space="preserve">      el respeto pleno a las garantías del debido proceso establecidas en el</w:t>
        <w:br/>
        <w:t xml:space="preserve">      artículo  8  de  la  Convención  Americana.  El  artículo  8.1  de  la</w:t>
        <w:br/>
        <w:t xml:space="preserve">      Convención, que alude al derecho de toda persona a  ser  oída  por  un</w:t>
        <w:br/>
        <w:t xml:space="preserve">      “juez o tribunal competente” para la “determinación de sus  derechos”,</w:t>
        <w:br/>
        <w:t xml:space="preserve">      es igualmente aplicable al supuesto en que alguna  autoridad  pública,</w:t>
        <w:br/>
        <w:t xml:space="preserve">      no judicial, dicte resoluciones que afecten la determinación de  tales</w:t>
        <w:br/>
        <w:t xml:space="preserve">      derechos[63].</w:t>
        <w:br/>
        <w:br/>
        <w:br/>
        <w:br/>
        <w:br/>
        <w:br/>
        <w:t xml:space="preserve">      2.    Competencia</w:t>
        <w:br/>
        <w:br/>
        <w:br/>
        <w:t>47.   El representante alegó que la Sala Plena del TSJ –y no la CFRSJ- era,</w:t>
        <w:br/>
        <w:t>“de manera exclusiva”, la que “podía destituir  de  sus  cargos  a  quienes</w:t>
        <w:br/>
        <w:t>previamente había designado como  magistrados  de  la  Corte  Primera”,  en</w:t>
        <w:br/>
        <w:t>atención al principio del paralelismo de  las  formas.  En  apoyo  de  este</w:t>
        <w:br/>
        <w:t>argumento, aludió a un informe emitido por una Comisión  designada  por  la</w:t>
        <w:br/>
        <w:t>Sala  Plena  del  TSJ.  De  otra  parte,  argumentó  que  las  atribuciones</w:t>
        <w:br/>
        <w:t>disciplinarias  de  la  CFRSJ  “no  tenía[n]  fundamento   alguno   en   la</w:t>
        <w:br/>
        <w:t>Constitución” y que “en materia disciplinaria judicial,  por  causa  de  la</w:t>
        <w:br/>
        <w:t>mora legislativa, existe un régimen transitorio y  excepcional  que  atenta</w:t>
        <w:br/>
        <w:t>contra el derecho al […] juez natural” ya  que  “el  régimen  disciplinario</w:t>
        <w:br/>
        <w:t>judicial en Venezuela, es […] extraordinario y los jueces son […]  juzgados</w:t>
        <w:br/>
        <w:t>disciplinariamente por comisiones creadas para su enjuiciamiento”.</w:t>
        <w:br/>
        <w:br/>
        <w:br/>
        <w:t>48.   El Estado indicó que conforme a la normativa  interna  la  CFRSJ  “es</w:t>
        <w:br/>
        <w:t>competente  para  dictar  los  actos  disciplinarios  correspondientes   en</w:t>
        <w:br/>
        <w:t>ejercicio de sus atribuciones”. Controvirtió el argumento del representante</w:t>
        <w:br/>
        <w:t>relativo al informe de la Comisión de la Sala Plena afirmando que el  mismo</w:t>
        <w:br/>
        <w:t>no es vinculante, que emanaba “sólo [de] algunos Magistrados integrantes de</w:t>
        <w:br/>
        <w:t>la Sala Plena” y que posteriormente todos los integrantes de la misma  Sala</w:t>
        <w:br/>
        <w:t>Plena, “a solicitud de los ex-jueces provisorios  de  la  Corte  Primera[,]</w:t>
        <w:br/>
        <w:t>reafirmaron […] la competencia de la [IGT]  y  de  la  [CFRSJ]”  (resaltado</w:t>
        <w:br/>
        <w:t>omitido).</w:t>
        <w:br/>
        <w:br/>
        <w:br/>
        <w:t>49.   La Comisión indicó que el ámbito de actuación  de  la  CFRSJ  “estaba</w:t>
        <w:br/>
        <w:t>delimitado de manera previa a los hechos”. Además, señaló  que  el  TSJ  se</w:t>
        <w:br/>
        <w:t>pronunció en Sala Plena  reconociendo  la  competencia  de  la  CFRSJ  para</w:t>
        <w:br/>
        <w:t>investigar disciplinariamente y sancionar a los peticionarios.</w:t>
        <w:br/>
        <w:br/>
        <w:br/>
        <w:t>50.   El artículo 8.1 de la Convención garantiza el derecho  a  ser  juzgado</w:t>
        <w:br/>
        <w:t>por “un tribunal competente […] establecido  con  anterioridad  a  la  ley”.</w:t>
        <w:br/>
        <w:t>Esto implica que las personas “tienen derecho a ser juzgadas por  tribunales</w:t>
        <w:br/>
        <w:t>de   justicia   ordinarios   con   arreglo   a   procedimientos   legalmente</w:t>
        <w:br/>
        <w:t>establecidos”, razón por la cual el Estado no debe crear tribunales  que  no</w:t>
        <w:br/>
        <w:t>apliquen  normas  procesales  debidamente  establecidas  para  sustituir  la</w:t>
        <w:br/>
        <w:t>jurisdicción que corresponda normalmente a  los  tribunales  ordinarios[64].</w:t>
        <w:br/>
        <w:t>Con esto se busca evitar que  las  personas  sean  juzgadas  por  tribunales</w:t>
        <w:br/>
        <w:t>especiales, creados para el caso, o ad hoc.</w:t>
        <w:br/>
        <w:br/>
        <w:br/>
        <w:t>51.   La prueba que sustenta los alegatos del  representante  se  relaciona</w:t>
        <w:br/>
        <w:t>con un informe adoptado el 26 de julio de 2000 por una  comisión  designada</w:t>
        <w:br/>
        <w:t>por el TSJ para “determinar el status jurídico y disciplinario de la  Corte</w:t>
        <w:br/>
        <w:t>Primera”. El informe señaló que</w:t>
        <w:br/>
        <w:br/>
        <w:br/>
        <w:t xml:space="preserve">      [e]l régimen disciplinario de los jueces corresponde a los órganos  de</w:t>
        <w:br/>
        <w:t xml:space="preserve">      la jurisdicción disciplinaria que deberá ser creada mediante ley  pero</w:t>
        <w:br/>
        <w:t xml:space="preserve">      hasta  tanto  se  dicte  ese  instrumento   normativo,   la   potestad</w:t>
        <w:br/>
        <w:t xml:space="preserve">      disciplinaria sobre los Magistrados de la Corte Primera […] deberá ser</w:t>
        <w:br/>
        <w:t xml:space="preserve">      ejercida por el [TSJ], en Sala Plena[65].</w:t>
        <w:br/>
        <w:br/>
        <w:br/>
        <w:t>52.   Sin embargo, la Comisión y el Estado aciertan al indicar que el 8  de</w:t>
        <w:br/>
        <w:t>septiembre de 2004, a través de una decisión sobre  un  recurso  jerárquico</w:t>
        <w:br/>
        <w:t>interpuesto por las víctimas (infra párr.  157),  la  Sala  Plena  del  TSJ</w:t>
        <w:br/>
        <w:t>ratificó que “la competencia para la realización de las investigaciones  en</w:t>
        <w:br/>
        <w:t>un caso en el que se denuncia [disciplinariamente] a un  Magistrado  de  la</w:t>
        <w:br/>
        <w:t>Corte Primera” debe ser la misma que corresponde a  todos  los  jueces,  es</w:t>
        <w:br/>
        <w:t>decir, “deben estos casos ser sometidos a la consideración de la  [CFRSJ]”.</w:t>
        <w:br/>
        <w:t>La Sala Plena declinó entonces su competencia en la  materia[66].  Como  se</w:t>
        <w:br/>
        <w:t>observa, el órgano que el representante alega como competente determinó que</w:t>
        <w:br/>
        <w:t>quien debía evaluar la  posible  responsabilidad  de  las  víctimas  en  el</w:t>
        <w:br/>
        <w:t>ejercicio de sus funciones judiciales era la CFRSJ.</w:t>
        <w:br/>
        <w:br/>
        <w:br/>
        <w:t>53.   De otra parte, la competencia disciplinaria de la CFRSJ se origina en</w:t>
        <w:br/>
        <w:t>una norma que emana de la Asamblea Constituyente,  y  por  tanto  de  rango</w:t>
        <w:br/>
        <w:t>superior al legal[67], establecida en 1999, es decir con anterioridad a  la</w:t>
        <w:br/>
        <w:t>causa iniciada contra los magistrados de la Corte Primera[68]; no se  trata</w:t>
        <w:br/>
        <w:t>de un tribunal ad hoc, toda vez que  se  le  otorgó  competencia  de  forma</w:t>
        <w:br/>
        <w:t>general para conocer de todos los procesos disciplinarios contra los jueces</w:t>
        <w:br/>
        <w:t>de Venezuela bajo un procedimiento común; y no existe  una  norma  a  nivel</w:t>
        <w:br/>
        <w:t>interno que expresamente haya asignado la competencia para conocer del caso</w:t>
        <w:br/>
        <w:t>en cuestión a un órgano distinto a la CFRSJ. Por todo  ello,  la  Corte  no</w:t>
        <w:br/>
        <w:t>encuentra que se configure una violación del derecho a ser juzgado  por  un</w:t>
        <w:br/>
        <w:t>tribunal competente establecido con anterioridad por la ley, consagrado  en</w:t>
        <w:br/>
        <w:t>el artículo 8.1 de la Convención.</w:t>
        <w:br/>
        <w:br/>
        <w:br/>
        <w:br/>
        <w:br/>
        <w:br/>
        <w:t xml:space="preserve">      3.    Imparcialidad de la CFRSJ</w:t>
        <w:br/>
        <w:br/>
        <w:br/>
        <w:t>54.   Los alegatos de la Comisión y el representante  tratan  conjuntamente</w:t>
        <w:br/>
        <w:t>la supuesta falta de independencia e imparcialidad de la CFRSJ a la hora de</w:t>
        <w:br/>
        <w:t>destituir a los magistrados Apitz, Rocha y Ruggeri.</w:t>
        <w:br/>
        <w:br/>
        <w:br/>
        <w:t>55.    Al  respecto,  la  Corte  resalta  que  si  bien  es  cierto  que  la</w:t>
        <w:br/>
        <w:t>independencia y la imparcialidad están relacionadas[69], también  es  cierto</w:t>
        <w:br/>
        <w:t>que tienen un contenido jurídico propio. Así, esta Corte ha  dicho  que  uno</w:t>
        <w:br/>
        <w:t>de los  objetivos  principales  que  tiene  la  separación  de  los  poderes</w:t>
        <w:br/>
        <w:t>públicos es la  garantía  de  la  independencia  de  los  jueces[70].  Dicho</w:t>
        <w:br/>
        <w:t>ejercicio autónomo debe ser garantizado por el Estado  tanto  en  su  faceta</w:t>
        <w:br/>
        <w:t>institucional, esto es, en relación con el Poder Judicial como sistema,  así</w:t>
        <w:br/>
        <w:t>como también  en  conexión  con  su  vertiente  individual,  es  decir,  con</w:t>
        <w:br/>
        <w:t>relación a la persona del juez específico.  El  objetivo  de  la  protección</w:t>
        <w:br/>
        <w:t>radica en evitar que el sistema judicial en general  y  sus  integrantes  en</w:t>
        <w:br/>
        <w:t>particular se vean  sometidos  a  posibles  restricciones  indebidas  en  el</w:t>
        <w:br/>
        <w:t>ejercicio de su función por parte de órganos  ajenos  al  Poder  Judicial  o</w:t>
        <w:br/>
        <w:t>incluso por parte de aquellos magistrados que ejercen funciones de  revisión</w:t>
        <w:br/>
        <w:t>o apelación.</w:t>
        <w:br/>
        <w:br/>
        <w:br/>
        <w:t>56.   En cambio, la imparcialidad exige que el juez que  interviene  en  una</w:t>
        <w:br/>
        <w:t>contienda particular se aproxime a los hechos de  la  causa  careciendo,  de</w:t>
        <w:br/>
        <w:t>manera subjetiva,  de  todo  prejuicio  y,  asimismo,  ofreciendo  garantías</w:t>
        <w:br/>
        <w:t>suficientes de índole objetiva que  permitan  desterrar  toda  duda  que  el</w:t>
        <w:br/>
        <w:t>justiciable o la comunidad  puedan  albergar  respecto  de  la  ausencia  de</w:t>
        <w:br/>
        <w:t>imparcialidad[71]. La Corte Europea de Derechos Humanos ha explicado que  la</w:t>
        <w:br/>
        <w:t>imparcialidad personal o subjetiva se presume a menos que exista  prueba  en</w:t>
        <w:br/>
        <w:t>contrario[72]. Por su parte,  la  denominada  prueba  objetiva  consiste  en</w:t>
        <w:br/>
        <w:t>determinar  si  el  juez  cuestionado  brindó  elementos  convincentes   que</w:t>
        <w:br/>
        <w:t>permitan eliminar temores legítimos  o  fundadas  sospechas  de  parcialidad</w:t>
        <w:br/>
        <w:t>sobre su persona[73]. Ello puesto que el juez debe  aparecer  como  actuando</w:t>
        <w:br/>
        <w:t>sin estar sujeto a influencia, aliciente, presión,  amenaza  o  intromisión,</w:t>
        <w:br/>
        <w:t>directa o indirecta[74], sino única y exclusivamente conforme  a  -y  movido</w:t>
        <w:br/>
        <w:t>por- el Derecho.</w:t>
        <w:br/>
        <w:br/>
        <w:br/>
        <w:t>57.   Ahora bien, dado que los alegatos de la Comisión y los  representantes</w:t>
        <w:br/>
        <w:t>se refieren principalmente a que la  CFRSJ  estuvo  influenciada  por  otros</w:t>
        <w:br/>
        <w:t>poderes del Estado y por el propio Poder Judicial, la  Corte  tratará  estos</w:t>
        <w:br/>
        <w:t>argumentos en el apartado  de  independencia  judicial,  y  dejará  en  este</w:t>
        <w:br/>
        <w:t>apartado de imparcialidad el único alegato de las partes sobre  el  tema,  a</w:t>
        <w:br/>
        <w:t>saber, la imposibilidad de recusar a los miembros de la CFRSJ.</w:t>
        <w:br/>
        <w:br/>
        <w:br/>
        <w:t>58.   La Comisión  alegó  que  el  “sistema  disciplinario  […]  carece  de</w:t>
        <w:br/>
        <w:t>salvaguardas para que las partes puedan objetar la  […]parcialidad”  de  la</w:t>
        <w:br/>
        <w:t>CFRSJ toda vez que “prohíbe las recusaciones contra sus miembros”. En  este</w:t>
        <w:br/>
        <w:t>sentido, indicó que “aún cuando estos tuvieren por ejemplo amistad íntima o</w:t>
        <w:br/>
        <w:t>enemistad manifiesta con cualquiera de las partes, o  hubieran  manifestado</w:t>
        <w:br/>
        <w:t>previamente su opinión sobre el asunto, existe una imposibilidad  legal  de</w:t>
        <w:br/>
        <w:t>recusarlos”. El representante  agregó  que  “las  [presuntas]  víctimas  no</w:t>
        <w:br/>
        <w:t>tenían la impresión  de  que  el  tribunal  que  conocía  de  su  caso  era</w:t>
        <w:br/>
        <w:t>imparcial, y por eso recusaron  a  [sus]  miembros”,  sin  embargo,  “[l]as</w:t>
        <w:br/>
        <w:t>recusaciones ni siquiera fueron examinadas”, por no  estar  permitidas  por</w:t>
        <w:br/>
        <w:t>ley, y los miembros de la CFRSJ “tampoco accedieron a la solicitud para que</w:t>
        <w:br/>
        <w:t>se inhibieran”. El Estado no se refirió a estos alegatos.</w:t>
        <w:br/>
        <w:br/>
        <w:br/>
        <w:t>59.   Conforme a la prueba aportada, el Tribunal constata que el Régimen de</w:t>
        <w:br/>
        <w:t>Transición del Poder Público establece que los integrantes de la CFRSJ y el</w:t>
        <w:br/>
        <w:t>Inspector General de Tribunales “no  estarán  sujetos  a  recusación,  pero</w:t>
        <w:br/>
        <w:t>deberán inhibirse en los casos previstos  en  el  artículo  36  de  la  Ley</w:t>
        <w:br/>
        <w:t>Orgánica de Procedimientos Administrativos”[75].</w:t>
        <w:br/>
        <w:br/>
        <w:br/>
        <w:t>60.   El magistrado Rocha presentó una solicitud de recusación en contra de</w:t>
        <w:br/>
        <w:t>los miembros de la CFRSJ el mismo día en que se emitió  la  resolución  que</w:t>
        <w:br/>
        <w:t>declaró su destitución[76], pero antes de que ésta fuera notificada[77]. Al</w:t>
        <w:br/>
        <w:t>día  siguiente,  el  magistrado  Apitz  solicitó  la  inhibición   de   los</w:t>
        <w:br/>
        <w:t>mismos[78]. Esta solicitud también fue presentada antes de la  notificación</w:t>
        <w:br/>
        <w:t>de la resolución  de  destitución.  No  consta  en  el  expediente  que  la</w:t>
        <w:br/>
        <w:t>magistrada  Ruggeri  haya  presentado  alguna  solicitud  de  recusación  o</w:t>
        <w:br/>
        <w:t>inhibición.</w:t>
        <w:br/>
        <w:br/>
        <w:br/>
        <w:t>61.   En la sentencia que ordenó la respectiva destitución no se  respondió</w:t>
        <w:br/>
        <w:t>expresamente a la solicitud de  recusación  presentada  por  el  magistrado</w:t>
        <w:br/>
        <w:t>Rocha, pero se reafirmó que los miembros de la CFRSJ “no estarán sujetos  a</w:t>
        <w:br/>
        <w:t>recusación, pero deberán inhibirse en los casos previstos en el artículo 36</w:t>
        <w:br/>
        <w:t>de la Ley Orgánica de Procedimientos Administrativos”[79].  No  consta  que</w:t>
        <w:br/>
        <w:t>haya existido respuesta a la solicitud  de  inhibición  presentada  por  el</w:t>
        <w:br/>
        <w:t>señor Apitz.</w:t>
        <w:br/>
        <w:br/>
        <w:br/>
        <w:t>62.   Corresponde a la Corte determinar si el hecho de que los jueces de la</w:t>
        <w:br/>
        <w:t>CFRSJ que destituyeron a las víctimas no hayan sido recusables  vulneró  el</w:t>
        <w:br/>
        <w:t>derecho de éstas a ser juzgadas por un tribunal imparcial.</w:t>
        <w:br/>
        <w:br/>
        <w:br/>
        <w:t>63.    Al  respecto,  el  Tribunal  considera  que  la  institución  de  la</w:t>
        <w:br/>
        <w:t>recusación tiene un doble fin: por un lado actúa como una garantía para las</w:t>
        <w:br/>
        <w:t>partes en el proceso, y por  el  otro,  busca  otorgar  credibilidad  a  la</w:t>
        <w:br/>
        <w:t>función que desarrolla la Jurisdicción. En efecto, la recusación otorga  el</w:t>
        <w:br/>
        <w:t>derecho a las partes de instar a la separación de un juez cuando, más  allá</w:t>
        <w:br/>
        <w:t>de la conducta personal del juez cuestionado, existen hechos demostrables o</w:t>
        <w:br/>
        <w:t>elementos convincentes que produzcan temores fundados o sospechas legítimas</w:t>
        <w:br/>
        <w:t>de parcialidad sobre su persona, impidiéndose de este modo que su  decisión</w:t>
        <w:br/>
        <w:t>sea vista como motivada por razones ajenas al Derecho y que, por  ende,  el</w:t>
        <w:br/>
        <w:t>funcionamiento del sistema judicial se vea distorsionado. La recusación  no</w:t>
        <w:br/>
        <w:t>debe ser vista necesariamente como un enjuiciamiento de la  rectitud  moral</w:t>
        <w:br/>
        <w:t>del funcionario recusado, sino más bien como  una  herramienta  que  brinda</w:t>
        <w:br/>
        <w:t>confianza a quienes acuden al Estado solicitando la intervención de órganos</w:t>
        <w:br/>
        <w:t>que deben ser y aparentar ser imparciales.</w:t>
        <w:br/>
        <w:br/>
        <w:br/>
        <w:t>64.   En tal sentido, la recusación es un instrumento procesal destinado  a</w:t>
        <w:br/>
        <w:t>proteger el derecho a ser juzgado por un órgano imparcial y no un  elemento</w:t>
        <w:br/>
        <w:t>constitutivo o definitorio de dicho derecho. En otras palabras, un juez que</w:t>
        <w:br/>
        <w:t>no pueda ser recusado no necesariamente es -o actuará  de  forma-  parcial,</w:t>
        <w:br/>
        <w:t>del mismo modo que un juez que puede ser recusado no necesariamente  es  -o</w:t>
        <w:br/>
        <w:t>actuará de forma- imparcial.</w:t>
        <w:br/>
        <w:br/>
        <w:br/>
        <w:t>65.   En lo referente a la inhibición, la Corte estima que aún cuando  está</w:t>
        <w:br/>
        <w:t>permitida por el derecho interno,  no  es  suficiente  para  garantizar  la</w:t>
        <w:br/>
        <w:t>imparcialidad  del  tribunal,  puesto  que  no  se  ha  demostrado  que  el</w:t>
        <w:br/>
        <w:t>justiciable tenga algún  recurso  para  cuestionar  al  juez  que  debiendo</w:t>
        <w:br/>
        <w:t>inhibirse no lo hiciere.</w:t>
        <w:br/>
        <w:br/>
        <w:br/>
        <w:t>66.   Teniendo en cuenta lo anterior, la Corte concluye que no  hay  prueba</w:t>
        <w:br/>
        <w:t>que indique que el Estado haya desconocido el derecho de las víctimas a ser</w:t>
        <w:br/>
        <w:t>juzgadas por  un  tribunal  imparcial,  pero  sí  está  demostrado  que  su</w:t>
        <w:br/>
        <w:t>legislación  (supra  párr.  59)  y  jurisprudencia  (supra  párr.  61)  les</w:t>
        <w:br/>
        <w:t>impidieron solicitar  que  la  imparcialidad  de  su  órgano  juzgador  sea</w:t>
        <w:br/>
        <w:t>revisada. Dicho de otro modo, no  está  demostrado  el  incumplimiento  del</w:t>
        <w:br/>
        <w:t>deber de respeto del derecho, sino la falta de garantía del mismo.</w:t>
        <w:br/>
        <w:br/>
        <w:br/>
        <w:t>67.   Por todo ello, el Tribunal declara que  el  Estado  no  garantizó  el</w:t>
        <w:br/>
        <w:t>derecho de las víctimas a ser juzgadas por un tribunal  imparcial,  lo  que</w:t>
        <w:br/>
        <w:t>constituye una violación del artículo 8.1 de la Convención  en  consonancia</w:t>
        <w:br/>
        <w:t>con los artículos 1.1 y 2 de la misma.</w:t>
        <w:br/>
        <w:br/>
        <w:br/>
        <w:br/>
        <w:br/>
        <w:br/>
        <w:t xml:space="preserve">      4.    Derecho a ser oído</w:t>
        <w:br/>
        <w:br/>
        <w:br/>
        <w:t>68.   La Comisión indicó que la SPA decidió que los magistrados de la  Corte</w:t>
        <w:br/>
        <w:t>Primera incurrieron en error judicial inexcusable, “sin que  éstos  pudieran</w:t>
        <w:br/>
        <w:t>presentar previamente [ante dicha Sala] los argumentos que  justificaban  la</w:t>
        <w:br/>
        <w:t>razonabilidad de la decisión tomada”.</w:t>
        <w:br/>
        <w:br/>
        <w:br/>
        <w:t>69.   El representante concordó con la Comisión y añadió que la SPA “no  les</w:t>
        <w:br/>
        <w:t>permitió acompañar la jurisprudencia reciente, de [dicha Sala],  en  la  que</w:t>
        <w:br/>
        <w:t>se sustentaba [la] decisión  [de  la  Corte  Primera  cuyo  avocamiento  era</w:t>
        <w:br/>
        <w:t>decidido]”. Alegó, además, que los jueces  de  la  Corte  Primera  “no  eran</w:t>
        <w:br/>
        <w:t>partes” en dicho proceso de avocamiento.</w:t>
        <w:br/>
        <w:br/>
        <w:br/>
        <w:t>70.   El Estado señaló que "al conocer alguna de las Salas  competentes  del</w:t>
        <w:br/>
        <w:t>[TSJ], en avocamiento, un fallo dictado por alguna  instancia  inferior,  no</w:t>
        <w:br/>
        <w:t>se plantea un juicio subjetivo que prejuzga  sobre  aspectos  disciplinarios</w:t>
        <w:br/>
        <w:t>de los jueces” sino “uno objetivo que interrumpe el normal  desenvolvimiento</w:t>
        <w:br/>
        <w:t>de la causa examinada por esas instancias".</w:t>
        <w:br/>
        <w:br/>
        <w:br/>
        <w:t>71.   En el proceso ante la SPA que resolvió  la  solicitud  de  avocamiento</w:t>
        <w:br/>
        <w:t>(supra párrs. 32 y 33) intervinieron la Registradora Subalterna  del  Primer</w:t>
        <w:br/>
        <w:t>Circuito del Municipio Baruta del Estado Miranda, en calidad de  solicitante</w:t>
        <w:br/>
        <w:t>del  avocamiento,  y  el  apoderado  judicial  de  la  persona   que   había</w:t>
        <w:br/>
        <w:t>interpuesto el recurso de amparo resuelto  por  la  Corte  Primera[80].  Los</w:t>
        <w:br/>
        <w:t>magistrados de la Corte Primera no intervinieron en este proceso.</w:t>
        <w:br/>
        <w:br/>
        <w:br/>
        <w:t>72.   De acuerdo con el artículo 8.1 de la  Convención,  el  derecho  a  ser</w:t>
        <w:br/>
        <w:t>oído exige que toda persona pueda tener acceso al tribunal u órgano  estatal</w:t>
        <w:br/>
        <w:t>encargado de determinar sus derechos y obligaciones.</w:t>
        <w:br/>
        <w:br/>
        <w:br/>
        <w:t>73.   Al respecto, la Corte destaca que en el proceso de avocamiento  no  se</w:t>
        <w:br/>
        <w:t>determina derecho  u  obligación  alguna  de  los  jueces  que  dictaron  la</w:t>
        <w:br/>
        <w:t>resolución sujeta a revisión[81]. De otra parte, de conformidad con  la  Ley</w:t>
        <w:br/>
        <w:t>de Carrera Judicial, la declaración de un error judicial  inexcusable  puede</w:t>
        <w:br/>
        <w:t>ocurrir no  sólo  en  un  proceso  de  avocamiento,  sino  también  en  toda</w:t>
        <w:br/>
        <w:t>instancia recursiva o de apelación ante cualquier órgano con competencia  de</w:t>
        <w:br/>
        <w:t>revisión[82]. En este sentido, la división de tareas  propia  del  ejercicio</w:t>
        <w:br/>
        <w:t>de la función judicial implica  que  las  instancias  revisoras  sólo  deban</w:t>
        <w:br/>
        <w:t>atender a la pretensión recursiva de la parte disconforme con la  resolución</w:t>
        <w:br/>
        <w:t>originaria.  En  consecuencia,  la  determinación   de   la   corrección   o</w:t>
        <w:br/>
        <w:t>incorrección jurídica del fallo recurrido no afectó derecho  alguno  de  los</w:t>
        <w:br/>
        <w:t>jueces originarios y no los trasformó per se en partes  de  la  controversia</w:t>
        <w:br/>
        <w:t>suscitada ante la SPA. Por ello, la Corte declara que el Estado no violó  el</w:t>
        <w:br/>
        <w:t>derecho de las víctimas a ser oídas en dicho proceso.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74.   Con respecto a los recursos interpuestos, el representante  alegó  que</w:t>
        <w:br/>
        <w:t>“las víctimas en este caso nunca fueron escuchadas en audiencia, ni  privada</w:t>
        <w:br/>
        <w:t>ni pública”. En este sentido señaló que "[t]al posibilidad no  se  encuentra</w:t>
        <w:br/>
        <w:t>prevista ni en el trámite del recurso de amparo autónomo [...] ni en el  del</w:t>
        <w:br/>
        <w:t>recurso jerárquico" y que "[l]a única posibilidad de  haber  sido  oídos  en</w:t>
        <w:br/>
        <w:t>audiencia [sería] a través del recurso de nulidad  [aunque]  sometido  a  la</w:t>
        <w:br/>
        <w:t>autorización  discrecional  de  la  Sala".  El  Estado  y  la  Comisión   no</w:t>
        <w:br/>
        <w:t>expusieron argumentos sobre este punto.</w:t>
        <w:br/>
        <w:br/>
        <w:br/>
        <w:t>75.   Al respecto, la Corte considera que del artículo 8.1 de la  Convención</w:t>
        <w:br/>
        <w:t>no se desprende que el derecho a ser oído debe necesariamente  ejercerse  de</w:t>
        <w:br/>
        <w:t>manera oral en todo procedimiento. Lo  anterior  no  obstaría  para  que  la</w:t>
        <w:br/>
        <w:t>Corte considere que la oralidad es una de las  “debidas  garantías”  que  el</w:t>
        <w:br/>
        <w:t>Estado debe ofrecer a los justiciables  en  cierto  tipo  de  procesos.  Sin</w:t>
        <w:br/>
        <w:t>embargo, el representante no ha presentado argumentos  que  justifiquen  por</w:t>
        <w:br/>
        <w:t>qué es necesaria la oralidad,  como  garantía  del  debido  proceso,  en  el</w:t>
        <w:br/>
        <w:t>procedimiento disciplinario ante la CFRSJ  o  en  las  distintas  instancias</w:t>
        <w:br/>
        <w:t>recursivas.</w:t>
        <w:br/>
        <w:br/>
        <w:br/>
        <w:t>76.   Por estas consideraciones, la Corte declara que el Estado no violó  el</w:t>
        <w:br/>
        <w:t>derecho de  las  víctimas  a  ser  oídas  en  el  trámite  de  los  recursos</w:t>
        <w:br/>
        <w:t>mencionados.</w:t>
        <w:br/>
        <w:br/>
        <w:br/>
        <w:br/>
        <w:br/>
        <w:br/>
        <w:t xml:space="preserve">      5.    Deber de motivación</w:t>
        <w:br/>
        <w:br/>
        <w:br/>
        <w:t>77.   La Corte ha señalado que la motivación “es la  exteriorización  de  la</w:t>
        <w:br/>
        <w:t>justificación razonada que permite llegar a una  conclusión”[83].  El  deber</w:t>
        <w:br/>
        <w:t>de motivar las resoluciones  es  una  garantía  vinculada  con  la  correcta</w:t>
        <w:br/>
        <w:t>administración de justicia[84], que protege el derecho de los  ciudadanos  a</w:t>
        <w:br/>
        <w:t>ser  juzgados  por  las  razones  que  el  Derecho  suministra,   y   otorga</w:t>
        <w:br/>
        <w:t>credibilidad de las  decisiones  jurídicas  en  el  marco  de  una  sociedad</w:t>
        <w:br/>
        <w:t>democrática.</w:t>
        <w:br/>
        <w:br/>
        <w:br/>
        <w:t>78.   El Tribunal ha resaltado que las decisiones que  adopten  los  órganos</w:t>
        <w:br/>
        <w:t>internos  que  puedan  afectar  derechos  humanos  deben  estar  debidamente</w:t>
        <w:br/>
        <w:t>fundamentadas, pues de lo contrario serían  decisiones  arbitrarias[85].  En</w:t>
        <w:br/>
        <w:t>este sentido, la argumentación  de  un  fallo  debe  mostrar  que  han  sido</w:t>
        <w:br/>
        <w:t>debidamente tomados en cuenta los alegatos de las partes y que  el  conjunto</w:t>
        <w:br/>
        <w:t>de pruebas ha sido  analizado.  Asimismo,  la  motivación  demuestra  a  las</w:t>
        <w:br/>
        <w:t>partes que éstas han sido oídas y, en aquellos casos en que  las  decisiones</w:t>
        <w:br/>
        <w:t>son recurribles, les proporciona la posibilidad de criticar la resolución  y</w:t>
        <w:br/>
        <w:t>lograr un nuevo examen de la cuestión ante  las  instancias  superiores[86].</w:t>
        <w:br/>
        <w:t>Por todo ello, el deber de motivación es  una  de  las  “debidas  garantías”</w:t>
        <w:br/>
        <w:t>incluidas en el artículo 8.1  para  salvaguardar  el  derecho  a  un  debido</w:t>
        <w:br/>
        <w:t>proceso.</w:t>
        <w:br/>
        <w:br/>
        <w:t>79.   La Comisión alegó que la CFRSJ “no revisó la  calificación  del  error</w:t>
        <w:br/>
        <w:t>[judicial inexcusable], limitándose a 'homologar'  [la]  decisión”  adoptada</w:t>
        <w:br/>
        <w:t>por la SPA. La Comisión  consideró  que  “[l]a  insuficiente  motivación  en</w:t>
        <w:br/>
        <w:t>relación con la tipificación de la falta ilustra que […] no se adelantó  una</w:t>
        <w:br/>
        <w:t>calificación de la conducta como ilícito disciplinario”  ni  “se  adelant[ó]</w:t>
        <w:br/>
        <w:t>juicio sobre su idoneidad para el ejercicio del cargo”. Destacó también  que</w:t>
        <w:br/>
        <w:t>“la indebida fundamentación no  permite  contar  con  elementos  suficientes</w:t>
        <w:br/>
        <w:t>para la graduación de la sanción”. La Comisión indicó  que  en  el  presente</w:t>
        <w:br/>
        <w:t>caso ocurrió  “una  diferencia  razonable  y  razonada  de  interpretaciones</w:t>
        <w:br/>
        <w:t>jurídicas posibles sobre una figura  procesal  determinada”,  razón  por  la</w:t>
        <w:br/>
        <w:t>cual “la destitución por error judicial inexcusable  […]  resulta  contraria</w:t>
        <w:br/>
        <w:t>al principio de independencia judicial pues atenta  contra  la  garantía  de</w:t>
        <w:br/>
        <w:t>fallar libremente en derecho”. En este sentido, "los magistrados  no  fueron</w:t>
        <w:br/>
        <w:t>juzgados por su conducta disciplinaria sino por la  interpretación  jurídica</w:t>
        <w:br/>
        <w:t>que adoptaron en el fallo".</w:t>
        <w:br/>
        <w:br/>
        <w:t>80.   El representante sostuvo que "la CFRSJ no permitió a las víctimas  […]</w:t>
        <w:br/>
        <w:t>promover pruebas y no motivó  la  decisión  que  los  destituyó".  Asimismo,</w:t>
        <w:br/>
        <w:t>indicó que respecto de la calificación del error  judicial  inexcusable  “no</w:t>
        <w:br/>
        <w:t>había defensa posible", teniendo  en  cuenta  que  "[n]o  la  hubo  ante  la</w:t>
        <w:br/>
        <w:t>[SPA…], en cuyo procedimiento las víctimas en este caso no  eran  partes  ni</w:t>
        <w:br/>
        <w:t>fueron notificadas […], y no la podía haber en la  [CFRSJ],  pues  ésta  era</w:t>
        <w:br/>
        <w:t>'materia ya  decidida  por  la  [SPA]'".  El  representante  alegó  que  “la</w:t>
        <w:br/>
        <w:t>decisión de la [CFRSJ] no indica en  qué  consistiría  ese  'error  judicial</w:t>
        <w:br/>
        <w:t>inexcusable', ni tampoco explica [por qué] ese hecho ameritaría  la  sanción</w:t>
        <w:br/>
        <w:t>administrativa más severa, como es la destitución”.</w:t>
        <w:br/>
        <w:br/>
        <w:br/>
        <w:t>81.   El Estado sostuvo que las víctimas fueron notificadas de  la  apertura</w:t>
        <w:br/>
        <w:t>de investigación en su contra por parte de la IGT y que éstos no  ejercieron</w:t>
        <w:br/>
        <w:t>su derecho de defensa ante esta instancia. Además,  señaló  que  “todos  los</w:t>
        <w:br/>
        <w:t>miembros de la Corte Primera […] presentaron escrito  de  defensa”  ante  la</w:t>
        <w:br/>
        <w:t>CFRSJ. El Estado agregó que es un “error […] confundir la  misma  motivación</w:t>
        <w:br/>
        <w:t>con ninguna motivación, ya que cuando un  órgano  jurisdiccional  dicta  una</w:t>
        <w:br/>
        <w:t>decisión adoptando los mismos criterios de otra  decisión  emanada  de  otro</w:t>
        <w:br/>
        <w:t>órgano jurisdiccional […] ha reiterado ese criterio  y  no  [ha]  dejado  de</w:t>
        <w:br/>
        <w:t>motivar”.</w:t>
        <w:br/>
        <w:br/>
        <w:br/>
        <w:t>82.   Tal como fue señalado, la SPA determinó en sentencia la existencia  de</w:t>
        <w:br/>
        <w:t>un error judicial inexcusable y remitió  su  fallo  a  la  IGT.  Durante  la</w:t>
        <w:br/>
        <w:t>audiencia pública ante la Corte el entonces Inspector General de  Tribunales</w:t>
        <w:br/>
        <w:t>manifestó que la investigación que llevó a cabo consistió “simplemente  [en]</w:t>
        <w:br/>
        <w:t>recab[ar]  la  sentencia  de  la  Corte  Primera”;  que  la  IGT  “no  tiene</w:t>
        <w:br/>
        <w:t>facultades ni competencia para hacer análisis jurídicos  de  las  decisiones</w:t>
        <w:br/>
        <w:t>[…] de la [SPA]”, con lo cual el valor probatorio de las decisiones  en  las</w:t>
        <w:br/>
        <w:t>que la SPA determina un error judicial inexcusable  “es  total”  en  aras  a</w:t>
        <w:br/>
        <w:t>formular la acusación respectiva; y que la acusación que formuló  en  contra</w:t>
        <w:br/>
        <w:t>de los magistrados de  la  Corte  Primera  se  explicaba  por  sí  sola,  al</w:t>
        <w:br/>
        <w:t>acompañarse   la   sentencia   que   daba   origen   a   la   apertura   del</w:t>
        <w:br/>
        <w:t>procedimiento[87].</w:t>
        <w:br/>
        <w:br/>
        <w:br/>
        <w:t>83.   Por su parte, la CFRSJ en su resolución  de  30  de  octubre  de  2003</w:t>
        <w:br/>
        <w:t>transcribió los alegatos de las víctimas,  pero  al  momento  de  valorar  y</w:t>
        <w:br/>
        <w:t>determinar la responsabilidad disciplinaria, la CFRSJ se  limitó  a  reseñar</w:t>
        <w:br/>
        <w:t>las consideraciones que la SPA había realizado al  calificar  el  mencionado</w:t>
        <w:br/>
        <w:t>error  judicial  inexcusable[88].  Así,  en  respuesta  al  alegato  de  las</w:t>
        <w:br/>
        <w:t>víctimas  referente  a  que  no  se  habría  dictado  una  medida   cautelar</w:t>
        <w:br/>
        <w:t>constitutiva que  hubiese  desnaturalizado  la  esencia  restablecedora  del</w:t>
        <w:br/>
        <w:t>amparo cautelar, la CFRSJ señaló  que  ésta  “fue  materia  resuelta  en  la</w:t>
        <w:br/>
        <w:t>decisión de la [SPA…]  que  para  [la  CFRSJ]  constituye  el  requisito  de</w:t>
        <w:br/>
        <w:t>procedibilidad para  decidir  en  este  ámbito  disciplinario”  y  que  “esa</w:t>
        <w:br/>
        <w:t>conducta  concurrente  en   la   decisión   judicial   tiene   trascendencia</w:t>
        <w:br/>
        <w:t>disciplinaria cuando se configura como error que no  es  concebible  en  los</w:t>
        <w:br/>
        <w:t>[miembros  de  la  Corte  Primera]  por  lo  absurdo  del   fallo   en   sus</w:t>
        <w:br/>
        <w:t>efectos”[89].</w:t>
        <w:br/>
        <w:br/>
        <w:br/>
        <w:t>84.   Al  respecto,  la  Corte  resalta  que  el  derecho  internacional  ha</w:t>
        <w:br/>
        <w:t>formulado pautas sobre las razones válidas para proceder a la  suspensión  o</w:t>
        <w:br/>
        <w:t>remoción de un juez, las cuales pueden ser, entre  otras,  mala  conducta  o</w:t>
        <w:br/>
        <w:t>incompetencia[90].  Ahora  bien,  los  jueces  no  pueden  ser   destituidos</w:t>
        <w:br/>
        <w:t>únicamente debido a que su decisión fue revocada mediante  una  apelación  o</w:t>
        <w:br/>
        <w:t>revisión de un órgano judicial superior[91]. Ello preserva la  independencia</w:t>
        <w:br/>
        <w:t>interna de los jueces, quienes no deben verse compelidos a  evitar  disentir</w:t>
        <w:br/>
        <w:t>con el órgano revisor de  sus  decisiones,  el  cual,  en  definitiva,  sólo</w:t>
        <w:br/>
        <w:t>ejerce una función judicial diferenciada y limitada  a  atender  los  puntos</w:t>
        <w:br/>
        <w:t>recursivos de las partes disconformes con el fallo originario.</w:t>
        <w:br/>
        <w:br/>
        <w:br/>
        <w:t>85.   En cuanto al derecho interno, la Corte observa que el TSJ  ha  exigido</w:t>
        <w:br/>
        <w:t>diferenciar el control que debe existir sobre los jueces en la  jurisdicción</w:t>
        <w:br/>
        <w:t>ordinaria y en la jurisdicción disciplinaria[92], valorar la gravedad de  la</w:t>
        <w:br/>
        <w:t>falta[93] y determinar una sanción proporcionada[94].  Asimismo,  el  Estado</w:t>
        <w:br/>
        <w:t>presentó un informe  en  el  que  si  bien  se  exponen  5  casos  donde  la</w:t>
        <w:br/>
        <w:t>declaración del error judicial inexcusable por parte del órgano de  revisión</w:t>
        <w:br/>
        <w:t>condujo  a  la  destitución  de  los  jueces  inferiores  por  parte  de  la</w:t>
        <w:br/>
        <w:t>CFRSJ[95], ésta indicó que le corresponde revisar si “se está ante un  error</w:t>
        <w:br/>
        <w:t>judicial de tal magnitud que acarree la destitución”[96].</w:t>
        <w:br/>
        <w:br/>
        <w:br/>
        <w:t>86.   En suma, para el derecho interno y para el derecho  internacional  por</w:t>
        <w:br/>
        <w:t>un lado  se  encuentran  los  recursos  de  apelación,  casación,  revisión,</w:t>
        <w:br/>
        <w:t>avocación  o  similares,  cuyo  fin  es  controlar  la  corrección  de   las</w:t>
        <w:br/>
        <w:t>decisiones del juez inferior; y por  otro,  el  control  disciplinario,  que</w:t>
        <w:br/>
        <w:t>tiene como objeto valorar la conducta, idoneidad y desempeño del  juez  como</w:t>
        <w:br/>
        <w:t>funcionario público. Por esta razón, aun cuando  existiera  una  declaración</w:t>
        <w:br/>
        <w:t>de error judicial inexcusable por parte  de  un  órgano  de  revisión,  debe</w:t>
        <w:br/>
        <w:t>analizarse  la  gravedad  de  la  conducta  y  la  proporcionalidad  de   la</w:t>
        <w:br/>
        <w:t>sanción[97]. Este tipo  de  revisión  exige  una  motivación  autónoma  para</w:t>
        <w:br/>
        <w:t>determinar la existencia de una falta disciplinaria.</w:t>
        <w:br/>
        <w:br/>
        <w:br/>
        <w:t>87.   En este punto, la Corte constata que la  acusación  de  la  IGT  y  la</w:t>
        <w:br/>
        <w:t>resolución de destitución de la CFRSJ  tomaron  como  única  prueba  y  como</w:t>
        <w:br/>
        <w:t>único componente de motivación los argumentos desarrollados por  la  SPA  en</w:t>
        <w:br/>
        <w:t>su fallo. Es decir, tan solo reiteraron la calificación efectuada  por  esta</w:t>
        <w:br/>
        <w:t>última.</w:t>
        <w:br/>
        <w:br/>
        <w:br/>
        <w:t>88.   La Corte considera que en este proceso disciplinario era necesario  el</w:t>
        <w:br/>
        <w:t>análisis del error judicial inexcusable como ilícito disciplinario, lo  cual</w:t>
        <w:br/>
        <w:t>exigía, en primer lugar, una motivación relacionada con la idoneidad de  las</w:t>
        <w:br/>
        <w:t>presuntas víctimas para el ejercicio del cargo.</w:t>
        <w:br/>
        <w:br/>
        <w:br/>
        <w:t>89.   En segundo lugar, tanto la acusación de la IGT como la decisión de  la</w:t>
        <w:br/>
        <w:t>CFRSJ tenían que dar razones sobre la gravedad  de  la  falta  supuestamente</w:t>
        <w:br/>
        <w:t>cometida por los miembros de la Corte Primera y  sobre  la  proporcionalidad</w:t>
        <w:br/>
        <w:t>de la sanción propuesta[98] y finalmente adoptada[99].</w:t>
        <w:br/>
        <w:br/>
        <w:br/>
        <w:t>90.   En tercer lugar, teniendo en cuenta que el deber de motivar  no  exige</w:t>
        <w:br/>
        <w:t>una respuesta detallada a todo argumento  de  las  partes,  sino  que  puede</w:t>
        <w:br/>
        <w:t>variar según la naturaleza de la decisión, y  que  corresponde  analizar  en</w:t>
        <w:br/>
        <w:t>cada caso si dicha garantía ha sido satisfecha[100], la Corte estima que  la</w:t>
        <w:br/>
        <w:t>CFRSJ debía responder autónomamente, y no por remisión a la decisión  de  la</w:t>
        <w:br/>
        <w:t>SPA, al menos los principales alegatos de los  magistrados  Apitz,  Rocha  y</w:t>
        <w:br/>
        <w:t>Ruggeri, a saber: 1) la alegada falta de efectos constitutivos de la  medida</w:t>
        <w:br/>
        <w:t>cautelar revisada por la SPA en el marco del proceso de avocamiento[101],  y</w:t>
        <w:br/>
        <w:t>2) que la decisión  de  la  Corte  Primera  supuestamente  desarrollaba  una</w:t>
        <w:br/>
        <w:t>interpretación  jurídica   plausible   sobre   los   alcances   del   amparo</w:t>
        <w:br/>
        <w:t>cautelar[102]. Respecto a este último alegato, la  Corte  considera  que  la</w:t>
        <w:br/>
        <w:t>motivación debía operar como una garantía que  permitiera  distinguir  entre</w:t>
        <w:br/>
        <w:t>una  “diferencia  razonable  de  interpretaciones  jurídicas”  y  un  "error</w:t>
        <w:br/>
        <w:t>judicial inexcusable" que compromete la idoneidad del juez para  ejercer  su</w:t>
        <w:br/>
        <w:t>función, de  tal  forma  que  no  se  sancione  a  los  jueces  por  adoptar</w:t>
        <w:br/>
        <w:t>posiciones jurídicas debidamente fundamentadas aunque divergentes  frente  a</w:t>
        <w:br/>
        <w:t>aquellas sustentadas por instancias de revisión.</w:t>
        <w:br/>
        <w:br/>
        <w:br/>
        <w:t>91.   Al no haber ocurrido  lo  anterior,  la  situación  real  fue  que  el</w:t>
        <w:br/>
        <w:t>proceso disciplinario terminó siendo de mero trámite. Por  consiguiente,  la</w:t>
        <w:br/>
        <w:t>Corte considera que el Estado incumplió con su deber de motivar  la  sanción</w:t>
        <w:br/>
        <w:t>de destitución, violando con ello las “debidas garantías”  ordenadas  en  el</w:t>
        <w:br/>
        <w:t>artículo 8.1 de la Convención Americana, en relación con el artículo 1.1  de</w:t>
        <w:br/>
        <w:t>la misma, en perjuicio de los señores Apitz, Rocha y Ruggeri.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t>92.   Por otro lado, el Estado  argumentó  que  los  miembros  de  la  Corte</w:t>
        <w:br/>
        <w:t>Primera no fueron destituidos a causa de  una  “persecución  política,  sino</w:t>
        <w:br/>
        <w:t>que [la destitución de sus miembros] fue producto del mal  funcionamiento  y</w:t>
        <w:br/>
        <w:t>de la negligencia […] en [el] ejercicio  de  sus  atribuciones”.  El  Estado</w:t>
        <w:br/>
        <w:t>afirmó  que  “[n]umerosos  usuarios  concretaron  estos  cuestionamientos  a</w:t>
        <w:br/>
        <w:t>través  de  diversas  denuncias”.  Efectivamente,  la  Corte  constata   que</w:t>
        <w:br/>
        <w:t>existían denuncias en contra de los tres magistrados  de  la  Corte  Primera</w:t>
        <w:br/>
        <w:t>víctimas de este caso[103]; sin embargo, la Corte estima que  el  hecho  que</w:t>
        <w:br/>
        <w:t>la CFRSJ no se haya pronunciado sobre estas denuncias en su  resolución,  ni</w:t>
        <w:br/>
        <w:t>tampoco haya evaluado la  idoneidad  de  los  magistrados  más  allá  de  la</w:t>
        <w:br/>
        <w:t>comisión del error  inexcusable,  las  vuelve  irrelevantes  a  la  hora  de</w:t>
        <w:br/>
        <w:t>calificar la motivación de este órgano para destituir a los magistrados.</w:t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93.   Finalmente, el  representante  alegó  que  las  víctimas  “promovieron</w:t>
        <w:br/>
        <w:t>prueba de informe, a fin de determinar si, como lo  sostenía  la  [IGT],  el</w:t>
        <w:br/>
        <w:t>mandamiento de amparo dictado  por  la  Corte  Primera  […]  tenía  carácter</w:t>
        <w:br/>
        <w:t>constitutivo”. Según el representante, la CFRSJ “jamás  se  pronunció  sobre</w:t>
        <w:br/>
        <w:t>la  admisión  de  esa  prueba”  y  “jamás  realizó  lo  conducente  para  su</w:t>
        <w:br/>
        <w:t>evacuación”.  El  Estado  señaló  que  “la  misma  finalidad  probatoria  la</w:t>
        <w:br/>
        <w:t>podría[n] haber alcanzado, solicitando copia  certificada  de  la  tradición</w:t>
        <w:br/>
        <w:t>legal de la propiedad”.</w:t>
        <w:br/>
        <w:br/>
        <w:br/>
        <w:t>94    Conforme lo expuesto, la Corte nota que las  partes  no  controvierten</w:t>
        <w:br/>
        <w:t>que (1) la CFRSJ no se pronunció sobre  la  solicitud  probatoria  realizada</w:t>
        <w:br/>
        <w:t>por los señores Apitz y Rocha,  y  (2)  la  prueba  en  cuestión  estaba  al</w:t>
        <w:br/>
        <w:t>alcance de las víctimas, la pudieron  obtener  directamente  en  la  oficina</w:t>
        <w:br/>
        <w:t>estatal pertinente  y  la  pudieron  allegar  a  la  CFRSJ.  La  cuestión  a</w:t>
        <w:br/>
        <w:t>resolver,  entonces,  es  si  la  CFRSJ  debía  responder  a  la   solicitud</w:t>
        <w:br/>
        <w:t>probatoria de las víctimas. La Corte considera que esta prueba fue la  única</w:t>
        <w:br/>
        <w:t>promovida por las víctimas y tenía el propósito  de  esclarecer  un  aspecto</w:t>
        <w:br/>
        <w:t>determinante del caso, esto es que la  medida  de  amparo  otorgada  por  la</w:t>
        <w:br/>
        <w:t>Corte  Primera  no  tendría  efectos  constitutivos  y  que,  por  ello,  no</w:t>
        <w:br/>
        <w:t>existiría error judicial inexcusable. En razón de lo  anterior,  a  criterio</w:t>
        <w:br/>
        <w:t>de esta Corte, la CFRSJ debió, al menos, dar una respuesta  mínima  aceptado</w:t>
        <w:br/>
        <w:t>o negando la  producción  de  dicha  prueba  o  incluso  ordenando  que  las</w:t>
        <w:br/>
        <w:t>víctimas fueran quienes la allegaran. Dado que  guardó  total  silencio,  el</w:t>
        <w:br/>
        <w:t>Tribunal estima que el Estado violó las “debidas garantías” ordenadas en  el</w:t>
        <w:br/>
        <w:t>artículo 8.1 de la Convención Americana, en relación con el artículo 1.1  de</w:t>
        <w:br/>
        <w:t>la misma, en perjuicio de los señores Apitz y Rocha.</w:t>
        <w:br/>
        <w:br/>
        <w:br/>
        <w:br/>
        <w:br/>
        <w:br/>
        <w:t xml:space="preserve">      6.    Independencia</w:t>
        <w:br/>
        <w:br/>
        <w:br/>
        <w:t>95.   La controversia sobre  independencia  judicial  en  el  presente  caso</w:t>
        <w:br/>
        <w:t>tiene dos componentes relacionados entre sí. En primer lugar,  la  inserción</w:t>
        <w:br/>
        <w:t>del caso en  un  alegado  contexto  de  falta  de  independencia  del  Poder</w:t>
        <w:br/>
        <w:t>Judicial venezolano. En segundo lugar, la supuesta  falta  de  independencia</w:t>
        <w:br/>
        <w:t>de la CFRSJ.</w:t>
        <w:br/>
        <w:br/>
        <w:br/>
        <w:br/>
        <w:br/>
        <w:br/>
        <w:t xml:space="preserve">      6.1.   Independencia del Poder Judicial en general</w:t>
        <w:br/>
        <w:br/>
        <w:br/>
        <w:t>96.    El representante alegó que “la destitución de los jueces de la  Corte</w:t>
        <w:br/>
        <w:t>Primera […] se inserta en un contexto político más  amplio”  en  el  que  el</w:t>
        <w:br/>
        <w:t>Gobierno habría realizado una “depuración o  una  ‘limpieza  ideológica’  de</w:t>
        <w:br/>
        <w:t>los tribunales venezolanos, a fin de deshacerse  de  todos  aquellos  jueces</w:t>
        <w:br/>
        <w:t>que […] no compartieran el proyecto político diseñado por el  Presidente  de</w:t>
        <w:br/>
        <w:t>la República” y que con esto se “interfiri[ó] con la independencia  […]  del</w:t>
        <w:br/>
        <w:t>Poder Judicial en general”.</w:t>
        <w:br/>
        <w:br/>
        <w:br/>
        <w:t>97.   La Corte evaluará a  continuación  si  de  la  prueba  obrante  en  el</w:t>
        <w:br/>
        <w:t>expediente es posible incluir el caso de  la  destitución  de  las  víctimas</w:t>
        <w:br/>
        <w:t>dentro de un patrón  de  casos  que  evidenciarían  que  el  Poder  Judicial</w:t>
        <w:br/>
        <w:t>venezolano carece de independencia. Al respecto, esta Corte  ha  establecido</w:t>
        <w:br/>
        <w:t>que no es posible ignorar la gravedad especial que tiene la atribución a  un</w:t>
        <w:br/>
        <w:t>Estado Parte en la Convención del cargo de haber ejecutado o tolerado en  su</w:t>
        <w:br/>
        <w:t>territorio una práctica de violaciones a los derechos humanos,  y  que  ello</w:t>
        <w:br/>
        <w:t>“obliga a la Corte a aplicar una  valoración  de  la  prueba  que  tenga  en</w:t>
        <w:br/>
        <w:t>cuenta este extremo y que, sin perjuicio de lo ya dicho, sea capaz de  crear</w:t>
        <w:br/>
        <w:t>la convicción de la verdad de los hechos alegados”[104].</w:t>
        <w:br/>
        <w:br/>
        <w:br/>
        <w:t>98.   Un primer acontecimiento reseñado por el representante es el  discurso</w:t>
        <w:br/>
        <w:t>de un Magistrado de la Sala Constitucional del TSJ en  la  apertura  de  las</w:t>
        <w:br/>
        <w:t>actividades judiciales  del  año  2001.  Según  el  representante,  en  este</w:t>
        <w:br/>
        <w:t>discurso se “comenzó a insistir  en  que  la  interpretación  constitucional</w:t>
        <w:br/>
        <w:t>debe estar al servicio del proyecto político imperante”.</w:t>
        <w:br/>
        <w:br/>
        <w:br/>
        <w:t>99.   El discurso en cuestión señala, inter alia, que:</w:t>
        <w:br/>
        <w:br/>
        <w:br/>
        <w:t xml:space="preserve">      [e]l Máximo Tribunal puede sentirse orgulloso y  satisfecho  de  haber</w:t>
        <w:br/>
        <w:t xml:space="preserve">      dado solución jurídica a  los  problemas  generados  […]  conforme  al</w:t>
        <w:br/>
        <w:t xml:space="preserve">      proyecto axiológico de la Constitución de la República Bolivariana  de</w:t>
        <w:br/>
        <w:t xml:space="preserve">      Venezuela y al Estado de derecho y de justicia que lo consagra. […] En</w:t>
        <w:br/>
        <w:t xml:space="preserve">      este proceso, el derecho no sólo no ha sido  un  obstáculo  al  cambio</w:t>
        <w:br/>
        <w:t xml:space="preserve">      social, sino que, por el contrario, ha  resultado  un  instrumento  al</w:t>
        <w:br/>
        <w:t xml:space="preserve">      servicio de la juridización, sin solución de continuidad,  del  cambio</w:t>
        <w:br/>
        <w:t xml:space="preserve">      mismo […] se ha rendido tributo al derecho y a la  justicia  y  se  ha</w:t>
        <w:br/>
        <w:t xml:space="preserve">      rescatado la fe en la idoneidad  normativa  para  producir  el  cambio</w:t>
        <w:br/>
        <w:t xml:space="preserve">      político. Pese a la diatriba de quienes se oponen a dicho  cambio,  el</w:t>
        <w:br/>
        <w:t xml:space="preserve">      Máximo Tribunal ha hecho lo que se esperaba de él, aunque no todos  lo</w:t>
        <w:br/>
        <w:t xml:space="preserve">      esperaran  de  la  misma  manera.  A  partir  de  ahora  la   doctrina</w:t>
        <w:br/>
        <w:t xml:space="preserve">      constitucional habrá que  desarrollarla  en  sentido  progresivo.  […]</w:t>
        <w:br/>
        <w:t xml:space="preserve">      Quizá éste sea el inicio de un nuevo clima jurídicopolítico para vivir</w:t>
        <w:br/>
        <w:t xml:space="preserve">      la Venezuela deseable[105].</w:t>
        <w:br/>
        <w:br/>
        <w:br/>
        <w:t>100.  La Corte no observa que en este discurso se haya insistido en  que  la</w:t>
        <w:br/>
        <w:t>interpretación constitucional debe estar al servicio del  proyecto  político</w:t>
        <w:br/>
        <w:t>imperante, como lo afirma el representante. El discurso alude a la  solución</w:t>
        <w:br/>
        <w:t>jurídica de controversias políticas y no concluye necesariamente en la  toma</w:t>
        <w:br/>
        <w:t>de partido por  posición  política  alguna,  puesto  que  se  refiere  a  un</w:t>
        <w:br/>
        <w:t>proyecto axiológico constitucional[106].</w:t>
        <w:br/>
        <w:br/>
        <w:t>101.  El segundo referente de contexto alegado por el representante  es  que</w:t>
        <w:br/>
        <w:t>se  habría  procedido  a  “la  destitución  o   ‘jubilación’   de   aquellos</w:t>
        <w:br/>
        <w:t>magistrados del [TSJ]  que  en  algún  momento  se  apartaron  de  la  línea</w:t>
        <w:br/>
        <w:t>oficial”. Al respecto, el  representante  alude  a  la  jubilación  de  tres</w:t>
        <w:br/>
        <w:t>magistrados de la Sala Electoral que suscribieron  una  sentencia  sobre  la</w:t>
        <w:br/>
        <w:t>realización del referendo revocatorio  presidencial[107].  La  única  prueba</w:t>
        <w:br/>
        <w:t>aportada al respecto es la declaración informativa  de  un  periodista[108],</w:t>
        <w:br/>
        <w:t>lo cual es insuficiente para probar tal hecho.  Asimismo,  el  representante</w:t>
        <w:br/>
        <w:t>presentó la opinión  de  dos  peritos,  relacionada  con  la  anulación  del</w:t>
        <w:br/>
        <w:t>nombramiento  de  un  Magistrado  del  TSJ  debido,  supuestamente,   a   su</w:t>
        <w:br/>
        <w:t>participación como ponente en una sentencia que evaluaba como un  “vacío  de</w:t>
        <w:br/>
        <w:t>poder”[109] los hechos ocurridos en abril de  2002.  La  Corte  resalta  que</w:t>
        <w:br/>
        <w:t>estos peritajes son opiniones  de  expertos  que  por  sí  solas  no  pueden</w:t>
        <w:br/>
        <w:t>constituir plena prueba del  acaecimiento  de  un  hecho.  Dichos  peritajes</w:t>
        <w:br/>
        <w:t>deben  ser  confrontados  con  otros  elementos  de  prueba  que  deben  ser</w:t>
        <w:br/>
        <w:t>aportados al expediente y estar sujetos a contradictorio.  El  representante</w:t>
        <w:br/>
        <w:t>también sostuvo que se habría aumentado el número de magistrados del TSJ  “a</w:t>
        <w:br/>
        <w:t>fin de lograr [su] control absoluto”. Al respecto, la Corte constata que  el</w:t>
        <w:br/>
        <w:t>19 de mayo de 2004 se dictó la Ley Orgánica del TSJ que aumentó de 20  a  32</w:t>
        <w:br/>
        <w:t>el número de magistrados que lo integran[110] y que el 13  de  diciembre  de</w:t>
        <w:br/>
        <w:t>2004   la   Asamblea   Nacional   procedió   al   nombramiento   de   dichos</w:t>
        <w:br/>
        <w:t>magistrados[111]. Uno de los peritos propuestos por la Comisión sostuvo  que</w:t>
        <w:br/>
        <w:t>se produjo “la  ampliación,  con  móviles  indubitablemente  políticos,  del</w:t>
        <w:br/>
        <w:t>número de Magistrados del Máximo Tribunal”[112] y un declarante  informativo</w:t>
        <w:br/>
        <w:t>afirmó que el incremento de 20  a  32  magistrados  tuvo  "el  propósito  de</w:t>
        <w:br/>
        <w:t>recuperar el control absoluto del máximo  tribunal"[113],  pero  no  existen</w:t>
        <w:br/>
        <w:t>otros  elementos  de  prueba  aportados  al  expediente  que  respalden  las</w:t>
        <w:br/>
        <w:t>opiniones  de  estas  personas,  la  cuales,  por  sí   solas,   no   pueden</w:t>
        <w:br/>
        <w:t>considerarse como suficientes para declarar que el  máximo  tribunal  de  un</w:t>
        <w:br/>
        <w:t>país está controlado por el Ejecutivo.</w:t>
        <w:br/>
        <w:br/>
        <w:t>102.  Una tercera circunstancia alegada son las supuestas  arengas  a  favor</w:t>
        <w:br/>
        <w:t>del Presidente de la República proferidas  por  algunos  jueces  durante  la</w:t>
        <w:br/>
        <w:t>inauguración  del  año  judicial  2006.  Como  prueba,  la  Corte  solamente</w:t>
        <w:br/>
        <w:t>encuentra que un declarante a título informativo  hizo  alusión  a  “jueces,</w:t>
        <w:br/>
        <w:t>togados,  [que]  en  presencia  del  Jefe  de  Estado,  vocearon   consignas</w:t>
        <w:br/>
        <w:t>políticas”[114]. Esta declaración  no  explicita  cuándo  ni  cuáles  fueron</w:t>
        <w:br/>
        <w:t>estas supuestas “consignas políticas”, ni explica cómo éstas  afectarían  la</w:t>
        <w:br/>
        <w:t>independencia del Poder Judicial.</w:t>
        <w:br/>
        <w:br/>
        <w:br/>
        <w:t>103.  El representante alegó,  como  un  cuarto  elemento  de  contexto,  la</w:t>
        <w:br/>
        <w:t>existencia de ciertas declaraciones de funcionarios públicos que  indicarían</w:t>
        <w:br/>
        <w:t>una injerencia del Poder Ejecutivo  en  el  Judicial.  En  el  año  2005  el</w:t>
        <w:br/>
        <w:t>entonces Presidente del TSJ  calificó  de  “bolivarianos”  a  jueces  recién</w:t>
        <w:br/>
        <w:t>juramentados. La Corte observa que dicha afirmación fue precisada por  dicho</w:t>
        <w:br/>
        <w:t>Magistrado en los siguientes términos:</w:t>
        <w:br/>
        <w:br/>
        <w:br/>
        <w:t xml:space="preserve">      Hoy estamos graduando de jueces  republicanos  y  bolivarianos  a  164</w:t>
        <w:br/>
        <w:t xml:space="preserve">      abogados […]. Hemos dicho y lo repetimos que no  queremos  jueces  que</w:t>
        <w:br/>
        <w:t xml:space="preserve">      actúen de manera proselitista. La Constitución prohíbe que  tanto  los</w:t>
        <w:br/>
        <w:t xml:space="preserve">      magistrados  del  TSJ  como  los  jueces  de  la  República   tengamos</w:t>
        <w:br/>
        <w:t xml:space="preserve">      militancia política. No queremos jueces afectos a la oposición  ni  al</w:t>
        <w:br/>
        <w:t xml:space="preserve">      Gobierno. Queremos jueces constitucionalistas, que sean garantes de la</w:t>
        <w:br/>
        <w:t xml:space="preserve">      Constitución de la República Bolivariana  de  Venezuela.  Ese  fue  el</w:t>
        <w:br/>
        <w:t xml:space="preserve">      sentido que quise darle a mis palabras[115].</w:t>
        <w:br/>
        <w:br/>
        <w:br/>
        <w:t>104.  La segunda declaración sería la un diputado de la  Asamblea  Nacional,</w:t>
        <w:br/>
        <w:t>quien supuestamente habría dicho que:</w:t>
        <w:br/>
        <w:br/>
        <w:br/>
        <w:t xml:space="preserve">       Si bien los diputados tenemos la  potestad  de  esta  escogencia,  el</w:t>
        <w:br/>
        <w:t xml:space="preserve">       Presidente de la República fue consultado y su opinión fue tenida muy</w:t>
        <w:br/>
        <w:t xml:space="preserve">       en cuenta […] Vamos a estar claros, nosotros no  nos  vamos  a  meter</w:t>
        <w:br/>
        <w:t xml:space="preserve">       autogoles. En la lista había gente de la  oposición  que  cumple  con</w:t>
        <w:br/>
        <w:t xml:space="preserve">       todos los requisitos. La oposición hubiera podido usarlos para llegar</w:t>
        <w:br/>
        <w:t xml:space="preserve">       a un acuerdo en las últimas sesiones, pero no lo quisieron.  Así  que</w:t>
        <w:br/>
        <w:t xml:space="preserve">       nosotros no lo vamos a hacer por ellos. En el grupo de postulados  no</w:t>
        <w:br/>
        <w:t xml:space="preserve">       hay nadie que vaya actuar contra nosotros.</w:t>
        <w:br/>
        <w:br/>
        <w:br/>
        <w:t>105.  La última declaración es una entrevista  a  la  señora  Luisa  Estella</w:t>
        <w:br/>
        <w:t>Morales, ex-magistrada de la Corte Primera, de 8 de febrero de 2007,  en  la</w:t>
        <w:br/>
        <w:t>que expresó:</w:t>
        <w:br/>
        <w:br/>
        <w:br/>
        <w:t xml:space="preserve">       Para nadie es un secreto que en el momento en que se produce  nuestra</w:t>
        <w:br/>
        <w:t xml:space="preserve">       salida (la de ella y la de  la  ex-magistrada  de  la  Corte  Primera</w:t>
        <w:br/>
        <w:t xml:space="preserve">       Evelyn Marrero)  la  Corte  estaba  rodeada  de  unas  circunstancias</w:t>
        <w:br/>
        <w:t xml:space="preserve">       histórico-políticas que llevaron al país, no diría a una  convulsión,</w:t>
        <w:br/>
        <w:t xml:space="preserve">       pero sí a una reformulación de una  serie  de  asuntos  en  el  Poder</w:t>
        <w:br/>
        <w:t xml:space="preserve">       Judicial…Era necesaria nuestra salida[116].</w:t>
        <w:br/>
        <w:br/>
        <w:br/>
        <w:t>106.  Respecto de estas declaraciones, la Corte observa que  la  primera  de</w:t>
        <w:br/>
        <w:t>ellas es presentada de forma descontextualizada por el  representante,  pero</w:t>
        <w:br/>
        <w:t>que si se la evalúa en su conjunto parece ser, antes bien, una  negación  de</w:t>
        <w:br/>
        <w:t>la injerencia que se pretende demostrar. Respecto de la segunda,  la  prueba</w:t>
        <w:br/>
        <w:t>aportada a esta Corte para acreditar que el diputado dijo lo que  se  indica</w:t>
        <w:br/>
        <w:t>constituye la declaración de la señora Ruggeri[117]  y  la  declaración  del</w:t>
        <w:br/>
        <w:t>señor Edgar José López  Albujas[118].  No  se  aportó  copia  del  documento</w:t>
        <w:br/>
        <w:t>original del cual Ruggeri y López obtuvieron  este  dato.  Consecuentemente,</w:t>
        <w:br/>
        <w:t>el Tribunal no puede  verificar  que  esa  declaración  en  efecto  se  haya</w:t>
        <w:br/>
        <w:t>producido en esos términos. Finalmente, la Corte encuentra  que  el  sentido</w:t>
        <w:br/>
        <w:t>de la declaración de la magistrada Morales es ambiguo, y que  no  prueba  de</w:t>
        <w:br/>
        <w:t>forma concluyente la influencia de otros poderes  del  Estado  en  el  Poder</w:t>
        <w:br/>
        <w:t>Judicial.</w:t>
        <w:br/>
        <w:br/>
        <w:br/>
        <w:t>107.  Por último, el representante presentó  un  peritaje  que  alude  a  un</w:t>
        <w:br/>
        <w:t>patrón  de  destituciones  o  remociones  de  jueces  como  consecuencia  de</w:t>
        <w:br/>
        <w:t>motivaciones políticas[119], sin embargo, no se  cuenta  con  prueba  en  el</w:t>
        <w:br/>
        <w:t>expediente que se pueda cotejar con dicha opinión, la cual, en sí misma,  es</w:t>
        <w:br/>
        <w:t>insuficiente para declarar probado el supuesto patrón.</w:t>
        <w:br/>
        <w:br/>
        <w:br/>
        <w:t>108.  Teniendo en cuenta todo lo anterior, la  Corte  sólo  puede  constatar</w:t>
        <w:br/>
        <w:t>que, en efecto, se aumentó el número de  magistrados  del  TSJ  y  que  hubo</w:t>
        <w:br/>
        <w:t>ciertas declaraciones de funcionarios  públicos  o  de  miembros  del  Poder</w:t>
        <w:br/>
        <w:t>Judicial. Sin embargo, lo anterior no permite a la  Corte  tener  conclusión</w:t>
        <w:br/>
        <w:t>alguna respecto a la existencia de una injerencia del Ejecutivo en el  Poder</w:t>
        <w:br/>
        <w:t>Judicial en  su  conjunto.  Tampoco  queda  probado  en  el  expediente  del</w:t>
        <w:br/>
        <w:t>presente caso que el Poder Judicial haya  sido  “depurado”  ideológicamente.</w:t>
        <w:br/>
        <w:t>Por  estos  motivos,  con  las  pruebas  obrantes,  la  Corte  no  encuentra</w:t>
        <w:br/>
        <w:t>demostrado que el Poder Judicial en su totalidad carezca de independencia.</w:t>
        <w:br/>
        <w:br/>
        <w:br/>
        <w:br/>
        <w:br/>
        <w:br/>
        <w:t xml:space="preserve">      6.2.  Independencia de la CFRSJ</w:t>
        <w:br/>
        <w:br/>
        <w:br/>
        <w:t>109.  La Comisión alegó que en el presente caso existió una  “desviación  de</w:t>
        <w:br/>
        <w:t>poder”, que se configuró  cuando  “procedimientos  formalmente  válidos  -la</w:t>
        <w:br/>
        <w:t>investigación disciplinaria en contra de  las  víctimas-  fueron  utilizados</w:t>
        <w:br/>
        <w:t>como mecanismos  para  cumplir  con  finalidades  no  declaradas.”  En  este</w:t>
        <w:br/>
        <w:t>sentido, la Comisión indicó que “se utilizó el  procedimiento  disciplinario</w:t>
        <w:br/>
        <w:t>para destituir a jueces que conformaban la mayoría de la Corte  Primera  […]</w:t>
        <w:br/>
        <w:t>que habían tomado decisiones contrarias al gobierno”. Alegó entonces que  un</w:t>
        <w:br/>
        <w:t>“conjunto  de  indicios  permite  inferir  que  existió  una   relación   de</w:t>
        <w:br/>
        <w:t>causalidad entre las declaraciones del Presidente de la  República  y  altos</w:t>
        <w:br/>
        <w:t>funcionarios del Estado por los fallos contrarios a intereses  del  gobierno</w:t>
        <w:br/>
        <w:t>y la investigación disciplinaria que  fue  impulsada  y  que  devino  en  la</w:t>
        <w:br/>
        <w:t>destitución de las víctimas”.</w:t>
        <w:br/>
        <w:br/>
        <w:br/>
        <w:t>110.  El representante sostuvo que “[c]omo el Gobierno  no  podía  controlar</w:t>
        <w:br/>
        <w:t>el contenido de las decisiones de la Corte Primera, decidió buscar la  forma</w:t>
        <w:br/>
        <w:t>de destituirlos. La remoción de las víctimas  […]  fue  utilizada  como  una</w:t>
        <w:br/>
        <w:t>herramienta  política  para  interferir  ilegítimamente  en   el   ejercicio</w:t>
        <w:br/>
        <w:t>independiente de la función de los jueces de  la  Corte  Primera”,  pues  la</w:t>
        <w:br/>
        <w:t>CFRSJ se limitó a “ejecutar una orden impartida, expresa o tácitamente,  por</w:t>
        <w:br/>
        <w:t>el Presidente de la República”.</w:t>
        <w:br/>
        <w:br/>
        <w:t>111.  El Estado señaló  que  la  prueba  aportada  por  los  demandantes  es</w:t>
        <w:br/>
        <w:t>insuficiente “a los efectos de comprobar de manera plena el acaecimiento  de</w:t>
        <w:br/>
        <w:t>un  abuso  de  poder  ejercido  sobre  [el  P]oder  [J]udicial,   para   que</w:t>
        <w:br/>
        <w:t>destituyera a las presuntas víctimas”.</w:t>
        <w:br/>
        <w:br/>
        <w:t>112.  Son once las sentencias de la Corte Primera que, según la  Comisión  y</w:t>
        <w:br/>
        <w:t>el representante,  constituirían  la  verdadera  razón  por  la  que  fueron</w:t>
        <w:br/>
        <w:t>destituidos sus integrantes. Diez de estas sentencias fueron emitidas  entre</w:t>
        <w:br/>
        <w:t>agosto de 2002 y agosto de 2003. En  ellas  la  Corte  Primera,  admitió  un</w:t>
        <w:br/>
        <w:t>amparo en contra de una base aérea militar que impedía  el  despegue  de  un</w:t>
        <w:br/>
        <w:t>helicóptero en el marco de amplias marchas y concentraciones  en  la  ciudad</w:t>
        <w:br/>
        <w:t>de Caracas[120]; suspendió el  sometimiento  de  generales  del  Ejército  a</w:t>
        <w:br/>
        <w:t>consejos de investigación[121]; declaró inconstitucional el desalojo de  una</w:t>
        <w:br/>
        <w:t>vivienda  de  un  General   ordenado   por   un   Comandante   General   del</w:t>
        <w:br/>
        <w:t>Ejército[122]; admitió a tramitación un amparo por  el  que  se  buscaba  la</w:t>
        <w:br/>
        <w:t>desmilitarización de un Estado  en  el  que  se  desplegaban  efectivos  del</w:t>
        <w:br/>
        <w:t>Ejército y de la Guardia  Nacional[123];  obligó  a  que  se  autorizara  la</w:t>
        <w:br/>
        <w:t>entrada  del  Alcalde  de  Caracas  a  las  dependencias   de   la   Policía</w:t>
        <w:br/>
        <w:t>Metropolitana, cuyo control había sido tomado por efectivos  militares[124];</w:t>
        <w:br/>
        <w:t>ordenó suspender las requisiciones de productos  de  propiedad  de  empresas</w:t>
        <w:br/>
        <w:t>privadas llevadas  a  cabo  por  la  Guardia  Nacional  y  otros  organismos</w:t>
        <w:br/>
        <w:t>administrativos[125]; dispuso que se transfirieran los recursos del  situado</w:t>
        <w:br/>
        <w:t>constitucional que se adeudaban  al  Estado  Carabobo[126];  y  declaró  sin</w:t>
        <w:br/>
        <w:t>efecto los actos administrativos que establecían el fin de  la  inamovilidad</w:t>
        <w:br/>
        <w:t>de  los  trabajadores  pertenecientes  a  un  sindicato  en   formación   de</w:t>
        <w:br/>
        <w:t>trabajadores del petróleo[127].</w:t>
        <w:br/>
        <w:br/>
        <w:br/>
        <w:t>113.  La prueba que la Comisión y el representante presentan para  calificar</w:t>
        <w:br/>
        <w:t>estas sentencias como “contrarias al Gobierno” consiste en varios  artículos</w:t>
        <w:br/>
        <w:t>periodísticos que hacen referencia  a  los  “polémicos  fallos”[128]  de  la</w:t>
        <w:br/>
        <w:t>Corte Primera, que  habrían  sido  “criticados  por  el  Gobierno”[129].  El</w:t>
        <w:br/>
        <w:t>Estado controvirtió esto señalando que no se  estableció  “cuál(es)  es(son)</w:t>
        <w:br/>
        <w:t>el órgano(s) y/o ente(s) autorizado(s) que interpretó(aron)  las  sentencias</w:t>
        <w:br/>
        <w:t>como  contrarias  a  los  intereses  del  gobierno”  y  que  no  existe   un</w:t>
        <w:br/>
        <w:t>“instrumento de medición de opinión pública […]  que  establezca  de  manera</w:t>
        <w:br/>
        <w:t>incontrovertible el aludido impacto”.</w:t>
        <w:br/>
        <w:br/>
        <w:br/>
        <w:t>114.  La Corte observa que los citados artículos periodísticos  indican  que</w:t>
        <w:br/>
        <w:t>se criticaron, entre otros, los fallos que ordenaban “suspender consejos  de</w:t>
        <w:br/>
        <w:t>investigación contra  militares  disidentes”  y  la  “desmilitarización  del</w:t>
        <w:br/>
        <w:t>Estado Miranda”, pero no indican con  precisión  qué  funcionarios  públicos</w:t>
        <w:br/>
        <w:t>emitieron  críticas  contra  dichos  fallos  ni  tampoco   se   indica   las</w:t>
        <w:br/>
        <w:t>declaraciones concretas en contra de éstos. Asimismo, uno de  los  peritajes</w:t>
        <w:br/>
        <w:t>afirmó que la Corte Primera había sido objeto de  “cuestionamiento  público,</w:t>
        <w:br/>
        <w:t>de índole política, […] por parte  del  Presidente  de  la  República”[130],</w:t>
        <w:br/>
        <w:t>pero no se refiere de forma específica a qué fallos habrían sido  criticados</w:t>
        <w:br/>
        <w:t>y de qué forma. De otro lado,  durante  la  audiencia  pública  los  señores</w:t>
        <w:br/>
        <w:t>Apitz y Rocha se refirieron a  la  decisión  que  ordenó  el  sobrevuelo  de</w:t>
        <w:br/>
        <w:t>helicópteros y la forma  cómo  los  entes  de  seguridad  desacataron  dicha</w:t>
        <w:br/>
        <w:t>decisión. Se refirieron  también  a  la  sentencia  sobre  los  Consejos  de</w:t>
        <w:br/>
        <w:t>Investigación iniciados contra disidentes militares y a las  reacciones  del</w:t>
        <w:br/>
        <w:t>Poder Ejecutivo llamando al  desacato  de  las  mismas.  Indicaron  que  con</w:t>
        <w:br/>
        <w:t>motivo  de  la  desmilitarización  del  Estado  Miranda,  altas  autoridades</w:t>
        <w:br/>
        <w:t>públicas llamaron al desacato  de  la  decisión  y  profirieron  acusaciones</w:t>
        <w:br/>
        <w:t>verbales contra ellos.  Sin  embargo,  más  allá  de  sus  declaraciones  no</w:t>
        <w:br/>
        <w:t>aportaron otros elementos de prueba y, por ende, la Corte considera  que  no</w:t>
        <w:br/>
        <w:t>se ha logrado demostrar los hechos alegados. Lo único que el Tribunal  puede</w:t>
        <w:br/>
        <w:t>concluir del texto mismo de las  sentencias  de  la  Corte  Primera  es  que</w:t>
        <w:br/>
        <w:t>establecieron limitaciones a la actuación de las  fuerzas  armadas,  o  bien</w:t>
        <w:br/>
        <w:t>cuestionaron   la   validez   de   actos   llevados   a    cabo    por    la</w:t>
        <w:br/>
        <w:t>Administración[131].</w:t>
        <w:br/>
        <w:br/>
        <w:br/>
        <w:t>115.  Distinta es la situación de la sentencia  de  21  de  agosto  de  2003</w:t>
        <w:br/>
        <w:t>emitida  por  la  Corte  Primera,  con  los  salvamentos  de  voto  de   las</w:t>
        <w:br/>
        <w:t>magistradas Marrero y  Morales,  en  el  caso  conocido  como  “Plan  Barrio</w:t>
        <w:br/>
        <w:t>Adentro”. Esta decisión se relaciona con un plan de salud del  Gobierno  que</w:t>
        <w:br/>
        <w:t>permitía la participación de médicos extranjeros sin exigirles  la  reválida</w:t>
        <w:br/>
        <w:t>de su  título.  La  Corte  Primera  ordenó  “que  se  sustituy[eran]  a  los</w:t>
        <w:br/>
        <w:t>[m]édicos   [e]xtranjeros,   por   aquellos   [m]édicos   [v]enezolanos    o</w:t>
        <w:br/>
        <w:t>[e]xtranjeros que cumplan con los requisitos  establecidos  en  la  Ley  del</w:t>
        <w:br/>
        <w:t>Ejercicio de la Medicina”[132]. A raíz de este fallo  se  produjeron  en  la</w:t>
        <w:br/>
        <w:t>prensa declaraciones de altas autoridades  de  Gobierno,  entre  ellas,  del</w:t>
        <w:br/>
        <w:t>Presidente de la República, quien afirmó:</w:t>
        <w:br/>
        <w:br/>
        <w:br/>
        <w:t xml:space="preserve">     Ustedes creen que el pueblo venezolano les  va  a  hacer  caso,  a  una</w:t>
        <w:br/>
        <w:t xml:space="preserve">     decisión inconstitucional. Pues no les va a hacer  caso.  Qué  tribunal</w:t>
        <w:br/>
        <w:t xml:space="preserve">     puede  decidir  la  muerte  de  los  pobres,  […]  el  tribunal  de  la</w:t>
        <w:br/>
        <w:t xml:space="preserve">     injusticia,  […] y todavía, repito, en el poder judicial hay mucha tela</w:t>
        <w:br/>
        <w:t xml:space="preserve">     que cortar, desde el Tribunal Supremo de Justicia  hacia  abajo,  hasta</w:t>
        <w:br/>
        <w:t xml:space="preserve">     los tribunales de parroquia, de municipio, ahí no se ha hecho mucho  en</w:t>
        <w:br/>
        <w:t xml:space="preserve">     cuanto a la transformación del  Estado,  porque  estamos  esperando  la</w:t>
        <w:br/>
        <w:t xml:space="preserve">     aprobación de la Ley del Tribunal Supremo de Justicia […] Y todavía los</w:t>
        <w:br/>
        <w:t xml:space="preserve">     Adecos mandan en esa Corte Primera. […] Porque esta  Corte  lo  que  ha</w:t>
        <w:br/>
        <w:t xml:space="preserve">     decidido es una cosa aberrante, no, claro es la oposición,  los  Adecos</w:t>
        <w:br/>
        <w:t xml:space="preserve">     sobretodo y los copeianos y la oligarquía esta  jinetera,  metida  ahí,</w:t>
        <w:br/>
        <w:t xml:space="preserve">     manipulando a los jueces para tratar de frenar, pero no  van  a  frenar</w:t>
        <w:br/>
        <w:t xml:space="preserve">     esto, ¡olvídense! […] Supónganse ustedes que haya una tragedia como  la</w:t>
        <w:br/>
        <w:t xml:space="preserve">     de Vargas […] habría que aplicar todo eso de la loca corte esta. No, de</w:t>
        <w:br/>
        <w:t xml:space="preserve">     que todo médico que venga a ayudar a la tragedia  debe  tener  reválida</w:t>
        <w:br/>
        <w:t xml:space="preserve">     […] Mira yo no les digo lo que me provoca a la Corte esta, a los  tres,</w:t>
        <w:br/>
        <w:t xml:space="preserve">     porque hay dos votos salvados, a los tres magistrados que no deben  ser</w:t>
        <w:br/>
        <w:t xml:space="preserve">     magistrados, no les digo lo que me provoca porque  estamos  ante  a  un</w:t>
        <w:br/>
        <w:t xml:space="preserve">     país. […] Pero se los está diciendo el pueblo: váyanse con su  decisión</w:t>
        <w:br/>
        <w:t xml:space="preserve">     no se pa’ donde. […] La cumplirán ustedes en su casa pues  si  quieren.</w:t>
        <w:br/>
        <w:t xml:space="preserve">     […] Ayer llegaron 140 médicos  más,  esos  van  para  allá  para  Sucre</w:t>
        <w:br/>
        <w:t xml:space="preserve">     […][133].</w:t>
        <w:br/>
        <w:br/>
        <w:br/>
        <w:t>116.  En su declaración, la señora Ruggeri señaló que "cuando el  Presidente</w:t>
        <w:br/>
        <w:t>hizo esta afirmación, era evidente  que  ella  constituía  no  solamente  un</w:t>
        <w:br/>
        <w:t>llamado a no acatar [las] sentencias [de la Corte Primera] sino que  también</w:t>
        <w:br/>
        <w:t>un llamado para que [los] destituyeran, como en efecto ocurrió".</w:t>
        <w:br/>
        <w:br/>
        <w:br/>
        <w:t>117.  Por su parte, la  Ministra  de  Salud  señaló  que  “deconoc[ía]  esta</w:t>
        <w:br/>
        <w:t>decisión arbitraria, excedida y no ajustada a ninguna norma  jurídica”[134].</w:t>
        <w:br/>
        <w:t>El Alcalde del Municipio Libertador  afirmó  que  “ni  en  sueños  se  va  a</w:t>
        <w:br/>
        <w:t>suspender el plan”[135] y  llamó  “a  la  población  a  ponerse  en  pie  de</w:t>
        <w:br/>
        <w:t>movilización para defender el programa Barrio Adentro”[136]. Finalmente,  el</w:t>
        <w:br/>
        <w:t>Alcalde de Sucre indicó que “aunque me  metan  preso  no  voy  a  acatar  la</w:t>
        <w:br/>
        <w:t>sentencia del tribunal”[137].</w:t>
        <w:br/>
        <w:br/>
        <w:t>118.  Respecto a estas declaraciones, el Estado indicó que  “los  medios  de</w:t>
        <w:br/>
        <w:t>comunicación donde se reseñó o transmitió la noticia,  no  […]  otorgaron  a</w:t>
        <w:br/>
        <w:t>[estos] funcionarios  de  gobierno  oportunidad  alguna  para  comentar  sus</w:t>
        <w:br/>
        <w:t>declaraciones, a los efectos de establecer su alcance”. También sostuvo  que</w:t>
        <w:br/>
        <w:t>la prueba documental sobre estas declaraciones “en alrededor de  un  noventa</w:t>
        <w:br/>
        <w:t>por ciento (90%), se circunscribe a noticias reflejadas en  una  parte  poco</w:t>
        <w:br/>
        <w:t>representativa de  los  medios  impresos  venezolanos,  presentados  en  una</w:t>
        <w:br/>
        <w:t>secuencia temporal alejada de todo patrón lógico  de  coherencia  jurídica”.</w:t>
        <w:br/>
        <w:t>La  Corte  entiende  que  las  circunstancias  alegadas  por  el  Estado  no</w:t>
        <w:br/>
        <w:t>controvierten la existencia de estas  declaraciones  ni  denuncian  que  las</w:t>
        <w:br/>
        <w:t>mismas  hayan  sido  distorsionadas  o  sean  falsas.  Estas   declaraciones</w:t>
        <w:br/>
        <w:t>claramente demuestran que los magistrados  Apitz,  Rocha  y  Ruggeri  fueron</w:t>
        <w:br/>
        <w:t>descalificados en su  ejercicio  profesional,  se  afirmó  que  no  deberían</w:t>
        <w:br/>
        <w:t>formar parte del Poder Judicial y se llamó al no acatamiento de la  decisión</w:t>
        <w:br/>
        <w:t>que adoptaron como mayoría de la Corte Primera.</w:t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119.  Aunado a lo anterior, la Comisión y el  representante  alegaron,  como</w:t>
        <w:br/>
        <w:t>un hecho de contexto que explicaría las razones de la desviación  de  poder,</w:t>
        <w:br/>
        <w:t>que dentro de la Corte Primera habrían  existido  dos  tendencias  políticas</w:t>
        <w:br/>
        <w:t>diferenciadas, aquella integrada por las tres víctimas del  caso,  contraria</w:t>
        <w:br/>
        <w:t>a los intereses gubernamentales, y aquella conformada  por  las  magistradas</w:t>
        <w:br/>
        <w:t>Morales y Marrero, que habrían salvado sus votos “sistemáticamente”  en  las</w:t>
        <w:br/>
        <w:t>decisiones “contrarias a intereses del gobierno”  y  que  “fueron  nombradas</w:t>
        <w:br/>
        <w:t>posteriormente en el  [TSJ]”.  Por  su  parte,  el  Estado  negó  que  estas</w:t>
        <w:br/>
        <w:t>magistradas hayan sido “‘premiad[as]’ con su ‘ascenso’ a[l TSJ]”.</w:t>
        <w:br/>
        <w:br/>
        <w:br/>
        <w:t>120.  La Corte observa que la única prueba presentada al  respecto  son  dos</w:t>
        <w:br/>
        <w:t>artículos periodísticos del año 2003 que consideran a estas dos  magistradas</w:t>
        <w:br/>
        <w:t>como adeptas al oficialismo[138]. Ahora bien, de las sentencias de la  Corte</w:t>
        <w:br/>
        <w:t>Primera que fueron aportadas al expediente (supra  párr.  112)  se  constata</w:t>
        <w:br/>
        <w:t>que aquéllas fueron adoptadas en su mayoría por unanimidad[139].  En  cuatro</w:t>
        <w:br/>
        <w:t>de ellas la magistrada Morales expresó su voto  disidente[140],  en  una  de</w:t>
        <w:br/>
        <w:t>las cuales lo hizo  también  el  magistrado  Apitz[141].  Sólo  en  el  caso</w:t>
        <w:br/>
        <w:t>“Barrio Adentro” las magistradas Marrero  y  Morales  presentaron  ambas  su</w:t>
        <w:br/>
        <w:t>voto salvado. Por ello, la Corte considera  que  no  existe  prueba  de  que</w:t>
        <w:br/>
        <w:t>estas dos juezas hayan fallado sistemáticamente a  favor  del  Gobierno.  Lo</w:t>
        <w:br/>
        <w:t>que sí ha quedado demostrado es que las magistradas  Marrero  y  Morales  no</w:t>
        <w:br/>
        <w:t>fueron destituidas sino jubiladas por el supuesto  error  judicial  cometido</w:t>
        <w:br/>
        <w:t>por todos  los  miembros  de  la  Corte  Primera,  y  posteriormente  fueron</w:t>
        <w:br/>
        <w:t>designadas en el TSJ. La  Corte  analizará  en  el  siguiente  capítulo  los</w:t>
        <w:br/>
        <w:t>efectos que tiene tal hecho en relación con el derecho a la igualdad.</w:t>
        <w:br/>
        <w:br/>
        <w:br/>
        <w:t>121.  Además, el  representante  alegó  que  “la  magistrado  Luisa  Estella</w:t>
        <w:br/>
        <w:t>Morales, simultáneamente con el ejercicio de su cargo de presidenta del  TSJ</w:t>
        <w:br/>
        <w:t>y de la Sala  Constitucional  del  mismo  tribunal,  recientemente  ha  sido</w:t>
        <w:br/>
        <w:t>asesora del Presidente de la República, actuando como  secretaria  ejecutiva</w:t>
        <w:br/>
        <w:t>de un Consejo Presidencial para  la  elaboración  del  proyecto  de  reforma</w:t>
        <w:br/>
        <w:t>constitucional”, lo que demostraría los  “lazos  políticos  entre  el  Poder</w:t>
        <w:br/>
        <w:t>Ejecutivo y el Poder Judicial”. Al respecto, la  Corte  observa  que  de  la</w:t>
        <w:br/>
        <w:t>prueba aportada únicamente se confirma  que  la  magistrada  Morales  asumió</w:t>
        <w:br/>
        <w:t>dicha función el 17 de enero de 2007[142]. Sin embargo,  no  existe  ninguna</w:t>
        <w:br/>
        <w:t>otra evidencia que haya sido aportada al  expediente  que  permita  concluir</w:t>
        <w:br/>
        <w:t>por ese solo hecho que existan los alegados lazos políticos entre  el  Poder</w:t>
        <w:br/>
        <w:t>Ejecutivo y el Judicial.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122.  De otro lado,  la  Comisión  y  el  representante  mencionan  que  las</w:t>
        <w:br/>
        <w:t>circunstancias que rodearon a la investigación penal llevada a cabo  por  la</w:t>
        <w:br/>
        <w:t>salida de  un  expediente  de  la  Corte  Primera  y  que  dio  lugar  a  su</w:t>
        <w:br/>
        <w:t>allanamiento serían también prueba de la desviación de poder.</w:t>
        <w:br/>
        <w:br/>
        <w:br/>
        <w:t>123.  Al respecto, ha quedado probado que el 18 de  septiembre  de  2003  el</w:t>
        <w:br/>
        <w:t>señor  Alfredo  Romero,  chofer  del  magistrado  Rocha,  fue  detenido  por</w:t>
        <w:br/>
        <w:t>supuesto delito de ocultamiento de documento público, al  hacer  entrega  de</w:t>
        <w:br/>
        <w:t>un expediente de la Corte Primera en el domicilio de un relator  externo  de</w:t>
        <w:br/>
        <w:t>ese tribunal[143], con la autorización del magistrado Rocha[144].</w:t>
        <w:br/>
        <w:br/>
        <w:br/>
        <w:t>124.  El 23 de septiembre de 2003, en el marco  de  la  investigación  penal</w:t>
        <w:br/>
        <w:t>iniciada por este delito, la  Corte  Primera  fue  allanada  durante  varias</w:t>
        <w:br/>
        <w:t>horas  por  efectivos  de  la  Dirección  General  de   los   Servicios   de</w:t>
        <w:br/>
        <w:t>Inteligencia  y  Prevención  (DISIP)  dotados  de  armas  largas[145],   con</w:t>
        <w:br/>
        <w:t>presencia del Ministerio Público.</w:t>
        <w:br/>
        <w:br/>
        <w:br/>
        <w:t>125.  El 6 de octubre de 2003 los magistrados Apitz y Rocha  fueron  citados</w:t>
        <w:br/>
        <w:t>por el Ministerio Público[146] y el 7 de octubre de 2003 la IGT  dio  inicio</w:t>
        <w:br/>
        <w:t>“de oficio” a una investigación disciplinaria por los  hechos  ocurridos  el</w:t>
        <w:br/>
        <w:t>18 de septiembre de 2003[147].  El  8  de  octubre  de  2003  la  CFRSJ,  “a</w:t>
        <w:br/>
        <w:t>solicitud de la [IGT]”, impuso una “medida cautelar  de  suspensión”  de  60</w:t>
        <w:br/>
        <w:t>días a  los  señores  Apitz  y  Rocha  “con  el  propósito  de  realizar  la</w:t>
        <w:br/>
        <w:t>investigación necesaria […] sobre los graves hechos ocurridos el […]  18  de</w:t>
        <w:br/>
        <w:t>septiembre [de dicho año]”[148].</w:t>
        <w:br/>
        <w:br/>
        <w:br/>
        <w:t>126.  Mientras el señor Alfredo Romero se encontraba detenido  (supra  párr.</w:t>
        <w:br/>
        <w:t>123), su abogado declaró ante la prensa que “Romero no puede ser  otra  cosa</w:t>
        <w:br/>
        <w:t>que un preso político, porque resulta más que  obvio  que  ya  cumplió  doce</w:t>
        <w:br/>
        <w:t>días detenido sin causa justificada y que se  está  ejerciendo  una  presión</w:t>
        <w:br/>
        <w:t>política sobre aquellos magistrados de la Corte Primera que se atrevieron  a</w:t>
        <w:br/>
        <w:t>emitir decisiones poco agradables para el Gobierno”[149].</w:t>
        <w:br/>
        <w:br/>
        <w:br/>
        <w:t>127.  El 23 de octubre de 2003 la Sala de Casación  Penal  del  TSJ  declaró</w:t>
        <w:br/>
        <w:t>sin fundamento la privación de libertad del chofer  del  señor  Rocha,  toda</w:t>
        <w:br/>
        <w:t>vez que la salida del expediente no revestía  los  caracteres  de  delito  y</w:t>
        <w:br/>
        <w:t>constituía una “práctica común” de los tribunales venezolanos,  respecto  de</w:t>
        <w:br/>
        <w:t>la cuál no existía “prohibición  expresa”.  La  Sala  “invalid[ó]  cualquier</w:t>
        <w:br/>
        <w:t>investigación que se llev[e] a cabo por los mismos hechos”[150].</w:t>
        <w:br/>
        <w:br/>
        <w:br/>
        <w:t>128.  El 26 de octubre de 2003  el  Presidente  de  la  República,  tras  la</w:t>
        <w:br/>
        <w:t>decisión de la Sala de Casación Penal indicada en el  párrafo  anterior,  se</w:t>
        <w:br/>
        <w:t>refirió a la Corte Primera como</w:t>
        <w:br/>
        <w:br/>
        <w:br/>
        <w:t xml:space="preserve">      la Cortecita […] Una Sala, un tribunal pues, donde la mayoría  de  los</w:t>
        <w:br/>
        <w:t xml:space="preserve">      magistrados estaban vendidos a los intereses de la oposición golpista,</w:t>
        <w:br/>
        <w:t xml:space="preserve">      y una noche resulta que se consiguió y se capturó, un cuerpo  policial</w:t>
        <w:br/>
        <w:t xml:space="preserve">      capturó al chofer de uno de esos magistrados llevaba un expediente, es</w:t>
        <w:br/>
        <w:t xml:space="preserve">      decir, sustrajeron del archivo de allí, un expediente  de  corrupción,</w:t>
        <w:br/>
        <w:t xml:space="preserve">      el chofer del Magistrado llevaba el expediente para entregárselo a los</w:t>
        <w:br/>
        <w:t xml:space="preserve">      defensores del acusado, que es un dirigente de uno de estos partiditos</w:t>
        <w:br/>
        <w:t xml:space="preserve">      de oposición que  en  el  fondo  no  son  sino  Acción  Democrática  y</w:t>
        <w:br/>
        <w:t xml:space="preserve">      COPEI[151].</w:t>
        <w:br/>
        <w:br/>
        <w:br/>
        <w:t>129.  En su declaración, la señora Ruggeri indicó  que  "con  ese  tipo  de</w:t>
        <w:br/>
        <w:t>descalificaciones se estaba preparando el camino para [la] destitución  [de</w:t>
        <w:br/>
        <w:t>los miembros de la Corte Primera] o para amedrentar[los] y  plegar[los]  al</w:t>
        <w:br/>
        <w:t>proyecto político gubernamental".</w:t>
        <w:br/>
        <w:br/>
        <w:br/>
        <w:t>130.  El Estado consideró que las declaraciones de  “altos  funcionarios  de</w:t>
        <w:br/>
        <w:t>Gobierno […] no constituyen ope legis, abuso de poder”. Agregó que si  éstas</w:t>
        <w:br/>
        <w:t>“son llevadas a su debido contexto, resulta evidente que  fueron  realizadas</w:t>
        <w:br/>
        <w:t>en aras de un interés público  que  se  produjo  como  consecuencia  de  una</w:t>
        <w:br/>
        <w:t>inconfundible necesidad en una sociedad democrática”.</w:t>
        <w:br/>
        <w:br/>
        <w:br/>
        <w:t>131.  La Corte ha reiterado numerosas veces  la  importancia  que  posee  la</w:t>
        <w:br/>
        <w:t>libertad de expresión en una  sociedad  democrática,  especialmente  aquella</w:t>
        <w:br/>
        <w:t>referida a asuntos  de  interés  público[152].  Con  todo,  la  libertad  de</w:t>
        <w:br/>
        <w:t>expresión  no  es   un   derecho   absoluto   y   puede   estar   sujeta   a</w:t>
        <w:br/>
        <w:t>restricciones[153], en  particular  cuando  interfiere  con  otros  derechos</w:t>
        <w:br/>
        <w:t>garantizados por la Convención[154]. Por lo anterior, no  sólo  es  legítimo</w:t>
        <w:br/>
        <w:t>sino que en ciertas ocasiones es  un  deber  de  las  autoridades  estatales</w:t>
        <w:br/>
        <w:t>pronunciarse sobre cuestiones de interés público. Sin  embargo,  al  hacerlo</w:t>
        <w:br/>
        <w:t>están sometidos a ciertas  limitaciones  en  cuanto  a  constatar  en  forma</w:t>
        <w:br/>
        <w:t>razonable, aunque no  necesariamente  exhaustiva,  los  hechos  en  los  que</w:t>
        <w:br/>
        <w:t>fundamentan sus opiniones[155], y deberían hacerlo con  una  diligencia  aún</w:t>
        <w:br/>
        <w:t>mayor a la empleada por los particulares,  en  atención  al  alto  grado  de</w:t>
        <w:br/>
        <w:t>credibilidad de la que gozan y en aras a evitar que los  ciudadanos  reciban</w:t>
        <w:br/>
        <w:t>una versión manipulada de los hechos[156]. Además,  deben  tener  en  cuenta</w:t>
        <w:br/>
        <w:t>que en tanto funcionarios públicos tienen una posición  de  garante  de  los</w:t>
        <w:br/>
        <w:t>derechos fundamentales de las personas y, por tanto,  sus  declaraciones  no</w:t>
        <w:br/>
        <w:t>pueden  llegar  a  desconocer  dichos  derechos.   Del   mismo   modo,   los</w:t>
        <w:br/>
        <w:t>funcionarios públicos, en especial las más altas  autoridades  de  Gobierno,</w:t>
        <w:br/>
        <w:t>deben ser particularmente  cuidadosos  en  orden  a  que  sus  declaraciones</w:t>
        <w:br/>
        <w:t>públicas no constituyan una forma de  injerencia  o  presión  lesiva  de  la</w:t>
        <w:br/>
        <w:t>independencia judicial o puedan inducir o  sugerir  acciones  por  parte  de</w:t>
        <w:br/>
        <w:t>otras autoridades que vulneren la independencia o afecten  la  libertad  del</w:t>
        <w:br/>
        <w:t>juzgador[157].</w:t>
        <w:br/>
        <w:br/>
        <w:br/>
        <w:t>132.  La Corte, teniendo en cuenta que la Sala de Casación Penal  consideró</w:t>
        <w:br/>
        <w:t>como una “práctica común” la salida de un expediente de  la  Corte  Primera</w:t>
        <w:br/>
        <w:t>que en ningún caso revestía los caracteres de delito, estima que el proceso</w:t>
        <w:br/>
        <w:t>penal, la investigación disciplinaria y la medida cautelar de suspensión en</w:t>
        <w:br/>
        <w:t>contra de los magistrados de la Corte Primera,  resultaron  excesivas.  Aún</w:t>
        <w:br/>
        <w:t>más, las circunstancias del allanamiento de la Corte Primera durante seis a</w:t>
        <w:br/>
        <w:t>once horas, por aproximadamente cuarenta  y  seis  efectivos  de  la  DISIP</w:t>
        <w:br/>
        <w:t>provistos de armas largas, aparecen como desproporcionadas en  relación  al</w:t>
        <w:br/>
        <w:t>hecho investigado. Lo anterior, sumado a las  declaraciones  de  la  máxima</w:t>
        <w:br/>
        <w:t>autoridad del Gobierno vertidas tres días después de la decisión de la Sala</w:t>
        <w:br/>
        <w:t>de Casación Penal del TSJ, permite advertir la existencia de  una  conducta</w:t>
        <w:br/>
        <w:t>amedrentadora sobre los jueces de la Corte Primera[158].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133.  Por otro lado, el representante afirmó que “la [CFRSJ] tenía una  idea</w:t>
        <w:br/>
        <w:t>preconcebida  en  cuanto  a  la   depuración   del   Poder   Judicial”.   El</w:t>
        <w:br/>
        <w:t>representante basó sus dichos en la declaración del  señor  Beltrán  Haddad,</w:t>
        <w:br/>
        <w:t>ponente de la decisión que destituyó a las víctimas, en la que señaló:</w:t>
        <w:br/>
        <w:br/>
        <w:br/>
        <w:t xml:space="preserve">      Por encima del juez que mira el pasado, debemos seguir la lucha por un</w:t>
        <w:br/>
        <w:t xml:space="preserve">      verdadero sistema de justicia. Si bien logramos niveles aceptables  de</w:t>
        <w:br/>
        <w:t xml:space="preserve">      depuración en los últimos tres años, las metas no resultaron iguales y</w:t>
        <w:br/>
        <w:t xml:space="preserve">      coherentes cuando se  trata  de  los  concursos  de  oposición  y  del</w:t>
        <w:br/>
        <w:t xml:space="preserve">      desarrollo de  una  verdadera  escuela  de  la  magistratura  […]  Hoy</w:t>
        <w:br/>
        <w:t xml:space="preserve">      necesitamos un juez comprometido con los valores éticos y sociales  de</w:t>
        <w:br/>
        <w:t xml:space="preserve">      la nueva realidad y no exclusivamente  con  los  preceptos  jurídicos.</w:t>
        <w:br/>
        <w:t xml:space="preserve">      Esto nos obliga a un nuevo proyecto político de la justicia. Ahí  está</w:t>
        <w:br/>
        <w:t xml:space="preserve">      el camino.</w:t>
        <w:br/>
        <w:br/>
        <w:br/>
        <w:t>134.  Sin embargo, en este mismo artículo, en una sección no citada por  el</w:t>
        <w:br/>
        <w:t>representante, el señor Haddad también dice que:</w:t>
        <w:br/>
        <w:br/>
        <w:br/>
        <w:t xml:space="preserve">      Los jueces de la Corte Primera […] fueron  destituidos  por  un  grave</w:t>
        <w:br/>
        <w:t xml:space="preserve">      error judicial inexcusable, previamente declarado  por  la  [SPA]  del</w:t>
        <w:br/>
        <w:t xml:space="preserve">      [TSJ], que se revela en lo disparatado y  opuesto  a  derecho  de  una</w:t>
        <w:br/>
        <w:t xml:space="preserve">      decisión que no mide sus efectos. No actuamos caprichosamente  ni  por</w:t>
        <w:br/>
        <w:t xml:space="preserve">      retaliaciones políticas.  No  tenemos  partidos  políticos  y  nuestra</w:t>
        <w:br/>
        <w:t xml:space="preserve">      decisión sólo se limita en  su  parte  dispositiva  a  la  sanción  de</w:t>
        <w:br/>
        <w:t xml:space="preserve">      destitución. Así pues, no es cierto que la sentencia  haya  clausurado</w:t>
        <w:br/>
        <w:t xml:space="preserve">      un Tribunal de  la  República  o  negado  a  muchos  el  acceso  a  la</w:t>
        <w:br/>
        <w:t xml:space="preserve">      justicia[159].</w:t>
        <w:br/>
        <w:br/>
        <w:br/>
        <w:t>135.  Teniendo en cuenta lo anterior, la Corte considera que el artículo  de</w:t>
        <w:br/>
        <w:t>prensa presentado por el representante no es suficiente  para  concluir  que</w:t>
        <w:br/>
        <w:t>el ponente de la resolución de destitución de la CFRSJ  actuó  con  miras  a</w:t>
        <w:br/>
        <w:t>una “depuración ideológica” en el sentido señalado por el representante.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136.  De todo lo expuesto en los párrafos  anteriores,  la  Corte  considera</w:t>
        <w:br/>
        <w:t>que ha quedado demostrado que: 1) se removió a los magistrados de  una  alta</w:t>
        <w:br/>
        <w:t>corte venezolana, como lo es la Corte Primera, encargada  de  controlar  los</w:t>
        <w:br/>
        <w:t>actos de la Administración y,  tras  la  remoción,  dicha  corte  quedó  sin</w:t>
        <w:br/>
        <w:t>magistrados durante varios meses, lo cual claramente debilita la  mencionada</w:t>
        <w:br/>
        <w:t>función de control; 2) la destitución se produjo luego de que la mayoría  de</w:t>
        <w:br/>
        <w:t>la Corte Primera adoptó una sentencia que   fue  severamente  criticada  por</w:t>
        <w:br/>
        <w:t>las más altas esferas del Gobierno, arguyéndose que las víctimas  no  debían</w:t>
        <w:br/>
        <w:t>ser  magistrados  y  manifestándose  públicamente  que  la  sentencia  sería</w:t>
        <w:br/>
        <w:t>desacatada; 3) la destitución también se produjo después de que  se  llevara</w:t>
        <w:br/>
        <w:t>a cabo un proceso penal, una investigación disciplinaria  y  se  suspendiera</w:t>
        <w:br/>
        <w:t>provisionalmente a  dos  de  las  víctimas,  todo  ello  por  un  hecho  que</w:t>
        <w:br/>
        <w:t>posteriormente fue calificado por el más alto tribunal  del  país  como  una</w:t>
        <w:br/>
        <w:t>“práctica común” que no es considerada ilícita  en  Venezuela;  4)  por  ese</w:t>
        <w:br/>
        <w:t>mismo hecho, también se procedió a un allanamiento  desproporcionado  a  las</w:t>
        <w:br/>
        <w:t>instalaciones de la Corte  Primera,  y  5)  finalmente,  la  destitución  se</w:t>
        <w:br/>
        <w:t>produjo luego de que  la  máxima  autoridad  del  Gobierno  calificó  a  las</w:t>
        <w:br/>
        <w:t>víctimas de “vendidos a los intereses de la oposición golpista”[160].</w:t>
        <w:br/>
        <w:br/>
        <w:br/>
        <w:t>137.  A criterio de esta Corte los hechos  señalados  demuestran  una  clara</w:t>
        <w:br/>
        <w:t>presión en  contra  de  la  Corte  Primera.  Ahora  bien,  lo  que  se  debe</w:t>
        <w:br/>
        <w:t>determinar  en  este  procedimiento  internacional  es  si  el  órgano   que</w:t>
        <w:br/>
        <w:t>destituyó a las víctimas –la CFRSJ- ofreció las suficientes  garantías  para</w:t>
        <w:br/>
        <w:t>ser  considerado  un  tribunal  independiente  que   resolvió   el   proceso</w:t>
        <w:br/>
        <w:t>disciplinario  en  contra  de  las   víctimas   totalmente   ajeno   a   las</w:t>
        <w:br/>
        <w:t>circunstancias de presión que se produjeron en contra de sus justiciables.</w:t>
        <w:br/>
        <w:br/>
        <w:br/>
        <w:t>138.  Conforme a  la  jurisprudencia  de  esta  Corte,  algunas  formas  de</w:t>
        <w:br/>
        <w:t>garantizar la independencia de  los  jueces  son  un  adecuado  proceso  de</w:t>
        <w:br/>
        <w:t>nombramiento y una duración establecida  en  el  cargo[161].  Asimismo,  la</w:t>
        <w:br/>
        <w:t>Corte ya señaló que tanto los jueces titulares como los jueces  provisorios</w:t>
        <w:br/>
        <w:t>no puedan estar sujetos a remoción discrecional (supra párrs. 43 y 44).</w:t>
        <w:br/>
        <w:br/>
        <w:br/>
        <w:t>139.  La Comisión indicó que una vez que la Asamblea Constituyente dejó  de</w:t>
        <w:br/>
        <w:t>funcionar, “las remociones y nuevos nombramientos [de la  CFRSJ]  han  sido</w:t>
        <w:br/>
        <w:t>realizadas por el [TSJ] sin seguir un procedimiento previamente establecido</w:t>
        <w:br/>
        <w:t>para dichos efectos”. Según la Comisión, los miembros de la CFRSJ  “son  de</w:t>
        <w:br/>
        <w:t>libre nombramiento y remoción, por lo que carecen de una estabilidad en  el</w:t>
        <w:br/>
        <w:t>cargo que garantice su independencia”. El representante  coincidió  con  la</w:t>
        <w:br/>
        <w:t>Comisión y señaló que los miembros de la CFRSJ “son provisorios” y  “pueden</w:t>
        <w:br/>
        <w:t>ser removidos en cualquier momento”. El Estado alegó que los miembros de la</w:t>
        <w:br/>
        <w:t>CFRSJ gozan de “absoluta independencia  e  imparcialidad”  puesto  que  son</w:t>
        <w:br/>
        <w:t>“nombrados por el [P]oder [J]udicial al cual pertenecen”.</w:t>
        <w:br/>
        <w:br/>
        <w:br/>
        <w:t>140.  La Corte constata que el Decreto del Régimen de Transición del  Poder</w:t>
        <w:br/>
        <w:t>Público de 27 de diciembre de 1999 indicó que “la [CFRSJ] ser[ía] integrada</w:t>
        <w:br/>
        <w:t>por los ciudadanos que designe  la  Asamblea  […]  Constituyente  hasta  el</w:t>
        <w:br/>
        <w:t>funcionamiento efectivo de la Dirección Ejecutiva de  la  Magistratura,  de</w:t>
        <w:br/>
        <w:t>los  Tribunales  disciplinarios  y  del   Sistema   Autónomo   de   Defensa</w:t>
        <w:br/>
        <w:t>Pública”[162]. El 18 de enero de 2000 la Asamblea Constituyente  designó  a</w:t>
        <w:br/>
        <w:t>los siete integrantes de la CFRSJ[163].</w:t>
        <w:br/>
        <w:br/>
        <w:br/>
        <w:t>141.  El 2 de agosto  de  2000  el  TSJ  se  atribuyó  la  competencia  para</w:t>
        <w:br/>
        <w:t>reorganizar la CFRSJ[164] y el 9 de agosto de 2000 la Sala  Plena  del  TSJ,</w:t>
        <w:br/>
        <w:t>en vista de que uno de los miembros de la CFRSJ había sido nombrado en  otro</w:t>
        <w:br/>
        <w:t>cargo, ratificó a tres de los siete  miembros  designados  por  la  Asamblea</w:t>
        <w:br/>
        <w:t>Constituyente en calidad  de  miembros  principales  y  los  tres  restantes</w:t>
        <w:br/>
        <w:t>pasaron a ocupar los cargos de suplentes[165]. Desde el  año  2005  la  Sala</w:t>
        <w:br/>
        <w:t>Constitucional  del  TSJ[166],  a  través  de  diferentes   sentencias,   ha</w:t>
        <w:br/>
        <w:t>modificado  en  distintas  oportunidades  la  composición   de   la   CFRSJ,</w:t>
        <w:br/>
        <w:t>designando en ocasiones  a  los  miembros  suplentes  en  reemplazo  de  los</w:t>
        <w:br/>
        <w:t>titulares[167] o nombrando nuevos miembros[168].  En  la  audiencia  pública</w:t>
        <w:br/>
        <w:t>ante la Corte el señor  Damián  Nieto  Carrillo,  Presidente  de  la  CFRSJ,</w:t>
        <w:br/>
        <w:t>señaló que “la permanencia [en el] cargo [n]o  está  determinada  a  ciencia</w:t>
        <w:br/>
        <w:t>cierta”,  que  los  comisionados  son  “miembros  prácticamente  provisorios</w:t>
        <w:br/>
        <w:t>porque [están] a la espera del  Código  [de  Ética]”  y  que  “en  cualquier</w:t>
        <w:br/>
        <w:t>momento [pueden] ser removidos”[169].</w:t>
        <w:br/>
        <w:br/>
        <w:br/>
        <w:t>142.   De  la  prueba  aportada  se  concluye  que  el  TSJ  tiene  absoluta</w:t>
        <w:br/>
        <w:t>discreción para reorganizar la CFRSJ, sin que exista ningún procedimiento  o</w:t>
        <w:br/>
        <w:t>mecanismo previamente establecido y  respetuoso  de  las  debidas  garantías</w:t>
        <w:br/>
        <w:t>para nombrar o remover a los miembros de la CFRSJ.</w:t>
        <w:br/>
        <w:br/>
        <w:br/>
        <w:t>143.  Por otro lado, la Comisión expresó que  “como  respeto  del  principio</w:t>
        <w:br/>
        <w:t>del margen de apreciación de los  Estados  el  carácter  transitorio  de  un</w:t>
        <w:br/>
        <w:t>régimen disciplinario puede ser admisible siempre y cuando  se  acredite  un</w:t>
        <w:br/>
        <w:t>juicio estricto que justifique esta política judicial”.  Para  la  Comisión,</w:t>
        <w:br/>
        <w:t>el  régimen  disciplinario  transitorio  venezolano  “asumió  una   vocación</w:t>
        <w:br/>
        <w:t>permanente sin que se hayan acreditado factores objetivos o  razonables  que</w:t>
        <w:br/>
        <w:t>[lo]  justifiquen”,  más  aún  cuando  la  inamovilidad  judicial   “no   es</w:t>
        <w:br/>
        <w:t>respetad[a]  cuando  el  esquema  que  l[a]  reglamenta  es  provisional   y</w:t>
        <w:br/>
        <w:t>transitorio”. Con esto “se dificultan […] los  contrapesos  jurisdiccionales</w:t>
        <w:br/>
        <w:t>necesarios para que sean jueces plenamente independientes  quienes  procesen</w:t>
        <w:br/>
        <w:t>disciplinariamente a los funcionarios  judiciales”.  La  Comisión  consideró</w:t>
        <w:br/>
        <w:t>que lo  anterior  ha  influido  en  el  caso  concreto,  toda  vez  que  “la</w:t>
        <w:br/>
        <w:t>reglamentación existente no  ofreció  las  garantías  que  una  jurisdicción</w:t>
        <w:br/>
        <w:t>disciplinaria debe ofrecer” y permitió que  diversas  autoridades  “contaran</w:t>
        <w:br/>
        <w:t>con la posibilidad de ejercer un poder excesivo, que en el presente caso  se</w:t>
        <w:br/>
        <w:t>tradujo en una desviación de poder al momento de destituir a las víctimas”.</w:t>
        <w:br/>
        <w:br/>
        <w:br/>
        <w:t>144.  El representante agregó que  este  régimen  de  transición  “tiende  a</w:t>
        <w:br/>
        <w:t>perpetuarse” y “se sustenta en una omisión constitucional y en normas de  un</w:t>
        <w:br/>
        <w:t>régimen  de  emergencia  y  excepcional,  contrarias  a   la   garantía   de</w:t>
        <w:br/>
        <w:t>independencia del Poder Judicial y a la garantía del debido proceso”.</w:t>
        <w:br/>
        <w:br/>
        <w:br/>
        <w:t>145.  El Estado indicó que los  diversos  poderes  públicos  han  “realizado</w:t>
        <w:br/>
        <w:t>pertinaces esfuerzos para eliminar  […]  el  régimen  de  transición  dentro</w:t>
        <w:br/>
        <w:t>de[l] [P]oder [J]udicial”. Al respecto, aludió  al  proyecto  de  Código  de</w:t>
        <w:br/>
        <w:t>Ética  presentado  ante  la  Asamblea  Nacional,  la  “Normativa  sobre   la</w:t>
        <w:br/>
        <w:t>Dirección, Gobierno y Administración del Poder Judicial” y  una  declaración</w:t>
        <w:br/>
        <w:t>judicial de “omisión legislativa” en la que se exhortó al Poder  Legislativo</w:t>
        <w:br/>
        <w:t>“a que apruebe ese instrumento normativo”. Además, el Estado señaló  que  en</w:t>
        <w:br/>
        <w:t>el régimen de transición se presenta “coexistencia y  aplicación  concordada</w:t>
        <w:br/>
        <w:t>de   normas    pre-constitucionales,    supra-constitucionales    y    post-</w:t>
        <w:br/>
        <w:t>constitucionales”, sin lo cual “hubiese sido […]  inviable,  garantizarle  a</w:t>
        <w:br/>
        <w:t>la población venezolana, el goce de todos sus  derechos”.  Asimismo,  indicó</w:t>
        <w:br/>
        <w:t>que “[l]a designación de los ex–jueces provisorios de la Corte  Primera,  se</w:t>
        <w:br/>
        <w:t>sustentó en el mismo régimen de transición”.</w:t>
        <w:br/>
        <w:br/>
        <w:br/>
        <w:t>146.  La Corte constata que el régimen de transición ha operado  desde  1999</w:t>
        <w:br/>
        <w:t>hasta  la  fecha,  cuando  la  Constitución  preveía  que  éste   no   debía</w:t>
        <w:br/>
        <w:t>prolongarse  más  de  un  año  desde  el  establecimiento  de  la   Asamblea</w:t>
        <w:br/>
        <w:t>Nacional[170]. El Estado aludió a una sentencia emitida en 2006 por la  Sala</w:t>
        <w:br/>
        <w:t>Constitucional   del   TSJ   que    declaró    la    existencia    de    una</w:t>
        <w:br/>
        <w:t>“inconstitucionalidad por omisión legislativa de la  Asamblea  Nacional  […]</w:t>
        <w:br/>
        <w:t>con  motivo  del  procedimiento  legislativo  iniciado  para  sancionar   el</w:t>
        <w:br/>
        <w:t>denominado Proyecto de Código de Ética […], elaborado  por  dicha  instancia</w:t>
        <w:br/>
        <w:t>legislativa en el año 2003, que no fuera finalmente promulgado”[171].</w:t>
        <w:br/>
        <w:br/>
        <w:br/>
        <w:t>147.  De lo expuesto, el Tribunal constata  que  el  propio  Poder  Judicial</w:t>
        <w:br/>
        <w:t>venezolano ha condenado la omisión legislativa en la adopción del Código  de</w:t>
        <w:br/>
        <w:t>Ética. Dicha omisión ha  influido  en  el  presente  caso,  puesto  que  las</w:t>
        <w:br/>
        <w:t>víctimas fueron  juzgadas  por  un  órgano  excepcional  que  no  tiene  una</w:t>
        <w:br/>
        <w:t>estabilidad definida y cuyos miembros pueden ser nombrados o  removidos  sin</w:t>
        <w:br/>
        <w:t>procedimientos previamente establecidos y a la sola discreción del  TSJ.  En</w:t>
        <w:br/>
        <w:t>definitiva, si bien en este caso no ha quedado demostrado que la CFRSJ  haya</w:t>
        <w:br/>
        <w:t>actuado en desviación de poder, directamente  presionada  por  el  Ejecutivo</w:t>
        <w:br/>
        <w:t>para destituir a las víctimas, el Tribunal concluye que, debido a  la  libre</w:t>
        <w:br/>
        <w:t>remoción de los miembros de la CFRSJ, no existieron  las  debidas  garantías</w:t>
        <w:br/>
        <w:t>para asegurar que las presiones que se realizaban sobre la Corte Primera  no</w:t>
        <w:br/>
        <w:t>influenciaran las decisiones del órgano disciplinario.</w:t>
        <w:br/>
        <w:br/>
        <w:br/>
        <w:t>148.  Por todo lo anterior, el Tribunal declara  que  el  Estado  violó  el</w:t>
        <w:br/>
        <w:t>derecho de los señores Apitz,  Rocha  y  Ruggeri  a  ser  juzgados  por  un</w:t>
        <w:br/>
        <w:t>tribunal con suficientes garantías de independencia, lo que constituye  una</w:t>
        <w:br/>
        <w:t>vulneración del  artículo  8.1  de  la  Convención,  en  relación  con  los</w:t>
        <w:br/>
        <w:t>artículos 1.1 y 2 de la misma.</w:t>
        <w:br/>
        <w:br/>
        <w:br/>
        <w:br/>
        <w:br/>
        <w:br/>
        <w:t xml:space="preserve">      7.    Eficacia de los recursos interpuestos</w:t>
        <w:br/>
        <w:br/>
        <w:br/>
        <w:t>149.  La Corte constata que los recursos presentados  en  este  caso  fueron</w:t>
        <w:br/>
        <w:t>interpuestos contra dos actos: i) la medida cautelar de suspensión  impuesta</w:t>
        <w:br/>
        <w:t>por la CFRSJ en el marco de la investigación disciplinaria por el manejo  de</w:t>
        <w:br/>
        <w:t>un expediente (supra párr. 125) y ii) la sanción de destitución emitida  por</w:t>
        <w:br/>
        <w:t>dicho órgano disciplinario debido  a  la  comisión  de  un  “error  judicial</w:t>
        <w:br/>
        <w:t>inexcusable” (supra párr. 38).</w:t>
        <w:br/>
        <w:br/>
        <w:br/>
        <w:br/>
        <w:br/>
        <w:br/>
        <w:t xml:space="preserve">      7.1.  Recurso de amparo contra la decisión que ordenó la suspensión de</w:t>
        <w:br/>
        <w:t xml:space="preserve">           los magistrados Apitz y Rocha</w:t>
        <w:br/>
        <w:br/>
        <w:br/>
        <w:t>150.  Como se indicó anteriormente,  el  8  de  octubre  de  2003  la  CFRSJ</w:t>
        <w:br/>
        <w:t>suspendió por 60 días a los magistrados Apitz y Rocha  en  el  marco  de  la</w:t>
        <w:br/>
        <w:t>investigación instaurada por la salida  de  un  expediente  judicial  de  la</w:t>
        <w:br/>
        <w:t>Corte Primera. En contra de esa decisión dichos magistrados  ejercieron,  el</w:t>
        <w:br/>
        <w:t>9 de octubre de 2003, una acción autónoma de amparo constitucional  ante  la</w:t>
        <w:br/>
        <w:t>Sala Constitucional del TSJ[172].</w:t>
        <w:br/>
        <w:br/>
        <w:br/>
        <w:t>151.  El 21 de junio de 2004 la Sala Constitucional  declaró  “terminado  el</w:t>
        <w:br/>
        <w:t>procedimiento, por abandono del trámite” y condenó “a la parte actora a  una</w:t>
        <w:br/>
        <w:t>multa  de  cinco  mil  bolívares”[173].  La  sentencia  consideró  que   “el</w:t>
        <w:br/>
        <w:t>transcurso de más de seis meses de absoluta inactividad  en  las  actas  del</w:t>
        <w:br/>
        <w:t>expediente, tiempo establecido como plazo  de  caducidad  para  intentar  la</w:t>
        <w:br/>
        <w:t>acción de amparo, encuadra[ba] en la calificación  de  abandono  de  trámite</w:t>
        <w:br/>
        <w:t>establecida por [la] Sala en reiteradas decisiones”[174].</w:t>
        <w:br/>
        <w:br/>
        <w:br/>
        <w:t>152.  El representante alegó que la acción  de  amparo  tenía  que  “haberse</w:t>
        <w:br/>
        <w:t>resuelto sin más trámite, dentro de  los  tres  días  siguientes  al  de  su</w:t>
        <w:br/>
        <w:t>presentación”.</w:t>
        <w:br/>
        <w:br/>
        <w:br/>
        <w:t>153.  La Comisión señaló que “las víctimas no hicieron  alegatos  sobre  la</w:t>
        <w:br/>
        <w:t>decisión  […  que]  declaró  terminado  el  procedimiento  por  abandono  de</w:t>
        <w:br/>
        <w:t>trámite” y que “ante la insuficiencia de cargo y de prueba [la Comisión]  se</w:t>
        <w:br/>
        <w:t>abstuvo de pronunciarse de fondo sobre  la  eficacia  e  idoneidad  de  este</w:t>
        <w:br/>
        <w:t>recurso”.</w:t>
        <w:br/>
        <w:br/>
        <w:t>154.  El Estado no se refirió a este  recurso.  Sin  embargo,  presentó  una</w:t>
        <w:br/>
        <w:t>declaración referente a “la duración de los procedimientos  judiciales  ante</w:t>
        <w:br/>
        <w:t>la Sala Constitucional del [TSJ]”. En dicha declaración se indicó  “que  son</w:t>
        <w:br/>
        <w:t>las acciones de amparo constitucional[…] las  causas  que  ocupan  el  mayor</w:t>
        <w:br/>
        <w:t>tiempo y atención de la Sala” y que “a finales  de  los  años  2006  y  2007</w:t>
        <w:br/>
        <w:t>[ésta] realizó sesiones extraordinarias,  denominadas  maratónicas,  con  el</w:t>
        <w:br/>
        <w:t>fin de descongestionar la carga judicial  […]  y  ponerse  prácticamente  al</w:t>
        <w:br/>
        <w:t>día”[175]. Asimismo,  la  declaración  señaló  que  “no  existen  parámetros</w:t>
        <w:br/>
        <w:t>estrictos para lo que debería durar un procedimiento de amparo”, dados  “los</w:t>
        <w:br/>
        <w:t>múltiples factores que en él intervienen, como lo puede ser la materia,  las</w:t>
        <w:br/>
        <w:t>causas  anteriores,  las  partes  principales,  los  terceros   interesados,</w:t>
        <w:br/>
        <w:t>pruebas, informes, orden público, etc.”[176] Finalmente, en  la  declaración</w:t>
        <w:br/>
        <w:t>se sostuvo que "la carga procesal que correspondía  a  los  accionantes,  no</w:t>
        <w:br/>
        <w:t>fue cumplida, lo que se traduce en falta  de  interés  procesal",  pero  que</w:t>
        <w:br/>
        <w:t>"[e]ste tipo de fallo, no imp[edía] en manera  alguna  que  los  accionantes</w:t>
        <w:br/>
        <w:t>hubiesen interpuesto nuevamente la  acción  de  amparo  constitucional,  por</w:t>
        <w:br/>
        <w:t>cuanto no se prejuzgó sobre el fondo de la controversia". La  Corte  resalta</w:t>
        <w:br/>
        <w:t>que  el  Estado  no  realizó  construcción  argumentativa  en  torno  a  qué</w:t>
        <w:br/>
        <w:t>elementos   de   esta   declaración   permitirían   analizar   el   presunto</w:t>
        <w:br/>
        <w:t>incumplimiento de la carga procesal que supuestamente correspondería  a  las</w:t>
        <w:br/>
        <w:t>víctimas y el tiempo transcurrido en la resolución del  recurso  de  amparo,</w:t>
        <w:br/>
        <w:t>de tal forma que  esta  Corte  pudiera  valorar  esta  declaración  en  sana</w:t>
        <w:br/>
        <w:t>crítica con el restante acervo probatorio[177].</w:t>
        <w:br/>
        <w:br/>
        <w:t>155.  El recurso de amparo está regulado en la Ley Orgánica de Amparo  sobre</w:t>
        <w:br/>
        <w:t>Derechos y Garantías Constitucionales del año 1988. Los  artículos  de  esta</w:t>
        <w:br/>
        <w:t>Ley, relevantes para el presente caso, son los siguientes:</w:t>
        <w:br/>
        <w:br/>
        <w:br/>
        <w:t xml:space="preserve">      Artículo 14.- La acción de amparo, tanto en lo principal  como  en  lo</w:t>
        <w:br/>
        <w:t xml:space="preserve">      incidental y en todo lo que de ella derive, hasta la ejecución  de  la</w:t>
        <w:br/>
        <w:t xml:space="preserve">      providencia respectiva, es de eminente orden público.</w:t>
        <w:br/>
        <w:br/>
        <w:br/>
        <w:t xml:space="preserve">      […]</w:t>
        <w:br/>
        <w:br/>
        <w:br/>
        <w:t xml:space="preserve">      Artículo 22.- El Tribunal que conozca de la solicitud de amparo tendrá</w:t>
        <w:br/>
        <w:t xml:space="preserve">      potestad  para   restablecer   la   situación   jurídica   infringida,</w:t>
        <w:br/>
        <w:t xml:space="preserve">      prescindiendo de consideraciones de mera forma y sin  ningún  tipo  de</w:t>
        <w:br/>
        <w:t xml:space="preserve">      averiguación sumaria que la preceda.</w:t>
        <w:br/>
        <w:br/>
        <w:br/>
        <w:t xml:space="preserve">      En este caso, el mandamiento de amparo deberá  ser  motivado  y  estar</w:t>
        <w:br/>
        <w:t xml:space="preserve">      fundamentado en un medio de prueba que constituya presunción grave  de</w:t>
        <w:br/>
        <w:t xml:space="preserve">      la violación o de la amenaza de violación.</w:t>
        <w:br/>
        <w:br/>
        <w:br/>
        <w:t xml:space="preserve">      Artículo 23.- Si el Juez no optare por restablecer  inmediatamente  la</w:t>
        <w:br/>
        <w:t xml:space="preserve">      situación jurídica infringida, conforme al artículo anterior, ordenará</w:t>
        <w:br/>
        <w:t xml:space="preserve">      a la autoridad, entidad, organización  social  o  a  los  particulares</w:t>
        <w:br/>
        <w:t xml:space="preserve">      imputados  de  violar  o   amenazar   el   derecho   o   la   garantía</w:t>
        <w:br/>
        <w:t xml:space="preserve">      constitucionales, que en el término de cuarenta  y  ocho  (48)  horas,</w:t>
        <w:br/>
        <w:t xml:space="preserve">      contadas a partir de la  respectiva  notificación,  informe  sobre  la</w:t>
        <w:br/>
        <w:t xml:space="preserve">      pretendida violación o amenaza que hubiere motivado  la  solicitud  de</w:t>
        <w:br/>
        <w:t xml:space="preserve">      amparo.</w:t>
        <w:br/>
        <w:br/>
        <w:br/>
        <w:t xml:space="preserve">      La falta de informe correspondiente se entenderá  como  aceptación  de</w:t>
        <w:br/>
        <w:t xml:space="preserve">      los hechos incriminados.</w:t>
        <w:br/>
        <w:br/>
        <w:br/>
        <w:t xml:space="preserve">      […]</w:t>
        <w:br/>
        <w:br/>
        <w:br/>
        <w:t xml:space="preserve">      Artículo 25.- Quedan excluidas del  procedimiento  constitucional  del</w:t>
        <w:br/>
        <w:t xml:space="preserve">      amparo todas las formas de arreglo entre las partes, sin perjuicio  de</w:t>
        <w:br/>
        <w:t xml:space="preserve">      que el agraviado pueda, en cualquier  estado  y  grado  de  la  causa,</w:t>
        <w:br/>
        <w:t xml:space="preserve">      desistir de la acción interpuesta, salvo que se trate de un derecho de</w:t>
        <w:br/>
        <w:t xml:space="preserve">      eminente orden público o que pueda afectar las buenas costumbres.</w:t>
        <w:br/>
        <w:br/>
        <w:br/>
        <w:t xml:space="preserve">      El desistimiento malicioso o el abandono del trámite por el  agraviado</w:t>
        <w:br/>
        <w:t xml:space="preserve">      será sancionado por el Juez de la causa o por el  Superior,  según  el</w:t>
        <w:br/>
        <w:t xml:space="preserve">      caso, con multa de Dos  Mil  Bolívares  (Bs.  2.000,oo)  a  Cinco  Mil</w:t>
        <w:br/>
        <w:t xml:space="preserve">      Bolívares (Bs. 5.000,oo).</w:t>
        <w:br/>
        <w:br/>
        <w:br/>
        <w:t xml:space="preserve">      Artículo 26.- El Juez que conozca del amparo,  fijará  dentro  de  las</w:t>
        <w:br/>
        <w:t xml:space="preserve">      noventa y seis (96) horas siguientes a la presentación del Informe por</w:t>
        <w:br/>
        <w:t xml:space="preserve">      el presunto agraviante o de la extinción del término  correspondiente,</w:t>
        <w:br/>
        <w:t xml:space="preserve">      la oportunidad para  que  las  partes  o  sus  representantes  legales</w:t>
        <w:br/>
        <w:t xml:space="preserve">      expresen, en forma oral y pública, los argumentos respectivos.</w:t>
        <w:br/>
        <w:br/>
        <w:br/>
        <w:t xml:space="preserve">      Efectuado dicho acto, el Juez dispondrá de un término improrrogable de</w:t>
        <w:br/>
        <w:t xml:space="preserve">      veinticuatro  (24)  horas  para  decidir  la   solicitud   de   amparo</w:t>
        <w:br/>
        <w:t xml:space="preserve">      constitucional.</w:t>
        <w:br/>
        <w:br/>
        <w:t>156.  La Corte observa que si bien las víctimas tuvieron acceso  al  amparo,</w:t>
        <w:br/>
        <w:t>que es el recurso idóneo de la jurisdicción interna en Venezuela  a  efectos</w:t>
        <w:br/>
        <w:t>del presente caso, y que lo interpusieron en tiempo y forma, tal recurso  no</w:t>
        <w:br/>
        <w:t>operó con la rapidez que se  requiere  para  atender  reclamos  relativos  a</w:t>
        <w:br/>
        <w:t>presuntas violaciones de derechos humanos. Ciertamente no se puede  sostener</w:t>
        <w:br/>
        <w:t>que la decisión del recurso interpuesto en el presente  caso  luego  de  256</w:t>
        <w:br/>
        <w:t>días sea una decisión rápida, conforme lo ordena  el  artículo  25.1  de  la</w:t>
        <w:br/>
        <w:t>Convención. Por ello, el Tribunal considera que el Estado violó  el  derecho</w:t>
        <w:br/>
        <w:t>consagrado en dicho artículo convencional, en relación con el  artículo  1.1</w:t>
        <w:br/>
        <w:t>de la misma, en perjuicio de los señores Apitz y Rocha.</w:t>
        <w:br/>
        <w:br/>
        <w:br/>
        <w:br/>
        <w:br/>
        <w:t xml:space="preserve">      7.2.  Recurso jerárquico interpuesto contra la decisión que ordena  la</w:t>
        <w:br/>
        <w:t xml:space="preserve">           destitución</w:t>
        <w:br/>
        <w:br/>
        <w:br/>
        <w:t>157.  El 13 de noviembre de 2003 los señores  Apitz  y  Rocha  interpusieron</w:t>
        <w:br/>
        <w:t>recurso  jerárquico  ante  la  Sala  Plena  del  TSJ  solicitando  que  ésta</w:t>
        <w:br/>
        <w:t>“[d]eclar[ase]  que  los  Magistrados  de  la   Corte   Primera”   sólo   se</w:t>
        <w:br/>
        <w:t>“enc[ontraban] sometidos a la potestad disciplinaria ejercida por  el  Pleno</w:t>
        <w:br/>
        <w:t>del [TSJ]”[178]. El 8 de septiembre de  2004  el  Tribunal  declaró  “no  ha</w:t>
        <w:br/>
        <w:t>lugar la solicitud formulada”[179].</w:t>
        <w:br/>
        <w:br/>
        <w:br/>
        <w:t>158.  El representante alegó que  el  recurso  jerárquico  “debió  decidirse</w:t>
        <w:br/>
        <w:t>dentro de […] 90 días”, sin embargo, demoró  diez  meses.  La  Comisión  “se</w:t>
        <w:br/>
        <w:t>abstuvo de pronunciarse,  por  […]  razones  de  insuficiencia  de  cargo  y</w:t>
        <w:br/>
        <w:t>prueba”. El Estado no presentó alegatos sobre este tema.</w:t>
        <w:br/>
        <w:br/>
        <w:br/>
        <w:t>159.  El TSJ demoró 9 meses y 26 días para resolver el  recurso  jerárquico,</w:t>
        <w:br/>
        <w:t>cuando la Ley Orgánica de Procedimientos Administrativos en su  artículo  91</w:t>
        <w:br/>
        <w:t>señala que “el recurso jerárquico, deberá ser decidido en los  noventa  (90)</w:t>
        <w:br/>
        <w:t>días siguientes a su presentación”[180].</w:t>
        <w:br/>
        <w:br/>
        <w:t>160.  La Corte resalta que ha sido el legislador venezolano quien  determinó</w:t>
        <w:br/>
        <w:t>que el plazo establecido en la ley es el que corresponde  respetar  para  un</w:t>
        <w:br/>
        <w:t>asunto como el que se  analiza  y,  por  tanto,  es  de  esperarse  que  las</w:t>
        <w:br/>
        <w:t>autoridades  internas  cumplan  con  dicho  plazo.  En  el  presente   caso,</w:t>
        <w:br/>
        <w:t>Venezuela no ha ofrecido ninguna explicación que  indique  las  razones  por</w:t>
        <w:br/>
        <w:t>las que el TSJ demoró más de nueve meses en resolver el asunto.</w:t>
        <w:br/>
        <w:br/>
        <w:t>161.  En virtud de lo expuesto, la Corte considera que el  Estado  violó  el</w:t>
        <w:br/>
        <w:t>derecho a ser oído dentro de un plazo razonable, consagrado en  el  artículo</w:t>
        <w:br/>
        <w:t>8.1 de la Convención, en consonancia con el artículo 1.1  de  la  misma,  en</w:t>
        <w:br/>
        <w:t>perjuicio de los señores Apitz y Rocha.</w:t>
        <w:br/>
        <w:br/>
        <w:br/>
        <w:br/>
        <w:br/>
        <w:br/>
        <w:t xml:space="preserve">      7.3.  Recurso de  nulidad  y  medida  de  amparo  cautelar  contra  la</w:t>
        <w:br/>
        <w:t xml:space="preserve">           sanción de destitución</w:t>
        <w:br/>
        <w:br/>
        <w:br/>
        <w:t>162.  El 27 de noviembre de 2003 los señores  Apitz  y  Rocha  interpusieron</w:t>
        <w:br/>
        <w:t>ante la SPA un recurso contencioso administrativo de  nulidad  conjuntamente</w:t>
        <w:br/>
        <w:t>con medida de amparo cautelar, contra la sanción de destitución  emitida  en</w:t>
        <w:br/>
        <w:t>su contra por la CFRSJ[181] (supra párr. 38). El 29 de  septiembre  de  2004</w:t>
        <w:br/>
        <w:t>los recurrentes solicitaron “la admisión del [recurso y la  medida  cautelar</w:t>
        <w:br/>
        <w:t>peticionados]” y “manifesta[ron … su] interés  en  que  se  prosiga  [dicha]</w:t>
        <w:br/>
        <w:t>causa hasta su definitiva conclusión”[182]. El 20 de septiembre  de  2005  y</w:t>
        <w:br/>
        <w:t>el 10 de octubre de  2006  reiteraron  su  solicitud  de  admisibilidad  del</w:t>
        <w:br/>
        <w:t>recurso[183].</w:t>
        <w:br/>
        <w:br/>
        <w:br/>
        <w:t>163.  El 18 de abril de 2007 la SPA se pronunció sobre la  improcedencia  de</w:t>
        <w:br/>
        <w:t>la acción de amparo  constitucional  y  declaró  “admit[ido],  a  los  solos</w:t>
        <w:br/>
        <w:t>efectos de su trámite y verificación por parte del Juzgado de  Sustanciación</w:t>
        <w:br/>
        <w:t>de la Sala  en  lo  atinente  a  la  caducidad  de  la  acción,  el  recurso</w:t>
        <w:br/>
        <w:t>contencioso administrativo de nulidad interpuesto”[184].  Hasta  el  momento</w:t>
        <w:br/>
        <w:t>de la emisión de la presente Sentencia, la SPA  aún  no  se  ha  pronunciado</w:t>
        <w:br/>
        <w:t>respecto al fondo del asunto.</w:t>
        <w:br/>
        <w:br/>
        <w:br/>
        <w:t>164.  La Comisión alegó que para  desestimar  este  recurso  de  amparo  los</w:t>
        <w:br/>
        <w:t>tribunales  tomaron  “más  de  tres  años”  y  “a  más  de  cuatro  años  de</w:t>
        <w:br/>
        <w:t>interpuesto[,] todavía no ha sido fallado en el fondo”. La  Comisión  agregó</w:t>
        <w:br/>
        <w:t>que esto deja a las víctimas “en un estado de indefensión  y  denegación  de</w:t>
        <w:br/>
        <w:t>justicia que permanece hasta la fecha”. Asimismo, alegó  que  “el  hecho  de</w:t>
        <w:br/>
        <w:t>que hayan transcurrido más de  tres  años  sin  solución  sustantiva  es  un</w:t>
        <w:br/>
        <w:t>aspecto que desconoce la razonabilidad en  el  plazo  para  [la]  protección</w:t>
        <w:br/>
        <w:t>judicial”, más aún si “se [lo] compara con el  hecho  de  que  las  víctimas</w:t>
        <w:br/>
        <w:t>fueron juzgadas y sancionadas en menos de un mes”.</w:t>
        <w:br/>
        <w:br/>
        <w:br/>
        <w:t>165.  El representante coincidió con lo señalado por la  Comisión  y  agregó</w:t>
        <w:br/>
        <w:t>que “dada la escasa complejidad del asunto que en este caso se le sometía  a</w:t>
        <w:br/>
        <w:t>los tribunales, resulta evidente  que  [el  recurso]  no  ha  sido  resuelto</w:t>
        <w:br/>
        <w:t>dentro de un plazo razonable. Además, señaló que “el tribunal tenía  3  días</w:t>
        <w:br/>
        <w:t>para admitir el recurso de nulidad; pero, como éste iba  acompañado  de  una</w:t>
        <w:br/>
        <w:t>solicitud de amparo constitucional cautelar, […] tenía  que  decidir  'a  la</w:t>
        <w:br/>
        <w:t>brevedad' sobre la medida cautelar solicitad[a]”.</w:t>
        <w:br/>
        <w:br/>
        <w:br/>
        <w:t>166.  El  Estado  alegó  que  “ni  el  recurso  de  nulidad,  ni  el  amparo</w:t>
        <w:br/>
        <w:t>interpuesto como medida cautelar tiene[n] un plazo perentorio  previsto,  de</w:t>
        <w:br/>
        <w:t>allí que la calificación  de  su  efectividad  deba  realizarse  tomando  en</w:t>
        <w:br/>
        <w:t>cuenta  tod[a]s  las  incidencias  que  implicaron  la  cadena  sucesiva  de</w:t>
        <w:br/>
        <w:t>inhibiciones”.</w:t>
        <w:br/>
        <w:br/>
        <w:br/>
        <w:t>167.  La Ley Orgánica de Amparo sobre Derechos y Garantías  Constitucionales</w:t>
        <w:br/>
        <w:t>establece que</w:t>
        <w:br/>
        <w:br/>
        <w:br/>
        <w:t xml:space="preserve">      […]</w:t>
        <w:br/>
        <w:br/>
        <w:br/>
        <w:t xml:space="preserve">      Cuando la acción de amparo se ejerza contra actos  administrativos  de</w:t>
        <w:br/>
        <w:t xml:space="preserve">      efectos  particulares  o  contra  abstenciones  o  negativas   de   la</w:t>
        <w:br/>
        <w:t xml:space="preserve">      Administración,   podrá   formularse   ante   el   Juez   Contencioso-</w:t>
        <w:br/>
        <w:t xml:space="preserve">      Administrativo competente, si lo hubiere en la localidad conjuntamente</w:t>
        <w:br/>
        <w:t xml:space="preserve">      con el  recurso  contencioso  administrativo  de  anulación  de  actos</w:t>
        <w:br/>
        <w:t xml:space="preserve">      administrativos o contra las conductas omisivas, respectivamente,  que</w:t>
        <w:br/>
        <w:t xml:space="preserve">      se ejerza. En estos casos, el Juez, en forma breve, sumaria,  efectiva</w:t>
        <w:br/>
        <w:t xml:space="preserve">      y conforme a lo  establecido  en  el  artículo  22,  si  lo  considera</w:t>
        <w:br/>
        <w:t xml:space="preserve">      procedente para la protección constitucional, suspenderá  los  efectos</w:t>
        <w:br/>
        <w:t xml:space="preserve">      del acto recurrido  como  garantía  de  dicho  derecho  constitucional</w:t>
        <w:br/>
        <w:t xml:space="preserve">      violado, mientras dure el juicio.</w:t>
        <w:br/>
        <w:br/>
        <w:br/>
        <w:t xml:space="preserve">      […] Cuando se ejerza la acción de amparo contra actos  administrativos</w:t>
        <w:br/>
        <w:t xml:space="preserve">      conjuntamente  con  el  recurso  contencioso  administrativo  que   se</w:t>
        <w:br/>
        <w:t xml:space="preserve">      fundamente en la violación de un derecho constitucional, el  ejercicio</w:t>
        <w:br/>
        <w:t xml:space="preserve">      del  recurso  procederá  en   cualquier   tiempo,   aún   después   de</w:t>
        <w:br/>
        <w:t xml:space="preserve">      transcurridos los lapsos de caducidad previstos en la Ley  y  no  será</w:t>
        <w:br/>
        <w:t xml:space="preserve">      necesario el agotamiento previo de la vía administrativa[185].</w:t>
        <w:br/>
        <w:br/>
        <w:br/>
        <w:t>168.  Interpretando esta previsión normativa,  la  SPA  ha  considerado  “de</w:t>
        <w:br/>
        <w:t>obligada revisión el trámite que se le [estaba] dando a la acción de  amparo</w:t>
        <w:br/>
        <w:t>ejercida  en  forma  conjunta  con  el   recurso   de   nulidad   de   actos</w:t>
        <w:br/>
        <w:t>administrativos”[186] y acordó “una tramitación similar a la seguida en  los</w:t>
        <w:br/>
        <w:t>casos de otras medidas cautelares, por lo que  una  vez  admitida  la  causa</w:t>
        <w:br/>
        <w:t>principal por la Sala […] deberá resolverse  de  forma  inmediata  sobre  la</w:t>
        <w:br/>
        <w:t>medida cautelar requerida”[187]. La  diferencia  entre  el  amparo  y  otras</w:t>
        <w:br/>
        <w:t>medidas  cautelares,  radica  en  que  aquél  “alude  exclusivamente  a   la</w:t>
        <w:br/>
        <w:t>violación de derechos y garantías  de  rango  constitucional,  circunstancia</w:t>
        <w:br/>
        <w:t>ésta que por su trascendencia, hace aún más  apremiante  el  pronunciamiento</w:t>
        <w:br/>
        <w:t>sobre la procedencia de la medida solicitada”[188].</w:t>
        <w:br/>
        <w:br/>
        <w:br/>
        <w:t>169.  La Corte constata que en el derecho  interno  venezolano  el  carácter</w:t>
        <w:br/>
        <w:t>cautelar del amparo ejercido de manera conjunta con el  recurso  de  nulidad</w:t>
        <w:br/>
        <w:t>demanda una protección temporal, pero inmediata, dada la  naturaleza  de  la</w:t>
        <w:br/>
        <w:t>lesión. Ello permite la restitución de la situación jurídica  infringida  al</w:t>
        <w:br/>
        <w:t>estado en que se encontraba antes de que ocurriera  la  supuesta  violación,</w:t>
        <w:br/>
        <w:t>mientras se emite decisión definitiva en el juicio principal.</w:t>
        <w:br/>
        <w:br/>
        <w:br/>
        <w:t>170.  En razón  de  lo  anterior,  la  Corte  debe  hacer  un  análisis  que</w:t>
        <w:br/>
        <w:t>diferencie la duración del amparo de la  duración  del  recurso  de  nulidad</w:t>
        <w:br/>
        <w:t>que, aunque ejercidos conjuntamente, tienen fines distintos. Así,  la  Corte</w:t>
        <w:br/>
        <w:t>considera que el amparo debe ser “sencillo y rápido”, en  los  términos  del</w:t>
        <w:br/>
        <w:t>artículo  25.1  de  la  Convención[189],  mientras  que  la   nulidad   debe</w:t>
        <w:br/>
        <w:t>resolverse en un “plazo razonable”, conforme al artículo 8.1 de la misma.</w:t>
        <w:br/>
        <w:br/>
        <w:br/>
        <w:br/>
        <w:br/>
        <w:br/>
        <w:t xml:space="preserve">           7.3.1.      recurso de amparo cautelar</w:t>
        <w:br/>
        <w:br/>
        <w:br/>
        <w:t>171.  La Corte observa  que  pese  a  lo  dispuesto  por  la  propia  ley  y</w:t>
        <w:br/>
        <w:t>jurisprudencia de Venezuela sobre la necesidad de inmediatez y celeridad  de</w:t>
        <w:br/>
        <w:t>la medida interpuesta, la SPA tardó más de tres años en  pronunciarse  sobre</w:t>
        <w:br/>
        <w:t>la procedencia del amparo cautelar solicitado. A criterio de  este  Tribunal</w:t>
        <w:br/>
        <w:t>el tiempo transcurrido no  es  justificable  de  forma  alguna  en  orden  a</w:t>
        <w:br/>
        <w:t>garantizar la rapidez del amparo. Por consiguiente,  estima  que  el  Estado</w:t>
        <w:br/>
        <w:t>violó el artículo 25.1 de la Convención, en relación con el artículo 1.1  de</w:t>
        <w:br/>
        <w:t>la misma, en perjuicio de los señores Apitz y Rocha.</w:t>
        <w:br/>
        <w:br/>
        <w:br/>
        <w:br/>
        <w:br/>
        <w:br/>
        <w:t xml:space="preserve">           7.3.2.      recurso de nulidad</w:t>
        <w:br/>
        <w:br/>
        <w:br/>
        <w:t>172.   Como  se  estableció  anteriormente,  el  recurso  de  nulidad  sigue</w:t>
        <w:br/>
        <w:t>pendiente y lleva en trámite más de cuatro años. En orden  a  determinar  si</w:t>
        <w:br/>
        <w:t>éste es  un  plazo  razonable,  la  Corte,  conforme  a  su  jurisprudencia,</w:t>
        <w:br/>
        <w:t>considera que es preciso tomar en cuenta a) la complejidad  del  asunto,  b)</w:t>
        <w:br/>
        <w:t>la actividad procesal del interesado, y c) la conducta  de  las  autoridades</w:t>
        <w:br/>
        <w:t>judiciales[190]. En este sentido, correspondía a Venezuela  justificar  -con</w:t>
        <w:br/>
        <w:t>los criterios señalados- la razón  por  la  cual  ha  requerido  del  tiempo</w:t>
        <w:br/>
        <w:t>indicado para tratar el caso[191].</w:t>
        <w:br/>
        <w:br/>
        <w:br/>
        <w:br/>
        <w:br/>
        <w:br/>
        <w:br/>
        <w:t xml:space="preserve">           7.3.2.1.    complejidad</w:t>
        <w:br/>
        <w:br/>
        <w:t>173.  El Estado no indicó en qué consistiría  la  complejidad  del  presente</w:t>
        <w:br/>
        <w:t>caso y se limitó a señalar que “la calificación  de  [la]  efectividad  [del</w:t>
        <w:br/>
        <w:t>recurso] deb[ía] realizarse tomando en  cuenta  todas  las  incidencias  que</w:t>
        <w:br/>
        <w:t>implicaron la  cadena  sucesiva  de  inhibiciones  que  llevaron  a  que  se</w:t>
        <w:br/>
        <w:t>conformara una  Sala  Accidental”.  La  Corte  constata  que  dicho  alegato</w:t>
        <w:br/>
        <w:t>corresponde a la actividad de las autoridades judiciales, por  lo  que  será</w:t>
        <w:br/>
        <w:t>analizado con posterioridad (infra párr. 175).</w:t>
        <w:br/>
        <w:br/>
        <w:br/>
        <w:br/>
        <w:br/>
        <w:t xml:space="preserve">           7.3.2.2.    actividad procesal de los interesados</w:t>
        <w:br/>
        <w:br/>
        <w:br/>
        <w:t>174.  Respecto a la actividad procesal de los  señores  Apitz  y  Rocha,  la</w:t>
        <w:br/>
        <w:t>Corte observa que solicitaron  en  tres  ocasiones  un  pronunciamiento  del</w:t>
        <w:br/>
        <w:t>Tribunal sobre el recurso interpuesto  (supra  párr.  162).  Además,  no  se</w:t>
        <w:br/>
        <w:t>infiere del expediente que los litigantes hayan desarrollado  una  actividad</w:t>
        <w:br/>
        <w:t>que  provoque  una  demora  indebida  en  la  tramitación  del  proceso.  En</w:t>
        <w:br/>
        <w:t>consecuencia, la Corte entiende  que  no  hubo  en  el  caso  una  actuación</w:t>
        <w:br/>
        <w:t>dilatoria  por  parte  de  las  víctimas.  Por   el   contrario,   hubo   un</w:t>
        <w:br/>
        <w:t>comportamiento diligente en aras de lograr un pronunciamiento de la SPA.</w:t>
        <w:br/>
        <w:br/>
        <w:br/>
        <w:br/>
        <w:br/>
        <w:br/>
        <w:t xml:space="preserve">            7.3.2.3.   actividad de las autoridades judiciales</w:t>
        <w:br/>
        <w:br/>
        <w:br/>
        <w:t>175.  Respecto a las inhibiciones alegadas por el Estado, la  Corte  observa</w:t>
        <w:br/>
        <w:t>que, en efecto, varios magistrados de la SPA se  inhibieron  de  conocer  el</w:t>
        <w:br/>
        <w:t>recurso presentado por las dos víctimas. Así, el  magistrado  Hadel  Mostafá</w:t>
        <w:br/>
        <w:t>Paolini, designado ponente a los fines de  decidir  sobre  la  admisibilidad</w:t>
        <w:br/>
        <w:t>del recurso y la acción de amparo[192], había sido también el ponente de  la</w:t>
        <w:br/>
        <w:t>decisión   que   estableció    la    existencia    del    “error    judicial</w:t>
        <w:br/>
        <w:t>inexcusable”[193]. Por su parte,  los  magistrados  Levis  Ignacio  Zerpa  y</w:t>
        <w:br/>
        <w:t>Yolanda Jaimes Guerrero formaron  parte  de  esta  Sala  cuando  declaró  la</w:t>
        <w:br/>
        <w:t>existencia de dicho error[194]. Finalmente,  la  magistrada  Evelyn  Marrero</w:t>
        <w:br/>
        <w:t>Ortíz formaba parte de la Corte Primera al momento de adoptarse la  decisión</w:t>
        <w:br/>
        <w:t>por cuya causa las víctimas fueron destituidas[195].</w:t>
        <w:br/>
        <w:br/>
        <w:br/>
        <w:t>176.  Sin embargo, no fue sino hasta el 29 de septiembre de 2005,  22  meses</w:t>
        <w:br/>
        <w:t>después de interpuesto  el  recurso,  que  los  magistrados  Yolanda  Jaimes</w:t>
        <w:br/>
        <w:t>Guerrero y Hadel Mostafá Paolini manifestaron su voluntad  de  inhibirse;  y</w:t>
        <w:br/>
        <w:t>el 18 de octubre de 2005 y el 2 de marzo de 2006, 23 y 28 meses después,  lo</w:t>
        <w:br/>
        <w:t>hicieron los  magistrados  Evelyn  Marrero  Ortiz  y  Levis  Ignacio  Zerpa,</w:t>
        <w:br/>
        <w:t>respectivamente. Todas las inhibiciones se declararon con  lugar  el  20  de</w:t>
        <w:br/>
        <w:t>diciembre de 2006[196].</w:t>
        <w:br/>
        <w:br/>
        <w:br/>
        <w:t>177.  Al respecto, el Tribunal considera que aún cuando pueda  alegarse  que</w:t>
        <w:br/>
        <w:t>tramitar y resolver la inhibición de cuatro  magistrados  de  una  corte  de</w:t>
        <w:br/>
        <w:t>cinco integrantes dificulta el trámite regular del  proceso,  la  demora  de</w:t>
        <w:br/>
        <w:t>más de 20 meses en la presentación de  las  respectivas  inhibiciones  y  la</w:t>
        <w:br/>
        <w:t>demora de más de un año en resolverlas, resultan excesivas.</w:t>
        <w:br/>
        <w:br/>
        <w:br/>
        <w:t>178.  En cuanto al accionar de la SPA, esta  Corte  constata  que  demoró  3</w:t>
        <w:br/>
        <w:t>años, 4 meses y 22 días para  declarar  admisible  el  recurso.  Este  plazo</w:t>
        <w:br/>
        <w:t>resulta excesivo considerando que se trata de un acto procesal  de  relativa</w:t>
        <w:br/>
        <w:t>simplicidad cuya única valoración consiste en constatar el  cumplimiento  de</w:t>
        <w:br/>
        <w:t>los requisitos de admisibilidad[197].</w:t>
        <w:br/>
        <w:br/>
        <w:br/>
        <w:t>179.  Asimismo cabe destacar que el señor  Rocha  en  la  audiencia  pública</w:t>
        <w:br/>
        <w:t>señaló que “la [SPA] aún no ha librado los carteles  de  emplazamiento  para</w:t>
        <w:br/>
        <w:t>los interesados, carteles que una vez que los libren  nosotros  tenemos  que</w:t>
        <w:br/>
        <w:t>tomarlos y publicarlos en prensa, para llamar a cualquier interesado  y  que</w:t>
        <w:br/>
        <w:t>continúe el procedimiento”[198]. Asimismo, el señor Apitz manifestó  que  se</w:t>
        <w:br/>
        <w:t>“est[aban] librando carteles de notificación para la [CFRSJ], la Fiscalía  y</w:t>
        <w:br/>
        <w:t>la Procuraduría General  de  la  República”[199].  Estos  dichos  no  fueron</w:t>
        <w:br/>
        <w:t>desvirtuados por el Estado.</w:t>
        <w:br/>
        <w:br/>
        <w:br/>
        <w:t>180.  De otro lado, el Estado presentó una declaración informativa  respecto</w:t>
        <w:br/>
        <w:t>a “la duración  de  los  procedimientos  judiciales  ante  la  [SPA]”.  Esta</w:t>
        <w:br/>
        <w:t>declaración muestra cifras estadísticas que  reflejan  el  resultado  de  la</w:t>
        <w:br/>
        <w:t>actividad de la Sala. Además, la declarante indicó que pese  a  la  “intensa</w:t>
        <w:br/>
        <w:t>actividad jurisdiccional” dicha  Sala  posee  “la  más  alta  producción  de</w:t>
        <w:br/>
        <w:t>sentencias” no obstante “todavía quedan muchos casos  de  vieja  data”[200].</w:t>
        <w:br/>
        <w:t>El Estado  presentó  esta  prueba  pero  omitió  realizar  una  construcción</w:t>
        <w:br/>
        <w:t>argumentativa en torno a ella limitando la capacidad de valoración  en  sana</w:t>
        <w:br/>
        <w:t>crítica por parte de esta Corte, tal como fue señalado  en  el  párrafo  154</w:t>
        <w:br/>
        <w:t>supra. Además, la Corte considera que el alto número  de  causas  pendientes</w:t>
        <w:br/>
        <w:t>ante un tribunal no justifica por sí solo  que  se  afecte  el  derecho  del</w:t>
        <w:br/>
        <w:t>individuo a obtener en un plazo razonable una decisión.</w:t>
        <w:br/>
        <w:br/>
        <w:br/>
        <w:t>181.  Por todo lo anterior, la Corte considera que el Estado no  ha  logrado</w:t>
        <w:br/>
        <w:t>justificar que el tiempo que la SPA ha demorado en resolver  el  recurso  de</w:t>
        <w:br/>
        <w:t>nulidad  interpuesto  se  ajusta  al  principio  del  plazo  razonable.   En</w:t>
        <w:br/>
        <w:t>consecuencia, la Corte considera que el Estado violó el artículo 8.1  de  la</w:t>
        <w:br/>
        <w:t>Convención, en consonancia con el artículo 1.1 de la misma, en perjuicio  de</w:t>
        <w:br/>
        <w:t>los señores Apitz y Rocha.</w:t>
        <w:br/>
        <w:br/>
        <w:br/>
        <w:br/>
        <w:br/>
        <w:br/>
        <w:t xml:space="preserve">      7.4.  Alegada violación  del  derecho  a  la  protección  judicial  en</w:t>
        <w:br/>
        <w:t xml:space="preserve">           perjuicio de la magistrada Ruggeri</w:t>
        <w:br/>
        <w:br/>
        <w:br/>
        <w:t>182.  El representante señaló que la “confabulación de los poderes  públicos</w:t>
        <w:br/>
        <w:t>[…] al servicio de los deseos públicamente anunciados por el  Presidente  de</w:t>
        <w:br/>
        <w:t>la República […] por sí sola, configura una violación […]  del  artículo  25</w:t>
        <w:br/>
        <w:t>de la Convención, en la medida  en  que  hace  ilusoria  la  efectividad  de</w:t>
        <w:br/>
        <w:t>cualquier  recurso  judicial  ante  los  tribunales  venezolanos”.  Asimismo</w:t>
        <w:br/>
        <w:t>añadió que  “Ana  María  Ruggeri  presentó  ante  la  [IGT]  un  escrito  de</w:t>
        <w:br/>
        <w:t>descargos, [… que] fue desestimado por la [CFRSJ]”.  La  Comisión  no  alegó</w:t>
        <w:br/>
        <w:t>violación del derecho a la protección judicial en  perjuicio  de  la  señora</w:t>
        <w:br/>
        <w:t>Ruggeri. Por su parte, el Estado afirmó que “a diferencia  de  sus  antiguos</w:t>
        <w:br/>
        <w:t>colegas,  [la  señora  Ruggeri]   no   interpuso   ante   los   órganos   de</w:t>
        <w:br/>
        <w:t>administración de justicia venezolanos recurso alguno con  la  finalidad  de</w:t>
        <w:br/>
        <w:t>enervar los efectos del pronunciamiento emanado de la [CFRSJ]”.</w:t>
        <w:br/>
        <w:br/>
        <w:br/>
        <w:t>183.  La Corte observa que el alegato del  representante  no  es  pertinente</w:t>
        <w:br/>
        <w:t>porque el “escrito de descargo” de la señora Ruggeri no es un recurso,  sino</w:t>
        <w:br/>
        <w:t>una actuación procesal de presentación de alegatos y pruebas. Además, de  la</w:t>
        <w:br/>
        <w:t>prueba obrante en el expediente  no  aparece  que  la  señora  Ruggeri  haya</w:t>
        <w:br/>
        <w:t>interpuesto recurso judicial alguno contra la decisión que la destituyó.</w:t>
        <w:br/>
        <w:br/>
        <w:br/>
        <w:t>184.  En cuanto al alegato del representante referente a  la  “confabulación</w:t>
        <w:br/>
        <w:t>de poderes públicos”, tal y como se indica en el párrafo 108  supra,  no  ha</w:t>
        <w:br/>
        <w:t>quedado demostrado que todo el Poder Judicial  venezolano  responda  a  otro</w:t>
        <w:br/>
        <w:t>órgano estatal.</w:t>
        <w:br/>
        <w:br/>
        <w:br/>
        <w:t>185.   En  consecuencia,  la  Corte  considera  que  no  se  ha  violado  la</w:t>
        <w:br/>
        <w:t>protección judicial en perjuicio de la señora Ruggeri.</w:t>
        <w:br/>
        <w:br/>
        <w:br/>
        <w:br/>
        <w:br/>
        <w:br/>
        <w:t xml:space="preserve">                                     VII</w:t>
        <w:br/>
        <w:t xml:space="preserve">    Artículo 23 (Derechos Políticos)[201] y Artículo 24 (Igualdad ante la</w:t>
        <w:br/>
        <w:t xml:space="preserve">  Ley)[202], en relación con los artículos 1.1 (Obligación de Respetar los</w:t>
        <w:br/>
        <w:t xml:space="preserve">   Derechos) y 2 (Deber de Adoptar Disposiciones de Derecho Interno) de la</w:t>
        <w:br/>
        <w:t xml:space="preserve">                            Convención Americana</w:t>
        <w:br/>
        <w:br/>
        <w:t>186.  El representante alegó que “la destitución de los jueces de  la  Corte</w:t>
        <w:br/>
        <w:t>Primera  obedeció  a  un  propósito  político”,  lo  cual  “les  impidió  el</w:t>
        <w:br/>
        <w:t>ejercicio de [la] función pública  [d]e  administrar  justicia,  que  es  lo</w:t>
        <w:br/>
        <w:t>mismo que impedirles el acceso a esa función”. Además, indicó que  “las  dos</w:t>
        <w:br/>
        <w:t>juezas que sistemáticamente se  opusieron  a  las  sentencias  de  la  Corte</w:t>
        <w:br/>
        <w:t>Primera recaídas  en  aquellos  casos  que  tenían  una  fuerte  connotación</w:t>
        <w:br/>
        <w:t>política […] no fueron  sancionadas  por  [el  mencionado]  ‘error  judicial</w:t>
        <w:br/>
        <w:t>inexcusable’” “sino que fueron ascendidas” como magistradas del TSJ. Por  el</w:t>
        <w:br/>
        <w:t>contrario, las víctimas “no han reingresado al Poder Judicial […] porque  […</w:t>
        <w:br/>
        <w:t>a]l haber sido destituidas  […]  están  impedidas  de  acceder  a  funciones</w:t>
        <w:br/>
        <w:t>judiciales”, siendo  ésta  una  inhabilidad  de  “carácter  permanente”.  En</w:t>
        <w:br/>
        <w:t>cambio, para las juezas Marrero y Morales “esa inhabilidad no  existe,  pues</w:t>
        <w:br/>
        <w:t>no fueron sancionadas  disciplinariamente”.  En  definitiva,  “[e]ste  trato</w:t>
        <w:br/>
        <w:t>discriminatorio refleja que, o no hubo tal ‘error  judicial  inexcusable’  y</w:t>
        <w:br/>
        <w:t>que todo no fue más que un pretexto para seguir adelante con  la  depuración</w:t>
        <w:br/>
        <w:t>ideológica del [P]oder Judicial, o que quienes incurrieron  en  dicho  error</w:t>
        <w:br/>
        <w:t>no gozaron de la igual protección de las leyes  y  no  tuvieron  acceso,  en</w:t>
        <w:br/>
        <w:t>condiciones de igualdad, a las funciones públicas”.</w:t>
        <w:br/>
        <w:br/>
        <w:br/>
        <w:t>187.  La Comisión no alegó la violación del artículo  23  de  la  Convención</w:t>
        <w:br/>
        <w:t>toda vez que  estimó  que  “las  víctimas  […]  tuvieron  un  acceso  a  las</w:t>
        <w:br/>
        <w:t>funciones públicas en condiciones de igualdad” y que “la discusión en  torno</w:t>
        <w:br/>
        <w:t>al artículo 23 queda subsumida en las consideraciones sobre los artículos  8</w:t>
        <w:br/>
        <w:t>y 25 de la Convención”. Respecto de la violación del artículo 24, declaró  a</w:t>
        <w:br/>
        <w:t>la petición inadmisible en este punto,  ya  que,  según  su  criterio,  “los</w:t>
        <w:br/>
        <w:t>peticionarios no han desvirtuado que la situación jubilatoria  de  los  tres</w:t>
        <w:br/>
        <w:t>magistrados destituidos y de las dos magistradas que  fueron  jubiladas  era</w:t>
        <w:br/>
        <w:t>diferente”, razón por la cual  “[d]ada  la  situación  fáctica  disímil,  un</w:t>
        <w:br/>
        <w:t>trato diferenciado en cuanto a la  situación  de  jubilación  no  constituye</w:t>
        <w:br/>
        <w:t>discriminación”.</w:t>
        <w:br/>
        <w:br/>
        <w:br/>
        <w:t>188.  El Estado alegó que no existe discriminación ya que  “no  podían  los</w:t>
        <w:br/>
        <w:t>peticionarios ser beneficiados con la jubilación, por cuanto los mismos  no</w:t>
        <w:br/>
        <w:t>cumplían con los diez (10) años de servicio requeridos en el Poder Judicial</w:t>
        <w:br/>
        <w:t>y veinte (20) en la Administración Pública”. Respecto a la  designación  de</w:t>
        <w:br/>
        <w:t>las magistradas Morales y Marrero en el  TSJ,  el  Estado  señaló  que  las</w:t>
        <w:br/>
        <w:t>víctimas  “no  se  postularon  [al]   proceso   de   selección,   convocado</w:t>
        <w:br/>
        <w:t>públicamente […] al que sí se sometieron [dichas] ex–juezas”. Agregó que no</w:t>
        <w:br/>
        <w:t>existe “prueba fehaciente” de “una serie de prohibiciones  de  orden  legal</w:t>
        <w:br/>
        <w:t>que impedirían la postulación de las presuntas víctimas”. En este  sentido,</w:t>
        <w:br/>
        <w:t>indicó que la prohibición sólo podría  provenir  de  “un  acto  denegatorio</w:t>
        <w:br/>
        <w:t>expreso de la Asamblea Nacional, que invocando esos dispositivos normativos</w:t>
        <w:br/>
        <w:t>[…]  impida  la  postulación   de   los   ex–jueces   provisorios   en   la</w:t>
        <w:br/>
        <w:t>correspondiente selección”.</w:t>
        <w:br/>
        <w:br/>
        <w:br/>
        <w:t>189. La Corte ha establecido que la presunta víctima, sus familiares  o  sus</w:t>
        <w:br/>
        <w:t>representantes pueden invocar derechos distintos de los comprendidos  en  la</w:t>
        <w:br/>
        <w:t>demanda de la  Comisión,  sobre  la  base  de  los  hechos  presentados  por</w:t>
        <w:br/>
        <w:t>ésta[203]. Además, la Corte considera que si bien la denuncia fue  declarada</w:t>
        <w:br/>
        <w:t>inadmisible por la Comisión Interamericana respecto de la alegada  violación</w:t>
        <w:br/>
        <w:t>del artículo 24[204], es posible para este  Tribunal  analizar  la  eventual</w:t>
        <w:br/>
        <w:t>violación de este derecho, puesto que las decisiones de inadmisibilidad  que</w:t>
        <w:br/>
        <w:t>realiza la Comisión basadas en  el  artículo  47  letras  b)  y  c)   de  la</w:t>
        <w:br/>
        <w:t>Convención son calificaciones jurídicas  prima  facie,  que  no  limitan  la</w:t>
        <w:br/>
        <w:t>competencia de la Corte para pronunciarse sobre un punto de derecho  que  ha</w:t>
        <w:br/>
        <w:t>sido analizado por la Comisión sólo de forma preliminar.  El  Tribunal  pasa</w:t>
        <w:br/>
        <w:t>entonces a dividir  el  análisis  de  los  alegatos  de  las  partes  de  la</w:t>
        <w:br/>
        <w:t>siguiente manera: 1) discriminación  en  la  aplicación  de  la  sanción  de</w:t>
        <w:br/>
        <w:t>destitución; 2)  discriminación  en  el  acceso  al  Poder  Judicial,  y  3)</w:t>
        <w:br/>
        <w:t>discriminación en la aplicación de la ley procesal.</w:t>
        <w:br/>
        <w:br/>
        <w:br/>
        <w:br/>
        <w:br/>
        <w:br/>
        <w:t xml:space="preserve">      1.    discriminación en la aplicación de la sanción de destitución</w:t>
        <w:br/>
        <w:br/>
        <w:br/>
        <w:t>190.  La principal defensa del Estado  respecto  de  la  existencia  de  una</w:t>
        <w:br/>
        <w:t>posible discriminación es que “no puede haber  trato  discriminatorio  entre</w:t>
        <w:br/>
        <w:t>desiguales, sino entre iguales” y que en este caso las tres víctimas  no  se</w:t>
        <w:br/>
        <w:t>encontraban  en  una  situación  de  igualdad  respecto  de  las  otras  dos</w:t>
        <w:br/>
        <w:t>magistradas de la Corte Primera, tanto respecto de la  jubilación  como  del</w:t>
        <w:br/>
        <w:t>acceso a nuevos cargos en el Poder Judicial.</w:t>
        <w:br/>
        <w:br/>
        <w:br/>
        <w:t>191.   Los  cinco  magistrados  que  integraban  la  Corte  Primera   fueron</w:t>
        <w:br/>
        <w:t>sometidos a procedimiento disciplinario por haber adoptado de forma  unánime</w:t>
        <w:br/>
        <w:t>una sentencia por la cual se declaró la  existencia  de  un  error  judicial</w:t>
        <w:br/>
        <w:t>inexcusable.</w:t>
        <w:br/>
        <w:br/>
        <w:br/>
        <w:t>192.   Los  magistrados  Apitz,  Rocha  y   Ruggeri   fueron   efectivamente</w:t>
        <w:br/>
        <w:t>destituidos por el órgano disciplinario en aplicación del artículo 40 No.  4</w:t>
        <w:br/>
        <w:t>de la Ley de Carrera Judicial[205].  La  norma  establece  que  “los  jueces</w:t>
        <w:br/>
        <w:t>serán destituidos de sus cargos […] [c]uando  hubieren  incurrido  en  grave</w:t>
        <w:br/>
        <w:t>error judicial inexcusable”[206]. Es decir,  contempla  que  para  un  mismo</w:t>
        <w:br/>
        <w:t>supuesto de hecho –la  comisión  de  un  error  judicial  inexcusable-  debe</w:t>
        <w:br/>
        <w:t>seguirse una cierta consecuencia jurídica –la destitución.</w:t>
        <w:br/>
        <w:br/>
        <w:br/>
        <w:t>193.  Esta consecuencia punitiva no fue aplicada a las  magistradas  Marrero</w:t>
        <w:br/>
        <w:t>y Morales[207]. En efecto la CFRSJ, a pesar de  haber  constatado  el  mismo</w:t>
        <w:br/>
        <w:t>hecho, la misma tipificación y la misma  relación  de  autoría  respecto  de</w:t>
        <w:br/>
        <w:t>todos los procesados, no ordenó la destitución de la jueza  Evelyn  Marrero.</w:t>
        <w:br/>
        <w:t>Para ello tuvo en cuenta que existía una resolución anterior  que  declaraba</w:t>
        <w:br/>
        <w:t>que esta jueza cumplía con los requisitos para jubilarse, por lo que</w:t>
        <w:br/>
        <w:br/>
        <w:br/>
        <w:t xml:space="preserve">      en atención a la doctrina vinculante de  la  Sala  Constitucional  del</w:t>
        <w:br/>
        <w:t xml:space="preserve">      [TSJ], de fecha 08 de febrero de 2002, esta instancia disciplinaria en</w:t>
        <w:br/>
        <w:t xml:space="preserve">      resguardo de un derecho social, como lo es el derecho a la jubilación,</w:t>
        <w:br/>
        <w:t xml:space="preserve">      que no se puede vulnerar, declara que la existencia de  la  mencionada</w:t>
        <w:br/>
        <w:t xml:space="preserve">      resolución del [TSJ] hace de imposible ejecución la sanción en lo  que</w:t>
        <w:br/>
        <w:t xml:space="preserve">      respecta  a  la  ciudadana  EVELYN  MARGARITA  MARRERO  ORTIZ  y,   en</w:t>
        <w:br/>
        <w:t xml:space="preserve">      consecuencia,  se  declara  que  no  tiene  materia  sobre   la   cual</w:t>
        <w:br/>
        <w:t xml:space="preserve">      decidir[208].</w:t>
        <w:br/>
        <w:br/>
        <w:br/>
        <w:t>194.  Por su parte, la magistrada Luisa Estella Morales Lamuño, quien había</w:t>
        <w:br/>
        <w:t>sido  inicialmente  destituida  junto  con  los  otros  tres   magistrados,</w:t>
        <w:br/>
        <w:t>interpuso un recurso de reconsideración a consecuencia del  cual  la  CFRSJ</w:t>
        <w:br/>
        <w:t>decidió “dej[ar] sin efecto la sanción  disciplinaria  de  destitución  del</w:t>
        <w:br/>
        <w:t>cargo” emitida en su contra. Arribó a esa determinación en consideración de</w:t>
        <w:br/>
        <w:t>que la magistrada cumplía, con anterioridad  al  inicio  del  procedimiento</w:t>
        <w:br/>
        <w:t>disciplinario,   con   los   requisitos   para   someterse   a   jubilación</w:t>
        <w:br/>
        <w:t>especial[209].</w:t>
        <w:br/>
        <w:br/>
        <w:br/>
        <w:t>195.  La Corte observa que existió una diferencia de trato entre  los  tres</w:t>
        <w:br/>
        <w:t>magistrados víctimas que fueron destituidos y  las  magistradas  Marrero  y</w:t>
        <w:br/>
        <w:t>Morales, cuya sanción, en el primer caso nunca se impuso y, en el  segundo,</w:t>
        <w:br/>
        <w:t>fue revocada. Para ello la  CFRSJ  invocó  como  fundamento  una  “doctrina</w:t>
        <w:br/>
        <w:t>vinculante” de la Sala Constitucional del TSJ[210], cuya  consecuencia  era</w:t>
        <w:br/>
        <w:t>la no imposición de la sanción  correspondiente  al  ilícito  disciplinario</w:t>
        <w:br/>
        <w:t>cuando los jueces cumplieran con los requisitos para acceder  a  jubilación</w:t>
        <w:br/>
        <w:t>con anterioridad a la comisión de la falta.</w:t>
        <w:br/>
        <w:br/>
        <w:br/>
        <w:t>196.  La Corte constata que las víctimas de este caso no cumplían  con  las</w:t>
        <w:br/>
        <w:t>exigencias de edad  y  años  de  servicio  requeridos  para  acceder  a  la</w:t>
        <w:br/>
        <w:t>jubilación[211].  En  este  sentido,  podría  pensarse  que  las  víctimas,</w:t>
        <w:br/>
        <w:t>respecto de las magistradas Morales y Marrero -que sí cumplían  con  dichos</w:t>
        <w:br/>
        <w:t>requisitos objetivos-, no se encontraban en una situación de  igualdad  que</w:t>
        <w:br/>
        <w:t>justificara que se las tratara de forma similar.</w:t>
        <w:br/>
        <w:br/>
        <w:br/>
        <w:t>197.  Sin embargo, la conducta  de  los  cinco  magistrados  se  ajustó  al</w:t>
        <w:br/>
        <w:t>supuesto de hecho de la norma contenida en el artículo  40  No.  4  citado,</w:t>
        <w:br/>
        <w:t>pues habían concurrido de forma unánime a la adopción de la  sentencia  que</w:t>
        <w:br/>
        <w:t>fue declarada como  constitutiva  de  un  error  judicial  inexcusable.  La</w:t>
        <w:br/>
        <w:t>cuestión que se plantea entonces es si el cumplimiento de los requisitos de</w:t>
        <w:br/>
        <w:t>jubilación introducía una diferencia razonable entre dos grupos de personas</w:t>
        <w:br/>
        <w:t>de acuerdo a los  fines  de  la  norma  disciplinaria  aplicada,  esto  es,</w:t>
        <w:br/>
        <w:t>salvaguardar la  idoneidad  de  los  jueces.  La  Corte  considera  que  la</w:t>
        <w:br/>
        <w:t>jubilación es un  derecho  ajeno  a  la  condición  de  idoneidad  para  el</w:t>
        <w:br/>
        <w:t>ejercicio  de  funciones  públicas,  como  también   a   la   constatación,</w:t>
        <w:br/>
        <w:t>calificación e  imputación  de  los  hechos  que  causaron  el  proceso  de</w:t>
        <w:br/>
        <w:t>destitución. La Corte  constata  que  los  cinco  jueces  tenían  un  grado</w:t>
        <w:br/>
        <w:t>idéntico de responsabilidad disciplinaria, y el hecho  de  que  algunos  de</w:t>
        <w:br/>
        <w:t>ellos cumplieran con los requisitos para jubilarse no desvirtuó en  sentido</w:t>
        <w:br/>
        <w:t>alguno dicha constatación.</w:t>
        <w:br/>
        <w:br/>
        <w:t>198.   Prueba de que la condición de jubilación es una  premisa  extraña  al</w:t>
        <w:br/>
        <w:t>juicio disciplinario, es que en otros casos fue posible aplicar  la  sanción</w:t>
        <w:br/>
        <w:t>correspondiente a un  ilícito  disciplinario  y,  simultáneamente,  conceder</w:t>
        <w:br/>
        <w:t>aquel derecho social a quien cumplía con los requisitos para ello.  Si  bien</w:t>
        <w:br/>
        <w:t>es cierto que  la  decisión  de  la  CFRSJ  aplicó  una  jurisprudencia  que</w:t>
        <w:br/>
        <w:t>permitía el reemplazo de destituciones por jubilaciones  para  no  privar  a</w:t>
        <w:br/>
        <w:t>los jueces del derecho social a la jubilación, al  expediente  fue  aportada</w:t>
        <w:br/>
        <w:t>una decisión de la Sala Constitucional del TSJ que, en  forma  previa  a  la</w:t>
        <w:br/>
        <w:t>mencionada  decisión  de  la  CFRSJ,  había  declarado  inconstitucional  la</w:t>
        <w:br/>
        <w:t>sección del artículo 41 de la Ley de Carrera Judicial que prohibía  el  goce</w:t>
        <w:br/>
        <w:t>de la jubilación a los  jueces  que  hubiesen  sido  destituidos[212].  Ello</w:t>
        <w:br/>
        <w:t>permite concluir que no era necesario efectuar el reemplazo  de  destitución</w:t>
        <w:br/>
        <w:t>por jubilaciones y que podía efectuarse tanto lo uno como lo otro  en  forma</w:t>
        <w:br/>
        <w:t>simultánea.</w:t>
        <w:br/>
        <w:br/>
        <w:t>199.  Posteriormente, la SPA ha señalado que la condición de jubilación  “no</w:t>
        <w:br/>
        <w:t>exime a esta Sala de ordenar a la [IGT]  proveer  lo  conducente  a  fin  de</w:t>
        <w:br/>
        <w:t>establecer  mediante  el  procedimiento   administrativo   respectivo,   las</w:t>
        <w:br/>
        <w:t>responsabilidades disciplinarias a que hubiere lugar  […]  no  excluidas  de</w:t>
        <w:br/>
        <w:t>ningún modo  por  obrar  un  derecho  adquirido  a  su  favor,  como  es  la</w:t>
        <w:br/>
        <w:t>jubilación”[213].   En   otro   caso,   la    misma    Sala    indicó    que</w:t>
        <w:br/>
        <w:t>“independientemente  de  que  la  jueza  sancionada  hubiese   obtenido   el</w:t>
        <w:br/>
        <w:t>beneficio de jubilación, ello no obsta para  que  se  tomen  las  decisiones</w:t>
        <w:br/>
        <w:t>pertinentes, en caso de que  resulte  ser  cierto  que  aquella  mostró  una</w:t>
        <w:br/>
        <w:t>conducta inapropiada en el desempeño de su  carrera  judicial,  de  lo  cuál</w:t>
        <w:br/>
        <w:t>deberá quedar constancia en su expediente personal”[214].</w:t>
        <w:br/>
        <w:br/>
        <w:br/>
        <w:t>200.  La Corte entiende que los cinco magistrados debían considerarse  como</w:t>
        <w:br/>
        <w:t>idénticamente situados frente al proceso  disciplinario.  Sin  embargo,  el</w:t>
        <w:br/>
        <w:t>Tribunal no tiene  competencia  para  decidir  si  procedía  la  mencionada</w:t>
        <w:br/>
        <w:t>sanción y a quiénes tendría que aplicarse. En efecto,  la  Corte  no  tiene</w:t>
        <w:br/>
        <w:t>facultad para decidir que las magistradas Marrero y Morales debieron  haber</w:t>
        <w:br/>
        <w:t>sido sancionadas tal y como lo fueron las  víctimas.  Así,  no  es  posible</w:t>
        <w:br/>
        <w:t>afirmar que el derecho consagrado en el artículo 24 de la Convención otorga</w:t>
        <w:br/>
        <w:t>a las víctimas la facultad de exigir una sanción idéntica a  la  propia  en</w:t>
        <w:br/>
        <w:t>contra de dichas magistradas[215]. En conclusión, en este caso  no  procede</w:t>
        <w:br/>
        <w:t>decretar una violación al derecho  consagrado  en  el  artículo  24  de  la</w:t>
        <w:br/>
        <w:t>Convención.</w:t>
        <w:br/>
        <w:br/>
        <w:br/>
        <w:br/>
        <w:br/>
        <w:br/>
        <w:t xml:space="preserve">      2.    discriminación en el acceso a nuevos cargos en el Poder Judicial</w:t>
        <w:br/>
        <w:br/>
        <w:br/>
        <w:t>201.  El representante alegó que no sólo existió discriminación  al  momento</w:t>
        <w:br/>
        <w:t>de destituir a las víctimas, sino que se discriminó en el  acceso  a  nuevos</w:t>
        <w:br/>
        <w:t>cargos en el Poder Judicial puesto que las  magistradas  Marrero  y  Morales</w:t>
        <w:br/>
        <w:t>pudieron reingresar a la judicatura siendo nombradas  en  el  TSJ,  mientras</w:t>
        <w:br/>
        <w:t>que las víctimas tienen un impedimento de acceder a  cargos  judiciales  que</w:t>
        <w:br/>
        <w:t>“deriva directamente de la ley”.</w:t>
        <w:br/>
        <w:br/>
        <w:br/>
        <w:t>202.  La Corte observa que, como consecuencia de su  destitución,  las  tres</w:t>
        <w:br/>
        <w:t>víctimas se vieron imposibilitadas de volver a ocupar  cargos  en  el  Poder</w:t>
        <w:br/>
        <w:t>Judicial. En efecto, la legislación venezolana establece sobre el punto  las</w:t>
        <w:br/>
        <w:t>siguientes normas:</w:t>
        <w:br/>
        <w:br/>
        <w:br/>
        <w:t xml:space="preserve">        i) el artículo 7 de la Ley Orgánica del TSJ, según el cual:</w:t>
        <w:br/>
        <w:br/>
        <w:br/>
        <w:t xml:space="preserve">        para ser Magistrado o Magistrada del  [TSJ],  el  aspirante  deberá</w:t>
        <w:br/>
        <w:t xml:space="preserve">        cumplir con los siguientes requisitos:</w:t>
        <w:br/>
        <w:br/>
        <w:br/>
        <w:t xml:space="preserve">        […]</w:t>
        <w:br/>
        <w:br/>
        <w:br/>
        <w:t xml:space="preserve">        4.  No  haber  sido  sometido  a  procedimiento  administrativo   o</w:t>
        <w:br/>
        <w:t xml:space="preserve">        sancionatorio ni a juicio  ni  haber  sido  condenado  mediante  el</w:t>
        <w:br/>
        <w:t xml:space="preserve">        correspondiente acto o sentencia definitivamente firme[216].</w:t>
        <w:br/>
        <w:br/>
        <w:br/>
        <w:t xml:space="preserve">       ii) el artículo 11 de la Ley de Carrera Judicial, según el cual:</w:t>
        <w:br/>
        <w:br/>
        <w:br/>
        <w:t xml:space="preserve">        No podrán ser designados Jueces: […] los  que  tengan  antecedentes</w:t>
        <w:br/>
        <w:t xml:space="preserve">        penales o hayan sido sujetos  de  condenas  por  Tribunales  o  por</w:t>
        <w:br/>
        <w:t xml:space="preserve">        organismos  disciplinarios   profesionales   que   comprometan   su</w:t>
        <w:br/>
        <w:t xml:space="preserve">        intachable  conducta;  los  que  tengan  algún  comportamiento  que</w:t>
        <w:br/>
        <w:t xml:space="preserve">        comprometa la dignidad del  cargo  o  le  hagan  desmerecer  en  el</w:t>
        <w:br/>
        <w:t xml:space="preserve">        concepto público[217].</w:t>
        <w:br/>
        <w:br/>
        <w:br/>
        <w:t>203.  El Estado alegó que no existe “prueba fehaciente” de una  prohibición</w:t>
        <w:br/>
        <w:t>legal que impida el reingreso  de  las  víctimas  al  Poder  Judicial.  Sin</w:t>
        <w:br/>
        <w:t>embargo, no presentó desarrollos jurisprudenciales u otro  tipo  de  prueba</w:t>
        <w:br/>
        <w:t>suficiente para desvirtuar la claridad de la Ley Orgánica del TSJ y la  Ley</w:t>
        <w:br/>
        <w:t>de Carrera Judicial en este  punto.  Por  el  contrario,  en  sus  alegatos</w:t>
        <w:br/>
        <w:t>finales escritos el propio Estado afirmó que en virtud de la Ley de Carrera</w:t>
        <w:br/>
        <w:t>Judicial vigente al momento de los hechos  y  “dada  la  naturaleza  de  la</w:t>
        <w:br/>
        <w:t>sanción de  destitución,  aplicable  a  todos  aquellos  jueces  que  hayan</w:t>
        <w:br/>
        <w:t>cometido faltas graves en el desempeño de sus funciones, se establece  como</w:t>
        <w:br/>
        <w:t>una de sus consecuencias  el  no  permitir  el  reingreso  del  funcionario</w:t>
        <w:br/>
        <w:t>destituido al Poder Judicial, al quedar comprobad[a …] su inidoneidad  para</w:t>
        <w:br/>
        <w:t>el cargo que ocupaba”.  Por  esto,  la  Corte  considera  probado  que  las</w:t>
        <w:br/>
        <w:t>víctimas se vieron imposibilitadas de acceder a nuevos cargos en  el  Poder</w:t>
        <w:br/>
        <w:t>Judicial como resultado de su destitución.</w:t>
        <w:br/>
        <w:br/>
        <w:br/>
        <w:t>204.  Por otro lado, las magistradas  Morales  y  Marrero,  al  haber  sido</w:t>
        <w:br/>
        <w:t>jubiladas  y  no  destituidas,   no   contaban   con   dicho   impedimento.</w:t>
        <w:br/>
        <w:t>Efectivamente, el artículo 41 de la Ley de Carrera Judicial  establece  que</w:t>
        <w:br/>
        <w:t>“[l]os jueces  jubilados  p[ueden]  ser  nuevamente  designados”[218]  como</w:t>
        <w:br/>
        <w:t>magistrados. El Estado reconoció igualmente que “el único caso  excepcional</w:t>
        <w:br/>
        <w:t>de ingreso nuevamente al Poder Judicial  o  cualquier  otro  cargo  en  los</w:t>
        <w:br/>
        <w:t>poderes públicos del Estado, [es] que el juez presuntamente involucrado  en</w:t>
        <w:br/>
        <w:t>una causal de destitución, le haya operado […] el beneficio de  jubilación,</w:t>
        <w:br/>
        <w:t>lo cual […] imposibilita  cualquier  sanción  disciplinaria,  dado  que  el</w:t>
        <w:br/>
        <w:t>derecho de jubilación opera de oficio”. Es decir, las magistradas Marrero y</w:t>
        <w:br/>
        <w:t>Morales podían reincorporarse al Poder Judicial, y en efecto  lo  lograron,</w:t>
        <w:br/>
        <w:t>pues el 13 de diciembre de 2004 Luisa  Estela  Morales  y  Evelyn  Marrero,</w:t>
        <w:br/>
        <w:t>quienes adoptaron la misma sentencia que fue calificada como error judicial</w:t>
        <w:br/>
        <w:t>inexcusable y por la cuál fueron destituidos los magistrados Apitz, Rocha y</w:t>
        <w:br/>
        <w:t>Ruggeri, fueron designadas como magistradas del TSJ[219].</w:t>
        <w:br/>
        <w:br/>
        <w:br/>
        <w:t>205.  Con lo anterior ha quedado  demostrado  que  las  víctimas  tenían  un</w:t>
        <w:br/>
        <w:t>impedimento legal para acceder al Poder  Judicial  y  que  por  ello  no  se</w:t>
        <w:br/>
        <w:t>presentaron al proceso de selección para acceder  a  otros  cargos[220],  lo</w:t>
        <w:br/>
        <w:t>que no fue el caso de las otras magistradas. Sin embargo, debe evaluarse  si</w:t>
        <w:br/>
        <w:t>esta circunstancia  efectivamente  constituye  una  violación  del  artículo</w:t>
        <w:br/>
        <w:t>23.1.c de la Convención.</w:t>
        <w:br/>
        <w:br/>
        <w:br/>
        <w:t>206.  Dicho artículo no establece el derecho a acceder a un  cargo  público,</w:t>
        <w:br/>
        <w:t>sino a hacerlo en “condiciones generales de  igualdad”.  Esto  quiere  decir</w:t>
        <w:br/>
        <w:t>que el respeto y garantía de este derecho se cumplen cuando  “los  criterios</w:t>
        <w:br/>
        <w:t>y procedimientos para el nombramiento,  ascenso,  suspensión  y  destitución</w:t>
        <w:br/>
        <w:t>[sean] razonables y objetivos”[221] y que “las personas no  sean  objeto  de</w:t>
        <w:br/>
        <w:t>discriminación” en el ejercicio de este  derecho[222].  En  este  caso,  los</w:t>
        <w:br/>
        <w:t>criterios  que  impidieron  el  acceso  al  Poder  Judicial  de   los   tres</w:t>
        <w:br/>
        <w:t>magistrados cumplían  con  estos  estándares,  puesto  que  el  prohibir  el</w:t>
        <w:br/>
        <w:t>reingreso a la  función  pública  a  quienes  han  sido  destituidos  es  un</w:t>
        <w:br/>
        <w:t>requisito objetivo y razonable que tiene como fin el garantizar el  correcto</w:t>
        <w:br/>
        <w:t>desempeño   del   Poder   Judicial.   Tampoco   puede   considerarse    como</w:t>
        <w:br/>
        <w:t>discriminatorio, por sí mismo, el  permitir  el  reingreso  de  quienes  han</w:t>
        <w:br/>
        <w:t>accedido a jubilación. Dado que la Corte ya indicó que no tiene  competencia</w:t>
        <w:br/>
        <w:t>para decidir si procedía la mencionada  sanción  y  a  quiénes  tendría  que</w:t>
        <w:br/>
        <w:t>aplicarse (supra párr. 200), tampoco puede analizar  las  consecuencias  que</w:t>
        <w:br/>
        <w:t>dicha situación hubiere generado.</w:t>
        <w:br/>
        <w:br/>
        <w:br/>
        <w:t>207.  Por lo tanto, en el presente  caso,  en  cuanto  al  acceso  a  nuevos</w:t>
        <w:br/>
        <w:t>cargos al Poder Judicial, la Corte no encuentra discriminación alguna ni  en</w:t>
        <w:br/>
        <w:t>el acto normativo  que  lo  regula,  ni  en  el  acto  que  lo  ejecutó.  En</w:t>
        <w:br/>
        <w:t>consecuencia, los  hechos  sub  judice  no  se  consideran  violatorios  del</w:t>
        <w:br/>
        <w:t>artículo 23.1.c de la Convención.</w:t>
        <w:br/>
        <w:br/>
        <w:br/>
        <w:br/>
        <w:br/>
        <w:br/>
        <w:br/>
        <w:t xml:space="preserve">      3.    discriminación en la aplicación de la ley procesal</w:t>
        <w:br/>
        <w:br/>
        <w:br/>
        <w:t>208.   El  representante  alegó  que  también  hubo  discriminación  en   la</w:t>
        <w:br/>
        <w:t>aplicación de la “ley procesal” puesto que “un recurso de  nulidad  ejercido</w:t>
        <w:br/>
        <w:t>por Luisa Estella Morales” una semana después  de  aquel  ejercido  por  los</w:t>
        <w:br/>
        <w:t>ex–magistrados Apitz y Rocha fue “resuelto en menos de un año” mientras  que</w:t>
        <w:br/>
        <w:t>“el otro, después de transcurridos más de cuatro años y tres meses,  aún  no</w:t>
        <w:br/>
        <w:t>se decide”. El Estado no respondió a este argumento.</w:t>
        <w:br/>
        <w:br/>
        <w:br/>
        <w:t>209.  Al respecto, la Corte considera que los alegatos del representante  no</w:t>
        <w:br/>
        <w:t>deben analizarse bajo la óptica del artículo 24 convencional, sino  bajo  la</w:t>
        <w:br/>
        <w:t>obligación general de no discriminación contenida en el artículo 1.1  de  la</w:t>
        <w:br/>
        <w:t>Convención.  La  diferencia  entre  los  dos  artículos  radica  en  que  la</w:t>
        <w:br/>
        <w:t>obligación general del artículo 1.1  se  refiere  al  deber  del  Estado  de</w:t>
        <w:br/>
        <w:t>respetar y garantizar “sin discriminación” los  derechos  contenidos  en  la</w:t>
        <w:br/>
        <w:t>Convención Americana, mientras que el  artículo  24  protege  el  derecho  a</w:t>
        <w:br/>
        <w:t>“igual protección de la ley”. En otras palabras, si un Estado discrimina  en</w:t>
        <w:br/>
        <w:t>el respeto o garantía de un derecho convencional, violaría el  artículo  1.1</w:t>
        <w:br/>
        <w:t>y el derecho sustantivo en cuestión. Si por el contrario  la  discriminación</w:t>
        <w:br/>
        <w:t>se refiere a  una  protección  desigual  de  la  ley  interna,  violaría  el</w:t>
        <w:br/>
        <w:t>artículo 24[223]. Dado que los alegatos en el presente caso  se  refieren  a</w:t>
        <w:br/>
        <w:t>una supuesta discriminación en la garantía judicial de ser  oído  dentro  de</w:t>
        <w:br/>
        <w:t>un plazo razonable, el asunto debe analizarse bajo los artículos 1.1  y  8.1</w:t>
        <w:br/>
        <w:t>de la Convención.</w:t>
        <w:br/>
        <w:br/>
        <w:br/>
        <w:t>210.  La magistrada Morales interpuso el 11 de noviembre de 2003 un  recurso</w:t>
        <w:br/>
        <w:t>de reconsideración ante la CFRSJ impugnando la resolución que  declaraba  su</w:t>
        <w:br/>
        <w:t>destitución y pidiendo la revocatoria de  la  sanción,  en  atención  a  que</w:t>
        <w:br/>
        <w:t>cumplía con los requisitos para jubilarse con  anterioridad  al  inicio  del</w:t>
        <w:br/>
        <w:t>procedimiento disciplinario[224].</w:t>
        <w:br/>
        <w:br/>
        <w:br/>
        <w:t>211.  El 3 de diciembre  de  2003,  debido  a  que  la  CFRSJ  no  se  había</w:t>
        <w:br/>
        <w:t>pronunciado  sobre  dicho  recurso  en  el  plazo  de  5   días   legalmente</w:t>
        <w:br/>
        <w:t>establecido para  ello,  la  magistrada  Morales  interpuso  un  recurso  de</w:t>
        <w:br/>
        <w:t>nulidad   conjuntamente   con   acción   de    amparo    constitucional    y</w:t>
        <w:br/>
        <w:t>subsidiariamente   medida   cautelar   innominada[225],   por   los   mismos</w:t>
        <w:br/>
        <w:t>fundamentos que  aquellos  presentados  en  el  recurso  de  reconsideración</w:t>
        <w:br/>
        <w:t>indicado en el párrafo anterior.</w:t>
        <w:br/>
        <w:br/>
        <w:br/>
        <w:t>212.   El  11  de  diciembre  de  2003  la  CFRSJ  falló   el   recurso   de</w:t>
        <w:br/>
        <w:t>reconsideración, revocando la destitución para dar trámite a  la  jubilación</w:t>
        <w:br/>
        <w:t>(supra párr. 194).</w:t>
        <w:br/>
        <w:br/>
        <w:br/>
        <w:t>213.  La magistrada presentó copia de esta resolución a  la  SPA  el  18  de</w:t>
        <w:br/>
        <w:t>febrero de 2004[226]. Dicha Sala se pronunció el  1  de  noviembre  de  2005</w:t>
        <w:br/>
        <w:t>sobre el recurso interpuesto, y  estableció  que,  en  vistas  de  la  nueva</w:t>
        <w:br/>
        <w:t>resolución de la CFRSJ  que  dejó  sin  efecto  el  acto  recurrido,  “quedó</w:t>
        <w:br/>
        <w:t>plenamente satisfecha la pretensión de  la  recurrente  […]  por  [lo]  cual</w:t>
        <w:br/>
        <w:t>considera la Sala inoficioso realizar pronunciamiento alguno sobre  un  acto</w:t>
        <w:br/>
        <w:t>administrativo que ha perdido totalmente sus  efectos  por  voluntad  de  la</w:t>
        <w:br/>
        <w:t>propia Administración, no teniendo en consecuencia  materia  sobre  la  cual</w:t>
        <w:br/>
        <w:t>decidir”[227].</w:t>
        <w:br/>
        <w:br/>
        <w:br/>
        <w:t>214.   Los  magistrados  Apitz  y  Rocha   no   interpusieron   recurso   de</w:t>
        <w:br/>
        <w:t>reconsideración ante la CFRSJ por la destitución, pero el  27  de  noviembre</w:t>
        <w:br/>
        <w:t>de 2003 recurrieron de nulidad e interpusieron amparo cautelar ante la  SPA,</w:t>
        <w:br/>
        <w:t>alegando, inter alia, la violación del derecho a ser  juzgado  por  su  juez</w:t>
        <w:br/>
        <w:t>natural, del derecho a defensa y al debido  proceso,  de  la  presunción  de</w:t>
        <w:br/>
        <w:t>inocencia, de la independencia de la función jurisdiccional, y arguyendo  la</w:t>
        <w:br/>
        <w:t>existencia de una desviación de poder. Como quedó establecido  (supra  párr.</w:t>
        <w:br/>
        <w:t>163), dicha Sala admitió a tramitación el recurso de nulidad  y  desechó  el</w:t>
        <w:br/>
        <w:t>amparo cautelar, mediante sentencia de  18  de  abril  de  2007[228].  A  la</w:t>
        <w:br/>
        <w:t>fecha, no se ha fallado el fondo de este recurso de nulidad.</w:t>
        <w:br/>
        <w:br/>
        <w:br/>
        <w:t>215.  La Corte constata que las alegaciones presentadas  en  ambos  recursos</w:t>
        <w:br/>
        <w:t>de nulidad son diversas, puesto  que  la  magistrada  Morales,  entre  otros</w:t>
        <w:br/>
        <w:t>alegatos, solicitó se revoque su sanción por  cumplir  los  requisitos  para</w:t>
        <w:br/>
        <w:t>jubilarse, lo cual  es  ajeno  al  recurso  interpuesto  por  las  víctimas.</w:t>
        <w:br/>
        <w:t>Además, la resolución del recurso de reconsideración por la  CFRSJ  modificó</w:t>
        <w:br/>
        <w:t>la cuestión sobre la cuál debe pronunciarse la SPA, toda  vez  que  se  dejó</w:t>
        <w:br/>
        <w:t>sin efecto el acto recurrido por la  magistrada  Morales.  La  sentencia  de</w:t>
        <w:br/>
        <w:t>dicha Sala se limitó a  constatar  ese  hecho  y  declarar  la  carencia  de</w:t>
        <w:br/>
        <w:t>objeto. En definitiva, se trata de dos procesos diferenciados. Por ello,  la</w:t>
        <w:br/>
        <w:t>Corte estima que no se  violó  la  cláusula  general  de  no  discriminación</w:t>
        <w:br/>
        <w:t>contenida en el artículo 1.1 de la Convención Americana, en relación con  el</w:t>
        <w:br/>
        <w:t>derecho sustantivo a ser oído dentro de un plazo razonable consagrado en  el</w:t>
        <w:br/>
        <w:t>artículo 8.1 de dicho tratado.</w:t>
        <w:br/>
        <w:br/>
        <w:br/>
        <w:br/>
        <w:br/>
        <w:br/>
        <w:t xml:space="preserve">                                    VIII</w:t>
        <w:br/>
        <w:t xml:space="preserve">        Artículo 29 c) y d) de la Convención[229] en relación con el</w:t>
        <w:br/>
        <w:t xml:space="preserve">           Artículo 3 de la Carta Democrática Interamericana[230]</w:t>
        <w:br/>
        <w:br/>
        <w:t>216.  El representante sostuvo que la Carta Democrática  Interamericana  “no</w:t>
        <w:br/>
        <w:t>es una simple declaración política, desprovista de valor jurídico, sino  que</w:t>
        <w:br/>
        <w:t>es el reflejo del Derecho preexistente”. Agregó  que  en  dicho  instrumento</w:t>
        <w:br/>
        <w:t>“los Estados han asumido obligaciones  internacionales  que  no  pueden  ser</w:t>
        <w:br/>
        <w:t>irrelevantes  para  el  ejercicio  de  los  derechos  humanos”.   Según   el</w:t>
        <w:br/>
        <w:t>representante, la lectura conjunta de estos  artículos  permite  deducir  un</w:t>
        <w:br/>
        <w:t>“derecho a la democracia” que en este caso se relaciona  con  “el  ejercicio</w:t>
        <w:br/>
        <w:t>del poder de conformidad con el Estado de Derecho, la separación de  poderes</w:t>
        <w:br/>
        <w:t>y la independencia del [P]oder [J|udicial”. En este sentido, alegó  que  “la</w:t>
        <w:br/>
        <w:t>violación de los derechos de los peticionarios es […] una  consecuencia  del</w:t>
        <w:br/>
        <w:t>debilitamiento de la democracia y  de  la  falta  de  independencia  de  los</w:t>
        <w:br/>
        <w:t>poderes públicos en Venezuela”, toda vez que responde a “la  injerencia  del</w:t>
        <w:br/>
        <w:t>Poder Ejecutivo, directamente a través del Presidente de  la  República,  en</w:t>
        <w:br/>
        <w:t>las funciones constitucionales del Poder Judicial”.  La  Comisión  no  alegó</w:t>
        <w:br/>
        <w:t>violación de estos artículos, pero  sí  anunció  su  “utilización  […]  como</w:t>
        <w:br/>
        <w:t>pauta interpretativa”. El Estado no presentó alegatos sobre este punto.</w:t>
        <w:br/>
        <w:br/>
        <w:br/>
        <w:t>217.  La jurisprudencia de la Corte  ha  utilizado  el  artículo  29  de  la</w:t>
        <w:br/>
        <w:t>Convención en  tres  ámbitos  diferentes.  En  primer  lugar,  la  Corte  ha</w:t>
        <w:br/>
        <w:t>invocado las “Normas de Interpretación” del artículo  29  para  precisar  el</w:t>
        <w:br/>
        <w:t>contenido de ciertas disposiciones de la Convención[231]. El literal  a)  ha</w:t>
        <w:br/>
        <w:t>sido utilizado  para  delimitar  el  alcance  de  las  restricciones  a  las</w:t>
        <w:br/>
        <w:t>garantías establecidas en la Convención[232]. De la misma forma,  utilizando</w:t>
        <w:br/>
        <w:t>el literal b) de dicho artículo, la Corte ha interpretado las  garantías  de</w:t>
        <w:br/>
        <w:t>la Convención a la luz de  estándares  establecidos  en  otros  instrumentos</w:t>
        <w:br/>
        <w:t>internacionales[233] y en normas de derecho interno[234].  Asimismo,  se  ha</w:t>
        <w:br/>
        <w:t>utilizado el literal c) para interpretar los derechos  convencionales  a  la</w:t>
        <w:br/>
        <w:t>luz de los derechos que derivan de la forma  democrática  representativa  de</w:t>
        <w:br/>
        <w:t>gobierno[235].</w:t>
        <w:br/>
        <w:br/>
        <w:br/>
        <w:t>218.  En segundo  lugar,  el  artículo  29  ha  sido  utilizado  para  fijar</w:t>
        <w:br/>
        <w:t>criterios de interpretación, tales  como  el  principio  de  “interpretación</w:t>
        <w:br/>
        <w:t>evolutiva” de los tratados de derechos humanos, que es “consecuente con  las</w:t>
        <w:br/>
        <w:t>reglas generales de  interpretación  consagradas”  en  dicho  artículo[236].</w:t>
        <w:br/>
        <w:t>Asimismo, se ha desarrollado el principio de “aplicación  de  la  norma  más</w:t>
        <w:br/>
        <w:t>favorable a la tutela de los derechos humanos” como  derivado  del  artículo</w:t>
        <w:br/>
        <w:t>29.b)[237] y la prohibición  de  privar  a  los  derechos  de  su  contenido</w:t>
        <w:br/>
        <w:t>esencial como derivado del artículo 29.a)[238].</w:t>
        <w:br/>
        <w:br/>
        <w:br/>
        <w:t>219.  En tercer lugar, la Corte ha utilizado el artículo 29 para  determinar</w:t>
        <w:br/>
        <w:t>el alcance de su competencia consultiva. En  este  sentido  se  ha  señalado</w:t>
        <w:br/>
        <w:t>que, de acuerdo al artículo 29.d), “al interpretar la Convención en  uso  de</w:t>
        <w:br/>
        <w:t>su competencia consultiva, puede ser necesario para la Corte interpretar  la</w:t>
        <w:br/>
        <w:t>Declaración [Americana de Derechos y Deberes del Hombre]”[239].  Además,  la</w:t>
        <w:br/>
        <w:t>Corte ha afirmado que “excluir,  a  priori,  de  su  competencia  consultiva</w:t>
        <w:br/>
        <w:t>tratados internacionales que obliguen, a  Estados  americanos,  en  materias</w:t>
        <w:br/>
        <w:t>concernientes a la protección de  los  derechos  humanos,  constituiría  una</w:t>
        <w:br/>
        <w:t>limitación a la plena garantía de  los  mismos,  en  contradicción  con  las</w:t>
        <w:br/>
        <w:t>reglas consagradas por el artículo 29.b)”[240].</w:t>
        <w:br/>
        <w:br/>
        <w:br/>
        <w:t>220.  Ahora bien, para responder al alegato del representante  es  necesario</w:t>
        <w:br/>
        <w:t>determinar, en primer lugar, si el  artículo  29.c)  consagra  una  garantía</w:t>
        <w:br/>
        <w:t>individual cuyo incumplimiento pueda generar, por sí  sola,  la  declaración</w:t>
        <w:br/>
        <w:t>de una violación en el marco de la jurisdicción contenciosa de la Corte.</w:t>
        <w:br/>
        <w:br/>
        <w:br/>
        <w:t>221.  Al respecto, en el  marco  de  la  jurisdicción  contenciosa  de  esta</w:t>
        <w:br/>
        <w:t>Corte, el incumplimiento de los principios de interpretación que se  derivan</w:t>
        <w:br/>
        <w:t>del artículo 29.c) sólo podrían generar la violación del  derecho  que  haya</w:t>
        <w:br/>
        <w:t>sido indebidamente interpretado a la luz de dichos principios.</w:t>
        <w:br/>
        <w:br/>
        <w:br/>
        <w:t>222.  Por ello, corresponde analizar el derecho que se alega violado por  el</w:t>
        <w:br/>
        <w:t>representante en  relación  con  dichos  principios  de  interpretación.  El</w:t>
        <w:br/>
        <w:t>representante alude a un  “derecho  a  la  democracia”  relacionado  con  el</w:t>
        <w:br/>
        <w:t>ejercicio del poder según el Estado de Derecho, la separación de  poderes  y</w:t>
        <w:br/>
        <w:t>la independencia del Poder Judicial. Sin embargo, la Corte  se  ha  referido</w:t>
        <w:br/>
        <w:t>al concepto  de  democracia  en  términos  interpretativos.  En  efecto,  el</w:t>
        <w:br/>
        <w:t>Tribunal ha señalado que “las justas exigencias de la democracia  deben  […]</w:t>
        <w:br/>
        <w:t>orientar la interpretación de la Convención y, en  particular,  de  aquellas</w:t>
        <w:br/>
        <w:t>disposiciones que están críticamente relacionadas con la preservación  y  el</w:t>
        <w:br/>
        <w:t>funcionamiento de las instituciones democráticas”[241]. Asimismo, cuando  la</w:t>
        <w:br/>
        <w:t>Corte en el caso del Tribunal Constitucional mencionó que</w:t>
        <w:br/>
        <w:br/>
        <w:br/>
        <w:t xml:space="preserve">      el Preámbulo de la Convención reafirma el  propósito  de  los  Estados</w:t>
        <w:br/>
        <w:t xml:space="preserve">      Americanos de “consolidar en [el] Continente, dentro del cuadro de las</w:t>
        <w:br/>
        <w:t xml:space="preserve">      instituciones democráticas, un  régimen  de  libertad  personal  y  de</w:t>
        <w:br/>
        <w:t xml:space="preserve">      justicia social fundado en  el  respeto  de  los  derechos  y  deberes</w:t>
        <w:br/>
        <w:t xml:space="preserve">      esenciales del hombre”. Este requerimiento se ajusta  a  la  norma  de</w:t>
        <w:br/>
        <w:t xml:space="preserve">      interpretación consagrada en el artículo 29.c de  la  Convención.  Los</w:t>
        <w:br/>
        <w:t xml:space="preserve">      hechos  del  presente  caso   contrastan   con   aquellas   exigencias</w:t>
        <w:br/>
        <w:t xml:space="preserve">      convencionales[242]</w:t>
        <w:br/>
        <w:br/>
        <w:br/>
        <w:t>no estaba declarando que se violaba el artículo  29.c),  sino  estableciendo</w:t>
        <w:br/>
        <w:t>el alcance de la obligación del artículo 1.1 respecto  a  la  obligación  de</w:t>
        <w:br/>
        <w:t>respetar y garantizar los derechos.</w:t>
        <w:br/>
        <w:br/>
        <w:br/>
        <w:t>223.  Por lo tanto, la Corte encuentra  que  los  problemas  interpretativos</w:t>
        <w:br/>
        <w:t>que puedan relacionarse con el presente caso  serían  aquellos  relativos  a</w:t>
        <w:br/>
        <w:t>derechos ya analizados, tales como  los  derechos  que  se  derivan  de  los</w:t>
        <w:br/>
        <w:t>artículos 8 y 25 de la Convención. En consecuencia, esta Corte no  considera</w:t>
        <w:br/>
        <w:t>procedente la alegada violación del artículo 29.c) y 29.d) de la  Convención</w:t>
        <w:br/>
        <w:t>Americana  en  relación  con  el  artículo  3  de   la   Carta   Democrática</w:t>
        <w:br/>
        <w:t>Interamericana.</w:t>
        <w:br/>
        <w:br/>
        <w:br/>
        <w:br/>
        <w:br/>
        <w:t xml:space="preserve">                                     IX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224.  Es un principio de Derecho Internacional que  toda  violación  de  una</w:t>
        <w:br/>
        <w:t>obligación internacional que  haya  producido  daño  comporta  el  deber  de</w:t>
        <w:br/>
        <w:t>repararlo adecuadamente[243]. En sus decisiones a este  respecto,  la  Corte</w:t>
        <w:br/>
        <w:t>se ha basado en el artículo 63.1 de la Convención Americana[244].</w:t>
        <w:br/>
        <w:br/>
        <w:br/>
        <w:t>225.  De acuerdo con las consideraciones sobre  el  fondo  expuestas  y  las</w:t>
        <w:br/>
        <w:t>violaciones a la Convención declaradas  en  los  capítulos  anteriores,  así</w:t>
        <w:br/>
        <w:t>como a la luz de los criterios fijados en la jurisprudencia de la  Corte  en</w:t>
        <w:br/>
        <w:t>relación con la naturaleza y alcances de la obligación de  reparar[245],  la</w:t>
        <w:br/>
        <w:t>Corte procederá a analizar las pretensiones presentadas por  la  Comisión  y</w:t>
        <w:br/>
        <w:t>por el representante, y la postura del Estado, con  el  objeto  de  disponer</w:t>
        <w:br/>
        <w:t>las medidas tendientes a reparar los daños.</w:t>
        <w:br/>
        <w:br/>
        <w:br/>
        <w:br/>
        <w:br/>
        <w:br/>
        <w:t xml:space="preserve">      1.    Parte lesionada</w:t>
        <w:br/>
        <w:br/>
        <w:br/>
        <w:t>226.  La Corte pasará ahora a determinar  qué  personas  deben  considerarse</w:t>
        <w:br/>
        <w:t>“parte lesionada” en  los  términos  del  artículo  63.1  de  la  Convención</w:t>
        <w:br/>
        <w:t>Americana y, consecuentemente, acreedoras de las reparaciones  que  fije  el</w:t>
        <w:br/>
        <w:t>Tribunal.</w:t>
        <w:br/>
        <w:br/>
        <w:br/>
        <w:t>227.  La Corte considera como  “parte  lesionada”  a  la  señora  Ana  María</w:t>
        <w:br/>
        <w:t>Ruggeri Cova y a los señores Juan  Carlos  Apitz  Barbera  y  Perkins  Rocha</w:t>
        <w:br/>
        <w:t>Contreras, en  su  carácter  de  víctimas  de  las  violaciones  que  fueron</w:t>
        <w:br/>
        <w:t>declaradas en su perjuicio, por lo que serán acreedores de las  reparaciones</w:t>
        <w:br/>
        <w:t>que, en  su  caso,  fije  el  Tribunal  por  concepto  de  daño  material  e</w:t>
        <w:br/>
        <w:t>inmaterial.</w:t>
        <w:br/>
        <w:br/>
        <w:br/>
        <w:t>228.  En cuanto a Jacqueline Ardizzone Montilla, esposa del señor  Apitz,  y</w:t>
        <w:br/>
        <w:t>María Costanza Cipriani Rondón, esposa del señor  Rocha,  la  Corte  observa</w:t>
        <w:br/>
        <w:t>que la Comisión no las declaró  como  víctimas  de  violación  alguna  a  la</w:t>
        <w:br/>
        <w:t>Convención en su Informe de fondo (supra párr. 1);  que  en  su  demanda  la</w:t>
        <w:br/>
        <w:t>Comisión identificó a los señores Apitz, Rocha y  Ruggeri  como  los  únicos</w:t>
        <w:br/>
        <w:t>beneficiarios de las reparaciones y no  identificó  a  sus  familiares  como</w:t>
        <w:br/>
        <w:t>víctimas; que el representante tampoco alegó  violación  en  contra  de  los</w:t>
        <w:br/>
        <w:t>familiares, pero en su escrito de  solicitudes  y  argumentos  solicitó  una</w:t>
        <w:br/>
        <w:t>indemnización por daño inmaterial para las esposas de los  señores  Apitz  y</w:t>
        <w:br/>
        <w:t>Rocha, argumentando  que  “el  daño  moral  se  refleja  igualmente  en  las</w:t>
        <w:br/>
        <w:t>consecuencias psicológicas que la violación de los  derechos  humanos  puede</w:t>
        <w:br/>
        <w:t>tener tanto para la propia víctima como para sus familiares”.</w:t>
        <w:br/>
        <w:br/>
        <w:br/>
        <w:t>229.  Al respecto, el Tribunal reitera que se considera  parte  lesionada  a</w:t>
        <w:br/>
        <w:t>aquellas personas que han sido declaradas víctimas de violaciones  de  algún</w:t>
        <w:br/>
        <w:t>derecho consagrado en la Convención. La  jurisprudencia  de  esta  Corte  ha</w:t>
        <w:br/>
        <w:t>indicado que las presuntas víctimas deben estar señaladas en  la  demanda  y</w:t>
        <w:br/>
        <w:t>en el informe de la Comisión según el artículo 50 de la Convención.  Además,</w:t>
        <w:br/>
        <w:t>de conformidad con el artículo 33.1 del Reglamento de la Corte,  corresponde</w:t>
        <w:br/>
        <w:t>a la Comisión y no a este  Tribunal,  identificar  con  precisión  y  en  la</w:t>
        <w:br/>
        <w:t>debida oportunidad procesal a las presuntas víctimas en un  caso  ante  este</w:t>
        <w:br/>
        <w:t>Tribunal[246].</w:t>
        <w:br/>
        <w:br/>
        <w:br/>
        <w:br/>
        <w:br/>
        <w:br/>
        <w:t xml:space="preserve">      2.    Indemnizaciones</w:t>
        <w:br/>
        <w:br/>
        <w:br/>
        <w:br/>
        <w:br/>
        <w:br/>
        <w:t xml:space="preserve">      2.1.  daño material</w:t>
        <w:br/>
        <w:br/>
        <w:br/>
        <w:t>230.  La Corte ha desarrollado en su  jurisprudencia  el  concepto  de  daño</w:t>
        <w:br/>
        <w:t>material y los supuestos en que corresponde indemnizarlo[247].</w:t>
        <w:br/>
        <w:br/>
        <w:br/>
        <w:t>231.  La Comisión solicitó  “reparar  a  las  víctimas  por  los  beneficios</w:t>
        <w:br/>
        <w:t>salariales y económicos dejados de percibir  desde  que  fueron  destituidos</w:t>
        <w:br/>
        <w:t>hasta su efectiva reincorporación” y que se “fije en equidad el monto de  la</w:t>
        <w:br/>
        <w:t>indemnización”.</w:t>
        <w:br/>
        <w:br/>
        <w:br/>
        <w:t>232.  El representante solicitó por  concepto  de  daño  emergente  la  suma</w:t>
        <w:br/>
        <w:t>fijada en equidad de US$ 5.000,00 (cinco mil dólares de los  Estados  Unidos</w:t>
        <w:br/>
        <w:t>de América) para “cubrir los gastos médicos en que,  como  resultado  de  la</w:t>
        <w:br/>
        <w:t>destitución, han debido incurrir Juan Carlos  Apitz,  Perkins  Rocha  y  Ana</w:t>
        <w:br/>
        <w:t>María Ruggeri, a fin de lograr su rehabilitación  [p]sicológica  después  de</w:t>
        <w:br/>
        <w:t>las agresiones públicas de que fueran víctimas por parte del  Presidente  de</w:t>
        <w:br/>
        <w:t>la República”. En cuanto al lucro cesante, el representante  alegó  que  las</w:t>
        <w:br/>
        <w:t>víctimas, al momento de su destitución,  ganaban  Bs.  3.500.000,  00  (tres</w:t>
        <w:br/>
        <w:t>millones quinientos mil bolívares) mensuales, “teniendo derecho a  dieciséis</w:t>
        <w:br/>
        <w:t>sueldos anuales”. El representante indicó que “considerando los  incrementos</w:t>
        <w:br/>
        <w:t>de sueldo que, desde marzo de 2004, han recibido los jueces  que  ocupan  el</w:t>
        <w:br/>
        <w:t>mismo cargo, hasta el 28 de febrero de 2007”, cada una de las  víctimas  […]</w:t>
        <w:br/>
        <w:t>ha dejado de percibir […] ciento noventa y cuatro mil setecientos sesenta  y</w:t>
        <w:br/>
        <w:t>un dólares de los Estados Unidos [de América], con treinta y  tres  centavos</w:t>
        <w:br/>
        <w:t>(US$ 194.761,33)” o su equivalente en moneda nacional.</w:t>
        <w:br/>
        <w:br/>
        <w:br/>
        <w:t>233.   El  Estado  alegó  que  “no  quedó  acreditado”  que  “la   situación</w:t>
        <w:br/>
        <w:t>específica de la destitución produj[era] daños emocionales,  tanto  a  ellos</w:t>
        <w:br/>
        <w:t>como a  sus  familiares  (esposas  e  hijos),  menos  aún,  que  requiriesen</w:t>
        <w:br/>
        <w:t>tratamientos futuros psiquiátricos”, por cuanto “basta revisar los  informes</w:t>
        <w:br/>
        <w:t>médicos para observar […] la respectiva falta  de  validación  y  proyección</w:t>
        <w:br/>
        <w:t>sucesiva en el tiempo”. Asimismo, el Estado afirmó  que  “lo  solicitado  en</w:t>
        <w:br/>
        <w:t>virtud del quantum indemnizatorio, no está lo suficientemente  acreditado  a</w:t>
        <w:br/>
        <w:t>través de un  medio  de  prueba  conclusivo,  que  jurídicamente  valore  la</w:t>
        <w:br/>
        <w:t>veracidad de lo reclamado”, puesto  que  “para  el  caso  de  los  ex-jueces</w:t>
        <w:br/>
        <w:t>provisorios, los salarios que devengan los actuales  titulares  que  ejercen</w:t>
        <w:br/>
        <w:t>el cargo de juez ante la Corte Primera […] por expresa disposición legal  no</w:t>
        <w:br/>
        <w:t>puede[n] ser establecido[s] en dólares americanos, y además,  excede[n]  con</w:t>
        <w:br/>
        <w:t>creces la bondad de su monto en la moneda venezolana”.</w:t>
        <w:br/>
        <w:br/>
        <w:br/>
        <w:t>234.  Con respecto a los gastos incurridos en relación  con  el  tratamiento</w:t>
        <w:br/>
        <w:t>médico de las  víctimas,  el  representante  únicamente  aportó  un  informe</w:t>
        <w:br/>
        <w:t>psicológico  relacionado  con  algunas  visitas  del  señor  Apitz   a   una</w:t>
        <w:br/>
        <w:t>psicóloga. No se aportó ningún otro documento sobre el tratamiento  seguido,</w:t>
        <w:br/>
        <w:t>su costo o duración. A su vez,  no  se  presentó  ninguna  prueba  sobre  la</w:t>
        <w:br/>
        <w:t>atención médica o psicológica supuestamente prestada a los señores  Rocha  y</w:t>
        <w:br/>
        <w:t>Ruggeri.</w:t>
        <w:br/>
        <w:br/>
        <w:br/>
        <w:t>235.  En relación con los salarios caídos y beneficios dejados de  percibir,</w:t>
        <w:br/>
        <w:t>el representante aportó la declaración rendida ante  fedatario  público  por</w:t>
        <w:br/>
        <w:t>la  señora  Ruggeri,  quien  informó  sobre  su  sueldo  al  momento  de  su</w:t>
        <w:br/>
        <w:t>destitución y cual  sería  el  monto  a  percibir  teniendo  en  cuenta  los</w:t>
        <w:br/>
        <w:t>incrementos salariales que debería haber recibido[248]. Sin embargo,  no  se</w:t>
        <w:br/>
        <w:t>acompañó a dicha declaración ningún documento probatorio que respaldara  sus</w:t>
        <w:br/>
        <w:t>afirmaciones, por ejemplo su historial salarial, declaración de impuestos  o</w:t>
        <w:br/>
        <w:t>algún otro elemento que pudiera ser  valorado  por  este  Tribunal[249].  El</w:t>
        <w:br/>
        <w:t>representante tampoco aportó prueba documental que acreditara los  criterios</w:t>
        <w:br/>
        <w:t>que deben ser tenidos en cuenta para  calcular  el  monto  de  los  salarios</w:t>
        <w:br/>
        <w:t>dejados de percibir por parte de las víctimas.</w:t>
        <w:br/>
        <w:br/>
        <w:br/>
        <w:t>236.  Pese a ello, no  puede  escapar  a  este  Tribunal  que  las  víctimas</w:t>
        <w:br/>
        <w:t>padecieron cierto tipo  de  perjuicios  económicos  a  consecuencia  de  las</w:t>
        <w:br/>
        <w:t>violaciones decretadas en esta Sentencia. Por lo tanto, la Corte en  equidad</w:t>
        <w:br/>
        <w:t>determina como indemnización  por  el  daño  material  la  cantidad  de  US$</w:t>
        <w:br/>
        <w:t>48.000,00 (cuarenta  y  ocho  mil  dólares  de  los  Estados  Unidos)  o  su</w:t>
        <w:br/>
        <w:t>equivalente en  moneda  venezolana  para  cada  víctima.  El  Estado  deberá</w:t>
        <w:br/>
        <w:t>efectuar el pago de este monto directamente a los beneficiarios  dentro  del</w:t>
        <w:br/>
        <w:t>plazo de un año a partir de la notificación de la presente Sentencia.</w:t>
        <w:br/>
        <w:br/>
        <w:br/>
        <w:br/>
        <w:br/>
        <w:br/>
        <w:br/>
        <w:t xml:space="preserve">      2.2.  daño inmaterial</w:t>
        <w:br/>
        <w:br/>
        <w:br/>
        <w:t>237.  Corresponde ahora determinar las  reparaciones  por  daño  inmaterial,</w:t>
        <w:br/>
        <w:t>según lo ha entendido la Corte en su jurisprudencia[250].</w:t>
        <w:br/>
        <w:br/>
        <w:br/>
        <w:t>238.  La Comisión consideró “pertinente que  se  reparen  las  consecuencias</w:t>
        <w:br/>
        <w:t>que produjo la destitución de las víctimas” y destacó  “la  importancia  que</w:t>
        <w:br/>
        <w:t>tiene para [ellas] el  establecimiento  de  la  verdad  de  lo  sucedido  en</w:t>
        <w:br/>
        <w:t>relación con su destitución”. Agregó que debe tenerse en  cuenta  que  “como</w:t>
        <w:br/>
        <w:t>consecuencia de la decisión de la [CFRSJ] las víctimas  están  impedidas  de</w:t>
        <w:br/>
        <w:t>ejercer la función judicial en el futuro”.</w:t>
        <w:br/>
        <w:br/>
        <w:br/>
        <w:t>239.  El  representante  alegó  que  las  víctimas  tuvieron  que  “soportar</w:t>
        <w:br/>
        <w:t>durante meses una campaña sistemática de  actos  de  intimidación,  como  la</w:t>
        <w:br/>
        <w:t>detención de Alfredo Romero y  el  allanamiento  de  la  sede  de  la  Corte</w:t>
        <w:br/>
        <w:t>Primera, y agresiones verbales de todo tipo”, que  muchos  de  esos  ataques</w:t>
        <w:br/>
        <w:t>“provenían directamente del Presidente de la República,  los  cuales  fueron</w:t>
        <w:br/>
        <w:t>transmitidos por radio y televisión, llamándolos  ‘oligarcas’,  ‘corruptos’,</w:t>
        <w:br/>
        <w:t>‘bandidos’, ‘golpistas’, etc.” Según el  representante,  la  vida  social  y</w:t>
        <w:br/>
        <w:t>familiar de las víctimas “se vio severamente  afectada,  como  producto  del</w:t>
        <w:br/>
        <w:t>estigma de haber sido destituidos  por  ser  supuestamente  incompetentes  y</w:t>
        <w:br/>
        <w:t>corruptos”.  Las  tres  víctimas  habrían  sufrido  porque   “sus   carreras</w:t>
        <w:br/>
        <w:t>profesionales habían  sido  injustamente  cortadas”  y,  “[a]  pesar  de  su</w:t>
        <w:br/>
        <w:t>vocación por la judicatura, habían sido vergonzosamente  destituidos,  y  ya</w:t>
        <w:br/>
        <w:t>no podrían presentar sus candidaturas para integrar el  [TSJ]”.  Además,  el</w:t>
        <w:br/>
        <w:t>representante consideró  que  el  daño  sufrido  por  las  víctimas  “afectó</w:t>
        <w:br/>
        <w:t>severamente su reputación profesional y académica” y “dañ[ó]  su  autoestima</w:t>
        <w:br/>
        <w:t>y  sus  relaciones  familiares”  porque  “tuvo  dimensiones  públicas”.   El</w:t>
        <w:br/>
        <w:t>representante estimó por daño inmaterial para cada una de  las  víctimas  la</w:t>
        <w:br/>
        <w:t>cantidad de US$ 100.000,00 (cien  mil  dólares  de  los  Estados  Unidos  de</w:t>
        <w:br/>
        <w:t>América) o su equivalente en moneda nacional.</w:t>
        <w:br/>
        <w:br/>
        <w:br/>
        <w:t>240.  El Estado consideró que no ha quedado acreditado  que  “durante  meses</w:t>
        <w:br/>
        <w:t>las presuntas víctimas hayan vivido con ese estigma de agresiones  verbales”</w:t>
        <w:br/>
        <w:t>ni que hayan sido “objeto de discriminación laboral o social al  momento  de</w:t>
        <w:br/>
        <w:t>dirigirse  a  sus  actividades  académicas  o  personales”,  por  cuanto  no</w:t>
        <w:br/>
        <w:t>demostraron   “que   hayan   sido   sancionados   por   las    Instituciones</w:t>
        <w:br/>
        <w:t>Universitarias o Docentes donde presten sus servicios, como consecuencia  de</w:t>
        <w:br/>
        <w:t>la legal destitución de sus cargos  como  jueces  provisorios  de  la  Corte</w:t>
        <w:br/>
        <w:t>Primera”.</w:t>
        <w:br/>
        <w:br/>
        <w:br/>
        <w:t>241.   En  sus  respectivas  declaraciones  ante   la   Corte,   la   señora</w:t>
        <w:br/>
        <w:t>Ruggeri[251] y los señores Apitz[252] y Rocha[253] manifestaron que a  causa</w:t>
        <w:br/>
        <w:t>de  la  destitución  su  reputación,  actividad  profesional  y   académica,</w:t>
        <w:br/>
        <w:t>relaciones sociales y familiares se vieron afectadas. Además, indicaron  que</w:t>
        <w:br/>
        <w:t>habrían padecido persecución y habrían sido severamente criticados en  foros</w:t>
        <w:br/>
        <w:t>públicos, particularmente en la prensa. Lo anterior fue reafirmado  por  las</w:t>
        <w:br/>
        <w:t>señoras María Costanza Cipriani  Rondón[254],  esposa  del  señor  Rocha,  y</w:t>
        <w:br/>
        <w:t>Jacqueline Ardizzone Montilla[255], esposa del  señor  Apitz.  Asimismo,  el</w:t>
        <w:br/>
        <w:t>representante acompañó un informe psicológico que indica que el señor  Apitz</w:t>
        <w:br/>
        <w:t>“se encuentra sufriendo de una tensión psicológica intensa”[256].</w:t>
        <w:br/>
        <w:br/>
        <w:br/>
        <w:t>242.  La jurisprudencia de este Tribunal ha establecido  reiteradamente  que</w:t>
        <w:br/>
        <w:t>una sentencia declaratoria de una violación de derechos  constituye  per  se</w:t>
        <w:br/>
        <w:t>una forma de reparación[257]. No obstante, considerando  las  circunstancias</w:t>
        <w:br/>
        <w:t>del caso sub judice, los perjuicios morales padecidos por las víctimas  como</w:t>
        <w:br/>
        <w:t>consecuencia de las violaciones cometidas en su contra, las  ofensas  a  las</w:t>
        <w:br/>
        <w:t>que fueron sometidas, la falta de respuesta judicial a sus  reclamos  y  las</w:t>
        <w:br/>
        <w:t>restantes consecuencias de orden no  pecuniario  que  padecieron,  la  Corte</w:t>
        <w:br/>
        <w:t>estima  pertinente  determinar  el  pago   de   una   compensación,   fijada</w:t>
        <w:br/>
        <w:t>equitativamente, por concepto  de  daños  inmateriales[258].  Por  ello,  la</w:t>
        <w:br/>
        <w:t>Corte fija en equidad la cantidad de US$ 40.000,00 (cuarenta mil dólares  de</w:t>
        <w:br/>
        <w:t>los Estados Unidos de América) o su equivalente  en  moneda  nacional,  para</w:t>
        <w:br/>
        <w:t>cada una de las víctimas por concepto de indemnización por daño  inmaterial.</w:t>
        <w:br/>
        <w:t>El Estado  deberá  efectuar  el  pago  de  este  monto  directamente  a  los</w:t>
        <w:br/>
        <w:t>beneficiarios dentro del plazo de un año a partir de la notificación  de  la</w:t>
        <w:br/>
        <w:t>presente Sentencia.</w:t>
        <w:br/>
        <w:br/>
        <w:br/>
        <w:br/>
        <w:br/>
        <w:br/>
        <w:t xml:space="preserve">      3.    Medidas de satisfacción y garantías de no repetición</w:t>
        <w:br/>
        <w:br/>
        <w:br/>
        <w:t>243.  En este apartado el Tribunal determinará las medidas  de  satisfacción</w:t>
        <w:br/>
        <w:t>que  buscan  reparar  el  daño  inmaterial  y  que  no   tienen   naturaleza</w:t>
        <w:br/>
        <w:t>pecuniaria, y dispondrá medidas de alcance o repercusión pública[259].</w:t>
        <w:br/>
        <w:br/>
        <w:br/>
        <w:br/>
        <w:br/>
        <w:br/>
        <w:t xml:space="preserve">      3.1.  Reintegro de las víctimas a sus cargos</w:t>
        <w:br/>
        <w:br/>
        <w:br/>
        <w:t>244.  La Comisión solicitó que se ordene “restablecer a las víctimas  en  el</w:t>
        <w:br/>
        <w:t>ejercicio de sus derechos como magistrados y magistrada de la Corte  Primera</w:t>
        <w:br/>
        <w:t>[…]  o  en  un  cargo  de  similar  jerarquía  en  caso  de  ser   imposible</w:t>
        <w:br/>
        <w:t>restituirlos en el tribunal en el que se venían  desempeñando”.  Agregó  que</w:t>
        <w:br/>
        <w:t>“[d]e ser restablecidos a un cargo  de  carácter  provisional,  a  la  mayor</w:t>
        <w:br/>
        <w:t>brevedad posible y a través de procedimientos adecuados y  efectivos  deberá</w:t>
        <w:br/>
        <w:t>realizarse  el  respectivo  concurso  de  oposición”.  Por  su   parte,   el</w:t>
        <w:br/>
        <w:t>representante solicitó que “a fin de asegurar  la  independencia  del  Poder</w:t>
        <w:br/>
        <w:t>Judicial” se ordene “dejar sin efecto la destitución  y  reintegrar  en  sus</w:t>
        <w:br/>
        <w:t>cargos” a las víctimas.</w:t>
        <w:br/>
        <w:br/>
        <w:br/>
        <w:t>245.  El Estado alegó  que  dejar  sin  efecto  el  acto  de  destitución  y</w:t>
        <w:br/>
        <w:t>reintegrar los jueces a sus cargos “no genera reparación  alguna”  toda  vez</w:t>
        <w:br/>
        <w:t>que si “se estableciera la responsabilidad del  Estado,  se  reintegraría  a</w:t>
        <w:br/>
        <w:t>los ex–jueces a la misma situación  en  que  estaban,  partiendo  del  hecho</w:t>
        <w:br/>
        <w:t>probado  de  los  vicios  en  su  designación”,  lo  cual  “lejos  de  lucir</w:t>
        <w:br/>
        <w:t>reparatorio, se presenta a todas luces ‘condenatorio’”.</w:t>
        <w:br/>
        <w:br/>
        <w:br/>
        <w:t>246.  Esta Corte determinó  que  la  destitución  de  las  víctimas  fue  el</w:t>
        <w:br/>
        <w:t>resultado de un proceso lesivo de garantías judiciales y  de  la  protección</w:t>
        <w:br/>
        <w:t>judicial.  En  consecuencia,  teniendo  en  cuenta  que   la   garantía   de</w:t>
        <w:br/>
        <w:t>permanencia o estabilidad en el cargo de todo juez, titular  o  provisional,</w:t>
        <w:br/>
        <w:t>debe operar para permitir el reintegro  a  la  condición  de  magistrado  de</w:t>
        <w:br/>
        <w:t>quien fue arbitrariamente privado de ella, el Tribunal  considera  que  como</w:t>
        <w:br/>
        <w:t>medida de reparación el Estado deberá reintegrar a  las  víctimas  al  Poder</w:t>
        <w:br/>
        <w:t>Judicial, si éstas así lo desean, en un cargo que tenga las  remuneraciones,</w:t>
        <w:br/>
        <w:t>beneficios sociales y rango equiparables a los  que  les  correspondería  el</w:t>
        <w:br/>
        <w:t>día hoy si no hubieran sido destituidos. Si por motivos fundados,  ajenos  a</w:t>
        <w:br/>
        <w:t>la voluntad de las víctimas, el Estado no pudiese reincorporarlas  al  Poder</w:t>
        <w:br/>
        <w:t>Judicial en el plazo de seis  meses  a  partir  de  la  notificación  de  la</w:t>
        <w:br/>
        <w:t>presente Sentencia, deberá pagar una indemnización, que esta Corte  fija  en</w:t>
        <w:br/>
        <w:t>equidad en US$ 100.000,00  (cien  mil  dólares  de  los  Estados  Unidos  de</w:t>
        <w:br/>
        <w:t>América) o  su  equivalente  en  moneda  nacional,  para  cada  una  de  las</w:t>
        <w:br/>
        <w:t>víctimas, en el plazo máximo de dieciocho meses a partir de la  notificación</w:t>
        <w:br/>
        <w:t>de la presente Sentencia.</w:t>
        <w:br/>
        <w:br/>
        <w:br/>
        <w:br/>
        <w:br/>
        <w:br/>
        <w:t xml:space="preserve">      3.2.  Publicación de la Sentencia y disculpas públicas</w:t>
        <w:br/>
        <w:br/>
        <w:br/>
        <w:t>247.  La Comisión y el representante solicitaron que  el  Estado  ofrezca  a</w:t>
        <w:br/>
        <w:t>las  víctimas  “una  disculpa  pública,  a  través  de  los  mismos   medios</w:t>
        <w:br/>
        <w:t>radioeléctricos que el Estado utilizó para  ofenderlos”  y  además  que  esa</w:t>
        <w:br/>
        <w:t>disculpa pública “sea publicada por dos domingos seguidos en los  periódicos</w:t>
        <w:br/>
        <w:t>El Nacional y El Universal de Caracas, [agregando] la parte  dispositiva  de</w:t>
        <w:br/>
        <w:t>la sentencia que dicte [la] Corte”.</w:t>
        <w:br/>
        <w:br/>
        <w:br/>
        <w:t>248.  El Estado  estimó  que  las  pretensiones  de  las  víctimas  no  eran</w:t>
        <w:br/>
        <w:t>pertinentes toda vez que “en solo  2  oportunidades  el  señor  [P]residente</w:t>
        <w:br/>
        <w:t>hizo referencias a este caso sin que esto constituyera el  tema  central  de</w:t>
        <w:br/>
        <w:t>sus alocuciones,  sino  como  un  comentario  propio  de  un  Presidente  en</w:t>
        <w:br/>
        <w:t>ejercicio de sus funciones, en  un  país  democrático,  pues  le  asiste  la</w:t>
        <w:br/>
        <w:t>necesidad de pronunciarse en referencia a cualquier situación  que  sea  del</w:t>
        <w:br/>
        <w:t>conocimiento público, esto por citar una  figura  emblemática  de  connotado</w:t>
        <w:br/>
        <w:t>carácter nacional e internacional”.</w:t>
        <w:br/>
        <w:br/>
        <w:br/>
        <w:t>249.  Como lo ha dispuesto esta Corte en otros casos[260],  como  medida  de</w:t>
        <w:br/>
        <w:t>satisfacción, el Estado deberá publicar en  el  Diario  Oficial  y  en  otro</w:t>
        <w:br/>
        <w:t>diario de amplia circulación nacional, por una sola vez, los párrafos  26  a</w:t>
        <w:br/>
        <w:t>40, 42 a 45, 84 a 91 y 136 a 147 de  la  presente  Sentencia  y  los  puntos</w:t>
        <w:br/>
        <w:t>resolutivos de la misma, sin las notas al pie  de  página  correspondientes.</w:t>
        <w:br/>
        <w:t>Para lo anterior, el Estado cuenta con el plazo de seis meses  a  partir  de</w:t>
        <w:br/>
        <w:t>la notificación de la presente Sentencia.</w:t>
        <w:br/>
        <w:br/>
        <w:br/>
        <w:t>250.  En lo que respecta a las demás pretensiones, la  Corte  considera  que</w:t>
        <w:br/>
        <w:t>la emisión de la presente Sentencia y la orden de publicación  de  parte  de</w:t>
        <w:br/>
        <w:t>la misma en el Diario Oficial y en otro diario de  amplia  circulación,  son</w:t>
        <w:br/>
        <w:t>suficientes medidas de reparación en este caso.</w:t>
        <w:br/>
        <w:br/>
        <w:br/>
        <w:br/>
        <w:br/>
        <w:br/>
        <w:t xml:space="preserve">      3.3.  adecuación del derecho interno a los parámetros de la Convención</w:t>
        <w:br/>
        <w:br/>
        <w:br/>
        <w:t>251.  La Comisión solicitó que se ordene la adopción de “medidas  inmediatas</w:t>
        <w:br/>
        <w:t>para lograr un impulso eficaz de la aprobación del Código de Ética del  Juez</w:t>
        <w:br/>
        <w:t>y  la  Jueza  Venezolanos,  en  orden  a  que  finalice  el   funcionamiento</w:t>
        <w:br/>
        <w:t>excepcional de la jurisdicción disciplinaria respecto a los jueces”, de  tal</w:t>
        <w:br/>
        <w:t>forma que se asegure que “dicha jurisdicción sea conforme con la  Convención</w:t>
        <w:br/>
        <w:t>Americana y permita garantizar la independencia e imparcialidad del  [P]oder</w:t>
        <w:br/>
        <w:t>[J]udicial”.  El  representante  concordó  con  la  Comisión  y  agregó  una</w:t>
        <w:br/>
        <w:t>solicitud para que se ordenen “las medidas  que  sean  necesarias  para  […]</w:t>
        <w:br/>
        <w:t>asegurar que en el  proceso  de  selección  de  los  jueces  no  intervengan</w:t>
        <w:br/>
        <w:t>criterios políticos u otras consideraciones indebidas”.</w:t>
        <w:br/>
        <w:br/>
        <w:br/>
        <w:t>252.  El Estado afirmó  que  “no  procede  reparación  alguna  en  razón  de</w:t>
        <w:br/>
        <w:t>ajustarse la conducta  del  Estado  al  ordenamiento  jurídico  local  y  al</w:t>
        <w:br/>
        <w:t>Derecho  Internacional  aplicable  al  caso,  toda  vez   que   la   demanda</w:t>
        <w:br/>
        <w:t>interpuesta por la Comisión carece  de  causa  y  objeto,  por  no  haberles</w:t>
        <w:br/>
        <w:t>causado el Estado venezolano ningún daño a los Demandantes”.</w:t>
        <w:br/>
        <w:br/>
        <w:br/>
        <w:t>253.   Como  se  estableció  anteriormente,  en  el   año   2006   la   Sala</w:t>
        <w:br/>
        <w:t>Constitucional  del  TSJ  declaró  la  “inconstitucionalidad   por   omisión</w:t>
        <w:br/>
        <w:t>legislativa de  la  Asamblea  Nacional  […]  con  motivo  del  procedimiento</w:t>
        <w:br/>
        <w:t>legislativo iniciado para sancionar el  denominado  Proyecto  de  Código  de</w:t>
        <w:br/>
        <w:t>Ética y Disciplina del Juez Venezolano o  Jueza  Venezolana,  elaborado  por</w:t>
        <w:br/>
        <w:t>dicha instancia  legislativa  en  el  año  2003,  que  no  fuera  finalmente</w:t>
        <w:br/>
        <w:t>promulgado”[261].  Teniendo  en  cuenta  que  el   propio   Poder   Judicial</w:t>
        <w:br/>
        <w:t>venezolano ha considerado que es imprescindible que se emita  el  Código  de</w:t>
        <w:br/>
        <w:t>Ética, considerando que el régimen transitorio se ha extendido por más de  9</w:t>
        <w:br/>
        <w:t>años, y en  vista  de  las  violaciones  declaradas  al  artículo  2  de  la</w:t>
        <w:br/>
        <w:t>Convención, esta Corte dispone que el Estado debe adoptar dentro  del  plazo</w:t>
        <w:br/>
        <w:t>de un año a partir de la notificación de la presente Sentencia  las  medidas</w:t>
        <w:br/>
        <w:t>necesarias para la aprobación del Código de  Ética.  Esta  normativa  deberá</w:t>
        <w:br/>
        <w:t>garantizar tanto la imparcialidad  del  órgano  disciplinario,  permitiendo,</w:t>
        <w:br/>
        <w:t>inter alia, que sus miembros puedan ser recusados,  como  su  independencia,</w:t>
        <w:br/>
        <w:t>regulando  un  adecuado  proceso  de  nombramiento  de  sus  integrantes   y</w:t>
        <w:br/>
        <w:t>asegurando su estabilidad en el cargo.</w:t>
        <w:br/>
        <w:br/>
        <w:br/>
        <w:br/>
        <w:br/>
        <w:br/>
        <w:t xml:space="preserve">      4.    Costas y gastos</w:t>
        <w:br/>
        <w:br/>
        <w:br/>
        <w:t>254.  La Comisión solicitó “el pago  de  las  costas  y  gastos  debidamente</w:t>
        <w:br/>
        <w:t>probados [..] como consecuencia de los  procedimientos  tramitados  tanto  a</w:t>
        <w:br/>
        <w:t>nivel nacional como interamericano”.</w:t>
        <w:br/>
        <w:br/>
        <w:br/>
        <w:t>255.  El representante indicó que “el costo de la presentación  de  recursos</w:t>
        <w:br/>
        <w:t>ante  las   instancias   jurisdiccionales   nacionales,   investigación   en</w:t>
        <w:br/>
        <w:t>tribunales, prensa, y televisión,  más  la  obtención  de  fotocopias  y  la</w:t>
        <w:br/>
        <w:t>preparación de archivos”  asciende  a  US$  3.500,00  (tres  mil  quinientos</w:t>
        <w:br/>
        <w:t>dólares  de  los  Estados  Unidos  de   América),   suma   que,   según   el</w:t>
        <w:br/>
        <w:t>representante, el Estado debe reintegrar al señor Apitz. De otro  lado,  por</w:t>
        <w:br/>
        <w:t>concepto de “dos boletos aéreos” solicitó el reintegro de US$ 2.460,00  (dos</w:t>
        <w:br/>
        <w:t>mil cuatrocientos sesenta dólares de los Estados Unidos de América) para  el</w:t>
        <w:br/>
        <w:t>señor Apitz. Por concepto de “tres noches de hotel en  Washington,  con  dos</w:t>
        <w:br/>
        <w:t>habitaciones” para los señores Héctor Faúndez Ledesma y Juan  Carlos  Apitz,</w:t>
        <w:br/>
        <w:t>“más comidas, más viáticos” solicitó el reintegro  al  señor  Apitz  de  US$</w:t>
        <w:br/>
        <w:t>2.836,00 (dos mil ochocientos treinta y seis dólares de los  Estados  Unidos</w:t>
        <w:br/>
        <w:t>de América). Por concepto de “pasajes de las víctimas en este caso y  de  su</w:t>
        <w:br/>
        <w:t>representante, en el trayecto Caracas - San  José  -  Caracas”  solicitó  el</w:t>
        <w:br/>
        <w:t>reintegro de US$ 4.800,00 (cuatro mil ochocientos  dólares  de  los  Estados</w:t>
        <w:br/>
        <w:t>Unidos de América). Asimismo, por concepto de “hotel y  gastos  de  estadía”</w:t>
        <w:br/>
        <w:t>en San José de Costa Rica se solicitó  US$  2.800,00  (dos  mil  ochocientos</w:t>
        <w:br/>
        <w:t>dólares de los Estados Unidos  de  América).  Finalmente,  por  concepto  de</w:t>
        <w:br/>
        <w:t>“honorarios” el representante solicitó US$ 30.000,00  (treinta  mil  dólares</w:t>
        <w:br/>
        <w:t>de los Estados Unidos de América).</w:t>
        <w:br/>
        <w:br/>
        <w:br/>
        <w:t>256.   El  Estado  consideró  que  “resulta  desproporcionada  la   relación</w:t>
        <w:br/>
        <w:t>porcentual  entre  el  establecimiento  del  monto  indemnizatorio   a   las</w:t>
        <w:br/>
        <w:t>presuntas víctimas y familiares y el reclamado por [el representante]”.</w:t>
        <w:br/>
        <w:br/>
        <w:br/>
        <w:t>257.  La Corte ha señalado  que  las  costas  y  gastos  están  comprendidos</w:t>
        <w:br/>
        <w:t>dentro del concepto de reparación consagrado  en  el  artículo  63.1  de  la</w:t>
        <w:br/>
        <w:t>Convención Americana, toda vez que la actividad desplegada por las  víctimas</w:t>
        <w:br/>
        <w:t>con el fin de obtener justicia, tanto a nivel nacional  como  internacional,</w:t>
        <w:br/>
        <w:t>implica erogaciones que deben  ser  compensadas  cuando  la  responsabilidad</w:t>
        <w:br/>
        <w:t>internacional del Estado es declarada mediante una  sentencia  condenatoria.</w:t>
        <w:br/>
        <w:t>En cuanto a su reembolso, corresponde al Tribunal apreciar prudentemente  su</w:t>
        <w:br/>
        <w:t>alcance, el cual comprende los gastos generados ante las autoridades  de  la</w:t>
        <w:br/>
        <w:t>jurisdicción interna, así como los generados en el curso  del  proceso  ante</w:t>
        <w:br/>
        <w:t>el sistema interamericano, teniendo en cuenta las  circunstancias  del  caso</w:t>
        <w:br/>
        <w:t>concreto y la naturaleza de la jurisdicción internacional de  la  protección</w:t>
        <w:br/>
        <w:t>de los derechos humanos. Esta apreciación puede ser realizada  con  base  en</w:t>
        <w:br/>
        <w:t>el principio de equidad y tomando en cuenta los  gastos  señalados  por  las</w:t>
        <w:br/>
        <w:t>partes, siempre que su quantum sea razonable[262].</w:t>
        <w:br/>
        <w:br/>
        <w:br/>
        <w:t>258.  En el presente caso, al momento de remitir su escrito  de  solicitudes</w:t>
        <w:br/>
        <w:t>y argumentos (supra párr. 4), el representante no presentó  los  respectivos</w:t>
        <w:br/>
        <w:t>comprobantes de las  costas  y  gastos  en  los  que  supuestamente  habrían</w:t>
        <w:br/>
        <w:t>incurrido los señores Apitz, Rocha y Ruggeri, ni presentó argumentos  claros</w:t>
        <w:br/>
        <w:t>en este sentido. Al respecto, el Tribunal considera que las pretensiones  de</w:t>
        <w:br/>
        <w:t>las víctimas o sus representantes en materia  de  costas  y  gastos,  y  las</w:t>
        <w:br/>
        <w:t>pruebas que las sustentan,  deben  presentarse  a  la  Corte  en  el  primer</w:t>
        <w:br/>
        <w:t>momento procesal que  se  les  concede[263],  esto  es,  en  el  escrito  de</w:t>
        <w:br/>
        <w:t>solicitudes y  argumentos,  sin  perjuicio  de  que  tales  pretensiones  se</w:t>
        <w:br/>
        <w:t>actualicen en un momento posterior, conforme a las nuevas  costas  y  gastos</w:t>
        <w:br/>
        <w:t>en que se haya incurrido con ocasión del procedimiento ante esta Corte.</w:t>
        <w:br/>
        <w:br/>
        <w:br/>
        <w:t>259.  Ante la falencia probatoria señalada en el párrafo anterior, la  Corte</w:t>
        <w:br/>
        <w:t>solicitó al representante mediante dos  cartas  de  la  Secretaría[264]  que</w:t>
        <w:br/>
        <w:t>remitiera los documentos probatorios que demostraran  las  costas  y  gastos</w:t>
        <w:br/>
        <w:t>incurridos. Sin embargo, no se recibió respuesta. Sobre  el  particular,  la</w:t>
        <w:br/>
        <w:t>Corte desea indicar que es una facultad y no  una  obligación  del  Tribunal</w:t>
        <w:br/>
        <w:t>solicitar a las partes el suministro de pruebas para  mejor  resolver.  Como</w:t>
        <w:br/>
        <w:t>se advirtió en el párrafo anterior, la obligación  de  presentar  la  prueba</w:t>
        <w:br/>
        <w:t>pertinente de manera oportuna en este caso recae en el representante.</w:t>
        <w:br/>
        <w:br/>
        <w:br/>
        <w:t>260.  Teniendo en cuenta las consideraciones precedentes y al no contar  con</w:t>
        <w:br/>
        <w:t>prueba documental suficiente que acredite los gastos en que incurrieron  las</w:t>
        <w:br/>
        <w:t>víctimas y el  representante  por  las  gestiones  efectuadas  tanto  en  el</w:t>
        <w:br/>
        <w:t>procedimiento interno como en el sistema interamericano, la Corte  determina</w:t>
        <w:br/>
        <w:t>en equidad que el Estado debe entregar la cantidad de  US$  5.000,00  (cinco</w:t>
        <w:br/>
        <w:t>mil dólares de los Estados Unidos de América) a cada una  de  las  víctimas,</w:t>
        <w:br/>
        <w:t>por  concepto  de  costas  y  gastos.  Dicha  cantidad   deberá   entregarse</w:t>
        <w:br/>
        <w:t>directamente a los beneficiarios dentro del plazo de un año a partir  de  la</w:t>
        <w:br/>
        <w:t>notificación de  la  presente  Sentencia.  Este  monto  incluye  los  gastos</w:t>
        <w:br/>
        <w:t>futuros en que puedan incurrir las víctimas a nivel  interno  o  durante  la</w:t>
        <w:br/>
        <w:t>supervisión del cumplimiento de esta Sentencia. Las víctimas  entregarán,  a</w:t>
        <w:br/>
        <w:t>su vez, la cantidad que estimen adecuada a quien fue su representante en  el</w:t>
        <w:br/>
        <w:t>fuero interno y en el proceso ante el sistema interamericano.</w:t>
        <w:br/>
        <w:br/>
        <w:br/>
        <w:br/>
        <w:br/>
        <w:br/>
        <w:t xml:space="preserve">      5.    Modalidad de cumplimiento</w:t>
        <w:br/>
        <w:br/>
        <w:br/>
        <w:t>261.  El pago de las indemnizaciones y  el  reembolso  de  costas  y  gastos</w:t>
        <w:br/>
        <w:t>establecidos a favor de la señora Ruggeri y de los  señores  Apitz  y  Rocha</w:t>
        <w:br/>
        <w:t>será hecho directamente a ellos. En caso de fallecimiento  con  anterioridad</w:t>
        <w:br/>
        <w:t>a la entrega de  la  indemnización  respectiva,  ésta  se  entregará  a  sus</w:t>
        <w:br/>
        <w:t>derechohabientes, conforme al derecho interno aplicable[265].</w:t>
        <w:br/>
        <w:br/>
        <w:br/>
        <w:t>262.  El Estado debe cumplir sus obligaciones mediante el  pago  en  dólares</w:t>
        <w:br/>
        <w:t>de los Estados Unidos de América o en una  cantidad  equivalente  en  moneda</w:t>
        <w:br/>
        <w:t>venezolana, utilizando para el cálculo respectivo el tipo  de  cambio  entre</w:t>
        <w:br/>
        <w:t>ambas monedas que esté vigente en la plaza de Nueva York, Estados Unidos  de</w:t>
        <w:br/>
        <w:t>América, el día anterior al pago.</w:t>
        <w:br/>
        <w:br/>
        <w:br/>
        <w:t>263.  Si por causas atribuibles a los beneficiarios de los  pagos  no  fuese</w:t>
        <w:br/>
        <w:t>posible que los reciban dentro del  plazo  indicado,  el  Estado  consignará</w:t>
        <w:br/>
        <w:t>dichos montos a favor de los beneficiarios en una cuenta  o  certificado  de</w:t>
        <w:br/>
        <w:t>depósito   en   una   institución   financiera   venezolana,   en    dólares</w:t>
        <w:br/>
        <w:t>estadounidenses  y  en  las  condiciones  financieras  más  favorables   que</w:t>
        <w:br/>
        <w:t>permitan la legislación y la práctica bancaria. Si al cabo  de  10  años  la</w:t>
        <w:br/>
        <w:t>indemnización no ha  sido  reclamada,  las  cantidades  serán  devueltas  al</w:t>
        <w:br/>
        <w:t>Estado con los intereses devengados.</w:t>
        <w:br/>
        <w:br/>
        <w:br/>
        <w:t>264.    Las   cantidades   asignadas   en   la   presente   Sentencia   como</w:t>
        <w:br/>
        <w:t>indemnizaciones y como reintegro de costas y gastos deberán  ser  entregadas</w:t>
        <w:br/>
        <w:t>a los beneficiarios en forma íntegra  conforme  a  lo  establecido  en  esta</w:t>
        <w:br/>
        <w:t>Sentencia, sin reducciones derivadas de eventuales cargas fiscales.</w:t>
        <w:br/>
        <w:br/>
        <w:br/>
        <w:t>265.  En caso de que el Estado incurriera en mora, deberá pagar  un  interés</w:t>
        <w:br/>
        <w:t>sobre la cantidad adeudada, correspondiente al  interés  bancario  moratorio</w:t>
        <w:br/>
        <w:t>en Venezuela.</w:t>
        <w:br/>
        <w:br/>
        <w:br/>
        <w:t>266.  Conforme a su práctica constante, la  Corte  se  reserva  la  facultad</w:t>
        <w:br/>
        <w:t>inherente a sus atribuciones y derivada, asimismo, del  artículo  65  de  la</w:t>
        <w:br/>
        <w:t>Convención Americana, de supervisar el cumplimiento íntegro de  la  presente</w:t>
        <w:br/>
        <w:t>Sentencia. El caso se dará por concluido una vez que  el  Estado  haya  dado</w:t>
        <w:br/>
        <w:t>cabal cumplimiento a lo dispuesto en el presente fallo. Dentro del plazo  de</w:t>
        <w:br/>
        <w:t>seis meses a partir de la notificación de esta Sentencia  el  Estado  deberá</w:t>
        <w:br/>
        <w:t>rendir  a  la  Corte  un  informe  sobre  las  medidas  adoptadas  para  dar</w:t>
        <w:br/>
        <w:t>cumplimiento a la misma.</w:t>
        <w:br/>
        <w:br/>
        <w:br/>
        <w:br/>
        <w:br/>
        <w:t xml:space="preserve">                                      X</w:t>
        <w:br/>
        <w:t xml:space="preserve">                             Puntos Resolutivos</w:t>
        <w:br/>
        <w:br/>
        <w:br/>
        <w:br/>
        <w:br/>
        <w:t>267.  Por tanto,</w:t>
        <w:br/>
        <w:br/>
        <w:br/>
        <w:br/>
        <w:br/>
        <w:br/>
        <w:t>La Corte</w:t>
        <w:br/>
        <w:br/>
        <w:br/>
        <w:br/>
        <w:br/>
        <w:br/>
        <w:t>Decide,</w:t>
        <w:br/>
        <w:br/>
        <w:br/>
        <w:br/>
        <w:br/>
        <w:br/>
        <w:t>por unanimidad:</w:t>
        <w:br/>
        <w:br/>
        <w:br/>
        <w:br/>
        <w:br/>
        <w:br/>
        <w:t>1.    Desestimar la excepción preliminar interpuesta por el Estado, en  los</w:t>
        <w:br/>
        <w:t>términos del párrafo 24 de la presente Sentencia.</w:t>
        <w:br/>
        <w:br/>
        <w:br/>
        <w:br/>
        <w:br/>
        <w:br/>
        <w:t>Declara,</w:t>
        <w:br/>
        <w:br/>
        <w:br/>
        <w:br/>
        <w:br/>
        <w:br/>
        <w:t>por unanimidad, que:</w:t>
        <w:br/>
        <w:br/>
        <w:br/>
        <w:br/>
        <w:br/>
        <w:br/>
        <w:t>2.    El Estado no violó  el  derecho  de  los  señores  Juan  Carlos  Apitz</w:t>
        <w:br/>
        <w:t>Barbera y Perkins Rocha Contreras y de la señora Ana María  Ruggeri  Cova  a</w:t>
        <w:br/>
        <w:t>ser juzgados por un tribunal competente, conforme a los párrafos 47 a 53  de</w:t>
        <w:br/>
        <w:t>esta Sentencia</w:t>
        <w:br/>
        <w:br/>
        <w:br/>
        <w:br/>
        <w:br/>
        <w:br/>
        <w:t>3.    El Estado no garantizó el derecho de los  señores  Juan  Carlos  Apitz</w:t>
        <w:br/>
        <w:t>Barbera y Perkins Rocha Contreras y de la señora Ana María  Ruggeri  Cova  a</w:t>
        <w:br/>
        <w:t>ser juzgados por un tribunal imparcial, lo que constituye una violación  del</w:t>
        <w:br/>
        <w:t>artículo 8.1 de la Convención Americana sobre Derechos Humanos, en  relación</w:t>
        <w:br/>
        <w:t>con las obligaciones generales consagradas en los artículos 1.1 y  2  de  la</w:t>
        <w:br/>
        <w:t>misma, conforme a los párrafos 54 a 67 de esta Sentencia.</w:t>
        <w:br/>
        <w:br/>
        <w:br/>
        <w:br/>
        <w:br/>
        <w:br/>
        <w:t>4.    El Estado no violó el artículo 8.1 de la  Convención  Americana  sobre</w:t>
        <w:br/>
        <w:t>Derechos Humanos al no oír  a  los  señores  Juan  Carlos  Apitz  Barbera  y</w:t>
        <w:br/>
        <w:t>Perkins Rocha Contreras y a la señora Ana María Ruggeri Cova en  el  proceso</w:t>
        <w:br/>
        <w:t>de avocamiento ante la Sala Político Administrativa del Tribunal Supremo  de</w:t>
        <w:br/>
        <w:t>Justicia, y al no oír en audiencia pública a los señores Juan  Carlos  Apitz</w:t>
        <w:br/>
        <w:t>Barbera y Perkins Rocha Contreras en los recursos interpuestos,  conforme  a</w:t>
        <w:br/>
        <w:t>los párrafos 68 a 76 de este fallo.</w:t>
        <w:br/>
        <w:br/>
        <w:br/>
        <w:br/>
        <w:br/>
        <w:br/>
        <w:t>5.    El Estado incumplió  con  el  deber  de  motivación  derivado  de  las</w:t>
        <w:br/>
        <w:t>debidas  garantías  del  artículo  8.1  de  la  Convención  Americana  sobre</w:t>
        <w:br/>
        <w:t>Derechos Humanos, en relación con el artículo 1.1 de la misma, en  perjuicio</w:t>
        <w:br/>
        <w:t>de los señores Juan Carlos Apitz Barbera y Perkins Rocha Contreras y  de  la</w:t>
        <w:br/>
        <w:t>señora Ana María Ruggeri Cova, conforme a los  párrafos  77  a  94  de  esta</w:t>
        <w:br/>
        <w:t>Sentencia.</w:t>
        <w:br/>
        <w:br/>
        <w:br/>
        <w:br/>
        <w:br/>
        <w:br/>
        <w:t>6.    No ha quedado  establecido  que  el  Poder  Judicial  en  su  conjunto</w:t>
        <w:br/>
        <w:t>carezca de independencia, conforme a lo expuesto en los párrafos  96  a  108</w:t>
        <w:br/>
        <w:t>de esta Sentencia.</w:t>
        <w:br/>
        <w:br/>
        <w:br/>
        <w:br/>
        <w:br/>
        <w:br/>
        <w:t>7.    El Estado violó el derecho de los señores Juan Carlos Apitz Barbera  y</w:t>
        <w:br/>
        <w:t>Perkins Rocha Contreras y  de  la  señora  Ana  María  Ruggeri  Cova  a  ser</w:t>
        <w:br/>
        <w:t>juzgados por un tribunal independiente,  conforme  al  artículo  8.1  de  la</w:t>
        <w:br/>
        <w:t>Convención  Americana  sobre  Derechos  Humanos,   en   relación   con   las</w:t>
        <w:br/>
        <w:t>obligaciones generales consagradas en los artículos 1.1 y  2  de  la  misma,</w:t>
        <w:br/>
        <w:t>por las razones expuestas en los párrafos 109 a 148 de esta Sentencia.</w:t>
        <w:br/>
        <w:br/>
        <w:br/>
        <w:br/>
        <w:br/>
        <w:br/>
        <w:t>8.    El Estado violó el derecho a ser oído dentro de  un  plazo  razonable,</w:t>
        <w:br/>
        <w:t>consagrado en el artículo 8.1 de  la  Convención  Americana  sobre  Derechos</w:t>
        <w:br/>
        <w:t>Humanos, en relación con el artículo 1.1 de la misma, en  perjuicio  de  los</w:t>
        <w:br/>
        <w:t>señores Juan Carlos Apitz Barbera y Perkins Rocha Contreras, conforme a  los</w:t>
        <w:br/>
        <w:t>párrafos 157 a 161 y 172 a 181 de esta Sentencia.</w:t>
        <w:br/>
        <w:br/>
        <w:br/>
        <w:br/>
        <w:br/>
        <w:br/>
        <w:t>9.    El Estado violó el derecho a un recurso sencillo, rápido  y  efectivo,</w:t>
        <w:br/>
        <w:t>consagrado en el artículo 25.1 de la  Convención  Americana  sobre  Derechos</w:t>
        <w:br/>
        <w:t>Humanos, en relación con el artículo 1.1 de la misma, en  perjuicio  de  los</w:t>
        <w:br/>
        <w:t>señores Juan Carlos Apitz Barbera y Perkins Rocha Contreras, conforme a  los</w:t>
        <w:br/>
        <w:t>párrafos 150 a 156 y 171 de esta Sentencia.</w:t>
        <w:br/>
        <w:br/>
        <w:br/>
        <w:br/>
        <w:br/>
        <w:br/>
        <w:t>10.   El Estado no violó el derecho de la señora Ana María  Ruggeri  Cova  a</w:t>
        <w:br/>
        <w:t>la protección judicial, consagrado en el  artículo  25.1  de  la  Convención</w:t>
        <w:br/>
        <w:t>Americana sobre Derechos Humanos, por lo expuesto en los párrafos 182 a  185</w:t>
        <w:br/>
        <w:t>de esta Sentencia.</w:t>
        <w:br/>
        <w:br/>
        <w:br/>
        <w:br/>
        <w:br/>
        <w:br/>
        <w:t>11.   El Estado no violó  el  derecho  de  los  señores  Juan  Carlos  Apitz</w:t>
        <w:br/>
        <w:t>Barbera y Perkins Rocha Contreras y de la señora Ana María  Ruggeri  Cova  a</w:t>
        <w:br/>
        <w:t>la igualdad ante la ley, consagrado en  el  artículo  24  de  la  Convención</w:t>
        <w:br/>
        <w:t>Americana sobre Derechos Humanos, conforme a los párrafos 190 a 200 de  esta</w:t>
        <w:br/>
        <w:t>Sentencia.</w:t>
        <w:br/>
        <w:br/>
        <w:br/>
        <w:br/>
        <w:br/>
        <w:br/>
        <w:t>12.   El Estado no violó  el  derecho  de  los  señores  Juan  Carlos  Apitz</w:t>
        <w:br/>
        <w:t>Barbera y Perkins Rocha Contreras y de la señora Ana María  Ruggeri  Cova  a</w:t>
        <w:br/>
        <w:t>tener  acceso,  en  condiciones  generales  de  igualdad,  a  las  funciones</w:t>
        <w:br/>
        <w:t>públicas, consagrado en el  artículo  23.1.c)  de  la  Convención  Americana</w:t>
        <w:br/>
        <w:t>sobre  Derechos  Humanos,  conforme  a  los  párrafos  201  a  207  de  esta</w:t>
        <w:br/>
        <w:t>Sentencia.</w:t>
        <w:br/>
        <w:br/>
        <w:br/>
        <w:br/>
        <w:br/>
        <w:br/>
        <w:t>13.   El Estado no violó la cláusula general de no discriminación  contenida</w:t>
        <w:br/>
        <w:t>en el artículo 1.1 de la Convención  Americana  sobre  Derechos  Humanos  en</w:t>
        <w:br/>
        <w:t>relación con el derecho sustantivo a ser oído dentro de un  plazo  razonable</w:t>
        <w:br/>
        <w:t>consagrado en el artículo 8.1 de dicho tratado, conforme a los párrafos  208</w:t>
        <w:br/>
        <w:t>a 215 de esta Sentencia.</w:t>
        <w:br/>
        <w:br/>
        <w:br/>
        <w:br/>
        <w:br/>
        <w:br/>
        <w:t>14.   No es procedente la alegada violación del artículo 29.c)  y  29.d)  de</w:t>
        <w:br/>
        <w:t>la Convención Americana sobre Derechos Humanos, en relación con el  artículo</w:t>
        <w:br/>
        <w:t>3 de la Carta Democrática Interamericana, conforme a los párrafos 216 a  223</w:t>
        <w:br/>
        <w:t>de esta Sentencia.</w:t>
        <w:br/>
        <w:br/>
        <w:br/>
        <w:br/>
        <w:br/>
        <w:br/>
        <w:t>15.   Esta Sentencia constituye per se una forma de reparación.</w:t>
        <w:br/>
        <w:br/>
        <w:br/>
        <w:br/>
        <w:br/>
        <w:br/>
        <w:t>Y Dispone:</w:t>
        <w:br/>
        <w:br/>
        <w:br/>
        <w:br/>
        <w:br/>
        <w:br/>
        <w:t>por unanimidad que:</w:t>
        <w:br/>
        <w:br/>
        <w:br/>
        <w:br/>
        <w:br/>
        <w:br/>
        <w:t>16.   El Estado debe realizar los pagos de las  cantidades  establecidas  en</w:t>
        <w:br/>
        <w:t>la presente Sentencia por concepto de daño material, inmaterial y  reintegro</w:t>
        <w:br/>
        <w:t>de costas y gastos dentro del plazo de un año a partir  de  la  notificación</w:t>
        <w:br/>
        <w:t>de la presente Sentencia, en los términos de los párrafos 236, 242 y 260  de</w:t>
        <w:br/>
        <w:t>la misma.</w:t>
        <w:br/>
        <w:br/>
        <w:br/>
        <w:br/>
        <w:br/>
        <w:br/>
        <w:t>17.   El Estado debe reintegrar al Poder Judicial a los señores Juan  Carlos</w:t>
        <w:br/>
        <w:t>Apitz Barbera y Perkins Rocha Contreras y a  la  señora  Ana  María  Ruggeri</w:t>
        <w:br/>
        <w:t>Cova, si éstos así lo desean, en un  cargo  que  tenga  las  remuneraciones,</w:t>
        <w:br/>
        <w:t>beneficios sociales y rango equiparables a los  que  les  correspondería  el</w:t>
        <w:br/>
        <w:t>día hoy si no hubieran sido destituidos. Si por motivos fundados,  ajenos  a</w:t>
        <w:br/>
        <w:t>la voluntad de las víctimas, el Estado no pudiese reincorporarlas  al  Poder</w:t>
        <w:br/>
        <w:t>Judicial en el plazo de seis  meses  a  partir  de  la  notificación  de  la</w:t>
        <w:br/>
        <w:t>presente Sentencia, deberá pagar a cada una  de  las  víctimas  la  cantidad</w:t>
        <w:br/>
        <w:t>establecida en el párrafo 246 de esta Sentencia.</w:t>
        <w:br/>
        <w:br/>
        <w:br/>
        <w:br/>
        <w:br/>
        <w:br/>
        <w:t>18.   El Estado debe realizar las publicaciones señaladas en el párrafo  249</w:t>
        <w:br/>
        <w:t>de esta Sentencia, en el plazo de seis meses a partir de la notificación  de</w:t>
        <w:br/>
        <w:t>la misma.</w:t>
        <w:br/>
        <w:br/>
        <w:br/>
        <w:br/>
        <w:br/>
        <w:br/>
        <w:t>19.   El Estado debe adoptar dentro del plazo de  un  año  a  partir  de  la</w:t>
        <w:br/>
        <w:t>notificación de  la  presente  Sentencia  las  medidas  necesarias  para  la</w:t>
        <w:br/>
        <w:t>aprobación del  Código  de  Ética  del  Juez  y  la  Jueza  Venezolanos,  de</w:t>
        <w:br/>
        <w:t>conformidad con lo expuesto en el párrafo 253 de esta Sentencia.</w:t>
        <w:br/>
        <w:br/>
        <w:br/>
        <w:br/>
        <w:br/>
        <w:br/>
        <w:t>20.   Supervisará  la  ejecución  íntegra  de  esta  Sentencia  y  dará  por</w:t>
        <w:br/>
        <w:t>concluido  el  presente  caso  una  vez  que  el  Estado  haya  dado   cabal</w:t>
        <w:br/>
        <w:t>cumplimiento a lo dispuesto en la misma. Dentro del plazo de  seis  meses  a</w:t>
        <w:br/>
        <w:t>partir de la notificación de esta Sentencia, el Estado deberá  rendir  a  la</w:t>
        <w:br/>
        <w:t>Corte un informe sobre las medidas adoptadas para darle cumplimiento.</w:t>
        <w:br/>
        <w:br/>
        <w:br/>
        <w:br/>
        <w:br/>
        <w:br/>
        <w:br/>
        <w:br/>
        <w:t>Redactada en español y en inglés, haciendo fe el texto en  español,  en  San</w:t>
        <w:br/>
        <w:t>José, Costa Rica, el día 5 de agosto de 2008.</w:t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t>Sergio García Ramírez                       Manuel E. Ventura Robles</w:t>
        <w:br/>
        <w:br/>
        <w:br/>
        <w:br/>
        <w:br/>
        <w:t>Leonardo A. Franco     Margarette May Macaulay</w:t>
        <w:br/>
        <w:br/>
        <w:br/>
        <w:br/>
        <w:br/>
        <w:t xml:space="preserve">                            Rhadys Abreu Blondet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                          Cecilia Medina Quiroga</w:t>
        <w:br/>
        <w:t xml:space="preserve">                                                                  Presidenta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br/>
        <w:t>-----------------------</w:t>
        <w:br/>
        <w:br/>
        <w:t>(     El 28 de enero de 2008 el Juez Diego  García  Sayán,  de  nacionalidad</w:t>
        <w:br/>
        <w:t>peruana, informó al Tribunal de su inhibitoria  para  conocer  del  presente</w:t>
        <w:br/>
        <w:t>caso “por considerar que ello resulta conveniente  para  la  Corte”.  Indicó</w:t>
        <w:br/>
        <w:t>que es “integrante de la Comisión Andina de Juristas” y que ocupa “un  cargo</w:t>
        <w:br/>
        <w:t>directivo en dicha institución”. Consideró  que  “[s]i  bien  las  funciones</w:t>
        <w:br/>
        <w:t>específicas  de  dicho  cargo  no  están  relacionadas  directamente  a  las</w:t>
        <w:br/>
        <w:t>comunicaciones o apreciaciones institucionales  sobre  asuntos  sustantivos,</w:t>
        <w:br/>
        <w:t>[…]  resulta[ba]  adecuado  excusar[se]  de  seguir   participando   en   el</w:t>
        <w:br/>
        <w:t>conocimiento de este caso de tal forma que  no  se  vea  afectada,  de  modo</w:t>
        <w:br/>
        <w:t>alguno,  la  percepción  de  absoluta  independencia   del   Tribunal”.   La</w:t>
        <w:br/>
        <w:t>Presidenta de la Corte consideró que no se desprendía  que  el  Juez  García</w:t>
        <w:br/>
        <w:t>Sayán hubiese participado de alguna manera, cualquiera que  ésta  fuese,  en</w:t>
        <w:br/>
        <w:t>el presente caso o que hubiese manifestado pública o privadamente puntos  de</w:t>
        <w:br/>
        <w:t>vista acerca del litigio en curso, sus causas,  manifestaciones  y  posibles</w:t>
        <w:br/>
        <w:t>soluciones, o bien en torno a quienes actúan en éste en calidad  de  partes.</w:t>
        <w:br/>
        <w:t>Sin  embargo,  la  Presidenta,  en  consulta  con  los  demás  Jueces  y  de</w:t>
        <w:br/>
        <w:t>conformidad  con  el  artículo  19.2  del  Estatuto  del  Tribunal,   estimó</w:t>
        <w:br/>
        <w:t>razonable acceder al planteamiento del Juez García-Sayán,  en  relación  con</w:t>
        <w:br/>
        <w:t>su decisión de que “no se vea afectada, de modo  alguno,  la  percepción  de</w:t>
        <w:br/>
        <w:t>absoluta  independencia  del  Tribunal”  y,  consecuentemente,   aceptó   la</w:t>
        <w:br/>
        <w:t>inhibitoria presentada. La inhibitoria del Juez García-Sayán y  la  decisión</w:t>
        <w:br/>
        <w:t>de la Presidenta fueron notificadas a las partes el 29 de enero de 2008.</w:t>
        <w:br/>
        <w:br/>
        <w:br/>
        <w:t>[1]   El 10 de enero de 2007  el  Ministerio  del  Poder  Popular  para  las</w:t>
        <w:br/>
        <w:t>Relaciones Exteriores de Venezuela designó “como Agente para representar  al</w:t>
        <w:br/>
        <w:t>Estado venezolano” a la señora Mayerling Rojas Villasmil. El 20 de abril  de</w:t>
        <w:br/>
        <w:t>2007 el señor Germán Saltrón Negretti, quien ocupa el cargo  de  Agente  del</w:t>
        <w:br/>
        <w:t>Estado  para  los  Derechos  Humanos  ante  el  Sistema   Interamericano   e</w:t>
        <w:br/>
        <w:t>Internacional, adscrito al Ministerio del Poder Popular para las  Relaciones</w:t>
        <w:br/>
        <w:t>Exteriores, informó que él sustituiría a  la  señora  Rojas  Villasmil  como</w:t>
        <w:br/>
        <w:t>Agente del Estado e informó de la designación del señor Larry Devoe  Márquez</w:t>
        <w:br/>
        <w:t>como Agente alterno. El 23 de abril  de  2007  la  señora  Rojas  Villasmil,</w:t>
        <w:br/>
        <w:t>actuando como “Agente del Estado”, presentó un escrito  de  contestación  de</w:t>
        <w:br/>
        <w:t>la demanda. El 25 de abril de  2007  el  señor  Saltrón  Negretti,  actuando</w:t>
        <w:br/>
        <w:t>también  como  “Agente  del  Estado”,  presentó  un  escrito  diferente   de</w:t>
        <w:br/>
        <w:t>contestación de la demanda y el 27 de  abril  de  2007  “ratific[ó  que]  la</w:t>
        <w:br/>
        <w:t>representación del Estado […] ser[ía] asumida por [él mismo], por lo que  se</w:t>
        <w:br/>
        <w:t>deja[ba] sin efecto la designación de la [señora] Rojas  Villasmil”.  El  27</w:t>
        <w:br/>
        <w:t>de abril de 2007 el señor Jorge Valero, Viceministro para América del  Norte</w:t>
        <w:br/>
        <w:t>y Asuntos Multilaterales de Venezuela, ratificó la designación de la  señora</w:t>
        <w:br/>
        <w:t>Rojas Villasmil como Agente del Estado”. El 4  de  mayo  de  2007  el  señor</w:t>
        <w:br/>
        <w:t>Saltrón Negretti “ratific[ó que] la representación del  Estado  […]  ser[ía]</w:t>
        <w:br/>
        <w:t>asumida por [él mismo], quedando sin efecto la designación  de  [la  señora]</w:t>
        <w:br/>
        <w:t>Rojas Villasmil”. En razón de ello, se  solicitó  al  Ministerio  del  Poder</w:t>
        <w:br/>
        <w:t>Popular para las Relaciones Exteriores de Venezuela que aclarara  quién  era</w:t>
        <w:br/>
        <w:t>el Agente designado por el Estado. En respuesta a esta comunicación,  el  10</w:t>
        <w:br/>
        <w:t>de mayo de 2007 el señor Nicolás Maduro Moros, Ministro  del  Poder  Popular</w:t>
        <w:br/>
        <w:t>para las Relaciones Exteriores de Venezuela, “ratific[ó] la  designación  de</w:t>
        <w:br/>
        <w:t>la  [señora]  Rojas  Villasmil  como  Agente  designad[a]  por   el   Estado</w:t>
        <w:br/>
        <w:t>venezolano  para  el  [presente]  caso”.  Tomando  en  cuenta  esta   última</w:t>
        <w:br/>
        <w:t>comunicación la Corte decidió que se tendría a  la  señora  Rojas  Villasmil</w:t>
        <w:br/>
        <w:t>como  Agente  del  Estado  para  los  efectos  del  presente  caso   y,   en</w:t>
        <w:br/>
        <w:t>consecuencia, se informó a las partes que tendría  por  no  presentados  los</w:t>
        <w:br/>
        <w:t>escritos remitidos por el señor Saltrón Negretti.</w:t>
        <w:br/>
        <w:br/>
        <w:t>[2]   Cfr. escrito del Estado de 9 de enero  de  2008,  recibido  el  14  de</w:t>
        <w:br/>
        <w:t>enero de 2008 (expediente de fondo, Tomo III, folio 698).</w:t>
        <w:br/>
        <w:br/>
        <w:t>[3]   El 22 de diciembre de 2006 se informó al Estado  que  podría  designar</w:t>
        <w:br/>
        <w:t>un juez ad hoc para que participara en la consideración del  presente  caso.</w:t>
        <w:br/>
        <w:t>El 19 de enero de 2007 el Estado solicitó la concesión de una prórroga  para</w:t>
        <w:br/>
        <w:t>realizar  tal  designación.  Dicha  prórroga  fue  otorgada,  con   carácter</w:t>
        <w:br/>
        <w:t>improrrogable, hasta el 5 de febrero de 2007. El 5 de  febrero  de  2007  la</w:t>
        <w:br/>
        <w:t>Comisión Interamericana manifestó que es “improceden[te]  incorporar  jueces</w:t>
        <w:br/>
        <w:t>ad hoc en casos que no involucren litigios entre Estados”. El  27  de  marzo</w:t>
        <w:br/>
        <w:t>de 2007, cuarenta y cuatro días después de vencido el  plazo  concedido,  el</w:t>
        <w:br/>
        <w:t>Estado designó al señor Juan Vicente Ardilla Peñuela como juez  ad  hoc.  El</w:t>
        <w:br/>
        <w:t>30 de marzo de 2007 la Comisión Interamericana  solicitó  que  se  considere</w:t>
        <w:br/>
        <w:t>que el Estado “ha[bía] renunciado al ejercicio de su derecho a  designar  un</w:t>
        <w:br/>
        <w:t>juez ad hoc”. El Tribunal decidió rechazar la designación propuesta  por  el</w:t>
        <w:br/>
        <w:t>Estado, toda vez que fue presentada fuera del plazo con el que contaba  para</w:t>
        <w:br/>
        <w:t>tales efectos.</w:t>
        <w:br/>
        <w:br/>
        <w:br/>
        <w:t>[4]   Resolución de la Presidencia de  la  Corte  Interamericana  de  29  de</w:t>
        <w:br/>
        <w:t>noviembre de 2007.</w:t>
        <w:br/>
        <w:br/>
        <w:br/>
        <w:t>[5]   A esta audiencia comparecieron: a)  por  la  Comisión  Interamericana:</w:t>
        <w:br/>
        <w:t>Paulo  Sérgio  Pinheiro,  Comisionado;  Elizabeth  Abi-Mershed,   Secretaria</w:t>
        <w:br/>
        <w:t>Adjunta; Débora Benchoam y Manuela Cuvi  Rodríguez,  asesoras;  b)  por  las</w:t>
        <w:br/>
        <w:t>presuntas víctimas: Héctor Faúndez Ledesma, y c) por  el  Estado:  Mayerling</w:t>
        <w:br/>
        <w:t>Rojas Villasmil, Agente; Enrique Sánchez, Agente alterno;  Gonzalo  González</w:t>
        <w:br/>
        <w:t>Vizcaya, Jesús Cabrera y Herly Peña Escalona.</w:t>
        <w:br/>
        <w:br/>
        <w:br/>
        <w:t>[6]   Se  solicitó  una  copia  del  “recurso  de  nulidad”  que,  según  el</w:t>
        <w:br/>
        <w:t>representante, habría sido interpuesto el 4 de diciembre de 2003  por  parte</w:t>
        <w:br/>
        <w:t>de Luisa Estella Morales, así como de la  decisión  de  1  de  noviembre  de</w:t>
        <w:br/>
        <w:t>2005, emitida por la Sala Político Administrativa del  Tribunal  Supremo  de</w:t>
        <w:br/>
        <w:t>Justicia, mediante la cual, según el representante, se  habría  resuelto  el</w:t>
        <w:br/>
        <w:t>mencionado recurso.</w:t>
        <w:br/>
        <w:br/>
        <w:br/>
        <w:t>[7]   Cfr. Caso  de  la  “Panel  Blanca”  (Paniagua  Morales  y  otros)  Vs.</w:t>
        <w:br/>
        <w:t>Guatemala. Reparaciones y Costas. Sentencia de 25 de mayo de 2001.  Serie  C</w:t>
        <w:br/>
        <w:t>No. 76, párr. 50, y Caso del Penal Miguel Castro  Castro  Vs.  Perú.  Fondo,</w:t>
        <w:br/>
        <w:t>Reparaciones y Costas. Sentencia de 25 de noviembre de  2006.  Serie  C  No.</w:t>
        <w:br/>
        <w:t>160, párrs. 183 y 184.</w:t>
        <w:br/>
        <w:br/>
        <w:br/>
        <w:t>[8]   Cfr.  Caso  Nogueira  de  Carvalho  y  otro  Vs.  Brasil,  Excepciones</w:t>
        <w:br/>
        <w:t>Preliminares y Fondo. Sentencia de 28 de noviembre  de  2006.  Serie  C  No.</w:t>
        <w:br/>
        <w:t>161, párr. 55; Caso La Cantuta  Vs.  Perú,  Fondo,  Reparaciones  y  Costas.</w:t>
        <w:br/>
        <w:t>Sentencia de 29 de noviembre de 2006. Serie C No.  162,  párr.  59,  y  Caso</w:t>
        <w:br/>
        <w:t>Kimel Vs. Argentina. Fondo, Reparaciones y Costas. Sentencia de  2  de  mayo</w:t>
        <w:br/>
        <w:t>de 2008. Serie C No. 177, párr. 29.</w:t>
        <w:br/>
        <w:br/>
        <w:br/>
        <w:t>[9]   En relación con la declaración del señor Waleed  Malik,  ofrecida  por</w:t>
        <w:br/>
        <w:t>el Estado y requerida en la Resolución de la Presidencia (supra nota 4),  el</w:t>
        <w:br/>
        <w:t>28 de enero de 2008 el Estado  presentó  una  comunicación  emitida  por  el</w:t>
        <w:br/>
        <w:t>Banco Mundial en la que se afirmó que “considerando que el conocimiento  del</w:t>
        <w:br/>
        <w:t>señor Malik sobre el sistema judicial Venezolano fue adquirido en  el  curso</w:t>
        <w:br/>
        <w:t>de  sus  obligaciones   oficiales,   y   la   información   que   posee   es</w:t>
        <w:br/>
        <w:t>consecuencialmente   parte   de   los   archivos   del   Banco    [Mundial],</w:t>
        <w:br/>
        <w:t>desafortunadamente  no  podría  testificar   sobre   el   sistema   judicial</w:t>
        <w:br/>
        <w:t>Venezolano  ante  la  Corte”.  Asimismo,  el  25  de  enero   de   2008   el</w:t>
        <w:br/>
        <w:t>representante desistió de  la  declaración  testimonial  del  señor  Alfredo</w:t>
        <w:br/>
        <w:t>Romero, requerida en la mencionada Resolución, “a fin de evitarle  problemas</w:t>
        <w:br/>
        <w:t>laborales”, ya que el señor Romero “continúa siendo  funcionario  del  Poder</w:t>
        <w:br/>
        <w:t>Judicial”.</w:t>
        <w:br/>
        <w:br/>
        <w:t>[10]  La Corte Permanente de Arbitraje estableció que  “[c]ada  Estado  debe</w:t>
        <w:br/>
        <w:t>cumplir con sus obligaciones convencionales  bona  fide,  y  de  no  hacerlo</w:t>
        <w:br/>
        <w:t>podrá ser  sancionado  con  las  penas  comunes  previstas  por  el  Derecho</w:t>
        <w:br/>
        <w:t>internacional” (traducción de esta Corte).  Cfr.  Reports  of  International</w:t>
        <w:br/>
        <w:t>Arbitral Awards, The North Atlantic Coast Fisheries (Great  Britain,  United</w:t>
        <w:br/>
        <w:t>States), 7 September 1910, Volume XI, pp. 167-226, p. 186.</w:t>
        <w:br/>
        <w:br/>
        <w:t>[11]   El  testigo  Beltrán  Haddad,  convocado  en  la  Resolución  de   la</w:t>
        <w:br/>
        <w:t>Presidencia (supra nota  4),  no  compareció  a  la  audiencia  pública  del</w:t>
        <w:br/>
        <w:t>presente caso. Al respecto, el 28 de enero de 2008 el Estado solicitó  a  la</w:t>
        <w:br/>
        <w:t>Corte que “entienda la no responsabilidad […] del Estado, ante  la  negativa</w:t>
        <w:br/>
        <w:t>del mencionado ciudadano en dar su declaración […] por razones  hasta  ahora</w:t>
        <w:br/>
        <w:t>desconocidas,  pues  ésta  actitud  sobrevenida  imposibilita  aportar   una</w:t>
        <w:br/>
        <w:t>explicación razonable [a la] Corte”. Asimismo, el 25 de  enero  de  2008  el</w:t>
        <w:br/>
        <w:t>representante desistió del dictamen pericial del señor  René  Molina,  quien</w:t>
        <w:br/>
        <w:t>había sido convocado a declarar  en  audiencia  pública,  ya  que  éste  fue</w:t>
        <w:br/>
        <w:t>intervenido quirúrgicamente.</w:t>
        <w:br/>
        <w:br/>
        <w:br/>
        <w:t>[12]  Cfr. Caso Velásquez Rodríguez Vs. Honduras. Fondo. Sentencia de 29  de</w:t>
        <w:br/>
        <w:t>julio de 1988. Serie C No. 4, párr. 140;  Caso  Cantoral  Huamaní  y  García</w:t>
        <w:br/>
        <w:t>Santa Cruz Vs. Perú. Excepción Preliminar,  Fondo,  Reparaciones  y  Costas.</w:t>
        <w:br/>
        <w:t>Sentencia de 10 de julio de 2007. Serie C No. 167,  párr.  41;  Caso  Kimel,</w:t>
        <w:br/>
        <w:t>supra nota 8, párr. 32;  Caso  Salvador  Chiriboga  Vs.  Ecuador.  Excepción</w:t>
        <w:br/>
        <w:t>Preliminar y Fondo. Sentencia del 6 de mayo de 2008. Serie C No. 179,  párr.</w:t>
        <w:br/>
        <w:t>22, y Caso Yvon Neptune Vs. Haití. Fondo, Reparaciones y  Costas.  Sentencia</w:t>
        <w:br/>
        <w:t>del 6 de mayo de 2008, párrs. 29 y 30.</w:t>
        <w:br/>
        <w:br/>
        <w:br/>
        <w:t>[13]  Citados por la Comisión Interamericana: sentencia No. 465 de  la  Sala</w:t>
        <w:br/>
        <w:t>Político Administrativa del TSJ de 22 de marzo de 2001; sentencia No.  01285</w:t>
        <w:br/>
        <w:t>de la Sala Político  Administrativa  del  TSJ  de  20  de  agosto  de  2003;</w:t>
        <w:br/>
        <w:t>sentencia No. 01662 de la Sala Político Administrativa  del  TSJ  de  28  de</w:t>
        <w:br/>
        <w:t>octubre de 2003; sentencia No. 00331 de la Sala Político Administrativa  del</w:t>
        <w:br/>
        <w:t>TSJ de 14 de abril  de  2004;  sentencia  No.  01771  de  la  Sala  Político</w:t>
        <w:br/>
        <w:t>Administrativa del TSJ de 14 de octubre de 2004; sentencia No.  1057  de  la</w:t>
        <w:br/>
        <w:t>Sala Constitucional del TSJ de 1 de junio de 2005; sentencia No. 3321 de  la</w:t>
        <w:br/>
        <w:t>Sala Constitucional del TSJ de 3 de noviembre de 2005;  sentencia  No.  1048</w:t>
        <w:br/>
        <w:t>de la Sala Constitucional del TSJ de 18 de mayo de 2006; sentencia No.  1764</w:t>
        <w:br/>
        <w:t>de la Sala Constitucional del TSJ de 15 de agosto de 2007;  declaración  del</w:t>
        <w:br/>
        <w:t>Presidente de la República Hugo Chávez Frías de 26 de  octubre  de  2003  en</w:t>
        <w:br/>
        <w:t>“Gobierno en Línea, Aló Presidente” No. 169. Citados por  el  representante:</w:t>
        <w:br/>
        <w:t>artículo periodístico titulado “TSJ  otorgó  la  titularidad  a  164  jueces</w:t>
        <w:br/>
        <w:t>‘bolivarianos’”, publicado el 21 de diciembre  de  2005  en  el  Diario  “El</w:t>
        <w:br/>
        <w:t>Universal”; discurso  de  orden  del  magistrado  José  M.  Delgado  Ocando,</w:t>
        <w:br/>
        <w:t>Magistrado de la  Sala  Constitucional  del  TSJ,  en  la  Apertura  de  las</w:t>
        <w:br/>
        <w:t>Actividades Judiciales del Año 2001, pronunciado el 11 de enero de 2001.</w:t>
        <w:br/>
        <w:br/>
        <w:br/>
        <w:t>[14]  Cfr. Caso Escué Zapata Vs. Colombia.  Fondo,  Reparaciones  y  Costas.</w:t>
        <w:br/>
        <w:t>Sentencia de 4 de julio de 2007. Serie C No. 165, párr. 26.</w:t>
        <w:br/>
        <w:br/>
        <w:t>[15]   Cfr.  artículos  periodísticos  titulados:  “Los  polémicos  fallos”,</w:t>
        <w:br/>
        <w:t>publicado en el Diario “El Universal” (expediente de prueba, Tomo IV,  Anexo</w:t>
        <w:br/>
        <w:t>C, folio 1261); “Gobierno desconoce la decisión  judicial  de  reemplazar  a</w:t>
        <w:br/>
        <w:t>los médicos cubanos”, publicado en el Diario “El  Nacional”  (expediente  de</w:t>
        <w:br/>
        <w:t>prueba, Tomo IV, Anexo C, folio 1242); “Rangel  Avalos  desacatará  decisión</w:t>
        <w:br/>
        <w:t>de tribunales”,  publicado  en  el  Diario  “El  Universal”  (expediente  de</w:t>
        <w:br/>
        <w:t>prueba, Tomo IV, Anexo C, folios 1257); “Rangel Avalos  reitera  desacato  a</w:t>
        <w:br/>
        <w:t>decisión de Corte”, publicado en el Diario  “El  Universal”  (expediente  de</w:t>
        <w:br/>
        <w:t>prueba, Tomo IV, Anexo C, folios  1258);  “Magistrados  esperan  frutos  del</w:t>
        <w:br/>
        <w:t>pacto entre el MVR, AD y el MAS”, publicado  en  el  Diario  “El  Universal”</w:t>
        <w:br/>
        <w:t>(expediente de prueba, Tomo  IV,  Anexo  C,  folio  1275),  “Inspectores  no</w:t>
        <w:br/>
        <w:t>hallaron irregularidades en la Corte Primera”, publicado en  el  Diario  “El</w:t>
        <w:br/>
        <w:t>Nacional” (expediente de prueba, Tomo IV,  Anexo  C,  folio  1244),  y  “Los</w:t>
        <w:br/>
        <w:t>cuestionamientos de José Vicente y Freddy Bernal”, publicado  en  el  Diario</w:t>
        <w:br/>
        <w:t>“El Universal” (expediente de prueba, Tomo IV, Anexo C, folio 1251).</w:t>
        <w:br/>
        <w:br/>
        <w:t>[16]  Cfr. Caso Trabajadores Cesados del Congreso (Aguado  Alfaro  y  otros)</w:t>
        <w:br/>
        <w:t>Vs. Perú. Excepciones Preliminares, Fondo, Reparaciones y Costas,  Sentencia</w:t>
        <w:br/>
        <w:t>de 24 de noviembre de 2006. Serie C No. 158,  párr.  86;  Caso  Nogueira  de</w:t>
        <w:br/>
        <w:t>Carvalho y otros, supra nota 8, párr. 65; Caso La  Cantuta,  supra  nota  8,</w:t>
        <w:br/>
        <w:t>párr. 65,  y  Caso  de  la  Masacre  de  La  Rochela  Vs.  Colombia.  Fondo,</w:t>
        <w:br/>
        <w:t>Reparaciones y Costas. Sentencia de 11 de mayo de 2007.  Serie  C  No.  163,</w:t>
        <w:br/>
        <w:t>párr. 59.</w:t>
        <w:br/>
        <w:br/>
        <w:br/>
        <w:t>[17]  El 30 de enero de 2008 el Estado  formuló  observaciones  en  relación</w:t>
        <w:br/>
        <w:t>con la prueba presentada por las demás partes  (expediente  de  fondo,  Tomo</w:t>
        <w:br/>
        <w:t>III, folios 1227 a 1236).</w:t>
        <w:br/>
        <w:br/>
        <w:br/>
        <w:t>[18]   Cfr.  Caso  Loayza  Tamayo  Vs.  Perú.  Fondo.  Sentencia  de  17  de</w:t>
        <w:br/>
        <w:t>septiembre de 1997. Serie C No. 33, párr. 43; Caso Zambrano  Vélez  y  otros</w:t>
        <w:br/>
        <w:t>Vs. Ecuador. Fondo, Reparaciones y Costas. Sentencia de 4 de julio de  2007.</w:t>
        <w:br/>
        <w:t>Serie C No. 166, párr. 40, y Caso Kimel, supra nota 8, párr. 35.</w:t>
        <w:br/>
        <w:br/>
        <w:br/>
        <w:t>[19]  Cfr. escrito del Estado de 28  de  julio  de  2005,  recibido  por  la</w:t>
        <w:br/>
        <w:t>Comisión el 1 de agosto de 2005 (expediente de prueba, Tomo II,  folios  661</w:t>
        <w:br/>
        <w:t>a 665).</w:t>
        <w:br/>
        <w:br/>
        <w:br/>
        <w:t>[20]  El artículo 8.1 de la Convención establece:</w:t>
        <w:br/>
        <w:br/>
        <w:br/>
        <w:t xml:space="preserve">      Toda persona tiene derecho a ser oída, con  las  debidas  garantías  y</w:t>
        <w:br/>
        <w:t xml:space="preserve">      dentro de un plazo razonable, por  un  juez  o   tribunal  competente,</w:t>
        <w:br/>
        <w:t xml:space="preserve">      independiente e imparcial, establecido con anterioridad por la ley, en</w:t>
        <w:br/>
        <w:t xml:space="preserve">      la sustanciación de cualquier acusación  penal formulada contra  ella,</w:t>
        <w:br/>
        <w:t xml:space="preserve">      o para la determinación de  sus  derechos  y   obligaciones  de  orden</w:t>
        <w:br/>
        <w:t xml:space="preserve">      civil, laboral, fiscal o de cualquier otro  carácter.</w:t>
        <w:br/>
        <w:br/>
        <w:br/>
        <w:t>[21]  El artículo 25.1 de la Convención estipula:</w:t>
        <w:br/>
        <w:br/>
        <w:br/>
        <w:t xml:space="preserve">      Toda persona tiene  derecho  a  un  recurso  sencillo  y  rápido  o  a</w:t>
        <w:br/>
        <w:t xml:space="preserve">      cualquier otro recurso efectivo ante jueces o tribunales  competentes,</w:t>
        <w:br/>
        <w:t xml:space="preserve">      que la ampare contra  actos  que  violen  sus  derechos  fundamentales</w:t>
        <w:br/>
        <w:t xml:space="preserve">      reconocidos por la Constitución, la ley o la presente Convención,  aun</w:t>
        <w:br/>
        <w:t xml:space="preserve">      cuando tal violación sea cometida por personas que actúen en ejercicio</w:t>
        <w:br/>
        <w:t xml:space="preserve">      de sus funciones oficiales.</w:t>
        <w:br/>
        <w:br/>
        <w:br/>
        <w:t>[22]  El artículo 1.1 de la Convención establece:</w:t>
        <w:br/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br/>
        <w:t>[23]  El artículo 2 de la Convención dispone:</w:t>
        <w:br/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[24]  Cfr. decreto mediante el cual se declara la  reorganización  de  todos</w:t>
        <w:br/>
        <w:t>los órganos del Poder Público emitido por la Asamblea  Constituyente  el  12</w:t>
        <w:br/>
        <w:t>de agosto de 1999, publicado en la  Gaceta  Oficial  No.  36.764  de  13  de</w:t>
        <w:br/>
        <w:t>agosto de 1999 (expediente de prueba, Tomo I, Anexo A.2, folio 71).</w:t>
        <w:br/>
        <w:br/>
        <w:br/>
        <w:t>[25]   Cfr.  artículo  267  de  la  Constitución.  Además,  la  Constitución</w:t>
        <w:br/>
        <w:t>estableció el  reemplazo  de  la  Corte  Suprema  de  Justicia  por  el  TSJ</w:t>
        <w:br/>
        <w:t>(artículos 253 y 262), y el ingreso a la carrera judicial por  concursos  de</w:t>
        <w:br/>
        <w:t>oposición públicos (artículo 255).</w:t>
        <w:br/>
        <w:br/>
        <w:br/>
        <w:t>[26]   Cfr.  disposición  cuarta  transitoria  del  numeral  quinto  de   la</w:t>
        <w:br/>
        <w:t>Constitución.</w:t>
        <w:br/>
        <w:br/>
        <w:br/>
        <w:t>[27]  Cfr. decreto mediante el cual se dicta el Régimen  de  Transición  del</w:t>
        <w:br/>
        <w:t>Poder Público emitido por la Asamblea Constituyente el 29  de  diciembre  de</w:t>
        <w:br/>
        <w:t>1999, publicado en la Gaceta Oficial No. 36.920  de  28  de  marzo  de  2000</w:t>
        <w:br/>
        <w:t>(expediente de prueba, Tomo I, Anexo A.6, folios 108 a 119).</w:t>
        <w:br/>
        <w:br/>
        <w:br/>
        <w:t>[28]  Cfr. artículo 24 del Decreto mediante el cual se dicta el  Régimen  de</w:t>
        <w:br/>
        <w:t>Transición del Poder Público, supra nota 27.</w:t>
        <w:br/>
        <w:br/>
        <w:br/>
        <w:t>[29]  Cfr. artículos 29 a 33 del  Decreto  mediante  el  cual  se  dicta  el</w:t>
        <w:br/>
        <w:t>Régimen de Transición del Poder Público, supra nota 27; artículos  16  a  18</w:t>
        <w:br/>
        <w:t>del Reglamento de la CFRSJ de 28 de marzo de 2000, publicado  en  la  Gaceta</w:t>
        <w:br/>
        <w:t>Oficial No. 36.925 de 4 de abril de 2000 (expediente de  prueba,  Tomo  XII,</w:t>
        <w:br/>
        <w:t>folios 4067 a 4069).</w:t>
        <w:br/>
        <w:br/>
        <w:br/>
        <w:t>[30]  Cfr. normativa sobre  la  Dirección,  Gobierno  y  Administración  del</w:t>
        <w:br/>
        <w:t>Poder Judicial emitida el 2 de agosto de 2000 por el TSJ,  publicada  en  la</w:t>
        <w:br/>
        <w:t>Gaceta Oficial No. 37.014 de 15 de agosto de  2000  (expediente  de  prueba,</w:t>
        <w:br/>
        <w:t>Tomo VI, Anexo D, folios 1385 a 1403).</w:t>
        <w:br/>
        <w:br/>
        <w:br/>
        <w:t>[31]  Cfr. Ley Orgánica del TSJ de 18 de  mayo  de  2004,  publicada  en  la</w:t>
        <w:br/>
        <w:t>Gaceta Oficial No. 37.942 de 20 de mayo de 2004 (expediente de  fondo,  Tomo</w:t>
        <w:br/>
        <w:t>IV, folios 1141 a 1146).</w:t>
        <w:br/>
        <w:br/>
        <w:br/>
        <w:t>[32]  Cfr. Ley Orgánica de la Corte Suprema de Justicia de 26  de  julio  de</w:t>
        <w:br/>
        <w:t>1976, publicada en la Gaceta Oficial  No.  1.893  Extraordinaria  de  30  de</w:t>
        <w:br/>
        <w:t>julio de 1976 (expediente de prueba, Tomo I, Anexo A.9, folios 152 a 186).</w:t>
        <w:br/>
        <w:br/>
        <w:br/>
        <w:t>[33]  Cfr. artículo 185 de la Ley Orgánica de la Corte Suprema de  Justicia,</w:t>
        <w:br/>
        <w:t>supra nota 32, y declaración rendida ante fedatario público (affidávit)  por</w:t>
        <w:br/>
        <w:t>la señora Ana María Ruggeri Cova el  4  de  abril  de  2008  (expediente  de</w:t>
        <w:br/>
        <w:t>fondo, Tomo III, folio 725).</w:t>
        <w:br/>
        <w:br/>
        <w:br/>
        <w:t>[34]  Cfr. artículo 185 numeral 8 inciso 2 de la Ley Orgánica  de  la  Corte</w:t>
        <w:br/>
        <w:t>Suprema de Justicia, supra nota 32.</w:t>
        <w:br/>
        <w:br/>
        <w:br/>
        <w:t>[35]  Cfr. acta de la sesión de la Sala Plena del TSJ de  12  de  septiembre</w:t>
        <w:br/>
        <w:t>de 2000, publicada en la Gaceta Oficial No. 37.081 de  20  de  noviembre  de</w:t>
        <w:br/>
        <w:t>2000 (expediente de prueba, Tomo V, folios 1339 y 1340).</w:t>
        <w:br/>
        <w:br/>
        <w:br/>
        <w:t>[36]  Cfr. acta de juramentación de los  Magistrados  de  la  Corte  Primera</w:t>
        <w:br/>
        <w:t>emitida por la Secretaria del TSJ el 15 de septiembre  de  2000  (expediente</w:t>
        <w:br/>
        <w:t>de prueba, Tomo V, folio 1338).</w:t>
        <w:br/>
        <w:br/>
        <w:br/>
        <w:t>[37]  Cfr. sentencia No. 1430 de la Corte Primera de 11 de  junio  de  2002.</w:t>
        <w:br/>
        <w:t>(expediente de prueba, Tomo VIII, Anexo Ñ, folios 2579 a 2593).</w:t>
        <w:br/>
        <w:br/>
        <w:br/>
        <w:t>[38]  Cfr. sentencia No. 809 de la SPA de 29 de mayo de 2003 (expediente  de</w:t>
        <w:br/>
        <w:t>anexos a la demanda, Tomo III, Anexo B.3.a, folios 1007 a 1034).</w:t>
        <w:br/>
        <w:br/>
        <w:br/>
        <w:t>[39]  Cfr. sentencia No. 809 de la SPA de 29 de mayo  de  2003,  supra  nota</w:t>
        <w:br/>
        <w:t>38, folio 1027.</w:t>
        <w:br/>
        <w:br/>
        <w:br/>
        <w:t>[40]  Cfr. sentencia No. 809 de la SPA de 29 de mayo  de  2003,  supra  nota</w:t>
        <w:br/>
        <w:t>38, folio 1027.</w:t>
        <w:br/>
        <w:br/>
        <w:br/>
        <w:t>[41]  Cfr. sentencia No. 809 de la SPA de 29 de mayo  de  2003,  supra  nota</w:t>
        <w:br/>
        <w:t>38, folio 1031.</w:t>
        <w:br/>
        <w:br/>
        <w:br/>
        <w:t>[42]  Cfr. sentencia No. 465 de la SPA de 22 de marzo de  2001,  supra  nota</w:t>
        <w:br/>
        <w:t>13.</w:t>
        <w:br/>
        <w:br/>
        <w:br/>
        <w:t>[43]  Cfr. sentencia No. 809 de la SPA de 29 de mayo  de  2003,  supra  nota</w:t>
        <w:br/>
        <w:t>38, folios 1029 y 1030.</w:t>
        <w:br/>
        <w:br/>
        <w:br/>
        <w:t>[44]  Cfr. sentencia No. 809 de la SPA de 29 de mayo  de  2003,  supra  nota</w:t>
        <w:br/>
        <w:t>38, folio 1034.</w:t>
        <w:br/>
        <w:br/>
        <w:br/>
        <w:t>[45]  Cfr. resolución de la IGT de  17  de  julio  de  2003  (expediente  de</w:t>
        <w:br/>
        <w:t>prueba, Tomo II, Apéndice C.3, folio 506).</w:t>
        <w:br/>
        <w:br/>
        <w:br/>
        <w:t>[46]  Cfr. resolución de la IGT de 5 de septiembre de  2003  (expediente  de</w:t>
        <w:br/>
        <w:t>prueba, Tomo II, Apéndice C.3, folio 507).</w:t>
        <w:br/>
        <w:br/>
        <w:br/>
        <w:t>[47]  Cfr. acta de notificación a la magistrada Ana María  Ruggeri  Cova  de</w:t>
        <w:br/>
        <w:t>10 de septiembre de 2003,  acta  de  notificación  a  la  magistrada  Evelyn</w:t>
        <w:br/>
        <w:t>Marrero Ortiz  de  11  de  septiembre  de  2003,  acta  de  notificación  al</w:t>
        <w:br/>
        <w:t>magistrado Perkins Rocha Contreras de 11 de  septiembre  de  2003,  acta  de</w:t>
        <w:br/>
        <w:t>notificación  a  la  magistrada  Luisa  Estela  Morales  Lamuño  de  11   de</w:t>
        <w:br/>
        <w:t>septiembre de 2003, acta de notificación al  magistrado  Juan  Carlos  Apitz</w:t>
        <w:br/>
        <w:t>Barbera de 12 de septiembre de 2003, emitidas  por  la  IGT  (expediente  de</w:t>
        <w:br/>
        <w:t>prueba, Tomo II, Apéndice C.3, folios 508 a 517).</w:t>
        <w:br/>
        <w:br/>
        <w:br/>
        <w:t>[48]  Cfr. acusación de la IGT ante  la  CFRSJ  de  7  de  octubre  de  2003</w:t>
        <w:br/>
        <w:t>(expediente de prueba, Tomo III, Anexo B.3.b, folios 1036 a 1047).</w:t>
        <w:br/>
        <w:br/>
        <w:br/>
        <w:t>[49]  Cfr. resolución de la CFRSJ de 30 de octubre de 2003.  Exp.  1052-2003</w:t>
        <w:br/>
        <w:t>(expediente de prueba, Tomo III, Anexo B.3.c, folios 1051 a 1089).</w:t>
        <w:br/>
        <w:br/>
        <w:br/>
        <w:t>[50]  Cfr. resolución de la CFRSJ de 11 de diciembre  de  2003.  Exp.  1052-</w:t>
        <w:br/>
        <w:t>2003 (expediente de prueba, Tomo III, Anexo B.3.f, folios 1160 a 1169).</w:t>
        <w:br/>
        <w:br/>
        <w:br/>
        <w:t>[51]  Cfr. recurso jerárquico interpuesto por los señores Apitz y  Rocha  el</w:t>
        <w:br/>
        <w:t>13 de noviembre de 2003 ante el Pleno del TSJ (expediente  de  prueba,  Tomo</w:t>
        <w:br/>
        <w:t>III, Anexo B.3.d, folios 1093 a 1112).</w:t>
        <w:br/>
        <w:br/>
        <w:br/>
        <w:t>[52]  Cfr. sentencia No. 23 de la Sala Plena del TSJ de 8 de  septiembre  de</w:t>
        <w:br/>
        <w:t>2004 (expediente de prueba, Tomo II, Apéndice C.13, folios 717 a 724).</w:t>
        <w:br/>
        <w:br/>
        <w:br/>
        <w:t>[53]  Cfr. recurso de nulidad conjuntamente con medida  de  amparo  cautelar</w:t>
        <w:br/>
        <w:t>interpuesto por los señores Apitz y Rocha ante la SPA el 27 de noviembre  de</w:t>
        <w:br/>
        <w:t>2003 (expediente prueba, Tomo III, Anexo B.3.e, folios 1115 a 1158).</w:t>
        <w:br/>
        <w:br/>
        <w:t>[54]  Cfr. artículo periodístico  titulado  “Corte  Primera  está  acéfala”,</w:t>
        <w:br/>
        <w:t>publicado el 4 de noviembre de 2003 en el Diario “El Universal”  (expediente</w:t>
        <w:br/>
        <w:t>de prueba, Tomo IV, Anexo C, folio 1315). En dicho  artículo  se  reproducen</w:t>
        <w:br/>
        <w:t>las declaraciones públicas de la señora Ruggeri, quien  expresó:  “la  Corte</w:t>
        <w:br/>
        <w:t>Primera se quedó sin magistrados, ¿a quién se la entregamos?”.</w:t>
        <w:br/>
        <w:br/>
        <w:t>[55]  Cfr. declaración rendida ante fedatario  público  (affidávit)  por  el</w:t>
        <w:br/>
        <w:t>señor Edgar José López Albujas el 17 de enero de 2008 (expediente de  fondo,</w:t>
        <w:br/>
        <w:t>Tomo III, folio 878). Por su parte, la señora Ruggeri declaró  que  “después</w:t>
        <w:br/>
        <w:t>de la destitución de nuestros  cargos  se  produjo  otro  hecho  insólito  y</w:t>
        <w:br/>
        <w:t>doloroso que fue el haber  mantenido  el  tribunal  cerrado,  sin  actividad</w:t>
        <w:br/>
        <w:t>judicial, por el lapso de  casi  cuatro  meses,  ya  que  no  se  designaron</w:t>
        <w:br/>
        <w:t>magistrados  para  sustituirnos,   originándose   un   altísimo   grado   de</w:t>
        <w:br/>
        <w:t>indefensión. Si bien había algunos empleados que permanecían en sus  puestos</w:t>
        <w:br/>
        <w:t>de trabajo, no había jueces que resolvieran los  asuntos  judiciales”.  Cfr.</w:t>
        <w:br/>
        <w:t>declaración de la señora Ruggeri, supra nota 33.</w:t>
        <w:br/>
        <w:br/>
        <w:br/>
        <w:t>[56]  Cfr.  artículo  periodístico  titulado  “TSJ  establece  vía  procesal</w:t>
        <w:br/>
        <w:t>alterna ante el cierre de la Corte Primera”, publicado  el  6  de  abril  de</w:t>
        <w:br/>
        <w:t>2004 en el Diario “El Nacional” (expediente de prueba,  Tomo  IV,  Anexo  C,</w:t>
        <w:br/>
        <w:t>folio 1229).</w:t>
        <w:br/>
        <w:br/>
        <w:br/>
        <w:t>[57]  Cfr. comunicado de prensa titulado “Presidente  del  TSJ  juramentó  a</w:t>
        <w:br/>
        <w:t>jueces de las Cortes Primera y Segunda de  lo  Contencioso  Administrativo”,</w:t>
        <w:br/>
        <w:t>emitido por el TSJ el 18 de octubre de 2005 (expediente de prueba, Tomo  II,</w:t>
        <w:br/>
        <w:t>Anexo B.1.K, folios 725 y 726).</w:t>
        <w:br/>
        <w:br/>
        <w:br/>
        <w:t>[58]  Naciones Unidas, Comité de Derechos Humanos, Observación  General  No.</w:t>
        <w:br/>
        <w:t>32, Artículo 14: El Derecho a un Juicio Imparcial y a la Igualdad  ante  los</w:t>
        <w:br/>
        <w:t>Tribunales y Cortes de Justicia, CCPR/C/GC/32, 23 de agosto de  2007,  párr.</w:t>
        <w:br/>
        <w:t>20.</w:t>
        <w:br/>
        <w:br/>
        <w:br/>
        <w:t>[59]   Los  Principios  Básicos  de  las  Naciones  Unidas  Relativos  a  la</w:t>
        <w:br/>
        <w:t>Independencia de la Judicatura vinculan la permanencia del juez en su  cargo</w:t>
        <w:br/>
        <w:t>con la garantía derivada de inamovilidad al reconocer la  vigencia  de  esta</w:t>
        <w:br/>
        <w:t>última hasta que expire el  período  para  el  que  los  jueces  hayan  sido</w:t>
        <w:br/>
        <w:t>nombrados  o  elegidos,  siempre  que  existan  normas  al  respecto.   Cfr.</w:t>
        <w:br/>
        <w:t>Principio 12 de los Principios Básicos de las Naciones  Unidas  Relativos  a</w:t>
        <w:br/>
        <w:t>la Independencia de la Judicatura adoptados por el Séptimo Congreso  de  las</w:t>
        <w:br/>
        <w:t>Naciones Unidas sobre Prevención del Delito y Tratamiento  del  Delincuente,</w:t>
        <w:br/>
        <w:t>celebrado en Milán, Italia, del 26 de agosto al 6 de septiembre de  1985,  y</w:t>
        <w:br/>
        <w:t>confirmados por la Asamblea General en sus  resoluciones  40/32  del  29  de</w:t>
        <w:br/>
        <w:t>noviembre de 1985 y  40/146  del  13  de  diciembre  de  1985;  ver  también</w:t>
        <w:br/>
        <w:t>Principio I.3 de la Recomendación No. R (94) 12 del Comité de  Ministros  de</w:t>
        <w:br/>
        <w:t>los Estados Miembros sobre la Independencia, Eficiencia  y  Función  de  los</w:t>
        <w:br/>
        <w:t>Jueces adoptada por el Comité de Ministros del Consejo de Europa  el  13  de</w:t>
        <w:br/>
        <w:t>octubre de 1994 en la 58ª sesión de Viceministros. En  un  sentido  paralelo</w:t>
        <w:br/>
        <w:t>se expresó el  señor  Param  Cumaraswamy  en  su  declaración  rendida  ante</w:t>
        <w:br/>
        <w:t>fedatario público (affidávit) el 15 de enero de 2008 (expediente  de  fondo,</w:t>
        <w:br/>
        <w:t>Tomo III, folios 822 a 836).</w:t>
        <w:br/>
        <w:br/>
        <w:br/>
        <w:t>[60]  Cfr. Caso del Tribunal Constitucional. Sentencia de  31  de  enero  de</w:t>
        <w:br/>
        <w:t>2001. Serie C No. 74, párrs. 73 y 74.</w:t>
        <w:br/>
        <w:br/>
        <w:br/>
        <w:t>[61]  Principios 2, 3 y 4 de los Principios Básicos de las Naciones  Unidas,</w:t>
        <w:br/>
        <w:t>supra nota 59.</w:t>
        <w:br/>
        <w:br/>
        <w:br/>
        <w:t>[62]  Principio 11 de los Principios Básicos de las Naciones  Unidas,  supra</w:t>
        <w:br/>
        <w:t>nota 59, y Directriz  II  de  las  Directrices  de  Latimer  House  para  el</w:t>
        <w:br/>
        <w:t>Commonwealth  sobre  Supremacía  Parlamentaria  e   Independencia   Judicial</w:t>
        <w:br/>
        <w:t>adoptadas en una reunión de representantes de  la  Asociación  Parlamentaria</w:t>
        <w:br/>
        <w:t>del Commonwealth, de la Asociación de Magistrados y Jueces del  Commonwealth</w:t>
        <w:br/>
        <w:t>y de la Asociación de Educación Jurídica del Commonwealth, celebrada  el  19</w:t>
        <w:br/>
        <w:t>de junio de 1998.</w:t>
        <w:br/>
        <w:br/>
        <w:br/>
        <w:t>[63]  Cfr. Caso  Yatama  Vs.  Nicaragua.  Excepciones  Preliminares,  Fondo,</w:t>
        <w:br/>
        <w:t>Reparaciones y Costas. Sentencia de 23 de junio de 2005. Serie  C  No.  127,</w:t>
        <w:br/>
        <w:t>párr. 149.</w:t>
        <w:br/>
        <w:br/>
        <w:br/>
        <w:t>[64]  Cfr. Caso Castillo Petruzzi y otros Vs. Perú.  Fondo,  Reparaciones  y</w:t>
        <w:br/>
        <w:t>Costas. Sentencia de 30 de mayo de 1999.  Serie  C  No.  52,  párr.  129,  y</w:t>
        <w:br/>
        <w:t>Principio 5 de los Principios Básicos de las  Naciones  Unidas,  supra  nota</w:t>
        <w:br/>
        <w:t>59.</w:t>
        <w:br/>
        <w:br/>
        <w:br/>
        <w:t>[65]  Cfr. Informe remitido al Presidente del TSJ por los magistrados  Jesús</w:t>
        <w:br/>
        <w:t>Eduardo Cabrera, José Peña Solís,  Levis  Ignacio  Zerpa  y  Antonio  García</w:t>
        <w:br/>
        <w:t>García el 10 de agosto de 2000 (expediente de prueba,  Tomo  VII,  Anexo  K,</w:t>
        <w:br/>
        <w:t>folios 1844 y 1845).</w:t>
        <w:br/>
        <w:br/>
        <w:br/>
        <w:t>[66]  Cfr. sentencia No. 23 de la Sala Plena del TSJ de 8 de  septiembre  de</w:t>
        <w:br/>
        <w:t>2004, supra nota 52, folios 722 y 723.</w:t>
        <w:br/>
        <w:br/>
        <w:br/>
        <w:t>[67]  Según lo ha afirmado el TSJ, se entiende que los decretos emanados  de</w:t>
        <w:br/>
        <w:t>la Asamblea  Constituyente  tienen  carácter  “supraconstitucional”,  aunque</w:t>
        <w:br/>
        <w:t>transitorio. Cfr. sentencia No. 1048 de la Sala Constitucional  del  TSJ  de</w:t>
        <w:br/>
        <w:t>18 de mayo de 2006, supra nota 13.</w:t>
        <w:br/>
        <w:br/>
        <w:br/>
        <w:t>[68]  Cfr. Artículo 24 del decreto mediante el cual se dicta el  Régimen  de</w:t>
        <w:br/>
        <w:t>Transición del Poder Público, supra nota 27.</w:t>
        <w:br/>
        <w:br/>
        <w:br/>
        <w:t>[69]  Por ejemplo, el Comité contra la Tortura señaló: “Preocupa  al  Comité</w:t>
        <w:br/>
        <w:t>la situación de dependencia de hecho del poder judicial al poder  ejecutivo,</w:t>
        <w:br/>
        <w:t>que representa un obstáculo  importante  a  la  apertura  inmediata  de  una</w:t>
        <w:br/>
        <w:t>investigación imparcial cuando haya motivos razonables para creer que se  ha</w:t>
        <w:br/>
        <w:t>cometido un acto de tortura en cualquier territorio bajo  su  jurisdicción”.</w:t>
        <w:br/>
        <w:t>Cfr.  Naciones  Unidas,   Comité   contra   la   Tortura,   Conclusiones   y</w:t>
        <w:br/>
        <w:t>Recomendaciones: Burundi, CAT/C/BDI/CO/1, párr. 12.</w:t>
        <w:br/>
        <w:br/>
        <w:br/>
        <w:t>[70]  Cfr. Caso del Tribunal Constitucional, supra nota 60, párr. 73.</w:t>
        <w:br/>
        <w:br/>
        <w:br/>
        <w:t>[71]  Cfr. Pullar v. the United Kingdom, judgment of 10 June  1996,  Reports</w:t>
        <w:br/>
        <w:t>of Judgments and Decisions 1996-III, § 30, y Fey v. Austria, judgment of  24</w:t>
        <w:br/>
        <w:t>February 1993, Series A no. 255-A p. 8, § 28.</w:t>
        <w:br/>
        <w:br/>
        <w:br/>
        <w:t>[72]  Cfr. Daktaras v. Lithuania, no. 42095/98 (Sect. 3) (bil.), ECHR  2000-</w:t>
        <w:br/>
        <w:t>X – (10.10.00), § 30.</w:t>
        <w:br/>
        <w:br/>
        <w:br/>
        <w:t>[73]  Cfr. Piersack v. Belgium, judgment of 1 October  1982,  Series  A  no.</w:t>
        <w:br/>
        <w:t>53, y De Cubber v. Belgium, judgment of 26 October 1984, Series A no. 86.</w:t>
        <w:br/>
        <w:br/>
        <w:br/>
        <w:t>[74]  Principio 2 de los Principios Básicos de las  Naciones  Unidas,  supra</w:t>
        <w:br/>
        <w:t>nota 59.</w:t>
        <w:br/>
        <w:br/>
        <w:br/>
        <w:t>[75]  Cfr. artículo 31 del decreto mediante el cual se dicta el  Régimen  de</w:t>
        <w:br/>
        <w:t>Transición del Poder Público, supra nota  27.  El  artículo  36  de  la  Ley</w:t>
        <w:br/>
        <w:t>Orgánica de Procedimientos Administrativos de 1 de julio de 1981,  publicada</w:t>
        <w:br/>
        <w:t>en la Gaceta Oficial  No.  2.818  Extraordinaria  de  1  de  julio  de  1981</w:t>
        <w:br/>
        <w:t>(expediente de prueba, Tomo I, Anexo A.8, folio 138) establece:</w:t>
        <w:br/>
        <w:br/>
        <w:br/>
        <w:t xml:space="preserve">      Los funcionarios administrativos deberán  inhibirse  del  conocimiento</w:t>
        <w:br/>
        <w:t xml:space="preserve">      del asunto cuya competencia les  esté  legalmente  atribuida,  en  los</w:t>
        <w:br/>
        <w:t xml:space="preserve">      siguientes casos:</w:t>
        <w:br/>
        <w:br/>
        <w:br/>
        <w:t xml:space="preserve">   1. Cuando personalmente, o bien su cónyuge o algún  pariente  dentro  del</w:t>
        <w:br/>
        <w:t xml:space="preserve">      cuarto grado de consanguinidad o segundo de afinidad. tuvieren interés</w:t>
        <w:br/>
        <w:t xml:space="preserve">      en el procedimiento.</w:t>
        <w:br/>
        <w:br/>
        <w:br/>
        <w:t xml:space="preserve">   2. Cuando tuvieren amistad intima o enemistad manifiesta  con  cualquiera</w:t>
        <w:br/>
        <w:t xml:space="preserve">      de las personas interesadas que intervengan en el procedimiento.</w:t>
        <w:br/>
        <w:br/>
        <w:br/>
        <w:t xml:space="preserve">   3. Cuando hubieren intervenido como testigos o peritos en  el  expediente</w:t>
        <w:br/>
        <w:t xml:space="preserve">      de  cuya  resolución  se  trate,  o  si  como  funcionarios   hubieren</w:t>
        <w:br/>
        <w:t xml:space="preserve">      manifestado previamente su opinión en el mismo, de modo  que  pudieran</w:t>
        <w:br/>
        <w:t xml:space="preserve">      prejuzgar ya la resolución del asunto, o,  tratándose  de  un  recurso</w:t>
        <w:br/>
        <w:t xml:space="preserve">      administrativo, que hubieren resuelto o intervenido en la decisión del</w:t>
        <w:br/>
        <w:t xml:space="preserve">      acto que se impugna. Quedan a salvo los casos de revocación de  oficio</w:t>
        <w:br/>
        <w:t xml:space="preserve">      y de la decisión del recurso de reconsideración.</w:t>
        <w:br/>
        <w:br/>
        <w:br/>
        <w:t xml:space="preserve">   4. Cuando tuvieren relación de servicio o de subordinación con cualquiera</w:t>
        <w:br/>
        <w:t xml:space="preserve">      de los directamente interesados en el asunto.</w:t>
        <w:br/>
        <w:br/>
        <w:br/>
        <w:t>[76]  Cfr. escrito presentado por el señor Rocha ante  la  CFRSJ  el  30  de</w:t>
        <w:br/>
        <w:t>octubre de 2003 (expediente de prueba, Tomo VIII, Anexo  Ñ,  folios  2683  a</w:t>
        <w:br/>
        <w:t>2689).</w:t>
        <w:br/>
        <w:br/>
        <w:br/>
        <w:t>[77]  La resolución que declaró la destitución  de  los  magistrados  de  la</w:t>
        <w:br/>
        <w:t>Corte Primera fue emitida el 30 de octubre de 2003 (supra nota 49), pero  se</w:t>
        <w:br/>
        <w:t>notificó a los magistrados el día 4 de noviembre de 2003. Cfr. oficios  1088</w:t>
        <w:br/>
        <w:t>y 1087 de  la  Rectoría  Civil  de  la  Circunscripción  Judicial  del  Área</w:t>
        <w:br/>
        <w:t>Metropolitana de Caracas de 3 de noviembre de 2003 con las  resultas  de  la</w:t>
        <w:br/>
        <w:t>notificación a los señores Rocha y Apitz (expediente de prueba,  Tomo  VIII,</w:t>
        <w:br/>
        <w:t>Anexo Ñ, folios 2703 y 2712).</w:t>
        <w:br/>
        <w:br/>
        <w:br/>
        <w:t>[78]  Cfr. escrito presentado por el señor Apitz ante  la  CFRSJ  el  31  de</w:t>
        <w:br/>
        <w:t>octubre de 2003 (expediente de anexos a la contestación de la demanda,  Tomo</w:t>
        <w:br/>
        <w:t>VIII, Anexo Ñ, folios 2693 a 2698).</w:t>
        <w:br/>
        <w:br/>
        <w:br/>
        <w:t>[79]  Cfr. resolución de la CFRSJ de 30 de octubre de 2003, supra  nota  49,</w:t>
        <w:br/>
        <w:t>folio 1081.</w:t>
        <w:br/>
        <w:br/>
        <w:br/>
        <w:t>[80]  Cfr. sentencia No. 809 de la SPA de 29 de mayo  de  2003,  supra  nota</w:t>
        <w:br/>
        <w:t>38, folio 1007.</w:t>
        <w:br/>
        <w:br/>
        <w:br/>
        <w:t>[81]  Cfr. artículo 42 de la Ley Orgánica de la Corte Suprema  de  Justicia,</w:t>
        <w:br/>
        <w:t>supra nota 32, y artículo 18 de la Ley Orgánica del TSJ, supra nota 31.</w:t>
        <w:br/>
        <w:br/>
        <w:br/>
        <w:t>[82]  Cfr. artículo 40 numeral 4 de la Ley de Carrera Judicial de  Venezuela</w:t>
        <w:br/>
        <w:t>de 25 de agosto de 1978, publicada en la Gaceta Oficial  Extraordinaria  No.</w:t>
        <w:br/>
        <w:t>5.262 de 11 de septiembre de 1998, (expediente  de  prueba,  Tomo  I,  Anexo</w:t>
        <w:br/>
        <w:t>A.7, folios 121 a 132).</w:t>
        <w:br/>
        <w:br/>
        <w:br/>
        <w:t>[83]  Cfr. Caso Chaparro Álvarez y  Lapo  Íñiguez.  Vs.  Ecuador.  Excepción</w:t>
        <w:br/>
        <w:t>Preliminar, Fondo, Reparaciones y Costas. Sentencia de 21  de  noviembre  de</w:t>
        <w:br/>
        <w:t>2007. Serie C No. 170, párr. 107.</w:t>
        <w:br/>
        <w:br/>
        <w:br/>
        <w:t>[84]  Así lo ha establecido la Corte Europea  en  el  Caso  Suominen:  “[l]a</w:t>
        <w:br/>
        <w:t>Corte reitera entonces que, de acuerdo con su jurisprudencia constante y  en</w:t>
        <w:br/>
        <w:t>reflejo de un principio relativo a la correcta administración  de  justicia,</w:t>
        <w:br/>
        <w:t>las sentencias de las cortes  y  los  tribunales  deben  exponer  de  manera</w:t>
        <w:br/>
        <w:t>adecuada las razones en las que se basan” (traducción de esta  Corte).  Cfr.</w:t>
        <w:br/>
        <w:t>Suominen v. Finland, no. 37801/97, § 34, 1 July 2003.</w:t>
        <w:br/>
        <w:br/>
        <w:br/>
        <w:t>[85]  Cfr. Caso Yatama, supra nota 63, párrs. 152 y  153,  y  Caso  Chaparro</w:t>
        <w:br/>
        <w:t>Álvarez y Lapo Íñiguez,  supra  nota  83,  párr.  107.  Asimismo,  la  Corte</w:t>
        <w:br/>
        <w:t>Europea ha señalado que los jueces deben  indicar  con  suficiente  claridad</w:t>
        <w:br/>
        <w:t>las  razones  a  partir  de  las   cuales   toman   sus   decisiones.   Cfr.</w:t>
        <w:br/>
        <w:t>Hadjianstassiou v. Greece, judgment of 16 December 1992, Series A  no.  252,</w:t>
        <w:br/>
        <w:t>p. 8, § 23.</w:t>
        <w:br/>
        <w:br/>
        <w:br/>
        <w:t>[86]  Cfr. Suominen v. Finland, supra nota 84. Por su  parte  el  Comité  de</w:t>
        <w:br/>
        <w:t>Derechos Humanos consideró que cuando un tribunal de  apelación  se  abstuvo</w:t>
        <w:br/>
        <w:t>de fundamentar por escrito la sentencia, ello reducía las  posibilidades  de</w:t>
        <w:br/>
        <w:t>éxito del acusado si solicitaba autorización para apelar  ante  un  tribunal</w:t>
        <w:br/>
        <w:t>superior impidiéndole así  hacer  uso  de  un  remedio  adicional.  Naciones</w:t>
        <w:br/>
        <w:t>Unidas, Comité de Derechos Humanos, Hamilton v. Jamaica,  Communication  No.</w:t>
        <w:br/>
        <w:t>333/1988, CCPR/C/50/D/333/1988, 23 de marzo de 1994.</w:t>
        <w:br/>
        <w:br/>
        <w:br/>
        <w:t>[87]  Cfr. declaración rendida por el señor Servio Tulio León Briceño en  la</w:t>
        <w:br/>
        <w:t>audiencia pública celebrada ante la Corte Interamericana el 31 de  enero  de</w:t>
        <w:br/>
        <w:t>2008. El testigo,  además,  indicó  lo  siguiente:  “Yo  creo  que  el  acto</w:t>
        <w:br/>
        <w:t>conclusivo y la acusación que se hace ante la  [CFRSJ]  se  explica  por  sí</w:t>
        <w:br/>
        <w:t>solo, se hace, se acompaña la sentencia  que  es  lo  que  da  origen  a  la</w:t>
        <w:br/>
        <w:t>apertura del procedimiento.  Y  yo  creo  que  las  motivaciones  o  razones</w:t>
        <w:br/>
        <w:t>estaban de sobra con la sentencia, sin embargo sí se analizó, aunque  no  se</w:t>
        <w:br/>
        <w:t>dice en la sentencia, las consecuencias que pudieran  generar  el  acto  que</w:t>
        <w:br/>
        <w:t>dio motivo, pues a la apertura del procedimiento que fue  la  sentencia  no,</w:t>
        <w:br/>
        <w:t>pero no se omitió ninguna fundamentación que yo recuerde.”</w:t>
        <w:br/>
        <w:br/>
        <w:br/>
        <w:t>[88]   La  CFRSJ  señaló  que  “[la]  sentencia  de  la   [SPA]   estableció</w:t>
        <w:br/>
        <w:t>expresamente que la Corte Primera […incurrió] en un grave error jurídico  de</w:t>
        <w:br/>
        <w:t>carácter inexcusable” y que “[e]n  su  decisión  el  [TSJ]  estima  que  [la</w:t>
        <w:br/>
        <w:t>pretensión  del  accionante]  no  constituye  el  reestablecimiento  de  una</w:t>
        <w:br/>
        <w:t>situación jurídica infringida, sino la creación de una nueva  situación,  lo</w:t>
        <w:br/>
        <w:t>que resulta ajeno y contrario a la naturaleza del amparo  constitucional  […</w:t>
        <w:br/>
        <w:t>siendo] más grave el potencial daño que puede ocasionar  el  fallo  cautelar</w:t>
        <w:br/>
        <w:t>dictado respecto de los derechos de posibles adquirentes de esos  terrenos”.</w:t>
        <w:br/>
        <w:t>La  CFRSJ  indicó  que  “el  amparo  constitucional  no  es   un   mecanismo</w:t>
        <w:br/>
        <w:t>jurisdiccional viable para procurar  el  asiento  registral  de  determinado</w:t>
        <w:br/>
        <w:t>documento […]  y  por  esta  sustancial  razón,  aunada  a  las  otras  aquí</w:t>
        <w:br/>
        <w:t>expuestas, la actuación de los jueces  de  la  Corte  Primera  […|,  en  los</w:t>
        <w:br/>
        <w:t>términos expresados en su fallo cautelar, es un grave error inexcusable  que</w:t>
        <w:br/>
        <w:t>viene reconocido por la [SPA]”.  Cfr.  resolución  de  la  CFRSJ  de  30  de</w:t>
        <w:br/>
        <w:t>octubre de 2003, supra nota 49, folios 1084 a 1086.</w:t>
        <w:br/>
        <w:br/>
        <w:br/>
        <w:t>[89]  Cfr. resolución de la CFRSJ de 30 de octubre de 2003, supra  nota  49,</w:t>
        <w:br/>
        <w:t>folio 1087.</w:t>
        <w:br/>
        <w:br/>
        <w:br/>
        <w:t>[90]  Cfr. Naciones Unidas, Comité de Derechos Humanos, Observación  General</w:t>
        <w:br/>
        <w:t>No. 32, supra nota 58, párr. 20. Ver también Principio 18 de los  Principios</w:t>
        <w:br/>
        <w:t>Básicos de las Naciones Unidas, supra nota 59.</w:t>
        <w:br/>
        <w:br/>
        <w:br/>
        <w:t>[91]  Ver al respecto el Principio A, párr. 4 (n)  2  de  los  Principios  y</w:t>
        <w:br/>
        <w:t>Directrices Relativos al Derecho  a  un  Juicio  Justo  y  a  la  Asistencia</w:t>
        <w:br/>
        <w:t>Jurídica en África adoptados como parte del Informe  de  Actividades  de  la</w:t>
        <w:br/>
        <w:t>Comisión Africana en la Segunda Cumbre y Reunión de Jefes de  Estado  de  la</w:t>
        <w:br/>
        <w:t>Unión Africana, celebrada en Maputo, Mozambique, del 4 al  12  de  julio  de</w:t>
        <w:br/>
        <w:t>2003.</w:t>
        <w:br/>
        <w:br/>
        <w:br/>
        <w:t>[92]   Por ejemplo, en un caso de destitución de  una  jueza  que  llegó  al</w:t>
        <w:br/>
        <w:t>conocimiento de la SPA, ésta señaló: “El  criterio  jurídico  de  la  [jueza</w:t>
        <w:br/>
        <w:t>sancionada] era razonable y estuvo fundado en una  decisión  dictada  en  el</w:t>
        <w:br/>
        <w:t>ejercicio legítimo de sus funciones, es  decir,  […]  no  configurándose  en</w:t>
        <w:br/>
        <w:t>ningún momento la falta grave que le imputó la [CFRSJ], con la finalidad  de</w:t>
        <w:br/>
        <w:t>aplicarle la máxima sanción, es  decir,  la  destitución  de  su  cargo.  En</w:t>
        <w:br/>
        <w:t>consecuencia, la [CFRSJ] invadió  competencias  correspondientes  al  ámbito</w:t>
        <w:br/>
        <w:t>jurisdiccional y en tal sentido, le violó la garantía  constitucional  a  la</w:t>
        <w:br/>
        <w:t>autonomía e independencia  de  que  era  titular  la  jueza  sancionada,  al</w:t>
        <w:br/>
        <w:t>momento de dictar la citada medida”. Cfr. sentencia No. 01771 de la  SPA  de</w:t>
        <w:br/>
        <w:t>14 de octubre de 2004, supra nota 13.</w:t>
        <w:br/>
        <w:br/>
        <w:br/>
        <w:t>[93]  En otro caso, la SPA consideró que “si bien como señaló la  [IGT],  el</w:t>
        <w:br/>
        <w:t>juez investigado incurrió  en  un  error  judicial  declarado  por  la  Sala</w:t>
        <w:br/>
        <w:t>Constitucional de[l TSJ], dicho error no es de tal gravedad que  acarree  su</w:t>
        <w:br/>
        <w:t>destitución”. Cfr. sentencia No. 00331 de la SPA de 14  de  abril  de  2004,</w:t>
        <w:br/>
        <w:t>supra nota 13.</w:t>
        <w:br/>
        <w:br/>
        <w:br/>
        <w:t>[94]  Así, en otro caso la SPA consideró que “si bien se debe  sancionar  la</w:t>
        <w:br/>
        <w:t>falta disciplinaria de un funcionario judicial,  la  sanción  impuesta  debe</w:t>
        <w:br/>
        <w:t>ser siempre cónsona con el  ilícito  cometido,  de  modo  de  equilibrar  la</w:t>
        <w:br/>
        <w:t>exigencia que se debe  hacer  al  juez  con  los  derechos  que  también  le</w:t>
        <w:br/>
        <w:t>asisten. En tal sentido y con base en  los  poderes  inquisitivos  del  juez</w:t>
        <w:br/>
        <w:t>contencioso-administrativo,  se  estima  que  la  sanción  impuesta  por  el</w:t>
        <w:br/>
        <w:t>Tribunal Disciplinario del extinto Consejo de la Judicatura no sólo  resultó</w:t>
        <w:br/>
        <w:t>desproporcionada,  sino  además,  inmotivada,   pues   basó   su   contenido</w:t>
        <w:br/>
        <w:t>fundamentalmente en la transcripción que se hiciera de la sentencia  emanada</w:t>
        <w:br/>
        <w:t>del juzgado superior que conociera en alzada de la  conversión  en  divorcio</w:t>
        <w:br/>
        <w:t>decretada, por lo cual se declara su nulidad.  […  L]a  conducta  desplegada</w:t>
        <w:br/>
        <w:t>por la  funcionaria  judicial,  le  hizo  incurrir  en  un  descuido  en  la</w:t>
        <w:br/>
        <w:t>tramitación de los procesos  sometidos  a  su  conocimiento,  pero  en  modo</w:t>
        <w:br/>
        <w:t>alguno, se identifica con el desarrollo jurisprudencial  que  se  ha  venido</w:t>
        <w:br/>
        <w:t>dando al error judicial inexcusable, antes por el contrario,  la  infracción</w:t>
        <w:br/>
        <w:t>por ella cometida, de ser el caso, podría configurar una  causal  que  diera</w:t>
        <w:br/>
        <w:t>lugar a otro tipo de sanciones, como podría ser la amonestación,  o  de  ser</w:t>
        <w:br/>
        <w:t>preciso, porque se considere de mayor entidad que  aquella,  la  sanción  de</w:t>
        <w:br/>
        <w:t>suspensión.  Es  por  ello  que  sin  sustituirse   el   juez   contencioso-</w:t>
        <w:br/>
        <w:t>administrativo en las competencias propias de la Administración,  y  con  el</w:t>
        <w:br/>
        <w:t>fin de alcanzar un equilibrio  entre  la  falta  cometida  y  la  sanción  a</w:t>
        <w:br/>
        <w:t>imponerse, esta Sala ordena a la  [CFRSJ]  la  modificación  de  la  sanción</w:t>
        <w:br/>
        <w:t>impuesta, en el sentido de que se verifique si procede, en  su  lugar,  otro</w:t>
        <w:br/>
        <w:t>tipo de medida sancionatoria que se ajuste a las  circunstancias  planteadas</w:t>
        <w:br/>
        <w:t>a lo largo de este caso”. Cfr. sentencia No.  01662  de  la  SPA  de  28  de</w:t>
        <w:br/>
        <w:t>octubre de 2003, supra nota 13. En otro caso, y en similar sentido,  la  SPA</w:t>
        <w:br/>
        <w:t>precisó que “esta Sala coincide en afirmar el error de derecho cometido  por</w:t>
        <w:br/>
        <w:t>la jueza, pero  disiente  de  la  calificación  jurídica  y  de  la  sanción</w:t>
        <w:br/>
        <w:t>impuesta a la Jueza recurrente por parte de la [CFRSJ], pues  considera  que</w:t>
        <w:br/>
        <w:t>aún cuando la jueza  recurrente  incurrió  con  su  actuación  en  un  hecho</w:t>
        <w:br/>
        <w:t>generador  de  responsabilidad  administrativa  disciplinaria,  la   sanción</w:t>
        <w:br/>
        <w:t>impuesta debe guardar  equilibrio  con  el  ilícito  cometido,  de  modo  de</w:t>
        <w:br/>
        <w:t>mantener la exigencia que se  debe  hacer  al  juez  con  los  derechos  que</w:t>
        <w:br/>
        <w:t>también le asisten. En tal sentido, se estima que la  sanción  impuesta  por</w:t>
        <w:br/>
        <w:t>la [CFRSJ], resultó desproporcionada, pues basó su contenido en  una  causal</w:t>
        <w:br/>
        <w:t>de destitución no cónsona  con  la  actuación  jurisdiccional  de  la  jueza</w:t>
        <w:br/>
        <w:t>imputada, por lo cual se declara su nulidad”. Cfr. sentencia  No.  01285  de</w:t>
        <w:br/>
        <w:t>la SPA de 20 de agosto de 2003, supra nota 13.</w:t>
        <w:br/>
        <w:br/>
        <w:br/>
        <w:t>[95]  Cfr.  oficio  No.  3561-07  de  la  IGT  de  22  de  octubre  de  2007</w:t>
        <w:br/>
        <w:t>(expediente de prueba, Tomo XIV, folios 4246 y 4247).</w:t>
        <w:br/>
        <w:br/>
        <w:t>[96]  Cfr. resolución de la CFRSJ de 12 de febrero de  2007  (expediente  de</w:t>
        <w:br/>
        <w:t>prueba, Tomo XIV, folio 4564).</w:t>
        <w:br/>
        <w:br/>
        <w:t>[97]  En similar sentido esta Corte ordenó que una pena  fuera  aplicada  en</w:t>
        <w:br/>
        <w:t>forma proporcional a la naturaleza y gravedad del delito que  se  perseguía,</w:t>
        <w:br/>
        <w:t>tomando en cuenta las circunstancias atenuantes y  agravantes  que  pudieran</w:t>
        <w:br/>
        <w:t>concurrir en  el  caso.  Cfr.  Caso  Raxcacó  Reyes  Vs.  Guatemala.  Fondo,</w:t>
        <w:br/>
        <w:t>Reparaciones y Costas. Sentencia de 15 de septiembre de 2005.  Serie  C  No.</w:t>
        <w:br/>
        <w:t>133.</w:t>
        <w:br/>
        <w:br/>
        <w:br/>
        <w:t>[98]  En efecto, el error o desconocimiento grave  e  inexcusable  del  juez</w:t>
        <w:br/>
        <w:t>estaba contemplado al momento de los hechos  en  la  legislación  venezolana</w:t>
        <w:br/>
        <w:t>doblemente, como causal de destitución y como causal de suspensión. Así,  el</w:t>
        <w:br/>
        <w:t>artículo 40 de la Ley de Carrera Judicial (supra nota 82) expresa:</w:t>
        <w:br/>
        <w:br/>
        <w:br/>
        <w:t xml:space="preserve">      Los jueces serán destituidos de sus cargos, previo el debido  proceso,</w:t>
        <w:br/>
        <w:t xml:space="preserve">      por las causas siguientes:</w:t>
        <w:br/>
        <w:br/>
        <w:br/>
        <w:t xml:space="preserve">      4. Cuando hubieren  incurrido  en  grave  error  judicial  inexcusable</w:t>
        <w:br/>
        <w:t xml:space="preserve">      reconocido en sentencia por la  Corte  de  Apelaciones  o  el  juzgado</w:t>
        <w:br/>
        <w:t xml:space="preserve">      superior o la respectiva Sala de la Corte Suprema de  Justicia,  según</w:t>
        <w:br/>
        <w:t xml:space="preserve">      el caso, y se haya solicitado la destitución</w:t>
        <w:br/>
        <w:br/>
        <w:br/>
        <w:t>Por su parte,  el  artículo  38  de  la  Ley  Orgánica  del  Consejo  de  la</w:t>
        <w:br/>
        <w:t>Judicatura (expediente de prueba, Tomo I, Anexo A.10, folio 195) establece:</w:t>
        <w:br/>
        <w:br/>
        <w:br/>
        <w:t xml:space="preserve">      Son causales de suspensión:</w:t>
        <w:br/>
        <w:br/>
        <w:br/>
        <w:t xml:space="preserve">      13. Proceder con grave e  inexcusable  desconocimiento  de  la  ley  a</w:t>
        <w:br/>
        <w:t xml:space="preserve">      juicio de la sala de la Corte Suprema de Justicia en  conocimiento  de</w:t>
        <w:br/>
        <w:t xml:space="preserve">      la causa.</w:t>
        <w:br/>
        <w:br/>
        <w:t>En este sentido, es dable exigir al tribunal  disciplinario  que  justifique</w:t>
        <w:br/>
        <w:t>la imposición de una u otra sanción en cada caso concreto.</w:t>
        <w:br/>
        <w:br/>
        <w:t>[99]  En este punto resulta relevante lo afirmado por el señor  Jesús  María</w:t>
        <w:br/>
        <w:t>Casal Hernández en el  sentido  de  que  la  CFRSJ  “prescindió  del  examen</w:t>
        <w:br/>
        <w:t>relativo a la gravedad del error judicial inexcusable, que es  indispensable</w:t>
        <w:br/>
        <w:t>para poder infligir la  sanción  máxima  de  destitución.  El  principio  de</w:t>
        <w:br/>
        <w:t>proporcionalidad y el respeto al derecho a la defensa o  al  debido  proceso</w:t>
        <w:br/>
        <w:t>legal, así como  a  la  autonomía  del  juez,  obligaban  a  efectuar  dicho</w:t>
        <w:br/>
        <w:t>análisis”. Cfr. declaración rendida ante fedatario público  (affidávit)  por</w:t>
        <w:br/>
        <w:t>el señor Jesús María Casal Hernández el 17 de enero de 2008  (expediente  de</w:t>
        <w:br/>
        <w:t>fondo, Tomo III, folio 849).</w:t>
        <w:br/>
        <w:br/>
        <w:br/>
        <w:t>[100]       La Corte Europea ha señalado: “La Corte reitera que el  artículo</w:t>
        <w:br/>
        <w:t>6,  párrafo  1  (art.  6-1)  obliga  a  los  tribunales  a  fundamentar  sus</w:t>
        <w:br/>
        <w:t>decisiones;  sin  embargo,  dicho  artículo  no  puede  ser  entendido  como</w:t>
        <w:br/>
        <w:t>requiriendo que el juez provea una  respuesta  detallada  a  cada  argumento</w:t>
        <w:br/>
        <w:t>presentado por las partes […]. El alcance de este  deber  de  fundamentación</w:t>
        <w:br/>
        <w:t>varía según la naturaleza de la decisión. A su vez,  es  necesario  valorar,</w:t>
        <w:br/>
        <w:t>inter  alia,  la  diversidad  de  planteos  que  un   litigante   somete   a</w:t>
        <w:br/>
        <w:t>consideración de los tribunales y las  diferencias  que  existen  entre  los</w:t>
        <w:br/>
        <w:t>diversos Estados parte con relación a su legislación, reglas  de  costumbre,</w:t>
        <w:br/>
        <w:t>opinión legal y a la presentación y redacción de sentencias. Por  todo  ello</w:t>
        <w:br/>
        <w:t>cabe afirmar que la pregunta relativa a si un tribunal ha incumplido con  su</w:t>
        <w:br/>
        <w:t>obligación de fundamentación derivada del artículo 6 de la  Convención  sólo</w:t>
        <w:br/>
        <w:t>puede ser determinada a la luz de las circunstancias de cada caso  concreto”</w:t>
        <w:br/>
        <w:t>(traducción de esta Corte).  Cfr.  Hiro  Balani  v.  Spain,  judgment  of  9</w:t>
        <w:br/>
        <w:t>December 1994, Series A no. 303-B, p. 8, § 27. Ver también, Ruiz  Torija  v.</w:t>
        <w:br/>
        <w:t>Spain, judgment of 9 December 1994, Series A no. 303-A, p. 8 § 29;  Suominen</w:t>
        <w:br/>
        <w:t>v. Finland, supra nota 84, y Hirvisaari v. Finland, no. 49684/99, §  30,  27</w:t>
        <w:br/>
        <w:t>September 2001.</w:t>
        <w:br/>
        <w:br/>
        <w:br/>
        <w:t>[101]       Cfr. alegatos de  los  señores  Apitz  y  Rocha  ante  la  CFRSJ</w:t>
        <w:br/>
        <w:t>(resolución de la CFRSJ de 30 de octubre de  2003,  supra  nota  49,  folios</w:t>
        <w:br/>
        <w:t>1066 y 1067), y alegatos de la señora Ruggeri ante la CFRSJ, (resolución  de</w:t>
        <w:br/>
        <w:t>la CFRSJ de 30 de octubre de 2003, supra nota 49, folios 1071 a 1073).</w:t>
        <w:br/>
        <w:br/>
        <w:br/>
        <w:t>[102]       Según los señores Apitz y  Rocha,  “las  actuaciones  realizadas</w:t>
        <w:br/>
        <w:t>por  [la]  Corte  [Primera  …]  se  fundamentaron  en   razones   procesales</w:t>
        <w:br/>
        <w:t>debidamente justificadas por cuanto las mismas se configuran el único  medio</w:t>
        <w:br/>
        <w:t>posible a los fines de lograr el restablecimiento de la  situación  jurídica</w:t>
        <w:br/>
        <w:t>presuntamente  infringida  [,  de  tal  forma  que  se]   ejerci[eron]   las</w:t>
        <w:br/>
        <w:t>facultades jurisdiccionales que le[s] correspond[e,  s]i  bien  las  razones</w:t>
        <w:br/>
        <w:t>jurídicas que llevaron a tomar [la]  decisión  se  oponen  a  otras  razones</w:t>
        <w:br/>
        <w:t>jurídicas que fueran observadas por la honorable  [SPA]”.  Cfr.  escrito  de</w:t>
        <w:br/>
        <w:t>los señores Apitz y Rocha dirigido a la CFRSJ el  14  de  octubre  de  2003,</w:t>
        <w:br/>
        <w:t>(expediente de prueba, Tomo II, Apéndice C.3, folio 540). Por su  parte,  la</w:t>
        <w:br/>
        <w:t>señora Ruggeri alegó ante la CFRSJ: “existiendo la posibilidad  de  que  los</w:t>
        <w:br/>
        <w:t>justiciables difieran de la sentencia dictada por la  Corte,  gozan  de  los</w:t>
        <w:br/>
        <w:t>recursos jurisdiccionales ordinarios,  cuando  consideren  que,  en  primera</w:t>
        <w:br/>
        <w:t>instancia, su derecho no encuentra plena satisfacción o ha  sido  cercenado.</w:t>
        <w:br/>
        <w:t>Ello  constituye  el  fundamento  del  principio  de  la   doble   instancia</w:t>
        <w:br/>
        <w:t>consagrado  en  el  texto  constitucional.  Aceptar  que  la  diferencia  de</w:t>
        <w:br/>
        <w:t>criterio e interpretación declarada por el  juez  de  alzada  constituye  un</w:t>
        <w:br/>
        <w:t>error de carácter inexcusable,  significaría  declarar  que  en  los  fallos</w:t>
        <w:br/>
        <w:t>revocados o anulados en segunda instancia,  está  presente  el  supuesto  de</w:t>
        <w:br/>
        <w:t>error inexcusable del juez y la consecuente responsabilidad  por  parte  del</w:t>
        <w:br/>
        <w:t>juzgador”. Cfr. alegatos la señora Ruggeri ante la CFRSJ (resolución  de  la</w:t>
        <w:br/>
        <w:t>CFRSJ de 30 de octubre de 2003, supra nota 49, folio 2653).</w:t>
        <w:br/>
        <w:br/>
        <w:br/>
        <w:t>[103]       Cfr. relación  de  denuncias  de  los  señores  Apitz,  Rocha  y</w:t>
        <w:br/>
        <w:t>Ruggeri emitidas por la IGT (expediente de prueba, Tomo  II,  Apéndice  C.3,</w:t>
        <w:br/>
        <w:t>folios 379 a 426). Se presentaron 15 boletas de denuncias en  contra  de  la</w:t>
        <w:br/>
        <w:t>señora Ruggeri, 13 en contra del señor  Rocha  y  14  en  contra  del  señor</w:t>
        <w:br/>
        <w:t>Apitz. De estas denuncias, todas aparecen en  estado  de  “cierre”,  excepto</w:t>
        <w:br/>
        <w:t>dos  de  ellas,  comunes  a  los  tres  jueces,  que  llegan  al  estado  de</w:t>
        <w:br/>
        <w:t>“acusación”, una de las  cuáles  es  la  investigación  por  error  judicial</w:t>
        <w:br/>
        <w:t>inexcusable. Respecto de la segunda acusación no se tienen  antecedentes  en</w:t>
        <w:br/>
        <w:t>el expediente ante esta Corte.</w:t>
        <w:br/>
        <w:br/>
        <w:br/>
        <w:t>[104]       Cfr., Caso Godínez Cruz Vs. Honduras. Fondo. Sentencia de 20  de</w:t>
        <w:br/>
        <w:t>enero de 1989. Serie C No. 5, párr. 135, y Caso  Escué  Zapata,  supra  nota</w:t>
        <w:br/>
        <w:t>14, párr. 45.</w:t>
        <w:br/>
        <w:br/>
        <w:br/>
        <w:t>[105]       Cfr. discurso de orden  del  magistrado  Delgado  Ocando,  supra</w:t>
        <w:br/>
        <w:t>nota 13.</w:t>
        <w:br/>
        <w:br/>
        <w:br/>
        <w:t>[106]       El representante también aludió a un  discurso  de  inauguración</w:t>
        <w:br/>
        <w:t>del año Judicial del magistrado Francisco Carrasquero  de  28  de  enero  de</w:t>
        <w:br/>
        <w:t>2008 en el que afirmaría que “el paradigma de determinada ideología  vigente</w:t>
        <w:br/>
        <w:t>colorea  nuestra  actuación”,  pero  este  discurso  no  fue   aportado   al</w:t>
        <w:br/>
        <w:t>expediente. A diferencia del discurso del magistrado Delgado  Ocando  (supra</w:t>
        <w:br/>
        <w:t>nota 13), que la Corte ha valorado, pues fue  posible  encontrarlo  completo</w:t>
        <w:br/>
        <w:t>en la página electrónica del TSJ, el discurso del magistrado Carrasquero  no</w:t>
        <w:br/>
        <w:t>está disponible en la misma. Al no  contar  con  el  discurso  completo,  la</w:t>
        <w:br/>
        <w:t>Corte carece de elementos para valorarlo.</w:t>
        <w:br/>
        <w:br/>
        <w:br/>
        <w:t>[107]       El representante aludió a la  destitución  "de  los  magistrados</w:t>
        <w:br/>
        <w:t>Alberto Martín Urdaneta (presidente de la Sala Electoral  del  TSJ),  Rafael</w:t>
        <w:br/>
        <w:t>Hernández, y  Orlando  Gravina,  ambos  de  la  misma  Sala  Electoral  (que</w:t>
        <w:br/>
        <w:t>suscribieron la sentencia del  15  de  marzo  de  2004,  que  suspendió  los</w:t>
        <w:br/>
        <w:t>efectos de  una  resolución  del  Consejo  Nacional  Electoral  que,  en  su</w:t>
        <w:br/>
        <w:t>momento, impidió la realización del referendo revocatorio  presidencial),  y</w:t>
        <w:br/>
        <w:t>que fueron jubilados".</w:t>
        <w:br/>
        <w:br/>
        <w:br/>
        <w:t>[108]       El  declarante  manifestó:  “Arrieche  (quien  había  negado  el</w:t>
        <w:br/>
        <w:t>enjuiciamiento de los referidos oficiales militares) y  los  magistrados  de</w:t>
        <w:br/>
        <w:t>la sala Electoral Alberto  Martini  Urdaneta,  Rafael  Hernández  y  Orlando</w:t>
        <w:br/>
        <w:t>Gravina  (quienes  fallaron   a   favor   de   un   referéndum   revocatorio</w:t>
        <w:br/>
        <w:t>presidencial) fueron removidos de sus cargos por la Asamblea Nacional,  bien</w:t>
        <w:br/>
        <w:t>sea por destitución o por jubilación".  Cfr.  declaración  del  señor  López</w:t>
        <w:br/>
        <w:t>Albujas, supra nota 55, folio 879.</w:t>
        <w:br/>
        <w:br/>
        <w:br/>
        <w:t>[109]       Cfr. declaración rendida ante fedatario público (affidávit)  por</w:t>
        <w:br/>
        <w:t>el señor Román Duque Corredor el 10 de enero de 2008 (expediente  de  fondo,</w:t>
        <w:br/>
        <w:t>Tomo III, folio 871) y declaración del señor  Casal  Hernández,  supra  nota</w:t>
        <w:br/>
        <w:t>99, folio 844.</w:t>
        <w:br/>
        <w:br/>
        <w:br/>
        <w:t>[110]       Cfr. artículo 2 de la Ley Orgánica del TSJ, supra nota 31.</w:t>
        <w:br/>
        <w:br/>
        <w:br/>
        <w:t>[111]       Cfr. sesión especial de la Asamblea Nacional de 13 de  diciembre</w:t>
        <w:br/>
        <w:t>de 2004, publicada en la Gaceta Oficial No. 38.086 de  14  de  diciembre  de</w:t>
        <w:br/>
        <w:t>2004 (expediente de anexos a la demanda, Tomo II, Apéndice C.13, folios  727</w:t>
        <w:br/>
        <w:t>y 728).</w:t>
        <w:br/>
        <w:br/>
        <w:br/>
        <w:t>[112]       Cfr. declaración del  señor  Casal  Hernández,  supra  nota  99,</w:t>
        <w:br/>
        <w:t>folio 841.</w:t>
        <w:br/>
        <w:br/>
        <w:t>[113]       Cfr. declaración del señor López Albujas, supra nota  55,  folio</w:t>
        <w:br/>
        <w:t>879.</w:t>
        <w:br/>
        <w:br/>
        <w:t>[114]       Cfr. declaración rendida ante fedatario público (affidávit)  por</w:t>
        <w:br/>
        <w:t>el señor Alberto Arteaga Sánchez el 17 de  enero  de  2008,  (expediente  de</w:t>
        <w:br/>
        <w:t>fondo, Tomo III, folio 886) .</w:t>
        <w:br/>
        <w:br/>
        <w:br/>
        <w:t>[115]       Cfr. artículo periodístico titulado “TSJ otorgó  la  titularidad</w:t>
        <w:br/>
        <w:t>a 164 jueces ‘bolivarianos’”, supra nota 13.</w:t>
        <w:br/>
        <w:br/>
        <w:br/>
        <w:t>[116]        Cfr.  artículo  periodístico  titulado  “Morales  dirigirá  con</w:t>
        <w:br/>
        <w:t>amplias  facultades  el  Poder  Judicial”,  publicado  en  el   Diario   “El</w:t>
        <w:br/>
        <w:t>Universal” el 8 de febrero de 2007 (expediente  de  prueba,  Tomo  V,  folio</w:t>
        <w:br/>
        <w:t>1349).</w:t>
        <w:br/>
        <w:br/>
        <w:br/>
        <w:t>[117]       Cfr. declaración de la señora  Ruggeri,  supra  nota  33,  folio</w:t>
        <w:br/>
        <w:t>744.</w:t>
        <w:br/>
        <w:br/>
        <w:br/>
        <w:t>[118]       Cfr. declaración del señor López Albujas, supra nota  55,  folio</w:t>
        <w:br/>
        <w:t>879.</w:t>
        <w:br/>
        <w:br/>
        <w:br/>
        <w:t>[119]       Cfr. declaración del  señor  Duque  Corredor,  supra  nota  109,</w:t>
        <w:br/>
        <w:t>folio 867.</w:t>
        <w:br/>
        <w:br/>
        <w:br/>
        <w:t>[120]       Cfr. sentencia No. 2326 de la Corte Primera de 20 de  agosto  de</w:t>
        <w:br/>
        <w:t>2002 (expediente de prueba, Tomo III, Anexo B.1.a, folios 771 a 799).</w:t>
        <w:br/>
        <w:br/>
        <w:br/>
        <w:t>[121]       Cfr. sentencia No. 3034 de la Corte Primera de 31 de octubre  de</w:t>
        <w:br/>
        <w:t>2002 (expediente de prueba, Tomo III, Anexo B.1.b,  folios  801  a  813),  y</w:t>
        <w:br/>
        <w:t>sentencia  No.  3043  de  la  Corte  Primera  de  6  de  noviembre  de  2002</w:t>
        <w:br/>
        <w:t>(expediente de prueba, Tomo III, Anexo B.1.c, folios 815 a 829).</w:t>
        <w:br/>
        <w:br/>
        <w:br/>
        <w:t>[122]       Cfr. sentencia No. 3116 de la Corte Primera de 11  de  noviembre</w:t>
        <w:br/>
        <w:t>de 2002 (expediente de prueba, Tomo III, Anexo B.1.d, folios 831 a 852).</w:t>
        <w:br/>
        <w:br/>
        <w:br/>
        <w:t>[123]       Cfr. sentencia No. 3278 de la Corte Primera de 25  de  noviembre</w:t>
        <w:br/>
        <w:t>de 2002 (expediente de prueba, Tomo III, Anexo B.1.e, folios 854 a 861).</w:t>
        <w:br/>
        <w:br/>
        <w:br/>
        <w:t>[124]       Cfr. sentencia No. 01 de la Corte Primera 7  de  enero  de  2003</w:t>
        <w:br/>
        <w:t>(expediente de prueba, Tomo III, Anexo B.1.f, folios 863 a 877).</w:t>
        <w:br/>
        <w:br/>
        <w:br/>
        <w:t>[125]       Cfr. sentencia No. 75 de la Corte Primera  de  22  de  enero  de</w:t>
        <w:br/>
        <w:t>2003 (expediente de prueba, Tomo III, Anexo B.1.g,  folios  880  a  905),  y</w:t>
        <w:br/>
        <w:t>sentencia No. 155 de la Corte Primera de 24 de enero de 2003 (expediente  de</w:t>
        <w:br/>
        <w:t>prueba, Tomo III, Anexo B.1.h, folios 908 a 923).</w:t>
        <w:br/>
        <w:br/>
        <w:br/>
        <w:t>[126]       Cfr. sentencia No. 552 de la Corte Primera de 26 de  febrero  de</w:t>
        <w:br/>
        <w:t>2003 (expediente de prueba, Tomo III, Anexo B.1.i, folios 926 a 938).</w:t>
        <w:br/>
        <w:br/>
        <w:br/>
        <w:t>[127]       Cfr. sentencia No. 1852 de la Corte Primera 12 de junio de  2003</w:t>
        <w:br/>
        <w:t>(expediente de prueba, Tomo III, Anexo B.1.j, folios 940 a 955).</w:t>
        <w:br/>
        <w:br/>
        <w:br/>
        <w:t>[128]       Cfr. artículo  periodístico  titulado  “Los  polémicos  fallos”,</w:t>
        <w:br/>
        <w:t>publicado en el Diario “El Universal”, supra nota 15.</w:t>
        <w:br/>
        <w:br/>
        <w:br/>
        <w:t>[129]       Cfr. artículo periodístico titulado “Una juez y  unos  fallos  –</w:t>
        <w:br/>
        <w:t>Retaliaciones”, publicado en el Diario “El Universal” el  2  de  octubre  de</w:t>
        <w:br/>
        <w:t>2003, (expediente de  prueba,  Tomo  IV,  Anexo  C,  folio  1268);  artículo</w:t>
        <w:br/>
        <w:t>periodístico titulado  “Protección  del  TSJ  exigen  magistrados  de  Corte</w:t>
        <w:br/>
        <w:t>Primera”, publicado en el Diario “El Universal” el 10  de  octubre  de  2003</w:t>
        <w:br/>
        <w:t>(expediente  de  prueba,  Tomo  IV,  Anexo  C,  folio  1277),   y   artículo</w:t>
        <w:br/>
        <w:t>periodístico titulado “¡La Corte Administrativa!”, publicado  en  el  Diario</w:t>
        <w:br/>
        <w:t>“El Universal” el 27 de septiembre de 2003 (expediente de prueba,  Tomo  IV,</w:t>
        <w:br/>
        <w:t>Anexo C, folio 1290).</w:t>
        <w:br/>
        <w:br/>
        <w:br/>
        <w:t>[130]       Cfr. declaración del  señor  Casal  Hernández,  supra  nota  99,</w:t>
        <w:br/>
        <w:t>folio 850.</w:t>
        <w:br/>
        <w:br/>
        <w:br/>
        <w:t>[131]       El representante indicó, en  relación  con  la  decisión  de  la</w:t>
        <w:br/>
        <w:t>Corte Primera referida a la desmilitarización del  Estado  de  Miranda,  que</w:t>
        <w:br/>
        <w:t>"el Presidente de la República anunció, por radio y  televisión,  que  había</w:t>
        <w:br/>
        <w:t>ordenado a los militares no acatar ninguna decisión que  fuera  contraria  a</w:t>
        <w:br/>
        <w:t>sus instrucciones precisas."  Sin  embargo,  el  representante  no  presentó</w:t>
        <w:br/>
        <w:t>prueba alguna que corroborara este dicho.</w:t>
        <w:br/>
        <w:br/>
        <w:br/>
        <w:t>[132]       Cfr. sentencia No. 2727 de la Corte Primera de 21 de  agosto  de</w:t>
        <w:br/>
        <w:t>2003 (expediente de prueba, Anexo B.1.k, folio 976).</w:t>
        <w:br/>
        <w:br/>
        <w:br/>
        <w:t>[133]       Cfr. grabación de la declaración del Presidente de la  República</w:t>
        <w:br/>
        <w:t>Hugo Chávez Frías de 24 de  agosto  de  2003,  en  Gobierno  en  Línea,  Aló</w:t>
        <w:br/>
        <w:t>Presidente No. 161 (expediente de fondo, Tomo I, folio 259).</w:t>
        <w:br/>
        <w:br/>
        <w:br/>
        <w:t>[134]       Cfr.  artículo  periodístico  titulado  “Gobierno  desconoce  la</w:t>
        <w:br/>
        <w:t>decisión judicial de reemplazar a los  médicos  cubanos”,  publicado  en  el</w:t>
        <w:br/>
        <w:t>Diario “El Nacional”, supra nota 15.</w:t>
        <w:br/>
        <w:br/>
        <w:br/>
        <w:t>[135]       Cfr. artículo periodístico titulado “Ni en  sueños  se  suspende</w:t>
        <w:br/>
        <w:t>el plan Barrio Adentro”, publicado en Diario “El Universal” el 28 de  agosto</w:t>
        <w:br/>
        <w:t>de 2003 (expediente de prueba, Tomo IV, Anexo C, folio 1255).</w:t>
        <w:br/>
        <w:br/>
        <w:br/>
        <w:t>[136]       Cfr. artículo periodístico  titulado  “Los  cuestionamientos  de</w:t>
        <w:br/>
        <w:t>José Vicente y Freddy Bernal”, publicado en el Diario “El Universal”,  supra</w:t>
        <w:br/>
        <w:t>nota 15.</w:t>
        <w:br/>
        <w:br/>
        <w:br/>
        <w:t>[137]        Cfr.   artículos   periodísticos   titulados   “Rangel   Avalos</w:t>
        <w:br/>
        <w:t>desacatará decisión de tribunales”  y  “Rangel  Avalos  reitera  desacato  a</w:t>
        <w:br/>
        <w:t>decisión de Corte”, publicados en el Diario “El Universal”, supra  nota  15.</w:t>
        <w:br/>
        <w:t>En la audiencia  pública  ante  la  Corte  el  señor  Apitz  manifestó:  “El</w:t>
        <w:br/>
        <w:t>diputado Nicolás Maduro, hoy  canciller  de  la  República,  se  permitió  a</w:t>
        <w:br/>
        <w:t>través de los medios de  comunicación  [expresar]  que  nuestras  fotos  han</w:t>
        <w:br/>
        <w:t>debido ponerse en sitios públicos para que si nos ubicaran en la  calle  nos</w:t>
        <w:br/>
        <w:t>dieran nuestro merecido”. Sin embargo, no fue adjuntado al  expediente  ante</w:t>
        <w:br/>
        <w:t>la Corte prueba que corroborara estos dichos. Cfr. declaración  rendida  por</w:t>
        <w:br/>
        <w:t>el señor Juan Carlos Apitz Babera en la audiencia celebrada  ante  la  Corte</w:t>
        <w:br/>
        <w:t>Interamericana el 31 de enero de 2008.</w:t>
        <w:br/>
        <w:br/>
        <w:br/>
        <w:t>[138]       Cfr. artículo periodístico titulado “Magistrados esperan  frutos</w:t>
        <w:br/>
        <w:t>del pacto  entre  el  MVR,  AD  y  el  MAS”,  publicado  en  el  Diario  “El</w:t>
        <w:br/>
        <w:t>Universal”, supra nota 15, y artículo  periodístico  titulado  “Comisión  de</w:t>
        <w:br/>
        <w:t>Reestructuración Judicial  destituyó  a  4  magistrados”,  publicado  en  el</w:t>
        <w:br/>
        <w:t>Diario “El Universal” el 31 de octubre de 2003 (expediente de  prueba,  Tomo</w:t>
        <w:br/>
        <w:t>IV, Anexo C, folio 1246).</w:t>
        <w:br/>
        <w:br/>
        <w:br/>
        <w:t>[139]       Cfr. sentencias de la Corte Primera No. 3034 de  31  de  octubre</w:t>
        <w:br/>
        <w:t>de 2002, supra nota 121; No. 3043 de 6 de  noviembre  de  2002,  supra  nota</w:t>
        <w:br/>
        <w:t>121; No. 3278 de 25 de noviembre de 2002, supra nota 123; No.  01  de  7  de</w:t>
        <w:br/>
        <w:t>enero de 2003, supra nota 124; No. 552 de 26 de febrero de 2003, supra  nota</w:t>
        <w:br/>
        <w:t>126, y No. 1852 de 12 de junio de 2003, supra nota 127.</w:t>
        <w:br/>
        <w:br/>
        <w:br/>
        <w:t>[140]       Cfr. votos salvados de la magistrada Morales en  las  sentencias</w:t>
        <w:br/>
        <w:t>de la Corte Primera No. 2326 de 20 de agosto de 2002, supra  nota  120;  No.</w:t>
        <w:br/>
        <w:t>3116 de 11 de noviembre de 2002, supra nota 122; No. 75 de 22  de  enero  de</w:t>
        <w:br/>
        <w:t>2003, supra nota 127, y  No. 155 de 24 de enero de 2003, supra nota 125.</w:t>
        <w:br/>
        <w:br/>
        <w:br/>
        <w:t>[141]       Cfr. votos salvados de los magistrados Apitz  y  Morales  en  la</w:t>
        <w:br/>
        <w:t>sentencia No. 3116 de la Corte Primera de 11 de  noviembre  de  2002,  supra</w:t>
        <w:br/>
        <w:t>nota 122.</w:t>
        <w:br/>
        <w:br/>
        <w:br/>
        <w:t>[142]       Cfr. artículo periodístico titulado “Si el Presidente se  excede</w:t>
        <w:br/>
        <w:t>al cambiar  la  Constitución,  el  Tribunal  Supremo  de  Justicia  aplicará</w:t>
        <w:br/>
        <w:t>correctivos”, publicado en el Diario “El Nacional” el 9 de febrero  de  2007</w:t>
        <w:br/>
        <w:t>(expediente de prueba, Tomo V, folio 1348) y artículo periodístico  titulado</w:t>
        <w:br/>
        <w:t>“Velaré para que la reforma no  viole  la  Constitución”,  publicado  en  el</w:t>
        <w:br/>
        <w:t>Diario “El Universal” el 9 de febrero de 2007 (expediente  de  prueba,  Tomo</w:t>
        <w:br/>
        <w:t>V, folio 1347).</w:t>
        <w:br/>
        <w:br/>
        <w:br/>
        <w:t>[143]       Cfr. artículo periodístico titulado “Aparece documento clave  en</w:t>
        <w:br/>
        <w:t>caso de Corte Primera”, publicado en  el  Diario  “El  Universal”  el  4  de</w:t>
        <w:br/>
        <w:t>octubre de 2003 (expediente de prueba, Tomo IV, Anexo C, folio 1270).</w:t>
        <w:br/>
        <w:br/>
        <w:br/>
        <w:t>[144]       Cfr. sentencia No. 375 de la Sala de Casación Penal del  TSJ  de</w:t>
        <w:br/>
        <w:t>23 de octubre de 2003 (expediente de prueba, Tomo II, Apéndice  C.1,  folios</w:t>
        <w:br/>
        <w:t>266 a 278), y declaración rendida por el señor Perkins  Rocha  Contreras  en</w:t>
        <w:br/>
        <w:t>la audiencia pública celebrada ante la Corte Interamericana el 31  de  enero</w:t>
        <w:br/>
        <w:t>de 2008.</w:t>
        <w:br/>
        <w:br/>
        <w:br/>
        <w:t>[145] Cfr. declaración del señor Apitz,  supra  nota  137;  declaración  del</w:t>
        <w:br/>
        <w:t>señor López Albujas, supra  nota  55,  folio  877  y  artículo  periodístico</w:t>
        <w:br/>
        <w:t>titulado  “Cierre  de  Corte  Primera   bloqueó   sentencia   a   favor   de</w:t>
        <w:br/>
        <w:t>Globovisión”, publicado en el Diario “El Universal” el  9  de  noviembre  de</w:t>
        <w:br/>
        <w:t>2007 (expediente de prueba, Tomo IV, anexo C, folio 1317).</w:t>
        <w:br/>
        <w:br/>
        <w:br/>
        <w:t>[146] Cfr. citación de 6 de octubre de 2003 al señor Apitz y citación  de  6</w:t>
        <w:br/>
        <w:t>de octubre de 2003 al  señor  Rocha,  emitidas  por  el  Ministerio  Público</w:t>
        <w:br/>
        <w:t>(expediente de prueba, Tomo III, Anexo B.3.b, folios 1048 y 1049).</w:t>
        <w:br/>
        <w:br/>
        <w:br/>
        <w:t>[147] Cfr. relación de denuncias contra el  señor  Rocha,  supra  nota  103,</w:t>
        <w:br/>
        <w:t>folios 396, 397 y 403, y relación de denuncias  contra  la  señora  Ruggeri,</w:t>
        <w:br/>
        <w:t>supra nota 103, folios 379, 380 y 382.</w:t>
        <w:br/>
        <w:br/>
        <w:br/>
        <w:t>[148] Cfr. resolución No. 117 de la CFRSJ de 8 de octubre de  2003,  por  la</w:t>
        <w:br/>
        <w:t>cual se aplica medida cautelar de suspensión a los  señores  Apitz  y  Rocha</w:t>
        <w:br/>
        <w:t>(expediente de prueba, Tomo III, Anexo B.4.a, folios 1172 y 1173).</w:t>
        <w:br/>
        <w:br/>
        <w:br/>
        <w:t>[149]       Cfr. artículo periodístico titulado “Chofer de la Corte  Primera</w:t>
        <w:br/>
        <w:t>es ‘carnada de una trampa política’”, publicado en el Diario “El  Universal”</w:t>
        <w:br/>
        <w:t>el 30 de septiembre de 2003 (expediente de prueba, Tomo IV, Anexo  C,  folio</w:t>
        <w:br/>
        <w:t>1266).</w:t>
        <w:br/>
        <w:br/>
        <w:br/>
        <w:t>[150]       Cfr. sentencia No. 375 de la Sala de Casación Penal del  TSJ  de</w:t>
        <w:br/>
        <w:t>23 de octubre de 2003, supra nota 144, folios 274 a 276.</w:t>
        <w:br/>
        <w:br/>
        <w:br/>
        <w:t>[151]       Cfr. declaración del Presidente  de  la  República  Hugo  Chávez</w:t>
        <w:br/>
        <w:t>Frías de 26 de octubre de 2003 en Gobierno  en  Línea,  Aló  Presidente  No.</w:t>
        <w:br/>
        <w:t>169, supra nota 13.</w:t>
        <w:br/>
        <w:br/>
        <w:br/>
        <w:t>[152]        Cfr.  Caso  Herrera   Ulloa   Vs.   Costa   Rica.   Excepciones</w:t>
        <w:br/>
        <w:t>Preliminares, Fondo, Reparaciones y Costas.  Sentencia  de  2  de  julio  de</w:t>
        <w:br/>
        <w:t>2004. Serie C No. 107, párrs. 112 y 113; Caso Ricardo Canese  Vs.  Paraguay.</w:t>
        <w:br/>
        <w:t>Fondo, Reparaciones y Costas. Sentencia de 31 de agosto  de  2004.  Serie  C</w:t>
        <w:br/>
        <w:t>No. 111, párrs. 82 y 83, y Caso Kimel, supra nota 8, párr. 87.</w:t>
        <w:br/>
        <w:br/>
        <w:br/>
        <w:t>[153]       Cfr. Caso Kimel, supra nota 8, párr. 54.</w:t>
        <w:br/>
        <w:br/>
        <w:br/>
        <w:t>[154]       Cfr. Caso Kimel, supra nota 8, párr. 56.</w:t>
        <w:br/>
        <w:br/>
        <w:br/>
        <w:t>[155]       Cfr. Caso Kimel, supra nota 8, párr. 79.</w:t>
        <w:br/>
        <w:br/>
        <w:br/>
        <w:t>[156]       Cfr. Caso Kimel, supra nota 8, párr.  79..</w:t>
        <w:br/>
        <w:br/>
        <w:t>[157]       En este punto resulta relevante la declaración del  señor  Param</w:t>
        <w:br/>
        <w:t>Curawasmany (supra nota 59, folio  830)  quien  afirmó  que  “[s]i  bien  la</w:t>
        <w:br/>
        <w:t>crítica pública constructiva de fallos o decisiones  de  los  jueces  en  un</w:t>
        <w:br/>
        <w:t>lenguaje moderado sería permisible incluso cuando proviene  de  las  fuerzas</w:t>
        <w:br/>
        <w:t>políticas, cuando  dicha  crítica  se  expresa  en  un  lenguaje  virulento,</w:t>
        <w:br/>
        <w:t>inmoderado, amenazante e intimidador y en mala fe, se considerará  como  una</w:t>
        <w:br/>
        <w:t>amenaza o una interferencia a la independencia judicial”.</w:t>
        <w:br/>
        <w:br/>
        <w:t>[158]       El número de horas que duró  el  allanamiento  y  el  número  de</w:t>
        <w:br/>
        <w:t>funcionarios de la DISIP que intervinieron en el mismo fueron indicados  por</w:t>
        <w:br/>
        <w:t>el  señor  Apitz  en  su  declaración  ante  la  Corte  (supra  nota   139).</w:t>
        <w:br/>
        <w:t>Igualmente, la señora Ruggeri afirmó que el  allanamiento  duró  “más  de  6</w:t>
        <w:br/>
        <w:t>horas” (supra nota 33, folio 735). Estos  hechos  no  fueron  controvertidos</w:t>
        <w:br/>
        <w:t>por el Estado, razón por la cual la Corte los tiene por establecidos.</w:t>
        <w:br/>
        <w:br/>
        <w:br/>
        <w:t>[159]       Cfr. artículo periodístico del  señor  Beltrán  Haddad  titulado</w:t>
        <w:br/>
        <w:t>“Clan de la justicia entredicha”, publicado en el Diario “El Nacional” el  3</w:t>
        <w:br/>
        <w:t>de diciembre de 2003, (expediente de fondo, Tomo IV, folio 1071).</w:t>
        <w:br/>
        <w:br/>
        <w:br/>
        <w:t>[160]       Cfr. Declaración del Presidente  de  la  República  Hugo  Chávez</w:t>
        <w:br/>
        <w:t>Frías de 26 de octubre de 2003, supra nota 13.</w:t>
        <w:br/>
        <w:br/>
        <w:br/>
        <w:t>[161]       Cfr. Caso del Tribunal Constitucional, supra nota 60, párr. 75.</w:t>
        <w:br/>
        <w:br/>
        <w:br/>
        <w:t>[162]       Cfr. artículo 28 del  decreto  mediante  el  cual  se  dicta  el</w:t>
        <w:br/>
        <w:t>Régimen de Transición del Poder Público, supra nota 27.</w:t>
        <w:br/>
        <w:br/>
        <w:br/>
        <w:t>[163]       Cfr. decreto de la Asamblea Constituyente  de  18  de  enero  de</w:t>
        <w:br/>
        <w:t>2000, publicado en Gaceta Oficial No. 36.878 el 26 de enero de 2000,  citado</w:t>
        <w:br/>
        <w:t>en las resoluciones de la CFRSJ de 10 y 22 de marzo de 2000,  publicadas  en</w:t>
        <w:br/>
        <w:t>la Gaceta Oficial No. 36.925 de 4 de abril de 2000  (expediente  de  prueba,</w:t>
        <w:br/>
        <w:t>Tomo XII, folios 4064 y 4065). El 28 de marzo de 2000  la  CFRSJ  aprobó  su</w:t>
        <w:br/>
        <w:t>Reglamento y estableció que  dicha  Comisión  estaría  integrada  por  siete</w:t>
        <w:br/>
        <w:t>miembros principales y tres suplentes. Cfr. artículo 3 del Reglamento de  la</w:t>
        <w:br/>
        <w:t>CFRSJ, supra nota 29.</w:t>
        <w:br/>
        <w:br/>
        <w:br/>
        <w:t>[164]       Cfr. artículo 30 de la normativa sobre la Dirección, Gobierno  y</w:t>
        <w:br/>
        <w:t>Administración del Poder Judicial, supra nota 30.</w:t>
        <w:br/>
        <w:br/>
        <w:br/>
        <w:t>[165]       Cfr. acta de sesión de la Sala Plena del TSJ de 9 de  agosto  de</w:t>
        <w:br/>
        <w:t>2000, publicada en la Gaceta Oficial No. 37.019 de 22  de  agosto  de  2000,</w:t>
        <w:br/>
        <w:t>citada en la resolución No. 117 de la CFRSJ de 8 de octubre de  2003,  supra</w:t>
        <w:br/>
        <w:t>nota 148, folio 1172.</w:t>
        <w:br/>
        <w:br/>
        <w:br/>
        <w:t>[166]       El 1 de junio de 2005, mediante una sentencia que conocía de  un</w:t>
        <w:br/>
        <w:t>recurso  de  inconstitucionalidad   por   omisión   legislativa,   la   Sala</w:t>
        <w:br/>
        <w:t>Constitucional del TSJ ordenó “la sustitución” de los  miembros  principales</w:t>
        <w:br/>
        <w:t>y suplentes de la CFRSJ. Cfr. sentencia No. 1057 de la  Sala  Constitucional</w:t>
        <w:br/>
        <w:t>del TSJ de 1 de junio de 2005, supra nota 13.</w:t>
        <w:br/>
        <w:br/>
        <w:br/>
        <w:t>[167]       Cfr. sentencia No. 3321 de la Sala Constitucional del TSJ  de  3</w:t>
        <w:br/>
        <w:t>de noviembre de 2005, supra nota 13.</w:t>
        <w:br/>
        <w:br/>
        <w:br/>
        <w:t>[168]       Cfr. sentencia No. 1764 de la Sala Constitucional del TSJ de  15</w:t>
        <w:br/>
        <w:t>de agosto de 2007, supra nota 13.</w:t>
        <w:br/>
        <w:br/>
        <w:br/>
        <w:t>[169]       Cfr. declaración  rendida  por  el  señor  Damián  Adolfo  Nieto</w:t>
        <w:br/>
        <w:t>Carrillo en la audiencia pública celebrada ante la Corte  Interamericana  el</w:t>
        <w:br/>
        <w:t>31 de enero de 2008.</w:t>
        <w:br/>
        <w:br/>
        <w:t>[170]        Cfr.  disposición  transitoria  cuarta,   número   5,   de   la</w:t>
        <w:br/>
        <w:t>Constitución.</w:t>
        <w:br/>
        <w:br/>
        <w:t>[171]       Cfr. sentencia No. 1048 de la Sala Constitucional del TSJ 18  de</w:t>
        <w:br/>
        <w:t>mayo de 2006, supra nota 13. El TSJ “Exhort[ó] a la [CFRSJ] prestar toda  su</w:t>
        <w:br/>
        <w:t>asesoría y cooperación a la Asamblea Nacional con el fin de  desarrollar  en</w:t>
        <w:br/>
        <w:t>armonía el trabajo legislativo que permita la sanción y puesta  en  vigencia</w:t>
        <w:br/>
        <w:t>del futuro código disciplinario judicial, dentro del espíritu que  prevé  el</w:t>
        <w:br/>
        <w:t>artículo 136 constitucional de colaboración  entre  los  órganos  del  Poder</w:t>
        <w:br/>
        <w:t>Público”.</w:t>
        <w:br/>
        <w:br/>
        <w:br/>
        <w:t>[172]       Cfr. acción autónoma de amparo constitucional ejercida  por  los</w:t>
        <w:br/>
        <w:t>señores Apitz y Rocha el 9 de octubre de 2003 (expediente  de  prueba,  Tomo</w:t>
        <w:br/>
        <w:t>III, Anexo B.4.b, folio 1177).</w:t>
        <w:br/>
        <w:br/>
        <w:br/>
        <w:t>[173]       Cfr. sentencia No. 1186 de la Sala Constitucional del TSJ 21  de</w:t>
        <w:br/>
        <w:t>junio de 2004 (expediente de prueba, Tomo XVII, folio 4965).</w:t>
        <w:br/>
        <w:br/>
        <w:br/>
        <w:t>[174]       Cfr. sentencia No. 1186 de la Sala Constitucional del TSJ de  21</w:t>
        <w:br/>
        <w:t>de junio de 2004, supra nota 173, folio 4964.</w:t>
        <w:br/>
        <w:br/>
        <w:br/>
        <w:t>[175]        Cfr.  declaración  del  señor  José  Leonardo  Requena  Cabello</w:t>
        <w:br/>
        <w:t>rendida  ante  fedatario  público  (affidávit)  el  10  de  enero  de   2008</w:t>
        <w:br/>
        <w:t>(expediente de fondo, Tomo III, folios 798 y 803).</w:t>
        <w:br/>
        <w:br/>
        <w:br/>
        <w:t>[176]       Cfr. declaración del señor  Requena  Cabello,  supra  nota  175,</w:t>
        <w:br/>
        <w:t>folio 800.</w:t>
        <w:br/>
        <w:br/>
        <w:br/>
        <w:t>[177] Cfr. Caso Chaparro Álvarez y Lapo Íñiguez, supra nota 83, párr. 230.</w:t>
        <w:br/>
        <w:br/>
        <w:br/>
        <w:t>[178]       Cfr. recurso jerárquico interpuesto  por  los  señores  Apitz  y</w:t>
        <w:br/>
        <w:t>Rocha el 13 de noviembre de 2003, supra nota 51, folio 1112.</w:t>
        <w:br/>
        <w:br/>
        <w:br/>
        <w:t>[179]       Cfr. sentencia No.  23  de  la  Sala  Plena  del  TSJ  de  8  de</w:t>
        <w:br/>
        <w:t>septiembre de 2004, supra nota 52.</w:t>
        <w:br/>
        <w:br/>
        <w:br/>
        <w:t>[180]        Cfr.  artículo  91  de  la  Ley  Orgánica   de   Procedimientos</w:t>
        <w:br/>
        <w:t>Administrativos, supra nota 75, folio 146.</w:t>
        <w:br/>
        <w:br/>
        <w:br/>
        <w:t>[181]       Cfr. recurso de  nulidad  conjuntamente  con  medida  de  amparo</w:t>
        <w:br/>
        <w:t>cautelar interpuesto por los señores Apitz y Rocha, supra nota 53.</w:t>
        <w:br/>
        <w:br/>
        <w:br/>
        <w:t>[182]       Cfr. escrito de los señores Apitz y  Rocha  presentado  ante  la</w:t>
        <w:br/>
        <w:t>SPA el 29 de septiembre de 2004, (expediente de prueba, Tomo  VI,  Anexo  B,</w:t>
        <w:br/>
        <w:t>folio 1373).</w:t>
        <w:br/>
        <w:br/>
        <w:br/>
        <w:t>[183]       Cfr. escritos de los señores Apitz y Rocha presentados  ante  la</w:t>
        <w:br/>
        <w:t>SPA el 20 de septiembre de 2005 y el 10 de octubre de  2006  (expediente  de</w:t>
        <w:br/>
        <w:t>prueba, Tomo VI, Anexo B, folios 1374 y 1375).</w:t>
        <w:br/>
        <w:br/>
        <w:br/>
        <w:t>[184]       Cfr. sentencia No. 535 de la SPA Accidental de 18  de  abril  de</w:t>
        <w:br/>
        <w:t>2007 (expediente de prueba, Tomo XVII, folio 4983).</w:t>
        <w:br/>
        <w:br/>
        <w:br/>
        <w:t>[185]       Cfr. artículo 5 de la Ley Orgánica de Amparo  sobre  Derechos  y</w:t>
        <w:br/>
        <w:t>Garantías Constitucionales.</w:t>
        <w:br/>
        <w:br/>
        <w:br/>
        <w:t>[186]       Cfr. sentencia No. 535 de la SPA Accidental de 18  de  abril  de</w:t>
        <w:br/>
        <w:t>2007, supra nota 184, folio 3841.</w:t>
        <w:br/>
        <w:br/>
        <w:br/>
        <w:t>[187]       Cfr. sentencia No. 535 de la SPA Accidental de 18  de  abril  de</w:t>
        <w:br/>
        <w:t>2007, supra nota 184, folios 3842 y 3843.</w:t>
        <w:br/>
        <w:br/>
        <w:br/>
        <w:t>[188]       Cfr. sentencia No. 535 de la SPA Accidental de 18  de  abril  de</w:t>
        <w:br/>
        <w:t>2007, supra nota 184, folio 3841.</w:t>
        <w:br/>
        <w:br/>
        <w:br/>
        <w:t>[189]       En este mismo sentido, el Comité de Derechos Humanos señaló  que</w:t>
        <w:br/>
        <w:t>“el  derecho  a  un  recurso  efectivo  puede,  en  ciertas  circunstancias,</w:t>
        <w:br/>
        <w:t>requerir  que  los  Estados  Parte   establezcan   e   implementen   medidas</w:t>
        <w:br/>
        <w:t>provisionales o cautelares para evitar la continuación de las violaciones  y</w:t>
        <w:br/>
        <w:t>para asegurar la reparación de todo daño causado por dichas  violaciones  lo</w:t>
        <w:br/>
        <w:t>más temprano posible”. Cfr. Naciones Unidas,  Comité  de  Derechos  Humanos,</w:t>
        <w:br/>
        <w:t>Observación General No.  31,  La  naturaleza  de  las  Obligaciones  Legales</w:t>
        <w:br/>
        <w:t>Generales   Impuestas    por    el    Pacto    a    los    Estados    parte,</w:t>
        <w:br/>
        <w:t>CCPR/C/21/Rev.1/Add.13, 26 de mayo de 2004,  párr. 19.</w:t>
        <w:br/>
        <w:br/>
        <w:br/>
        <w:t>[190]       Cfr. Caso Genie Lacayo  Vs.  Nicaragua.  Fondo,  Reparaciones  y</w:t>
        <w:br/>
        <w:t>Costas. Sentencia de 29 de enero de 1997. Serie C No.  30,  párr.  77;  Caso</w:t>
        <w:br/>
        <w:t>Kimel, supra nota 8, párr. 97, y Caso Salvador  Chiriboga,  supra  nota  12,</w:t>
        <w:br/>
        <w:t>párr. 78.</w:t>
        <w:br/>
        <w:br/>
        <w:br/>
        <w:t>[191]       Cfr. Caso 19 Comerciantes Vs. Colombia.  Fondo,  Reparaciones  y</w:t>
        <w:br/>
        <w:t>Costas. Sentencia de 5 de julio de 2004. Serie C No. 109, párr. 191.</w:t>
        <w:br/>
        <w:br/>
        <w:br/>
        <w:t>[192]       Cfr. sentencia No. 535 de la SPA Accidental de 18  de  abril  de</w:t>
        <w:br/>
        <w:t>2007, supra nota 184, folio 3832.</w:t>
        <w:br/>
        <w:br/>
        <w:br/>
        <w:t>[193]       Cfr. sentencia No. 809 de la SPA de 29 de mayo  de  2003,  supra</w:t>
        <w:br/>
        <w:t>nota 38, folio 1007.</w:t>
        <w:br/>
        <w:br/>
        <w:br/>
        <w:t>[194]       Cfr. sentencia No. 809 de la SPA de 29 de mayo  de  2003,  supra</w:t>
        <w:br/>
        <w:t>nota 38, folio 1034.</w:t>
        <w:br/>
        <w:br/>
        <w:br/>
        <w:t>[195]       Cfr. sentencia No. 1430 de la Corte Primera de 11  de  junio  de</w:t>
        <w:br/>
        <w:t>2002, supra nota 37, folio 3176.</w:t>
        <w:br/>
        <w:br/>
        <w:br/>
        <w:t>[196]       Cfr. sentencia No. 535 de la SPA Accidental de 18  de  abril  de</w:t>
        <w:br/>
        <w:t>2007, supra nota 184, folio 3833.</w:t>
        <w:br/>
        <w:br/>
        <w:br/>
        <w:t>[197]       Cfr. sentencia No. 535 de la SPA Accidental de 18  de  abril  de</w:t>
        <w:br/>
        <w:t>2007, supra nota 184, folios 3845 y 3846.</w:t>
        <w:br/>
        <w:br/>
        <w:br/>
        <w:t>[198]       Cfr. declaración del señor Rocha, supra nota 144.</w:t>
        <w:br/>
        <w:br/>
        <w:br/>
        <w:t>[199]       Cfr. declaración del señor Apitz, supra nota 137.</w:t>
        <w:br/>
        <w:br/>
        <w:br/>
        <w:t>[200]       Cfr. declaración rendida ante fedatario público (affidávit)  por</w:t>
        <w:br/>
        <w:t>la señora Sofía Yamile Guzmán el 10 de enero de 2008 (expediente  de  fondo,</w:t>
        <w:br/>
        <w:t>Tomo III, folios 762-792).</w:t>
        <w:br/>
        <w:br/>
        <w:br/>
        <w:t>[201]       El Artículo 23 de la Convención estipula:</w:t>
        <w:br/>
        <w:br/>
        <w:br/>
        <w:t xml:space="preserve">      1. Todos los ciudadanos deben  gozar  de  los  siguientes  derechos  y</w:t>
        <w:br/>
        <w:t xml:space="preserve">         oportunidades:</w:t>
        <w:br/>
        <w:br/>
        <w:br/>
        <w:t xml:space="preserve">      a) de participar en la dirección de los asuntos públicos, directamente</w:t>
        <w:br/>
        <w:t xml:space="preserve">      o por medio de representantes libremente elegidos;</w:t>
        <w:br/>
        <w:br/>
        <w:br/>
        <w:t xml:space="preserve">      b) de votar  y  ser  elegidos  en  elecciones  periódicas  auténticas,</w:t>
        <w:br/>
        <w:t xml:space="preserve">      realizadas por sufragio universal e  igual  y  por  voto  secreto  que</w:t>
        <w:br/>
        <w:t xml:space="preserve">      garantice la libre expresión de la voluntad de los electores, y</w:t>
        <w:br/>
        <w:br/>
        <w:br/>
        <w:t xml:space="preserve">      c) de tener acceso,  en  condiciones  generales  de  igualdad,  a  las</w:t>
        <w:br/>
        <w:t>funciones públicas de su país.</w:t>
        <w:br/>
        <w:br/>
        <w:br/>
        <w:t xml:space="preserve">      2.     La ley  puede  reglamentar  el  ejercicio  de  los  derechos  y</w:t>
        <w:br/>
        <w:t xml:space="preserve">      oportunidades a que se refiere el inciso anterior, exclusivamente  por</w:t>
        <w:br/>
        <w:t xml:space="preserve">      razones  de  edad,  nacionalidad,  residencia,  idioma,   instrucción,</w:t>
        <w:br/>
        <w:t xml:space="preserve">      capacidad civil o mental, o condena, por juez competente,  en  proceso</w:t>
        <w:br/>
        <w:t xml:space="preserve">      penal.</w:t>
        <w:br/>
        <w:br/>
        <w:br/>
        <w:t>[202]       El Artículo 24 de la Convención establece que:</w:t>
        <w:br/>
        <w:br/>
        <w:br/>
        <w:t xml:space="preserve">      Todas las personas son iguales ante la ley.  En  consecuencia,  tienen</w:t>
        <w:br/>
        <w:t>derecho, sin discriminación, a    igual protección de la ley.</w:t>
        <w:br/>
        <w:br/>
        <w:br/>
        <w:t>[203]       Cfr. Caso de los Hermanos  Gómez  Paquiyauri  Vs.  Perú.  Fondo,</w:t>
        <w:br/>
        <w:t>Reparaciones y Costas. Sentencia de 8 de julio de 2004.  Serie  C  No.  110,</w:t>
        <w:br/>
        <w:t>párr.  179;  Caso  “Instituto  de  Reeducación  del  Menor”  Vs.   Paraguay.</w:t>
        <w:br/>
        <w:t>Excepciones Preliminares, Fondo, Reparaciones y Costas, Sentencia  de  2  de</w:t>
        <w:br/>
        <w:t>septiembre de 2004, Serie C No. 112, párr. 125; Caso De la Cruz  Flores  Vs.</w:t>
        <w:br/>
        <w:t>Perú. Fondo, Reparaciones y Costas. Sentencia de 18 de  noviembre  de  2004.</w:t>
        <w:br/>
        <w:t>Serie C No. 115, párr. 122, y Caso Yatama supra nota 63, párr. 183.</w:t>
        <w:br/>
        <w:br/>
        <w:br/>
        <w:t>[204]       Cfr. Informe de Admisibilidad N° 24/05 emitido por  la  Comisión</w:t>
        <w:br/>
        <w:t>Interamericana de  Derechos  Humanos  el  8  de  marzo  de  2005,  párr.  46</w:t>
        <w:br/>
        <w:t>(expediente de anexos a la demanda, Tomo I, Apéndice B, folio 66).</w:t>
        <w:br/>
        <w:br/>
        <w:br/>
        <w:t>[205]       Cfr. resolución de la CFRSJ de 30  de  octubre  de  2003,  supra</w:t>
        <w:br/>
        <w:t>nota 49, folios 1087 a 1089.</w:t>
        <w:br/>
        <w:br/>
        <w:br/>
        <w:t>[206]       Cfr. artículo 40 No. 4 de la  Ley  de  Carrera  Judicial,  supra</w:t>
        <w:br/>
        <w:t>nota 82.</w:t>
        <w:br/>
        <w:br/>
        <w:t>[207]       Sin embargo, se agregó copia certificada de la resolución de  la</w:t>
        <w:br/>
        <w:t>CFRSJ al expediente de los cinco jueces. Cfr. resolución de la CFRSJ  de  30</w:t>
        <w:br/>
        <w:t>de octubre de 2003, supra nota 49, folio 1089.</w:t>
        <w:br/>
        <w:br/>
        <w:t>[208]       Cfr. resolución de la CFRSJ de 30  de  octubre  de  2003,  supra</w:t>
        <w:br/>
        <w:t>nota 49, folios 1087 y 1088 (resaltado omitido).</w:t>
        <w:br/>
        <w:br/>
        <w:br/>
        <w:t>[209]       Cfr. resolución de la CFRSJ de 11 de diciembre  de  2003,  supra</w:t>
        <w:br/>
        <w:t>nota 50.</w:t>
        <w:br/>
        <w:br/>
        <w:br/>
        <w:t>[210]       La sentencia en cuestión  declaraba  con  lugar  una  acción  de</w:t>
        <w:br/>
        <w:t>amparo en  contra  de  una  resolución  de  la  CFRSJ  por  incurrir  en  el</w:t>
        <w:br/>
        <w:t>“desconocimiento […] del derecho a  jubilación  adquirido  […]  con  sobrada</w:t>
        <w:br/>
        <w:t>anterioridad al inicio del procedimiento administrativo  sancionador”.  Cfr.</w:t>
        <w:br/>
        <w:t>sentencia de la Sala  Constitucional  del  TSJ  de  8  de  febrero  de  2002</w:t>
        <w:br/>
        <w:t>(expediente de prueba, Tomo VIII, Anexo Ñ, folio 2745).</w:t>
        <w:br/>
        <w:br/>
        <w:br/>
        <w:t>[211]       Una resolución de la Sala Plena del TSJ  había  establecido  que</w:t>
        <w:br/>
        <w:t>se podía conceder la jubilación especial a “quienes tengan 20 años o más  de</w:t>
        <w:br/>
        <w:t>servicio en la Administración Pública con, por  lo  menos,  10  años  en  el</w:t>
        <w:br/>
        <w:t>Poder Judicial. La edad mínima requerida será de 50 años para las mujeres  y</w:t>
        <w:br/>
        <w:t>55 para los hombres”, Cfr. resolución emitida por la  Sala  Plena  del  TSJ,</w:t>
        <w:br/>
        <w:t>publicada en la Gaceta Oficial No. 37.388 de 20 de febrero de  2002,  citada</w:t>
        <w:br/>
        <w:t>en la resolución de la CFRSJ de 11 de diciembre  de  2003,  supra  nota  50,</w:t>
        <w:br/>
        <w:t>folio 1168. A la fecha de los hechos, los señores  Apitz  y  Rocha  contaban</w:t>
        <w:br/>
        <w:t>ambos con 3 años y 1 mes  de  servicio  en  el  Poder  Judicial,  la  señora</w:t>
        <w:br/>
        <w:t>Ruggeri con 3 años y 8 meses de servicio en el Poder Judicial,  y  los  tres</w:t>
        <w:br/>
        <w:t>magistrados  respectivamente  con  6,  10  y  30  años  de  servicio  en  la</w:t>
        <w:br/>
        <w:t>Administración  Pública.  Cfr.  Dirección  Ejecutiva  de  la   Magistratura,</w:t>
        <w:br/>
        <w:t>Análisis de Cálculo de Jubilación de la señora Ruggeri  de  1  de  marzo  de</w:t>
        <w:br/>
        <w:t>2004, del señor Rocha de 19 de julio de 2004 y del  señor  Apitz  de  19  de</w:t>
        <w:br/>
        <w:t>julio de 2004 (expediente de prueba, Tomo II, Apéndice  C.3,  folios  626  a</w:t>
        <w:br/>
        <w:t>629).</w:t>
        <w:br/>
        <w:br/>
        <w:br/>
        <w:t>[212]       Cfr. sentencia No. 238 de la Sala Constitucional del TSJ  de  20</w:t>
        <w:br/>
        <w:t>de febrero de 2003 (expediente de fondo, Tomo IV, folio 1120).</w:t>
        <w:br/>
        <w:br/>
        <w:br/>
        <w:t>[213]       Cfr. sentencia No. 4579 de  la  SPA  de  29  de  junio  de  2005</w:t>
        <w:br/>
        <w:t>(expediente de fondo, Tomo IV, folio 1048).</w:t>
        <w:br/>
        <w:br/>
        <w:br/>
        <w:t>[214]       Cfr. sentencia No. 617  de  la  SPA  de  24  de  abril  de  2007</w:t>
        <w:br/>
        <w:t>(expediente de fondo, Tomo IV, folio 1058).</w:t>
        <w:br/>
        <w:br/>
        <w:br/>
        <w:t>[215]       En similar  sentido,  el  Comité  de  Derechos  Humanos  de  las</w:t>
        <w:br/>
        <w:t>Naciones Unidas consideró que “conceder la  exención  a  un  solo  grupo  de</w:t>
        <w:br/>
        <w:t>objetores  de  conciencia  y  aplicarla  a  todos  los  demás  no  se  puede</w:t>
        <w:br/>
        <w:t>considerar razonable [toda vez que] cuando [se] reconoce  el  derecho  a  la</w:t>
        <w:br/>
        <w:t>objeción de  conciencia  al  servicio  militar,  no  [se]  puede  establecer</w:t>
        <w:br/>
        <w:t>diferencias entre unos objetores de conciencia y otros sobre la base  de  la</w:t>
        <w:br/>
        <w:t>naturaleza de sus creencias particulares. Sin embargo, en el presente  caso,</w:t>
        <w:br/>
        <w:t>el Comité considera que el autor no ha demostrado que sus convicciones  como</w:t>
        <w:br/>
        <w:t>pacifista son incompatibles con el sistema de servicio  sustitutivo  de  los</w:t>
        <w:br/>
        <w:t>Países Bajos, ni que el trato  privilegiado  concedido  a  los  Testigos  de</w:t>
        <w:br/>
        <w:t>Jehová afectó negativamente a sus derechos como  objetor  de  conciencia  al</w:t>
        <w:br/>
        <w:t>servicio militar”. Naciones Unidas, Comité de Derechos Humanos, Brinkhof  v.</w:t>
        <w:br/>
        <w:t>The Netherlands, Communication No.  402/1990,  CCPR/C/48/D/402/1990,  27  de</w:t>
        <w:br/>
        <w:t>julio de 1993, párr. 9.3.</w:t>
        <w:br/>
        <w:br/>
        <w:br/>
        <w:t>[216]       Cfr. Ley Orgánica del TSJ, supra nota 31.</w:t>
        <w:br/>
        <w:br/>
        <w:br/>
        <w:t>[217]       Cfr. Ley de Carrera Judicial, supra nota 82.</w:t>
        <w:br/>
        <w:br/>
        <w:br/>
        <w:t>[218]       Cfr. Ley de Carrera Judicial, supra nota 82.</w:t>
        <w:br/>
        <w:br/>
        <w:br/>
        <w:t>[219]       Cfr. sesión especial de la Asamblea Nacional de 13 de  diciembre</w:t>
        <w:br/>
        <w:t>de 2004, supra nota 113.</w:t>
        <w:br/>
        <w:br/>
        <w:br/>
        <w:t>[220]       Cfr. declaración del señor Apitz, supra  nota  137;  declaración</w:t>
        <w:br/>
        <w:t>del señor Rocha, supra nota 144, y declaración de la señora  Ruggeri,  supra</w:t>
        <w:br/>
        <w:t>nota 33, folio 745.</w:t>
        <w:br/>
        <w:br/>
        <w:br/>
        <w:t>[221]       Cfr. Naciones Unidas, Comité de  Derechos  Humanos,  Observación</w:t>
        <w:br/>
        <w:t>General No. 25, Artículo 25: La Participación en los Asuntos Públicos  y  el</w:t>
        <w:br/>
        <w:t>Derecho de Voto, CCPR/C/21/Rev. 1/Add. 7, 12 de julio de 1996,  párr. 23.</w:t>
        <w:br/>
        <w:br/>
        <w:br/>
        <w:t>[222]       Cfr. Naciones Unidas, Comité de  Derechos  Humanos,  Observación</w:t>
        <w:br/>
        <w:t>General No. 25, supra nota 221,  párr. 23.</w:t>
        <w:br/>
        <w:br/>
        <w:t>[223] En este sentido, la Corte ha señalado que “[e]l  artículo  1.1  de  la</w:t>
        <w:br/>
        <w:t>Convención, que es una norma de carácter general cuyo contenido se  extiende</w:t>
        <w:br/>
        <w:t>a todas las disposiciones del tratado, dispone la obligación de los  Estados</w:t>
        <w:br/>
        <w:t>Partes de respetar y garantizar el pleno y libre ejercicio de  los  derechos</w:t>
        <w:br/>
        <w:t>y  libertades  allí  reconocidos  "sin  discriminación  alguna".  Es  decir,</w:t>
        <w:br/>
        <w:t>cualquiera sea el origen o la forma que asuma, todo  tratamiento  que  pueda</w:t>
        <w:br/>
        <w:t>ser considerado discriminatorio respecto del ejercicio de cualquiera de  los</w:t>
        <w:br/>
        <w:t>derechos garantizados en  la  Convención  es  per  se  incompatible  con  la</w:t>
        <w:br/>
        <w:t>misma”.  En  cambio,  el  artículo  24  de  la  Convención   “prohíbe   todo</w:t>
        <w:br/>
        <w:t>tratamiento discriminatorio de origen legal. De este modo la prohibición  de</w:t>
        <w:br/>
        <w:t>discriminación ampliamente contenida en el  artículo  1.1  respecto  de  los</w:t>
        <w:br/>
        <w:t>derechos y garantías estipulados por la Convención, se extiende  al  derecho</w:t>
        <w:br/>
        <w:t>interno de los Estados Partes, de tal manera que es  posible  concluir  que,</w:t>
        <w:br/>
        <w:t>con base en esas disposiciones, éstos se han comprometido, en virtud  de  la</w:t>
        <w:br/>
        <w:t>Convención,  a  no  introducir  en  su  ordenamiento  jurídico  regulaciones</w:t>
        <w:br/>
        <w:t>discriminatorias referentes a la protección de la ley”.  Cfr.  Propuesta  de</w:t>
        <w:br/>
        <w:t>Modificación a la Constitución Política de Costa  Rica  relacionada  con  la</w:t>
        <w:br/>
        <w:t>Naturalización. Opinión Consultiva OC-4/84 del 19 de enero de 1984. Serie  A</w:t>
        <w:br/>
        <w:t>No. 4, párrs. 53 y 54.</w:t>
        <w:br/>
        <w:br/>
        <w:t>[224]       Cfr. recurso de reconsideración interpuesto  por  Luisa  Estella</w:t>
        <w:br/>
        <w:t>Morales ante la CFRSJ el 11 de noviembre de 2003 (expediente de prueba  para</w:t>
        <w:br/>
        <w:t>mejor resolver, Tomo XVIII, folios 5057 a 5074).</w:t>
        <w:br/>
        <w:br/>
        <w:br/>
        <w:t>[225]       Cfr. recurso de nulidad y amparo cautelar interpuesto por  Luisa</w:t>
        <w:br/>
        <w:t>Estella Morales ante la SPA el 3 de diciembre de 2003 (expediente de  prueba</w:t>
        <w:br/>
        <w:t>para mejor resolver, Tomo XVIII, folios 4986 a 5027).</w:t>
        <w:br/>
        <w:br/>
        <w:br/>
        <w:t>[226]       Cfr. acta de secretaría de la SPA de 18 de febrero  de  2004  en</w:t>
        <w:br/>
        <w:t>donde consta que Luisa Estella Morales consignó copia de  la  resolución  de</w:t>
        <w:br/>
        <w:t>11 de diciembre emitida por  la  CFRSJ  (expediente  de  prueba  para  mejor</w:t>
        <w:br/>
        <w:t>resolver, Tomo XVIII, folio 5112).</w:t>
        <w:br/>
        <w:br/>
        <w:br/>
        <w:t>[227]       Cfr. sentencia No. 6080 de 1 de noviembre de  2005  emitida  por</w:t>
        <w:br/>
        <w:t>la SPA (expediente de prueba para mejor resolver, Tomo XVIII, folios 5125  a</w:t>
        <w:br/>
        <w:t>5129).</w:t>
        <w:br/>
        <w:br/>
        <w:br/>
        <w:t>[228]       Cfr. sentencia No. 535 de la SPA de 18 de abril de  2007,  supra</w:t>
        <w:br/>
        <w:t>nota 184, folios 4954 a 4983.</w:t>
        <w:br/>
        <w:br/>
        <w:br/>
        <w:t>[229]       El artículo 29 de la Convención establece:</w:t>
        <w:br/>
        <w:br/>
        <w:br/>
        <w:t xml:space="preserve">      Ninguna disposición de la presente Convención puede  ser  interpretada</w:t>
        <w:br/>
        <w:t>en el sentido de:</w:t>
        <w:br/>
        <w:br/>
        <w:br/>
        <w:t xml:space="preserve">      a) permitir a alguno de los Estados Partes, grupo o persona,  suprimir</w:t>
        <w:br/>
        <w:t xml:space="preserve">      el goce y ejercicio de los derechos y  libertades  reconocidos  en  la</w:t>
        <w:br/>
        <w:t xml:space="preserve">      Convención o limitarlos en mayor medida que la prevista en ella;</w:t>
        <w:br/>
        <w:br/>
        <w:br/>
        <w:t xml:space="preserve">      b) limitar el goce y ejercicio de cualquier  derecho  o  libertad  que</w:t>
        <w:br/>
        <w:t xml:space="preserve">      pueda estar reconocido de acuerdo con las leyes de cualquiera  de  los</w:t>
        <w:br/>
        <w:t xml:space="preserve">      Estados Partes o de acuerdo con otra convención en que sea  parte  uno</w:t>
        <w:br/>
        <w:t xml:space="preserve">      de dichos Estados;</w:t>
        <w:br/>
        <w:br/>
        <w:br/>
        <w:t xml:space="preserve">      c) excluir otros derechos y garantías que son inherentes al ser humano</w:t>
        <w:br/>
        <w:t xml:space="preserve">      o que se derivan de la forma democrática representativa de gobierno, y</w:t>
        <w:br/>
        <w:br/>
        <w:br/>
        <w:t xml:space="preserve">      d) excluir o limitar el efecto  que  puedan  producir  la  Declaración</w:t>
        <w:br/>
        <w:t xml:space="preserve">      Americana  de  Derechos  y  Deberes   del   Hombre   y   otros   actos</w:t>
        <w:br/>
        <w:t xml:space="preserve">      internacionales de la misma naturaleza.</w:t>
        <w:br/>
        <w:br/>
        <w:br/>
        <w:t>[230]       El artículo 3 de la Carta Democrática Interamericana dispone:</w:t>
        <w:br/>
        <w:br/>
        <w:br/>
        <w:t xml:space="preserve">      Son elementos esenciales de la democracia representativa, entre otros,</w:t>
        <w:br/>
        <w:t xml:space="preserve">      el respeto a los derechos humanos y las libertades  fundamentales;  el</w:t>
        <w:br/>
        <w:t xml:space="preserve">      acceso al poder y su ejercicio con sujeción al estado de  derecho;  la</w:t>
        <w:br/>
        <w:t xml:space="preserve">      celebración de elecciones periódicas, libres, justas y basadas  en  el</w:t>
        <w:br/>
        <w:t xml:space="preserve">      sufragio universal y  secreto  como  expresión  de  la  soberanía  del</w:t>
        <w:br/>
        <w:t xml:space="preserve">      pueblo; el régimen plural de partidos y organizaciones políticas; y la</w:t>
        <w:br/>
        <w:t xml:space="preserve">      separación e independencia de los poderes públicos.</w:t>
        <w:br/>
        <w:br/>
        <w:br/>
        <w:t>[231]       La Corte ha considerado pertinente “tom[ar] en cuenta, a la  luz</w:t>
        <w:br/>
        <w:t>de las reglas de  interpretación  establecidas  en  el  artículo  29  de  la</w:t>
        <w:br/>
        <w:t>Convención, la  significación  de  la  prohibición  del  trabajo  forzoso  u</w:t>
        <w:br/>
        <w:t>obligatorio” para lo que “el Tribunal consider[ó] útil y apropiado  utilizar</w:t>
        <w:br/>
        <w:t>otros tratados internacionales distintos a la  Convención  Americana”.  Cfr.</w:t>
        <w:br/>
        <w:t>Caso de las Masacres de Ituango Vs. Colombia. Excepción  Preliminar,  Fondo,</w:t>
        <w:br/>
        <w:t>Reparaciones y Costas. Sentencia de 1 de julio de 2006.  Serie  C  No.  148,</w:t>
        <w:br/>
        <w:t>párrs. 154 y 157. Asimismo,  en  la  Opinión  Consultiva  OC-8/87  la  Corte</w:t>
        <w:br/>
        <w:t>estimó  necesario  “recordar  lo  prescrito  por  el  artículo  29   de   la</w:t>
        <w:br/>
        <w:t>Convención” con el objeto de definir “si los  procedimientos  regulados  por</w:t>
        <w:br/>
        <w:t>los artículos 25.1  y  7.6  están  comprendidos  dentro  de  las  ‘garantías</w:t>
        <w:br/>
        <w:t>judiciales indispensables’ a que se  refiere  el  artículo  27.2”.  Cfr.  El</w:t>
        <w:br/>
        <w:t>Hábeas  Corpus  Bajo  Suspensión  de  Garantías  (arts.  27.2,  25.1  y  7.6</w:t>
        <w:br/>
        <w:t>Convención Americana sobre Derechos  Humanos).  Opinión  Consultiva  OC-8/87</w:t>
        <w:br/>
        <w:t>del 30 de enero de 1987. Serie A No. 8, párrs. 15 a 17.</w:t>
        <w:br/>
        <w:br/>
        <w:br/>
        <w:t>[232]        Al  respecto,  se  ha  determinado  que  las  responsabilidades</w:t>
        <w:br/>
        <w:t>ulteriores que podían restringir el  derecho  a  la  libertad  de  expresión</w:t>
        <w:br/>
        <w:t>debían ser no solamente “necesarias”, como lo  establecía  el  artículo  13,</w:t>
        <w:br/>
        <w:t>sino específicamente “necesarias  en  una  sociedad  democrática”.  Cfr.  La</w:t>
        <w:br/>
        <w:t>Colegiación Obligatoria de Periodistas (Arts. 13 y 29  Convención  Americana</w:t>
        <w:br/>
        <w:t>sobre Derechos Humanos). Opinión Consultiva OC-5/85 del 13 de  noviembre  de</w:t>
        <w:br/>
        <w:t>1985. Serie A No. 5, párrs. 41 a 44. También se ha hecho  uso  del  artículo</w:t>
        <w:br/>
        <w:t>29 para señalar que “no se debe interpretar una reserva a fin de limitar  el</w:t>
        <w:br/>
        <w:t>goce y  el  ejercicio  de  los  derechos  y  libertades  reconocidos  en  la</w:t>
        <w:br/>
        <w:t>Convención a un mayor alcance que aquel  dispuesto  en  la  reserva  misma”.</w:t>
        <w:br/>
        <w:t>Cfr. Restricciones  a  la  Pena  de  Muerte  (Arts.  4.2  y  4.4  Convención</w:t>
        <w:br/>
        <w:t>Americana sobre Derechos Humanos).  Opinión  Consultiva  OC-3/83  del  8  de</w:t>
        <w:br/>
        <w:t>septiembre de 1983. Serie A No. 3, párr.  66  y  Caso  Boyce  y  otros.  Vs.</w:t>
        <w:br/>
        <w:t>Barbados. Excepción Preliminar, Fondo, Reparaciones y Costas.  Sentencia  de</w:t>
        <w:br/>
        <w:t>20 de noviembre  de  2007.  Serie  C  No.  169,  párr.  15.  Además,  se  ha</w:t>
        <w:br/>
        <w:t>interpretado el alcance de las reservas o condiciones que pueden  establecer</w:t>
        <w:br/>
        <w:t>los Estados al aceptar la competencia contenciosa de la Corte. Al  respecto,</w:t>
        <w:br/>
        <w:t>el Tribunal ha establecido que “no tendría sentido  suponer  que  un  Estado</w:t>
        <w:br/>
        <w:t>que decidió libremente su aceptación a  la  competencia  contenciosa  de  la</w:t>
        <w:br/>
        <w:t>Corte, haya pretendido en ese mismo  momento  evitar  que  ésta  ejerza  sus</w:t>
        <w:br/>
        <w:t>funciones según lo previsto en la Convención”. Cfr. Caso  Benjamin  y  otros</w:t>
        <w:br/>
        <w:t>Vs.  Trinidad  y  Tobago.  Excepciones  Preliminares.  Sentencia  de  1   de</w:t>
        <w:br/>
        <w:t>septiembre de 2001. Serie C No. 81, párr. 81 y Caso Constantine y otros  Vs.</w:t>
        <w:br/>
        <w:t>Trinidad y Tobago. Excepciones Preliminares. Sentencia de  1  de  septiembre</w:t>
        <w:br/>
        <w:t>de 2001. Serie C No. 82, párr. 81.</w:t>
        <w:br/>
        <w:br/>
        <w:br/>
        <w:t>[233]       En este sentido cabe destacar la  inclusión  del  derecho  a  la</w:t>
        <w:br/>
        <w:t>propiedad comunal  de  las  comunidades  indígenas  o  tribales  dentro  del</w:t>
        <w:br/>
        <w:t>derecho a la propiedad privada del artículo 21. Cfr. Caso  de  la  Comunidad</w:t>
        <w:br/>
        <w:t>Mayagna (Sumo) Awas Tingni Vs.  Nicaragua.  Fondo,  Reparaciones  y  Costas.</w:t>
        <w:br/>
        <w:t>Sentencia de 31 de agosto de 2001. Serie C No. 79, párrs. 147,  148  y  153;</w:t>
        <w:br/>
        <w:t>Caso Comunidad Indígena  Yakye  Axa  Vs.  Paraguay.  Fondo,  Reparaciones  y</w:t>
        <w:br/>
        <w:t>Costas. Sentencia 17 de junio de 2005. Serie C No. 125, párrs.  124,  126  y</w:t>
        <w:br/>
        <w:t>127; Caso Comunidad Indígena Sawhoyamaxa Vs. Paraguay.  Fondo,  Reparaciones</w:t>
        <w:br/>
        <w:t>y Costas. Sentencia de 29 de marzo de 2006. Serie C No. 146,  párrs.  117  y</w:t>
        <w:br/>
        <w:t>118, y Caso del Pueblo Saramaka. Vs. Suriname. Excepción Preliminar,  Fondo,</w:t>
        <w:br/>
        <w:t>Reparaciones y Costas. Sentencia de 28 de noviembre de  2007.  Serie  C  No.</w:t>
        <w:br/>
        <w:t>172, párrs. 92 y 93. Asimismo,  resalta  la  interpretación  de  esta  Corte</w:t>
        <w:br/>
        <w:t>según la cuál el artículo 22 de la Convención comprende  “el  derecho  a  no</w:t>
        <w:br/>
        <w:t>ser desplazado forzadamente”. Cfr. Caso de la  "Masacre  de  Mapiripán"  Vs.</w:t>
        <w:br/>
        <w:t>Colombia. Fondo, Reparaciones y Costas. Sentencia de  15  de  septiembre  de</w:t>
        <w:br/>
        <w:t>2005. Serie  C  No.  134,  párr.  188.  Otro  ejemplo  en  este  sentido  lo</w:t>
        <w:br/>
        <w:t>constituye  el  haber  interpretado  el  derecho  de  los  niños  a  no  ser</w:t>
        <w:br/>
        <w:t>reclutados en fuerzas o grupos armados como comprendido dentro del  artículo</w:t>
        <w:br/>
        <w:t>19 de la Convención. Cfr. Caso de la "Masacre de  Mapiripán"  Vs.  Colombia,</w:t>
        <w:br/>
        <w:t>párr. 153.</w:t>
        <w:br/>
        <w:br/>
        <w:br/>
        <w:t>[234]       A la  luz  del  derecho  interno  esta  Corte  ha  permitido  la</w:t>
        <w:br/>
        <w:t>inclusión del “derecho de propiedad  sobre  los  efectos  patrimoniales  del</w:t>
        <w:br/>
        <w:t>derecho a la pensión” en el  artículo  21  convencional  (Cfr.  Caso  "Cinco</w:t>
        <w:br/>
        <w:t>Pensionistas" Vs. Perú. Fondo, Reparaciones y Costas.  Sentencia  de  28  de</w:t>
        <w:br/>
        <w:t>febrero de 2003. Serie C No. 98, párrs. 101 a 103) y  la  exigencia  de  una</w:t>
        <w:br/>
        <w:t>protección específica  de  los  derechos  políticos  para  los  miembros  de</w:t>
        <w:br/>
        <w:t>comunidades indígenas y étnicas (Cfr. Caso Yatama,  supra  nota  63,  párrs.</w:t>
        <w:br/>
        <w:t>203 a 205).</w:t>
        <w:br/>
        <w:br/>
        <w:br/>
        <w:t>[235]        Mediante  la  aplicación  del  artículo  29.c)  la   Corte   ha</w:t>
        <w:br/>
        <w:t>interpretado  el  alcance  del  principio  de  legalidad  consagrado  en  el</w:t>
        <w:br/>
        <w:t>artículo  9  convencional  para  los  procesos  administrativo-sancionadores</w:t>
        <w:br/>
        <w:t>(Cfr. Caso Baena Ricardo y otros Vs. Panamá. Fondo, Reparaciones  y  Costas.</w:t>
        <w:br/>
        <w:t>Sentencia de 2 de febrero de 2001. Serie C No. 72, párrs. 105 y  106)  y  ha</w:t>
        <w:br/>
        <w:t>declarado a los familiares de las víctimas de desapariciones  forzadas  como</w:t>
        <w:br/>
        <w:t>víctimas, a su vez, de una violación  del  artículo  8.1  de  la  Convención</w:t>
        <w:br/>
        <w:t>(Cfr. Caso Blake Vs. Guatemala. Fondo. Sentencia de 24  de  enero  de  1998.</w:t>
        <w:br/>
        <w:t>Serie C No. 36, párrs. 96 y 97).</w:t>
        <w:br/>
        <w:br/>
        <w:br/>
        <w:t>[236]       Cfr. Caso de la Comunidad  Mayagna  (Sumo)  Awas  Tingni,  supra</w:t>
        <w:br/>
        <w:t>nota 233, párr. 148; Caso "Cinco Pensionistas", supra nota 234,  párr.  103;</w:t>
        <w:br/>
        <w:t>Caso Comunidad Indígena Yakye Axa, supra nota 233, párr.  125;  Caso  de  la</w:t>
        <w:br/>
        <w:t>"Masacre de Mapiripán", supra nota 233, párr. 106; Caso  Comunidad  Indígena</w:t>
        <w:br/>
        <w:t>Sawhoyamaxa, supra nota 233, párr. 117, y Caso de las Masacres  de  Ituango,</w:t>
        <w:br/>
        <w:t>supra nota 231, párr. 155.</w:t>
        <w:br/>
        <w:br/>
        <w:br/>
        <w:t>[237]       Cfr. La Colegiación Obligatoria de Periodistas (Arts.  13  y  29</w:t>
        <w:br/>
        <w:t>Convención Americana sobre Derechos Humanos).  Opinión  Consultiva  OC-5/85,</w:t>
        <w:br/>
        <w:t>supra nota 232, párr. 52; Caso Ricardo Canese, supra nota 152, párrs. 180  y</w:t>
        <w:br/>
        <w:t>181, y Caso de la "Masacre de Mapiripán", supra nota 233, párr. 106.</w:t>
        <w:br/>
        <w:br/>
        <w:br/>
        <w:t>[238]       Cfr. Caso Benjamin y otros, supra nota  232,  párrs.  63  y  81;</w:t>
        <w:br/>
        <w:t>Caso Constantine y otros, supra nota  232,  párrs.  63  y  81;  Caso  Carpio</w:t>
        <w:br/>
        <w:t>Nicolle y otros Vs. Guatemala. Fondo, Reparaciones y  Costas.  Sentencia  de</w:t>
        <w:br/>
        <w:t>22 de noviembre 2004. Serie C No. 117, párr. 132, y Caso Yatama, supra  nota</w:t>
        <w:br/>
        <w:t>63, párr. 204.</w:t>
        <w:br/>
        <w:br/>
        <w:br/>
        <w:t>[239]       Cfr. Interpretación de la Declaración Americana de los  Derechos</w:t>
        <w:br/>
        <w:t>y Deberes del Hombre en el Marco del Artículo 64 de la Convención  Americana</w:t>
        <w:br/>
        <w:t>sobre Derechos Humanos. Opinión Consultiva  OC-10/89  del  14  de  julio  de</w:t>
        <w:br/>
        <w:t>1989. Serie A No. 10, párr. 36.</w:t>
        <w:br/>
        <w:br/>
        <w:br/>
        <w:t>[240]       Cfr. "Otros Tratados" Objeto de  la  Función  Consultiva  de  la</w:t>
        <w:br/>
        <w:t>Corte  (art.  64  Convención  Americana  sobre  Derechos  Humanos).  Opinión</w:t>
        <w:br/>
        <w:t>Consultiva OC-1/82 del 24 de septiembre de 1982. Serie A No.  1,  párr.  42.</w:t>
        <w:br/>
        <w:t>Ver también Informes de  la  Comisión  Interamericana  de  Derechos  Humanos</w:t>
        <w:br/>
        <w:t>(Art. 51 Convención Americana sobre Derechos  Humanos).  Opinión  Consultiva</w:t>
        <w:br/>
        <w:t>OC-15/97 del 14 de noviembre de 1997. Serie A No. 15, párr. 31.</w:t>
        <w:br/>
        <w:br/>
        <w:br/>
        <w:t>[241]       Cfr. La Colegiación Obligatoria de Periodistas (Arts.  13  y  29</w:t>
        <w:br/>
        <w:t>Convención Americana sobre Derechos Humanos).  Opinión  Consultiva  OC-5/85,</w:t>
        <w:br/>
        <w:t>supra nota 232, párr. 44.</w:t>
        <w:br/>
        <w:br/>
        <w:br/>
        <w:t>[242]       Cfr. Caso del Tribunal  Constitucional,  supra  nota  60,  párr.</w:t>
        <w:br/>
        <w:t>111.</w:t>
        <w:br/>
        <w:br/>
        <w:br/>
        <w:t>[243] Cfr. Caso  Velásquez  Rodríguez.  Reparaciones  y  Costas  (art.  63.1</w:t>
        <w:br/>
        <w:t>Convención Americana sobre Derechos Humanos). Sentencia de 21  de  julio  de</w:t>
        <w:br/>
        <w:t>1989. Serie C No. 7, párr. 25; Caso Zambrano Vélez y otros, supra  nota  18,</w:t>
        <w:br/>
        <w:t>párr. 131, y Caso Cantoral Huamaní y  García  Santa  Cruz,  supra  nota  12,</w:t>
        <w:br/>
        <w:t>párr. 156.</w:t>
        <w:br/>
        <w:br/>
        <w:br/>
        <w:t>[244]       El artículo 63.1 de la Convención dispone que:</w:t>
        <w:br/>
        <w:br/>
        <w:br/>
        <w:t xml:space="preserve">      Cuando decida que hubo violación de un derecho o  libertad 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[245]       Cfr. Caso  Velásquez  Rodríguez  Vs.  Honduras.  Reparaciones  y</w:t>
        <w:br/>
        <w:t>Costas. Sentencia de 21 de julio de 1989. Serie C No. 7,  párrs.  25  a  27;</w:t>
        <w:br/>
        <w:t>Caso Garrido y Baigorria Vs. Argentina. Reparaciones y Costas. Sentencia  de</w:t>
        <w:br/>
        <w:t>27 de agosto de 1998. Serie C No. 39, párr. 43, y Caso de la “Panel  Blanca”</w:t>
        <w:br/>
        <w:t>(Paniagua Morales y otros), supra nota 7, párrs. 76 a 79.</w:t>
        <w:br/>
        <w:br/>
        <w:br/>
        <w:t>[246]       Cfr. Caso de las Masacres de Ituango, supra nota 231, párr.  98,</w:t>
        <w:br/>
        <w:t>y  Caso  Goiburú  y  otros  Vs.  Paraguay.  Fondo,  Reparaciones  y  Costas.</w:t>
        <w:br/>
        <w:t>Sentencia de 22 de septiembre de 2006. Serie C No. 153, párr. 29.</w:t>
        <w:br/>
        <w:br/>
        <w:br/>
        <w:t>[247]       Este Tribunal ha establecido que el  daño  material  supone  “la</w:t>
        <w:br/>
        <w:t>pérdida o detrimento de los ingresos de las víctimas, los gastos  efectuados</w:t>
        <w:br/>
        <w:t>con motivo de los hechos y las  consecuencias  de  carácter  pecuniario  que</w:t>
        <w:br/>
        <w:t>tengan un nexo causal con los hechos del caso”.  Cfr.  Caso  Gómez  Palomino</w:t>
        <w:br/>
        <w:t>Vs. Perú. Fondo, Reparaciones y Costas. Sentencia  de  22  de  noviembre  de</w:t>
        <w:br/>
        <w:t>2005. Serie C No.  136,  párr.  124;  Caso  García  Asto  y  Ramírez  Rojas.</w:t>
        <w:br/>
        <w:t>Excepciones Preliminares, Fondo, Reparaciones y Costas. Sentencia de  25  de</w:t>
        <w:br/>
        <w:t>noviembre de 2005. Serie C No. 137, párr. 259, y Caso Blanco Romero y  otros</w:t>
        <w:br/>
        <w:t>vs. Venezuela. Fondo, Reparaciones y Costas. Sentencia de  28  de  noviembre</w:t>
        <w:br/>
        <w:t>de 2005. Serie C No. 138, párr. 78.</w:t>
        <w:br/>
        <w:br/>
        <w:br/>
        <w:t>[248]       Cfr. declaración de la señora  Ruggeri,  supra  nota  33,  folio</w:t>
        <w:br/>
        <w:t>746.</w:t>
        <w:br/>
        <w:br/>
        <w:t>[249]       Cfr. Caso Bueno  Alves  Vs.  Argentina.  Fondo,  Reparaciones  y</w:t>
        <w:br/>
        <w:t>Costas. Sentencia de 11 de mayo de 2007. Serie C No. 164, párr. 147.</w:t>
        <w:br/>
        <w:br/>
        <w:t>[250]       “[E]l daño inmaterial puede comprender tanto los sufrimientos  y</w:t>
        <w:br/>
        <w:t>las aflicciones causados  a  la  víctima  directa  y  a  sus  allegados,  el</w:t>
        <w:br/>
        <w:t>menoscabo de valores muy significativos para  las  personas,  así  como  las</w:t>
        <w:br/>
        <w:t>alteraciones, de carácter no pecuniario, en las  condiciones  de  existencia</w:t>
        <w:br/>
        <w:t>de la víctima o  su  familia.  Dado  que  no  es  posible  asignar  al  daño</w:t>
        <w:br/>
        <w:t>inmaterial un equivalente  monetario  preciso,  sólo  puede  ser  objeto  de</w:t>
        <w:br/>
        <w:t>compensación, […], mediante el pago de una cantidad de dinero o  la  entrega</w:t>
        <w:br/>
        <w:t>de bienes o servicios apreciables en dinero, que el Tribunal  determin[a  …]</w:t>
        <w:br/>
        <w:t>en términos de equidad, así como mediante la realización de  actos  u  obras</w:t>
        <w:br/>
        <w:t>de alcance o repercusión públicos, que tengan como efecto el  reconocimiento</w:t>
        <w:br/>
        <w:t>de la dignidad de la víctima y evitar que vuelvan a ocurrir  violaciones  de</w:t>
        <w:br/>
        <w:t>los derechos humanos”. Cfr. Caso Neira  Alegría  Vs.  Perú.  Reparaciones  y</w:t>
        <w:br/>
        <w:t>Costas. Sentencia de 19 de septiembre de 1996. Serie C  No.  29,  párr.  57;</w:t>
        <w:br/>
        <w:t>Caso Zambrano Vélez y otros, supra nota  18,  párr.  141,  y  Caso  Cantoral</w:t>
        <w:br/>
        <w:t>Huamaní y García Santa Cruz, supra nota 12, párr. 175.</w:t>
        <w:br/>
        <w:br/>
        <w:t>[251]       Cfr. declaración de la señora Ruggeri, supra nota 33.</w:t>
        <w:br/>
        <w:br/>
        <w:t>[252]       Cfr. declaración del señor Apitz supra nota 137.</w:t>
        <w:br/>
        <w:br/>
        <w:br/>
        <w:t>[253]       Cfr. declaración del señor Rocha, supra nota 144.</w:t>
        <w:br/>
        <w:br/>
        <w:br/>
        <w:t>[254]       Cfr. declaración rendida ante fedatario público (affidávit)  por</w:t>
        <w:br/>
        <w:t>la señora María Costanza Cipriani Rondón el 9 de enero de  2008  (expediente</w:t>
        <w:br/>
        <w:t>de fondo, Tomo III, folios 757 y 759).</w:t>
        <w:br/>
        <w:br/>
        <w:br/>
        <w:t>[255]       Cfr. declaración rendida ante fedatario público (affidávit)  por</w:t>
        <w:br/>
        <w:t>la señora Jacqueline Ardizzone Montilla el 10 de enero de  2008  (expediente</w:t>
        <w:br/>
        <w:t>de fondo, Tomo III, folios 751 a 755).</w:t>
        <w:br/>
        <w:br/>
        <w:br/>
        <w:t>[256]        Cfr.  informe  psicológico  elaborado  por  la  señora  Mariela</w:t>
        <w:br/>
        <w:t>Hernández (expediente de prueba, Tomo V, folio, 1356).</w:t>
        <w:br/>
        <w:br/>
        <w:br/>
        <w:t>[257] Cfr. Caso Suárez Rosero Vs. Ecuador. Reparaciones y Costas.  Sentencia</w:t>
        <w:br/>
        <w:t>de 20 de enero de 1999. Serie C No. 44, párr.  72;  Caso  Zambrano  Vélez  y</w:t>
        <w:br/>
        <w:t>otros, supra nota 18, párr. 142, y Caso  Cantoral  Huamaní  y  García  Santa</w:t>
        <w:br/>
        <w:t>Cruz, supra nota 12, párr. 180.</w:t>
        <w:br/>
        <w:br/>
        <w:br/>
        <w:t>[258]       Cfr. Caso de los  “Niños  de  la  Calle”  (Villagrán  Morales  y</w:t>
        <w:br/>
        <w:t>otros) Vs. Guatemala. Reparaciones y Costas. Sentencia  de  26  de  mayo  de</w:t>
        <w:br/>
        <w:t>2001. Serie C No. 77, párr. 84; Caso Escué  Zapata,  supra  nota  14,  párr.</w:t>
        <w:br/>
        <w:t>149, y Caso La Cantuta, supra nota 8, párr. 219.</w:t>
        <w:br/>
        <w:br/>
        <w:br/>
        <w:t>[259]       Cfr. Caso Myrna Mack Chang Vs. Guatemala. Fondo, Reparaciones  y</w:t>
        <w:br/>
        <w:t>Costas. Sentencia de 25 de noviembre de 2003. Serie C No.  101,  supra  nota</w:t>
        <w:br/>
        <w:t>13, párr. 268; Caso 19 Comerciantes, supra nota  191,   párr.  253,  y  Caso</w:t>
        <w:br/>
        <w:t>Zambrano Vélez y otros, supra nota 18, párr. 147.</w:t>
        <w:br/>
        <w:br/>
        <w:br/>
        <w:t>[260]       Cfr. Caso Cantoral Benavides Vs. Perú.  Reparaciones  y  Costas.</w:t>
        <w:br/>
        <w:t>Sentencia de 3 de diciembre de  2001.  Serie  C  No.  88,  párr.  179;  Caso</w:t>
        <w:br/>
        <w:t>Zambrano Vélez y otros, supra nota 18, párr. 215; y Caso Cantoral Huamaní  y</w:t>
        <w:br/>
        <w:t>García Santa Cruz, supra nota 12, párr. 192.</w:t>
        <w:br/>
        <w:br/>
        <w:br/>
        <w:t>[261]       Cfr. sentencia No. 1048 de la Sala Constitucional del TSJ de  18</w:t>
        <w:br/>
        <w:t>de mayo de 2006, supra nota 13.</w:t>
        <w:br/>
        <w:br/>
        <w:br/>
        <w:t>[262]       Cfr. Caso Ricardo Canese, supra nota 152, párr. 212; Caso  Gómez</w:t>
        <w:br/>
        <w:t>Palomino, supra nota 247, párr. 150;  Caso  García  Asto  y  Ramírez  Rojas,</w:t>
        <w:br/>
        <w:t>supra nota 247, párr. 286, y Caso Blanco Romero, supra nota 247, párr. 114.</w:t>
        <w:br/>
        <w:br/>
        <w:br/>
        <w:t>[263]       Cfr. Caso Molina Theissen Vs. Guatemala. Reparaciones y  Costas.</w:t>
        <w:br/>
        <w:t>Sentencia de 3 de julio de 2004. Serie C No. 108, párr. 22,  y  Caso  Acosta</w:t>
        <w:br/>
        <w:t>Calderón Vs. Ecuador. Fondo, Reparaciones y  Costas.   Sentencia  de  24  de</w:t>
        <w:br/>
        <w:t>junio de 2005. Serie C No. 129, párr. 41.</w:t>
        <w:br/>
        <w:br/>
        <w:br/>
        <w:t>[264]       Notas de la Secretaría de la Corte de  23  de  febrero  y  7  de</w:t>
        <w:br/>
        <w:t>marzo de 2007 (expediente de fondo, Tomo I, folios 264 y 289).</w:t>
        <w:br/>
        <w:br/>
        <w:br/>
        <w:t>[265]       Cfr.  Caso  Myrna  Mack  Chang,  supra  nota,  párr.  259;  Caso</w:t>
        <w:br/>
        <w:t>Zambrano Vélez y otros, supra nota 18, párr. 137, y Caso Cantoral Huamaní  y</w:t>
        <w:br/>
        <w:t>García Santa Cruz, supra nota 12, párr. 162.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