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t xml:space="preserve">                  Corte Interamericana de Derechos Humanos</w:t>
        <w:br/>
        <w:br/>
        <w:br/>
        <w:t xml:space="preserve">                   Caso Albán Cornejo y otros vs. Ecuador</w:t>
        <w:br/>
        <w:br/>
        <w:br/>
        <w:br/>
        <w:t xml:space="preserve">                      Sentencia de 5 de Agosto de 2008</w:t>
        <w:br/>
        <w:t xml:space="preserve">      (Interpretación de la Sentencia de Fondo, Reparaciones y Costas)</w:t>
        <w:br/>
        <w:br/>
        <w:br/>
        <w:br/>
        <w:t>En el caso Albán Cornejo y otros,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Cecilia Medina Quiroga, Presidenta;</w:t>
        <w:br/>
        <w:t xml:space="preserve">      Diego García Sayán, Vicepresidente;</w:t>
        <w:br/>
        <w:t xml:space="preserve">      Sergio García Ramírez, Juez;</w:t>
        <w:br/>
        <w:t xml:space="preserve">      Manuel E. Ventura Robles, Juez;</w:t>
        <w:br/>
        <w:t xml:space="preserve">      Leonardo A. Franco, Juez;</w:t>
        <w:br/>
        <w:t xml:space="preserve">      Margarette May Macaulay, Jueza, y</w:t>
        <w:br/>
        <w:t xml:space="preserve">      Rhadys Abreu Blondet, Jueza;</w:t>
        <w:br/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t>de conformidad con el artículo 67 de la Convención Americana sobre  Derechos</w:t>
        <w:br/>
        <w:t>Humanos (en adelante “la Convención”  o  “la  Convención  Americana”)  y  el</w:t>
        <w:br/>
        <w:t>artículo 59 del Reglamento  de  la  Corte  (en  adelante  “el  Reglamento”),</w:t>
        <w:br/>
        <w:t>resuelve  la  demanda  de  interpretación  de   la   Sentencia   de   Fondo,</w:t>
        <w:br/>
        <w:t>Reparaciones y Costas dictada por la Corte el 22 de noviembre de 2007 en  el</w:t>
        <w:br/>
        <w:t>caso Albán Cornejo y otros vs. Ecuador  (en  adelante  “la  demanda”  o  “la</w:t>
        <w:br/>
        <w:t>demanda de interpretación”),  interpuesta  por  los  representantes  de  las</w:t>
        <w:br/>
        <w:t>víctimas (en adelante “los representantes”).</w:t>
        <w:br/>
        <w:br/>
        <w:br/>
        <w:br/>
        <w:br/>
        <w:br/>
        <w:br/>
        <w:t xml:space="preserve">                                      I</w:t>
        <w:br/>
        <w:t xml:space="preserve">                Introducción de la demanda de interpretación</w:t>
        <w:br/>
        <w:t xml:space="preserve">                        y procedimiento ante la Corte</w:t>
        <w:br/>
        <w:br/>
        <w:t>1.    El 19 de enero de 2007 los representantes presentaron una  demanda  de</w:t>
        <w:br/>
        <w:t>interpretación de la Sentencia de Fondo, Reparaciones  y  Costas[1]  emitida</w:t>
        <w:br/>
        <w:t>en este caso el 22 de noviembre  de  2007  (en  adelante  “la  Sentencia  de</w:t>
        <w:br/>
        <w:t>Fondo”), con fundamento en los artículos 67 de la Convención Americana y  59</w:t>
        <w:br/>
        <w:t>del  Reglamento.  Los  representantes  solicitaron   en   su   demanda   “la</w:t>
        <w:br/>
        <w:t>INTERPRETACIÓN” de algunos puntos de la Sentencia de  Fondo,  para  lo  cual</w:t>
        <w:br/>
        <w:t>plantearon cuatro preguntas, con el propósito de que  la  Corte  precise  el</w:t>
        <w:br/>
        <w:t>alcance y sentido de: a) las obligaciones del Estado por  la  violación  del</w:t>
        <w:br/>
        <w:t>artículo 1.1 de la Convención Americana, en  relación  con  las  violaciones</w:t>
        <w:br/>
        <w:t>declaradas de los artículos 8.1 y 25.1 de dicha Convención,  respecto  a  la</w:t>
        <w:br/>
        <w:t>investigación y sanción de todos  los  responsables  de  la  violaciones   a</w:t>
        <w:br/>
        <w:t>derechos humanos; b) la condena al Estado por la violación al  artículo  1.1</w:t>
        <w:br/>
        <w:t>de la  Convención  Americana  en  lo  referente  al  alcance  del  deber  de</w:t>
        <w:br/>
        <w:t>sancionar e investigar a los responsables de las violaciones declaradas,  en</w:t>
        <w:br/>
        <w:t>relación con la institución de la prescripción; c) la obligación del  Estado</w:t>
        <w:br/>
        <w:t>por la violación al artículo 2 de  la  Convención  Americana  en  cuanto  al</w:t>
        <w:br/>
        <w:t>deber de adoptar y de regular en el derecho interno la  mala  praxis  médica</w:t>
        <w:br/>
        <w:t>ante la ausencia de normas que la sancionen; y d) la campaña de difusión  de</w:t>
        <w:br/>
        <w:t>los derechos de los pacientes, en especial, se determinen  los  alcances  de</w:t>
        <w:br/>
        <w:t>los términos “campaña” y “difusión”.</w:t>
        <w:br/>
        <w:br/>
        <w:t>2.    El 2 de abril de 2008, de conformidad con lo dispuesto en el  artículo</w:t>
        <w:br/>
        <w:t>59.2  del  Reglamento  y  siguiendo  instrucciones  de  la  Presidenta   del</w:t>
        <w:br/>
        <w:t>Tribunal,  la  Secretaría  de  la  Corte  (en  adelante   “la   Secretaría”)</w:t>
        <w:br/>
        <w:t>transmitió  copia  de  la  demanda   de   interpretación   a   la   Comisión</w:t>
        <w:br/>
        <w:t>Interamericana   de   Derechos   Humanos   (en   adelante    “la    Comisión</w:t>
        <w:br/>
        <w:t>Interamericana”) y al Estado de Ecuador  (en  adelante  “el  Estado”  o  “el</w:t>
        <w:br/>
        <w:t>Ecuador”) y les comunicó que contaban con un plazo improrrogable hasta el  5</w:t>
        <w:br/>
        <w:t>de mayo de 2008 para que presentaran las alegaciones escritas que  estimaren</w:t>
        <w:br/>
        <w:t>pertinentes. Asimismo, se recordó al  Estado  que,  de  conformidad  con  lo</w:t>
        <w:br/>
        <w:t>dispuesto  en  el  artículo  59.4   del   Reglamento,   “[l]a   demanda   de</w:t>
        <w:br/>
        <w:t>interpretación no suspende la ejecución de la Sentencia”.</w:t>
        <w:br/>
        <w:br/>
        <w:t>3.    El 5 de mayo de 2008 el Estado presentó sus alegaciones escritas a  la</w:t>
        <w:br/>
        <w:t>demanda de interpretación. Por su parte, el 9 de mayo de  2008  la  Comisión</w:t>
        <w:br/>
        <w:t>Interamericana presentó, extemporáneamente  sus  alegaciones  escritas,  sin</w:t>
        <w:br/>
        <w:t>justificar el motivo de la presentación en dicha fecha.</w:t>
        <w:br/>
        <w:br/>
        <w:br/>
        <w:br/>
        <w:t xml:space="preserve">                                     II</w:t>
        <w:br/>
        <w:t xml:space="preserve">                    Competencia y Composición de la Corte</w:t>
        <w:br/>
        <w:br/>
        <w:br/>
        <w:t>4.    De conformidad con el artículo 67 de la  Convención[2],  la  Corte  es</w:t>
        <w:br/>
        <w:t>competente para interpretar sus fallos. Al realizar el examen de la  demanda</w:t>
        <w:br/>
        <w:t>de  interpretación  el  Tribunal  debe  tener,  de  ser  posible,  la  misma</w:t>
        <w:br/>
        <w:t>composición que tenía al dictar la Sentencia respectiva (artículo  59.3  del</w:t>
        <w:br/>
        <w:t>Reglamento). En esta ocasión la Corte se integra con los mismos  jueces  que</w:t>
        <w:br/>
        <w:t>profirieron la Sentencia cuya interpretación ha sido solicitada.</w:t>
        <w:br/>
        <w:br/>
        <w:br/>
        <w:br/>
        <w:br/>
        <w:t xml:space="preserve">                                     III</w:t>
        <w:br/>
        <w:t xml:space="preserve">                                Admisibilidad</w:t>
        <w:br/>
        <w:br/>
        <w:t>5.    Corresponde a la Corte verificar si los  términos  de  la  demanda  de</w:t>
        <w:br/>
        <w:t>interpretación  satisfacen  los  requisitos  establecidos  en   las   normas</w:t>
        <w:br/>
        <w:t>aplicables, a saber, el  artículo  67  de  la  Convención  y  los  artículos</w:t>
        <w:br/>
        <w:t>29.3[3] y 59[4] del Reglamento.</w:t>
        <w:br/>
        <w:br/>
        <w:br/>
        <w:t>6.    La Corte constata que los representantes interpusieron la  demanda  de</w:t>
        <w:br/>
        <w:t>interpretación dentro  del  plazo  establecido  en  el  artículo  67  de  la</w:t>
        <w:br/>
        <w:t>Convención.</w:t>
        <w:br/>
        <w:br/>
        <w:br/>
        <w:t>7.    Por otro lado, tal como lo ha dispuesto anteriormente  este  Tribunal,</w:t>
        <w:br/>
        <w:t>una demanda de interpretación de una sentencia no debe  utilizarse  como  un</w:t>
        <w:br/>
        <w:t>medio de impugnación, sino únicamente debe tener como objeto desentrañar  el</w:t>
        <w:br/>
        <w:t>sentido de un fallo cuando una de las partes sostiene que el  texto  de  sus</w:t>
        <w:br/>
        <w:t>puntos resolutivos o de sus consideraciones carece de claridad o  precisión,</w:t>
        <w:br/>
        <w:t>siempre y cuando esas consideraciones incidan  en  dicha  parte  resolutiva.</w:t>
        <w:br/>
        <w:t>Por ende, no se puede pedir la modificación  o  anulación  de  la  sentencia</w:t>
        <w:br/>
        <w:t>respectiva a través de una demanda de interpretación[5].</w:t>
        <w:br/>
        <w:br/>
        <w:br/>
        <w:br/>
        <w:t xml:space="preserve">                                     IV</w:t>
        <w:br/>
        <w:t xml:space="preserve">  obligación del estado de investigar y sancionar a todos los responsables</w:t>
        <w:br/>
        <w:t xml:space="preserve">                  por las violaciones a los derechos humanos</w:t>
        <w:br/>
        <w:br/>
        <w:t>8.    En su demanda de interpretación los representantes  solicitaron  a  la</w:t>
        <w:br/>
        <w:t>Corte que “precise el alcance y sentido de las  obligaciones  del  Estado  a</w:t>
        <w:br/>
        <w:t>raíz de la condena por violación del [artículo] 1.1  de  la  Convención,  en</w:t>
        <w:br/>
        <w:t>particular si el reconocimiento de la violación de la norma  citada  incluye</w:t>
        <w:br/>
        <w:t>como parte de las obligaciones el que el Estado adopte medidas destinadas  a</w:t>
        <w:br/>
        <w:t>la investigación y sanción de todos los responsables por las  violaciones  a</w:t>
        <w:br/>
        <w:t>los Derechos Humanos declaradas en la sentencia”. Según  los  representantes</w:t>
        <w:br/>
        <w:t>en la Sentencia de Fondo se determina el alcance de  la  declaración  de  la</w:t>
        <w:br/>
        <w:t>violación del artículo 1.1 de la Convención en  relación  con  los  derechos</w:t>
        <w:br/>
        <w:t>establecidos en los  artículos  8.1  y  25.1  de  la  Convención  Americana.</w:t>
        <w:br/>
        <w:t>Señalaron, además, que la interpretación debe revestir el mismo sentido  que</w:t>
        <w:br/>
        <w:t>la Corte le diera a  la  obligación  de  investigar  en  el  caso  Tibi  vs.</w:t>
        <w:br/>
        <w:t>Ecuador, considerando que ésta se funda en el derecho de las víctimas y  sus</w:t>
        <w:br/>
        <w:t>familiares a conocer lo que sucedió y saber quiénes fueron los  agentes  del</w:t>
        <w:br/>
        <w:t>Estado responsables de los hechos.</w:t>
        <w:br/>
        <w:br/>
        <w:t>9.     El  Estado  señaló  que  corresponde  destacar  las  diferencias  del</w:t>
        <w:br/>
        <w:t>presente caso con el caso Tibi vs. Ecuador, citado por  los  representantes,</w:t>
        <w:br/>
        <w:t>pues en éste último el origen de la  responsabilidad  se  encuentra  en  una</w:t>
        <w:br/>
        <w:t>acción directa de agentes estatales que incurrieron en actos de tortura.  El</w:t>
        <w:br/>
        <w:t>Estado afirmó entonces que en el caso Albán Cornejo y otros  “resulta  claro</w:t>
        <w:br/>
        <w:t>que el  propósito  de  la  sentencia  de  la  Corte  Interamericana  no  era</w:t>
        <w:br/>
        <w:t>determinar la responsabilidad internacional  del  Estado  por  su  falta  de</w:t>
        <w:br/>
        <w:t>prevención de la violación declarada. Las posibilidades de prevención de  la</w:t>
        <w:br/>
        <w:t>actuación de  un  médico  particular  en  un  hospital  privado  se  reducen</w:t>
        <w:br/>
        <w:t>básicamente a verificar el marco  de  control  de  los  establecimientos  de</w:t>
        <w:br/>
        <w:t>salud”. Agregó que la Corte declaró el incumplimiento del  artículo  1.1  de</w:t>
        <w:br/>
        <w:t>la Convención Americana, pero no de manera autónoma, sino  en  conexión  con</w:t>
        <w:br/>
        <w:t>el artículo 5.1 de la Convención,  por  falta  de  respuesta  judicial  para</w:t>
        <w:br/>
        <w:t>esclarecer la muerte  de  Laura  Albán  y  la  afectación  a  la  integridad</w:t>
        <w:br/>
        <w:t>personal de sus padres. En concepto del Estado,  este  Tribunal  declaró  la</w:t>
        <w:br/>
        <w:t>violación del artículo 1.1 de la Convención en conexión  con  los  artículos</w:t>
        <w:br/>
        <w:t>8.1 y 25.1 de  la  Convención,  porque  aquél  no  inició  oportunamente  la</w:t>
        <w:br/>
        <w:t>investigación  correspondiente.  La  Corte  reconoció  la  preeminencia  del</w:t>
        <w:br/>
        <w:t>derecho de los médicos inculpados a ser beneficiados por el instituto de  la</w:t>
        <w:br/>
        <w:t>prescripción y por ello se abstuvo de ordenar la investigación y sanción  de</w:t>
        <w:br/>
        <w:t>los responsables.</w:t>
        <w:br/>
        <w:br/>
        <w:t>10.   Al analizar la violación de los artículos 8.1 y 25.1 de la  Convención</w:t>
        <w:br/>
        <w:t>Americana, en los párrafos 60 a 62  de  la  Sentencia  de  Fondo,  la  Corte</w:t>
        <w:br/>
        <w:t>reiteró su criterio sobre la obligación del Estado de investigar los  hechos</w:t>
        <w:br/>
        <w:t>dentro de un debido proceso legal.  Tomando en cuenta los hechos del caso  y</w:t>
        <w:br/>
        <w:t>con fundamento en los alegatos de las partes y en  su  jurisprudencia,  este</w:t>
        <w:br/>
        <w:t>Tribunal  encontró  que  el  Estado  no  inició  ni   impulsó   el   proceso</w:t>
        <w:br/>
        <w:t>oportunamente. El párrafo 96 de esa Sentencia señaló:</w:t>
        <w:br/>
        <w:br/>
        <w:t xml:space="preserve">      Puesto que el Estado tuvo conocimiento el 3 de agosto de  1995  acerca</w:t>
        <w:br/>
        <w:t xml:space="preserve">      de la muerte de Laura Albán, es a partir de  esa  fecha  cuando  debió</w:t>
        <w:br/>
        <w:t xml:space="preserve">      iniciar e impulsar  la  investigación  y  el  esclarecimiento  de  los</w:t>
        <w:br/>
        <w:t xml:space="preserve">      hechos.  Sin embargo, no fue  sino  hasta  quince  meses  después  que</w:t>
        <w:br/>
        <w:t xml:space="preserve">      inició la investigación, tal como quedó probado (supra párr. 81).   Al</w:t>
        <w:br/>
        <w:t xml:space="preserve">      respecto, este Tribunal considera que el hecho anteriormente  descrito</w:t>
        <w:br/>
        <w:t xml:space="preserve">      denota que las autoridades estatales no asumieron con seriedad  y  con</w:t>
        <w:br/>
        <w:t xml:space="preserve">      las debidas garantías la denuncia presentada por los padres  de  Laura</w:t>
        <w:br/>
        <w:t xml:space="preserve">      Albán.  Consecuentemente, el Tribunal considera que el Estado  vulneró</w:t>
        <w:br/>
        <w:t xml:space="preserve">      los artículos 8.1 y el 25.1 de la Convención Americana, al no  iniciar</w:t>
        <w:br/>
        <w:t xml:space="preserve">      oportunamente la investigación de la muerte de Laura Albán.</w:t>
        <w:br/>
        <w:br/>
        <w:t>11.   Por otro lado, en la Sentencia de Fondo la Corte no ordenó  al  Estado</w:t>
        <w:br/>
        <w:t>realizar una investigación. Por lo  tanto  la  pregunta  formulada  por  los</w:t>
        <w:br/>
        <w:t>representantes, expuesta en el párrafo 8, no  tiene  por  objeto  aclarar  o</w:t>
        <w:br/>
        <w:t>precisar el contenido de algún punto de dicha Sentencia, ni  desentrañar  el</w:t>
        <w:br/>
        <w:t>sentido del fallo por falta  de  claridad  o  precisión  suficiente  en  sus</w:t>
        <w:br/>
        <w:t>puntos resolutivos o en sus consideraciones.</w:t>
        <w:br/>
        <w:br/>
        <w:t>12.    En consecuencia, la Corte declara improcedente la cuestión  planteada</w:t>
        <w:br/>
        <w:t>en el citado párrafo porque no se adecua a lo requerido  por  la  Convención</w:t>
        <w:br/>
        <w:t>Americana y el Reglamento, para efectos de interpretación.</w:t>
        <w:br/>
        <w:br/>
        <w:br/>
        <w:t xml:space="preserve">                                      V</w:t>
        <w:br/>
        <w:t xml:space="preserve">                         Alcances de la Prescripción</w:t>
        <w:br/>
        <w:br/>
        <w:br/>
        <w:t>13.   Los representantes solicitaron en su demanda de interpretación que  la</w:t>
        <w:br/>
        <w:t>Corte establezca el sentido y alcance: “[…] de  la  condena  al  Estado  por</w:t>
        <w:br/>
        <w:t>violación al [artículo] 1.1 de la Convención, en especial  en  lo  referente</w:t>
        <w:br/>
        <w:t>al alcance del deber de sancionar e investigar a  los  responsables  por  la</w:t>
        <w:br/>
        <w:t>violación de los [a]rtículos de la Convención[,] cuya violación  se  declaró</w:t>
        <w:br/>
        <w:t>en la  sentencia  en  conexión  con  la  aplicación  de  la  institución  de</w:t>
        <w:br/>
        <w:t>prescripción cuyo  reconocimiento  como  garantía  se  ha  realizado  en  la</w:t>
        <w:br/>
        <w:t>sentencia”. Los representantes consideraron que el Estado no  podría  alegar</w:t>
        <w:br/>
        <w:t>un  futuro  incumplimiento  de  su  deber  de  investigar  y  sancionar  con</w:t>
        <w:br/>
        <w:t>fundamento en que ha operado la prescripción extintiva de las  acciones  que</w:t>
        <w:br/>
        <w:t>pudieran deducirse en contra de los  responsables  de  la  muerte  de  Laura</w:t>
        <w:br/>
        <w:t>Albán.</w:t>
        <w:br/>
        <w:br/>
        <w:t>14.   El Estado sostuvo que  de  la  Sentencia  de  Fondo,  en  especial  el</w:t>
        <w:br/>
        <w:t>párrafo 111, se desprende que la Corte Interamericana no ha hecho otra  cosa</w:t>
        <w:br/>
        <w:t>que esclarecer la línea jurisprudencial seguida en materia de  prescripción,</w:t>
        <w:br/>
        <w:t>estableciendo como criterios que: i) se reconoce la  prescripción  como  vía</w:t>
        <w:br/>
        <w:t>para prohibir el doble enjuiciamiento, garantía básica del debido proceso  a</w:t>
        <w:br/>
        <w:t>favor  de  los  imputados;  ii)  se  reafirman  las  consecuencias   de   la</w:t>
        <w:br/>
        <w:t>prescripción,  a  saber:  extinción  de  la  pretensión  punitiva   por   el</w:t>
        <w:br/>
        <w:t>transcurso del tiempo y límite del ius  puniendi  del  Estado;  y  iii)   se</w:t>
        <w:br/>
        <w:t>reconoce la vigencia de la figura de la prescripción en  el  derecho  penal,</w:t>
        <w:br/>
        <w:t>aclarando que no se la puede invocar como “eximente de  responsabilidad”  en</w:t>
        <w:br/>
        <w:t>casos  de  graves  violaciones  de  derechos  humanos,   consideradas   como</w:t>
        <w:br/>
        <w:t>imprescriptibles  por  instrumentos  internacionales.  Si  bien  existe  una</w:t>
        <w:br/>
        <w:t>obligación  genérica  de  investigar  en  virtud  del  artículo  1.1  de  la</w:t>
        <w:br/>
        <w:t>Convención, ésta debe ser analizada en un marco más general, del  que  surge</w:t>
        <w:br/>
        <w:t>una colisión con derechos que de los imputados.  En el caso  Albán  Cornejo,</w:t>
        <w:br/>
        <w:t>el fallo del Tribunal declara la responsabilidad internacional  del  E7stado</w:t>
        <w:br/>
        <w:t>[…]  por  omisiones  de  agentes   estatales   frente   a   actuaciones   de</w:t>
        <w:br/>
        <w:t>particulares, que tienen su grado de  importancia  pero  no  tiene  carácter</w:t>
        <w:br/>
        <w:t>sistemático o de gravedad tal  para  que  el  delito  sea  considerado  como</w:t>
        <w:br/>
        <w:t>crimen y autorice la anulación de garantías fundamentales  a  favor  de  los</w:t>
        <w:br/>
        <w:t>imputados”.</w:t>
        <w:br/>
        <w:br/>
        <w:t>15.   La Corte  estableció en su Sentencia de Fondo lo siguiente:</w:t>
        <w:br/>
        <w:br/>
        <w:br/>
        <w:t xml:space="preserve">    111.   […]En el presente caso no opera la  exclusión  de  prescripción,</w:t>
        <w:br/>
        <w:t xml:space="preserve">    porque  no  se  satisfacen   los   supuestos   de   imprescriptibilidad</w:t>
        <w:br/>
        <w:t xml:space="preserve">    reconocidos en instrumentos internacionales.</w:t>
        <w:br/>
        <w:br/>
        <w:br/>
        <w:t xml:space="preserve">    112.    Por otra parte, el imputado no es responsable de velar  por  la</w:t>
        <w:br/>
        <w:t xml:space="preserve">    celeridad de la actuación de  las  autoridades  en  el  desarrollo  del</w:t>
        <w:br/>
        <w:t xml:space="preserve">    proceso penal,  ni  por  la  falta  de  la  debida  diligencia  de  las</w:t>
        <w:br/>
        <w:t xml:space="preserve">    autoridades estatales.  No se puede atribuir al imputado en un  proceso</w:t>
        <w:br/>
        <w:t xml:space="preserve">    penal que  soporte  la  carga  del  retardo  en  la  administración  de</w:t>
        <w:br/>
        <w:t xml:space="preserve">    justicia, lo cual traería como resultado el menoscabo de  los  derechos</w:t>
        <w:br/>
        <w:t xml:space="preserve">    que le confiere la ley.</w:t>
        <w:br/>
        <w:br/>
        <w:t>16.   Este Tribunal considera que los  párrafos  transcritos  resuelven  con</w:t>
        <w:br/>
        <w:t>claridad que en el presente caso no aplica la exclusión de  la  prescripción</w:t>
        <w:br/>
        <w:t>de la acción penal. En consecuencia, la segunda pregunta planteada  por  los</w:t>
        <w:br/>
        <w:t>representantes (supra párr.  13)  no  satisface  los  requerimientos  de  la</w:t>
        <w:br/>
        <w:t>Convención Americana y el Reglamento, por lo  que  el  Tribunal  la  declara</w:t>
        <w:br/>
        <w:t>improcedente.</w:t>
        <w:br/>
        <w:br/>
        <w:br/>
        <w:br/>
        <w:br/>
        <w:t xml:space="preserve">                                     VI</w:t>
        <w:br/>
        <w:t xml:space="preserve">         Alcances de la obligación de adecuar la legislación interna</w:t>
        <w:br/>
        <w:br/>
        <w:br/>
        <w:br/>
        <w:t>17.   Los representantes  sostuvieron  que  es  su  deseo  conocer  “[…]  el</w:t>
        <w:br/>
        <w:t>sentido y alcance de la  obligación  del  Estado  […]  en  relación  con  la</w:t>
        <w:br/>
        <w:t>violación del [artículo] 2 de la Convención que fuera alegado en la  demanda</w:t>
        <w:br/>
        <w:t>en lo que dice relación con el deber del Estado de adoptar y regular  en  el</w:t>
        <w:br/>
        <w:t>Derecho Interno.  [Asimismo,  sobre]  cuál  es  el  sentido  y  alcance  del</w:t>
        <w:br/>
        <w:t>reconocimiento realizado por el Estado en cuanto a su  reconocimiento  sobre</w:t>
        <w:br/>
        <w:t>la inobservancia de adecuación de la legislación interna.”  Solicitaron  que</w:t>
        <w:br/>
        <w:t>la Corte interprete cuál es el alcance de la obligación del Estado  ante  la</w:t>
        <w:br/>
        <w:t>ausencia de normas internas en materia de mala praxis médica.</w:t>
        <w:br/>
        <w:br/>
        <w:t>18.   El Estado destacó la claridad de los párrafos 115, 136  y  137  de  la</w:t>
        <w:br/>
        <w:t>Sentencia de Fondo y reiteró su voluntad de elaborar un proyecto de “ley  de</w:t>
        <w:br/>
        <w:t>indebida práctica médica”, para incorporar al Derecho Penal  ecuatoriano  un</w:t>
        <w:br/>
        <w:t>tipo penal específico sobre  la  materia,  que  tome  en  consideración  las</w:t>
        <w:br/>
        <w:t>peculiaridades que presenta el ejercicio incorrecto de  la  medicina  y  que</w:t>
        <w:br/>
        <w:t>establezca penas  proporcionales  a  las  conductas  delictuosas.  Asimismo,</w:t>
        <w:br/>
        <w:t>agregó que para desarrollar tal tarea se requiere respetar los  tiempos  que</w:t>
        <w:br/>
        <w:t>permitan llegar en forma segura al resultado esperado, ya que “[…] no  puede</w:t>
        <w:br/>
        <w:t>ser abordada con ligereza,  debe  ser  un  asunto  de  debate  público  pero</w:t>
        <w:br/>
        <w:t>sobretodo un asunto en  el  que  la  defensa  de  intereses  de  víctimas  o</w:t>
        <w:br/>
        <w:t>familiares o la defensa  del  gremio  médico  debe  ser  acogida  de  manera</w:t>
        <w:br/>
        <w:t>referencial y no concluyente, caso contrario [se] propici[an]  procesos  que</w:t>
        <w:br/>
        <w:t>fomentan un ensañamiento del derecho penal en contra de los médicos  o  [se]</w:t>
        <w:br/>
        <w:t>avala[…] el  ejercicio  incontrolado  de  una  actividad  tan  importante  y</w:t>
        <w:br/>
        <w:t>necesaria para la vida misma de los usuarios de los sistemas de salud”.</w:t>
        <w:br/>
        <w:br/>
        <w:t>19.   En los párrafos 136 y 137 de la Sentencia de Fondo este Tribunal  tomó</w:t>
        <w:br/>
        <w:t>nota de la reiterada voluntad del Estado para revisar su  legislación  penal</w:t>
        <w:br/>
        <w:t>sobre mala praxis médica e indicó que corresponde al propio  Estado  decidir</w:t>
        <w:br/>
        <w:t>la mejor forma de resolver las necesidades de la punición en  esta  materia.</w:t>
        <w:br/>
        <w:t>En razón de lo anterior, esta Corte  advierte  nuevamente  que  la  pregunta</w:t>
        <w:br/>
        <w:t>formulada  por  los  representantes  en   la   demanda   de   interpretación</w:t>
        <w:br/>
        <w:t>interpuesta no se dirige a aclarar o precisar el contenido  de  algún  punto</w:t>
        <w:br/>
        <w:t>de la Sentencia, sino a obtener una decisión diferente de  la  dispuesta  en</w:t>
        <w:br/>
        <w:t>el fallo.</w:t>
        <w:br/>
        <w:br/>
        <w:t>20.     En   consecuencia,   la   tercera   pregunta   planteada   por   los</w:t>
        <w:br/>
        <w:t>representantes, descrita en el párrafo 17 de esta Sentencia, no se ajusta  a</w:t>
        <w:br/>
        <w:t>lo requerido por las normas de la Convención Americana y el Reglamento,  por</w:t>
        <w:br/>
        <w:t>lo que el Tribunal la declara improcedente.</w:t>
        <w:br/>
        <w:br/>
        <w:br/>
        <w:t xml:space="preserve">                                     VII</w:t>
        <w:br/>
        <w:t xml:space="preserve">    Alcances de la “campaña de difusion” de los derechos de los pacientes</w:t>
        <w:br/>
        <w:br/>
        <w:br/>
        <w:t>21.   Los representantes solicitaron que “[…] se  interprete  el  sentido  y</w:t>
        <w:br/>
        <w:t>alcance que deberá tener la campaña de  difusión  de  los  derechos  de  los</w:t>
        <w:br/>
        <w:t>pacientes a la  que  hace  referencia  en  su  punto  considerativo  de  los</w:t>
        <w:br/>
        <w:t>párrafos 162  y  163  de  la  [S]entencia.  En  especial,  […]que  la  Corte</w:t>
        <w:br/>
        <w:t>determine el alcance que deben tener los términos “campaña”  y  “difusión””.</w:t>
        <w:br/>
        <w:t>Al respecto,  señalaron  que  por  campaña  debería  entenderse  el  proceso</w:t>
        <w:br/>
        <w:t>sostenido en el tiempo con los recursos adecuados  que  permitan  un  acceso</w:t>
        <w:br/>
        <w:t>general a todos los ciudadanos. Por difusión, el  uso  adecuado  de  medios,</w:t>
        <w:br/>
        <w:t>espacios y mecanismos de comunicación que permitan a la  ciudadanía  acceder</w:t>
        <w:br/>
        <w:t>a un entendimiento global y completo de sus derechos.</w:t>
        <w:br/>
        <w:br/>
        <w:t>22.   El Estado sostuvo que  la  Sentencia  no  establece  los  medios  para</w:t>
        <w:br/>
        <w:t>lograr los objetivos pautados en la resolución,  respetando  los  mecanismos</w:t>
        <w:br/>
        <w:t>adoptados por los Estados a tal fin. En este sentido,  el  Estado  manifestó</w:t>
        <w:br/>
        <w:t>que  “[e]xigir  precisión  a  la  Corte  sobre  las  palabras  “campaña”   y</w:t>
        <w:br/>
        <w:t>“difusión”, sería restar al Estado  su  legítimo  margen  de  maniobra  para</w:t>
        <w:br/>
        <w:t>decidir la mejor forma de diseñar sus políticas públicas y  de  cumplir  con</w:t>
        <w:br/>
        <w:t>su deber de prevención de violaciones al  derecho  a  la  salud  y  a  otros</w:t>
        <w:br/>
        <w:t>derechos  económicos,  sociales  y   culturales,   caracterizados   por   su</w:t>
        <w:br/>
        <w:t>progresividad y generalidad en cuanto a los deberes que generan”.</w:t>
        <w:br/>
        <w:br/>
        <w:t>23.    Este Tribunal sostuvo en la Sentencia de Fondo:</w:t>
        <w:br/>
        <w:br/>
        <w:t xml:space="preserve">      c)    Campaña  sobre  los  derechos  del  paciente   y   formación   y</w:t>
        <w:br/>
        <w:t xml:space="preserve">      capacitación de los operadores de justicia</w:t>
        <w:br/>
        <w:br/>
        <w:br/>
        <w:t xml:space="preserve">      162.  El Estado deberá llevar a  cabo,  en  un  plazo  razonable,  una</w:t>
        <w:br/>
        <w:t xml:space="preserve">      amplia difusión de los  derechos  de  los  pacientes,  utilizando  los</w:t>
        <w:br/>
        <w:t xml:space="preserve">      medios de comunicación adecuados y aplicando la legislación  existente</w:t>
        <w:br/>
        <w:t xml:space="preserve">      en el Ecuador y los estándares internacionales.</w:t>
        <w:br/>
        <w:br/>
        <w:br/>
        <w:t xml:space="preserve">      163.  Al respecto, deberá tomar en cuenta, asimismo, lo  dispuesto  en</w:t>
        <w:br/>
        <w:t xml:space="preserve">      el artículo 15 de la Ley de Derechos y Amparo del Paciente emitida  el</w:t>
        <w:br/>
        <w:t xml:space="preserve">      3 de febrero de 1995: “[l]a obligación de todos los servicios de salud</w:t>
        <w:br/>
        <w:t xml:space="preserve">      [de] mantener a disposición de los usuarios ejemplares de esta  ley  y</w:t>
        <w:br/>
        <w:t xml:space="preserve">      exhibir el texto de los derechos del paciente en lugares visibles para</w:t>
        <w:br/>
        <w:t xml:space="preserve">      el público”.</w:t>
        <w:br/>
        <w:br/>
        <w:t>24.   Los párrafos 162 y 163 de la Sentencia  de  Fondo  señalan  claramente</w:t>
        <w:br/>
        <w:t>que la obligación del Estado consiste en realizar una difusión amplia  entre</w:t>
        <w:br/>
        <w:t>la población de los derechos de los pacientes, a través  de  los  medios  de</w:t>
        <w:br/>
        <w:t>comunicación adecuados  y  conforme  a  la  legislación  nacional  y  a  los</w:t>
        <w:br/>
        <w:t>estándares  internacionales.  Dentro  de  ese  marco,  podrá  utilizar   los</w:t>
        <w:br/>
        <w:t>mecanismos específicos y adecuados para tal fin.  La  Corte  supervisará  el</w:t>
        <w:br/>
        <w:t>cumplimiento de dicha medida  de  reparación  y  los  representantes  podrán</w:t>
        <w:br/>
        <w:t>presentar oportunamente las observaciones que estimen pertinentes.</w:t>
        <w:br/>
        <w:br/>
        <w:t>25.   En consecuencia, resulta claro el sentido de la Sentencia de la  Corte</w:t>
        <w:br/>
        <w:t>en  lo  que  corresponde  a   la   cuarta   pregunta   planteada   por   los</w:t>
        <w:br/>
        <w:t>representantes, descrita en el párrafo 21 de la presente Sentencia,  por  lo</w:t>
        <w:br/>
        <w:t>que el Tribunal la declara improcedente a la luz de la Convención  Americana</w:t>
        <w:br/>
        <w:t>y del Reglamento.</w:t>
        <w:br/>
        <w:br/>
        <w:br/>
        <w:t xml:space="preserve">                                    VIII</w:t>
        <w:br/>
        <w:t xml:space="preserve">                             Puntos Resolutivos</w:t>
        <w:br/>
        <w:br/>
        <w:br/>
        <w:br/>
        <w:br/>
        <w:t>26.   Por las razones expuestas,</w:t>
        <w:br/>
        <w:br/>
        <w:br/>
        <w:br/>
        <w:br/>
        <w:br/>
        <w:t>La Corte Interamericana de Derechos Humanos</w:t>
        <w:br/>
        <w:br/>
        <w:br/>
        <w:br/>
        <w:br/>
        <w:br/>
        <w:t>de conformidad con el artículo 67 de la Convención Americana sobre  Derechos</w:t>
        <w:br/>
        <w:t>Humanos y los artículos 29.3 y 59 del Reglamento,</w:t>
        <w:br/>
        <w:br/>
        <w:t>Decide:</w:t>
        <w:br/>
        <w:br/>
        <w:t>Por unanimidad,</w:t>
        <w:br/>
        <w:br/>
        <w:t>1.    Desestimar  por  improcedente  la  demanda  de  interpretación  de  la</w:t>
        <w:br/>
        <w:t>Sentencia de Fondo, Reparaciones y Costas dictada  el  22  de  noviembre  de</w:t>
        <w:br/>
        <w:t>2007 respecto de las preguntas de los  representantes,  individualizadas  en</w:t>
        <w:br/>
        <w:t>los párrafos 8, 13, 17 y 21 de la presente Sentencia, debido  a  que  no  se</w:t>
        <w:br/>
        <w:t>adecuan a lo previsto en los artículos 67 de la Convención y 29.3 y  59  del</w:t>
        <w:br/>
        <w:t>Reglamento.</w:t>
        <w:br/>
        <w:br/>
        <w:t>2.    Solicitar a la Secretaría  de  la  Corte  que  notifique  la  presente</w:t>
        <w:br/>
        <w:t>Sentencia a los representantes de las víctimas, al Estado y  a  la  Comisión</w:t>
        <w:br/>
        <w:t>Interamericana de Derechos Humanos.</w:t>
        <w:br/>
        <w:br/>
        <w:t>Redactada en español y en inglés, haciendo fe el texto en  español,  en  San</w:t>
        <w:br/>
        <w:t>José, Costa Rica, el 5 de agosto de 2008.</w:t>
        <w:br/>
        <w:br/>
        <w:br/>
        <w:br/>
        <w:br/>
        <w:br/>
        <w:br/>
        <w:br/>
        <w:br/>
        <w:br/>
        <w:br/>
        <w:br/>
        <w:br/>
        <w:t xml:space="preserve">                           Cecilia Medina Quiroga</w:t>
        <w:br/>
        <w:t xml:space="preserve">                                 Presidenta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|Diego García-Sayán                |Sergio García Ramírez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|Manuel E. Ventura Robles          |Leonardo A. Franco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|Margarette May Macaulay           |Rhadys Abreu Blondet              |</w:t>
        <w:br/>
        <w:br/>
        <w:br/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t xml:space="preserve">                                                      Cecilia Medina Quiroga</w:t>
        <w:br/>
        <w:t xml:space="preserve">                                 Presidenta</w:t>
        <w:br/>
        <w:br/>
        <w:br/>
        <w:br/>
        <w:br/>
        <w:t>Pablo Saavedra Alessandri</w:t>
        <w:br/>
        <w:t xml:space="preserve">         Secretario</w:t>
        <w:br/>
        <w:br/>
        <w:t>-----------------------</w:t>
        <w:br/>
        <w:br/>
        <w:t>[1]   Cfr. Caso  Albán  Cornejo  y  otros.  Fondo,  Reparaciones  y  Costas.</w:t>
        <w:br/>
        <w:t>Sentencia de 22 de noviembre de 2007. Serie C No. 171.</w:t>
        <w:br/>
        <w:br/>
        <w:t>[2]   El artículo 67 de la Convención  establece  que:  “[e]l  fallo  de  la</w:t>
        <w:br/>
        <w:t>Corte será definitivo e inapelable. En caso de desacuerdo sobre  el  sentido</w:t>
        <w:br/>
        <w:t>o alcance del fallo, la Corte lo interpretará a solicitud de  cualquiera  de</w:t>
        <w:br/>
        <w:t>las partes, siempre que dicha solicitud se presente dentro  de  los  noventa</w:t>
        <w:br/>
        <w:t>días a partir de la fecha de la notificación del fallo”.</w:t>
        <w:br/>
        <w:t>[3]    El  artículo  29.3  del  Reglamento  establece  que   “[c]ontra   las</w:t>
        <w:br/>
        <w:t>sentencias  y  resoluciones  de  la  Corte  no  procede  ningún   medio   de</w:t>
        <w:br/>
        <w:t>impugnación”.</w:t>
        <w:br/>
        <w:br/>
        <w:t>[4]   El artículo 59 del Reglamento dispone, en lo pertinente, que:</w:t>
        <w:br/>
        <w:t xml:space="preserve">      1.    La demanda de interpretación a que se refiere el artículo 67  de</w:t>
        <w:br/>
        <w:t xml:space="preserve">      la Convención podrá promoverse en relación con las sentencias de fondo</w:t>
        <w:br/>
        <w:t xml:space="preserve">      o de reparaciones y  se  presentará  en  la  Secretaría  de  la  Corte</w:t>
        <w:br/>
        <w:t xml:space="preserve">      indicándose en  ella,  con  precisión,  las  cuestiones  relativas  al</w:t>
        <w:br/>
        <w:t xml:space="preserve">      sentido o alcance de la sentencia cuya interpretación se pida.</w:t>
        <w:br/>
        <w:t xml:space="preserve">      […]</w:t>
        <w:br/>
        <w:t xml:space="preserve">      4.    La demanda de interpretación no suspenderá la  ejecución  de  la</w:t>
        <w:br/>
        <w:t xml:space="preserve">      sentencia.</w:t>
        <w:br/>
        <w:t xml:space="preserve">      5.    La Corte determinará el procedimiento que se seguirá y resolverá</w:t>
        <w:br/>
        <w:t xml:space="preserve">      mediante una sentencia.</w:t>
        <w:br/>
        <w:br/>
        <w:t>[5]   Cfr. Caso Loayza Tamayo Vs. Perú. Interpretación de  la  Sentencia  de</w:t>
        <w:br/>
        <w:t>Fondo. Resolución de la Corte Interamericana de Derechos  Humanos  de  8  de</w:t>
        <w:br/>
        <w:t>marzo de 1998. Serie C No. 47, párr. 16;  Caso  Cantoral  Huamaní  y  García</w:t>
        <w:br/>
        <w:t>Santa  Cruz  Vs.  Perú.  Interpretación  de  la   Sentencia   de   Excepción</w:t>
        <w:br/>
        <w:t>Preliminar, Fondo, Reparaciones y Costas. Sentencia de 28 de enero de  2008.</w:t>
        <w:br/>
        <w:t>Serie C No. 176, párr. 10; y Caso Escué Zapata Vs. Colombia.  Interpretación</w:t>
        <w:br/>
        <w:t>de la Sentencia de Fondo, Reparaciones y Costas. Sentencia de 5 de  mayo  de</w:t>
        <w:br/>
        <w:t>2008. Serie C No. 178. párr. 10.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