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Corte Interamericana de Derechos Humanos</w:t>
        <w:br/>
        <w:br/>
        <w:br/>
        <w:t xml:space="preserve">                    García Prieto y Otro Vs. El Salvador</w:t>
        <w:br/>
        <w:br/>
        <w:br/>
        <w:t xml:space="preserve">                    Sentencia de 24 de noviembre de 2008</w:t>
        <w:br/>
        <w:t xml:space="preserve">        (Interpretación de la Sentencia de Excepciones Preliminares,</w:t>
        <w:br/>
        <w:t xml:space="preserve">                        Fondo, Reparaciones y Costas)</w:t>
        <w:br/>
        <w:br/>
        <w:br/>
        <w:t>En el caso García Prieto y Otro,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br/>
        <w:t>presente, además,</w:t>
        <w:br/>
        <w:br/>
        <w:t xml:space="preserve">      Pablo Saavedra Alessandri, Secretario((,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  demanda  de  interpretación  de  la  Sentencia  de  excepciones</w:t>
        <w:br/>
        <w:t>preliminares, fondo, reparaciones y costas dictada por la  Corte  el  20  de</w:t>
        <w:br/>
        <w:t>noviembre de 2007 en el caso García Prieto y Otro (en adelante  “la  demanda</w:t>
        <w:br/>
        <w:t>de interpretación”   o  “la  demanda”)  interpuesta  por  el  Estado  de  El</w:t>
        <w:br/>
        <w:t>Salvador (en adelante “el Estado” o “El Salvador”).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br/>
        <w:t>1.     El  14  de  marzo  de  2008  el  Estado  presentó  una   demanda   de</w:t>
        <w:br/>
        <w:t>interpretación  de  la  Sentencia  de   excepciones   preliminares,   fondo,</w:t>
        <w:br/>
        <w:t>reparaciones y costas emitida en este caso el 20  de  noviembre  de  2007[1]</w:t>
        <w:br/>
        <w:t>(en adelante “la Sentencia” o “la Sentencia de fondo”),  con  fundamento  en</w:t>
        <w:br/>
        <w:t>los artículos 67 de la Convención y 59 del Reglamento.   En  su  demanda  el</w:t>
        <w:br/>
        <w:t>Estado solicitó a la Corte que: a) aclare “[…]cuáles [fueron] los  criterios</w:t>
        <w:br/>
        <w:t>que [este] Tribunal observ[ó] para determinar un hecho como  ‘independiente’</w:t>
        <w:br/>
        <w:t>o ‘violación específica’”, en relación  con  el  alcance  de  la  limitación</w:t>
        <w:br/>
        <w:t>temporal hecha por El Salvador al reconocer la  competencia  contenciosa  de</w:t>
        <w:br/>
        <w:t>la  Corte;  b)   “confirme   si   deben   continuarse   proveyendo   medidas</w:t>
        <w:br/>
        <w:t>provisionales a […] favor de personas  no  consideradas  […]  víctimas   por</w:t>
        <w:br/>
        <w:t>es[t]e Tribunal”, específicamente a favor de María  de  los  Ángeles  García</w:t>
        <w:br/>
        <w:t>Prieto  de  Charur,  José  Benjamín  Cuellar  Martínez,  Matilde   Guadalupe</w:t>
        <w:br/>
        <w:t>Hernández  de  Espinoza,  José  Roberto  Burgos  Viale  y  Ricardo  Iglesias</w:t>
        <w:br/>
        <w:t>Herrera; y c) aclare “cuál fue la valoración sobre  la  prescripción  de  la</w:t>
        <w:br/>
        <w:t>acción penal” respecto a la investigación de la  muerte  de  Ramón  Mauricio</w:t>
        <w:br/>
        <w:t>García Prieto Giralt (en adelante “el señor García Prieto”).</w:t>
        <w:br/>
        <w:br/>
        <w:br/>
        <w:t>2.    El 24 de marzo  de  2008,  de  conformidad  con  lo  dispuesto  en  el</w:t>
        <w:br/>
        <w:t>artículo 59.2 del Reglamento y siguiendo  instrucciones  de  la  Presidencia</w:t>
        <w:br/>
        <w:t>del Tribunal, la Secretaría de la Corte transmitió copia de  la  demanda  de</w:t>
        <w:br/>
        <w:t>interpretación  a  la  Comisión  Interamericana  de  Derechos  Humanos   (en</w:t>
        <w:br/>
        <w:t>adelante  “la  Comisión”  o  “la   Comisión   Interamericana”)   y   a   los</w:t>
        <w:br/>
        <w:t>representantes de las víctimas (en  adelante  “los  representantes”)  y  les</w:t>
        <w:br/>
        <w:t>comunicó que contaban con un plazo improrrogable hasta el 5 de mayo de  2008</w:t>
        <w:br/>
        <w:t>para  presentar  las  alegaciones  escritas   que   estimaren   pertinentes.</w:t>
        <w:br/>
        <w:t>Asimismo, se recordó al Estado que, de conformidad con lo  dispuesto  en  el</w:t>
        <w:br/>
        <w:t>artículo 59.4 del Reglamento, “[l]a demanda de interpretación no  suspenderá</w:t>
        <w:br/>
        <w:t>la ejecución de la Sentencia”.</w:t>
        <w:br/>
        <w:br/>
        <w:br/>
        <w:t>3.    El 5 de mayo de 2008 la Comisión  y  los  representantes  presentaron,</w:t>
        <w:br/>
        <w:t>respectivamente, las referidas alegaciones escritas.</w:t>
        <w:br/>
        <w:br/>
        <w:t xml:space="preserve">                                     II</w:t>
        <w:br/>
        <w:t xml:space="preserve">                    Competencia y Composición de la Corte</w:t>
        <w:br/>
        <w:br/>
        <w:t>4.    De conformidad con el artículo 67 de la  Convención[2],  la  Corte  es</w:t>
        <w:br/>
        <w:t>competente para interpretar  sus  fallos.   Al  realizar  el  examen  de  la</w:t>
        <w:br/>
        <w:t>demanda de interpretación, el Tribunal debe tener, de ser posible, la  misma</w:t>
        <w:br/>
        <w:t>composición que tenía al dictar la Sentencia respectiva (artículo  59.3  del</w:t>
        <w:br/>
        <w:t>Reglamento). En esta ocasión, la Corte se integra con los mismos jueces  que</w:t>
        <w:br/>
        <w:t>profirieron la Sentencia cuya interpretación ha sido solicitada.</w:t>
        <w:br/>
        <w:br/>
        <w:br/>
        <w:t xml:space="preserve">                                     III</w:t>
        <w:br/>
        <w:br/>
        <w:t xml:space="preserve">                                Admisibilidad</w:t>
        <w:br/>
        <w:br/>
        <w:br/>
        <w:br/>
        <w:t>5.    Corresponde a la Corte verificar si los  términos  de  la  demanda  de</w:t>
        <w:br/>
        <w:t>interpretación  satisfacen  los  requisitos  establecidos  en   las   normas</w:t>
        <w:br/>
        <w:t>aplicables, a saber, el  artículo  67  de  la  Convención  y  los  artículos</w:t>
        <w:br/>
        <w:t>29.3[3] y 59[4] del Reglamento.</w:t>
        <w:br/>
        <w:br/>
        <w:t>6.     La  Corte  constata  que  el   Estado   interpuso   la   demanda   de</w:t>
        <w:br/>
        <w:t>interpretación dentro  del  plazo  establecido  en  el  artículo  67  de  la</w:t>
        <w:br/>
        <w:t>Convención, toda vez que  la  Sentencia  fue  notificada  al  Estado,  a  la</w:t>
        <w:br/>
        <w:t>Comisión Interamericana y a los representantes el 21 de diciembre de 2007.</w:t>
        <w:br/>
        <w:br/>
        <w:t>7.     Por  otro  lado,  tal  como  lo  ha  dispuesto   anteriormente   este</w:t>
        <w:br/>
        <w:t>Tribunal[5],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br/>
        <w:br/>
        <w:br/>
        <w:br/>
        <w:br/>
        <w:br/>
        <w:br/>
        <w:br/>
        <w:t xml:space="preserve">                                     IV</w:t>
        <w:br/>
        <w:t xml:space="preserve">           Sobre los criterios del Tribunal para determinar hechos</w:t>
        <w:br/>
        <w:t xml:space="preserve">      posteriores al reconocimiento de competencia como independientes</w:t>
        <w:br/>
        <w:t xml:space="preserve">                       o  como violaciones específicas</w:t>
        <w:br/>
        <w:br/>
        <w:t>8.    El Estado señaló que reconoció la competencia de  la  Corte  el  6  de</w:t>
        <w:br/>
        <w:t>junio de 1995, y que en el numeral 2 de  la  declaración  de  reconocimiento</w:t>
        <w:br/>
        <w:t>dispuso lo siguiente:</w:t>
        <w:br/>
        <w:br/>
        <w:t xml:space="preserve">      El  Gobierno  de  El  Salvador  al  reconocer  tal  competencia   deja</w:t>
        <w:br/>
        <w:t xml:space="preserve">      constancia que su aceptación [se] hace […] con la reserva de  que  […]</w:t>
        <w:br/>
        <w:t xml:space="preserve">      los casos en que […] reconoce  la  competencia,  comprende[n]  solo  y</w:t>
        <w:br/>
        <w:t xml:space="preserve">      exclusivamente hechos o actos jurídicos posteriores o hechos  o  actos</w:t>
        <w:br/>
        <w:t xml:space="preserve">      jurídicos cuyo principio de ejecución sea[…] posterior[…] a  la  fecha</w:t>
        <w:br/>
        <w:t xml:space="preserve">      del depósito de la declaración de aceptación, […]</w:t>
        <w:br/>
        <w:br/>
        <w:t>Por ello, el Estado manifestó que  su  declaración  y  “reserva”  tienen  un</w:t>
        <w:br/>
        <w:t>alcance más amplio del considerado  por  este  Tribunal,  y  afirmó  que  la</w:t>
        <w:br/>
        <w:t>“reserva” se encuentra dirigida a excluir  “los  hechos  o  actos  jurídicos</w:t>
        <w:br/>
        <w:t>cuyo  principio  de  ejecución  sea[…]  anterior[…]  a   la   fecha   límite</w:t>
        <w:br/>
        <w:t>establecida[,] y que produzcan efectos posteriores a la  referida  fecha[,…]</w:t>
        <w:br/>
        <w:t>puesto que la característica de éstos radica en que [se] iniciaron antes  de</w:t>
        <w:br/>
        <w:t>[la fecha de reconocimiento] y persisten en  el  tiempo,  como  consecuencia</w:t>
        <w:br/>
        <w:t>del acto inicial, en virtud de que estos hechos o actos jurídicos no  pueden</w:t>
        <w:br/>
        <w:t>estar aislados, pues no podrían sustentarse por sí mismos sin  el  necesario</w:t>
        <w:br/>
        <w:t>apoyo en el hecho principal que se encuentra excluido de la  competencia  de</w:t>
        <w:br/>
        <w:t>la Corte”.  En ese sentido, solicitó una aclaración de cuál fue el  criterio</w:t>
        <w:br/>
        <w:t>del Tribunal para determinar un  hecho  como  “independiente”  o  “violación</w:t>
        <w:br/>
        <w:t>específica”, ya que los hechos  sobre  los  que  la  Corte  decidió  conocer</w:t>
        <w:br/>
        <w:t>devienen del mismo acto del que el Tribunal se declaró incompetente.</w:t>
        <w:br/>
        <w:br/>
        <w:t>9.    La Comisión al respecto hizo notar que en la Sentencia, la Corte  pese</w:t>
        <w:br/>
        <w:t>a reconocer su incompetencia respecto de la muerte del señor García  Prieto,</w:t>
        <w:br/>
        <w:t>consideró que “en el transcurso de un proceso, el cual es uno solo a  través</w:t>
        <w:br/>
        <w:t>de sus distintas  etapas,  se  pueden  producir  hechos  independientes  que</w:t>
        <w:br/>
        <w:t>[pueden] configurar violaciones específicas y autónomas [que tiendan  a  la]</w:t>
        <w:br/>
        <w:t>denegación de justicia”. La Comisión indicó que  el  Tribunal  “analizó  los</w:t>
        <w:br/>
        <w:t>argumentos oportunamente planteados por las partes […]  y  se  pronunció  al</w:t>
        <w:br/>
        <w:t>respecto en [la S]entencia”.  Por lo que consideró  que  “la  solicitud  del</w:t>
        <w:br/>
        <w:t>Estado tiene por finalidad impugnar  lo  ya  decidido  por  la  Corte  y  no</w:t>
        <w:br/>
        <w:t>constituye propiamente una solicitud de interpretación de la sentencia.”</w:t>
        <w:br/>
        <w:br/>
        <w:t>10.    Los  representantes  manifestaron  que  el  Estado  no  solicita   la</w:t>
        <w:br/>
        <w:t>aclaración de puntos oscuros de la Sentencia,  sino  que  por  el  contrario</w:t>
        <w:br/>
        <w:t>“pretend[e] que la Corte modifique su decisión en cuanto  a  su  competencia</w:t>
        <w:br/>
        <w:t>temporal para conocer los hechos que fueron sometidos  a  su  conocimiento”.</w:t>
        <w:br/>
        <w:t>Por ello, solicitaron que esta pretensión del  Estado  sea  desestimada,  en</w:t>
        <w:br/>
        <w:t>virtud de que está utilizando la demanda de  interpretación  como  medio  de</w:t>
        <w:br/>
        <w:t>impugnación y, con ello, somete a la consideración del  Tribunal  cuestiones</w:t>
        <w:br/>
        <w:t>de hecho y de derecho que éste ya ha resuelto.</w:t>
        <w:br/>
        <w:br/>
        <w:t>11.   La Corte estableció en la Sentencia de fondo que:</w:t>
        <w:br/>
        <w:br/>
        <w:br/>
        <w:br/>
        <w:t xml:space="preserve">      43.   Esta Corte ya ha considerado que en el transcurso de un proceso,</w:t>
        <w:br/>
        <w:t xml:space="preserve">      el cual es uno solo  a  través  de  sus  diversas  etapas,  se  pueden</w:t>
        <w:br/>
        <w:t xml:space="preserve">      producir hechos  independientes  que  podrían  configurar  violaciones</w:t>
        <w:br/>
        <w:t xml:space="preserve">      específicas y autónomas de denegación de justicia.</w:t>
        <w:br/>
        <w:br/>
        <w:br/>
        <w:t xml:space="preserve">      44.   Por lo tanto, la limitación temporal declarada por el Estado  al</w:t>
        <w:br/>
        <w:t xml:space="preserve">      reconocer la competencia de la  Corte  carece  de  efecto  respecto  a</w:t>
        <w:br/>
        <w:t xml:space="preserve">      hechos independientes que podrían constituir  violaciones  específicas</w:t>
        <w:br/>
        <w:t xml:space="preserve">      dentro de la competencia temporal del Tribunal.</w:t>
        <w:br/>
        <w:br/>
        <w:br/>
        <w:t xml:space="preserve">      45.   La Corte tiene competencia para analizar, a la luz del contenido</w:t>
        <w:br/>
        <w:t xml:space="preserve">      de los artículos 8.1 y 25.1 de la Convención, los hechos  u  omisiones</w:t>
        <w:br/>
        <w:t xml:space="preserve">      ocurridos durante  el  desarrollo  de  las  actuaciones  judiciales  o</w:t>
        <w:br/>
        <w:t xml:space="preserve">      policiales   y   que   puedan   ser   caracterizados   como    “hechos</w:t>
        <w:br/>
        <w:t xml:space="preserve">      independientes” y hayan ocurrido  bajo  la  competencia  temporal  del</w:t>
        <w:br/>
        <w:t xml:space="preserve">      Tribunal, es decir, con posterioridad al 6 de junio de 1995. […]</w:t>
        <w:br/>
        <w:br/>
        <w:t>12.   En los párrafos 43, 44 y 45 de la Sentencia de fondo, la Corte  indicó</w:t>
        <w:br/>
        <w:t>con claridad que bajo su competencia  temporal  puede  conocer  de  aquellos</w:t>
        <w:br/>
        <w:t>hechos u omisiones que han ocurrido en el presente caso,  con  posterioridad</w:t>
        <w:br/>
        <w:t>al 6 de junio de  1995,  los  cuales  se  pueden  caracterizar  como  hechos</w:t>
        <w:br/>
        <w:t>independientes y derivar consecuencias jurídicas de  ellos.   Este  Tribunal</w:t>
        <w:br/>
        <w:t>en reiteradas ocasiones  ha  establecido  la  diferencia  que  existe  entre</w:t>
        <w:br/>
        <w:t>reservas a la Convención y el acto de reconocimiento de  competencia  de  la</w:t>
        <w:br/>
        <w:t>Corte[6].  En ese mismo sentido, el Tribunal ha sido claro en establecer  el</w:t>
        <w:br/>
        <w:t>alcance de la declaración hecha por El  Salvador  y  los  efectos  que  ésta</w:t>
        <w:br/>
        <w:t>produce sobre la competencia de la Corte en un  caso  concreto[7].   Además,</w:t>
        <w:br/>
        <w:t>en otras oportunidades ha señalado que en el transcurso  de  un  proceso  se</w:t>
        <w:br/>
        <w:t>pueden producir hechos independientes  que  podrían  configurar  violaciones</w:t>
        <w:br/>
        <w:t>específicas y autónomas de  denegación  de  justicia[8].   Por  ejemplo,  la</w:t>
        <w:br/>
        <w:t>decisión de un juez  de  no  permitir  la  participación  del  defensor  del</w:t>
        <w:br/>
        <w:t>acusado en el proceso[9]; la prohibición a los defensores  de  entrevistarse</w:t>
        <w:br/>
        <w:t>a solas con sus  clientes,  conocer  oportunamente  el  expediente,  aportar</w:t>
        <w:br/>
        <w:t>pruebas de descargo, contradecir las de cargo y preparar  adecuadamente  los</w:t>
        <w:br/>
        <w:t>alegatos[10]; la  actuación  de  jueces  y  fiscales  “sin  rostro”[11],  el</w:t>
        <w:br/>
        <w:t>sometimiento  al  acusado  a  torturas   o   maltratos   para   forzar   una</w:t>
        <w:br/>
        <w:t>confesión[12]; la  falta  de  comunicación  al  detenido  extranjero  de  su</w:t>
        <w:br/>
        <w:t>derecho  de  asistencia  consular[13],  y  la  violación  del  principio  de</w:t>
        <w:br/>
        <w:t>coherencia o de  correlación  entre  acusación  y  sentencia[14].   Dado  lo</w:t>
        <w:br/>
        <w:t>expuesto, la Corte considera que la Sentencia de  fondo  es  suficientemente</w:t>
        <w:br/>
        <w:t>clara al respecto.</w:t>
        <w:br/>
        <w:br/>
        <w:br/>
        <w:br/>
        <w:t xml:space="preserve">  13. En consecuencia, la primera pregunta planteada por  el  Estado  (supra</w:t>
        <w:br/>
        <w:t xml:space="preserve">      párr. 8) no satisface los requerimientos de la Convención Americana  y</w:t>
        <w:br/>
        <w:t xml:space="preserve">      el Reglamento, por lo que el Tribunal la declara improcedente.</w:t>
        <w:br/>
        <w:br/>
        <w:br/>
        <w:br/>
        <w:br/>
        <w:t xml:space="preserve">                                      V</w:t>
        <w:br/>
        <w:t xml:space="preserve">       Respecto a si el Estado debe mantener las medidas provisionales</w:t>
        <w:br/>
        <w:t xml:space="preserve">                 a favor de personas que no fueron declaradas</w:t>
        <w:br/>
        <w:t xml:space="preserve">                           víctimas en la Sentencia</w:t>
        <w:br/>
        <w:br/>
        <w:br/>
        <w:t>14.   El Estado señaló que por Resolución de 26 de septiembre  de  2006,  la</w:t>
        <w:br/>
        <w:t>Corte ordenó que adoptara medidas provisionales a favor de Gloria Giralt  de</w:t>
        <w:br/>
        <w:t>García Prieto, José Mauricio García Prieto Hirlemann y María de los  Ángeles</w:t>
        <w:br/>
        <w:t>García Prieto de Charur y a favor de los miembros de Instituto  de  Derechos</w:t>
        <w:br/>
        <w:t>Humanos de la Universidad Centroamericana José  Simeón  Cañas  (en  adelante</w:t>
        <w:br/>
        <w:t>“el IDHUCA”), José Benjamín Cuellar Martínez,  Matilde  Guadalupe  Hernández</w:t>
        <w:br/>
        <w:t>de Espinoza y José Roberto Burgos Viale, ampliándolas el 3 de  diciembre  de</w:t>
        <w:br/>
        <w:t>2006 a favor de Ricardo Alberto Iglesias Herrera quien había  sido  ofrecido</w:t>
        <w:br/>
        <w:t>como perito por el IDHUCA.  Agregó que, en virtud de que el Tribunal  en  la</w:t>
        <w:br/>
        <w:t>Sentencia consideró “como parte lesionada  únicamente  a  los  señores  José</w:t>
        <w:br/>
        <w:t>Mauricio Garcia Prieto Hirlemann y Gloria Giralt  de  García  Prieto  en  su</w:t>
        <w:br/>
        <w:t>carácter de víctimas de las violaciones establecidas en  su  perjuicio”,  el</w:t>
        <w:br/>
        <w:t>Estado solicitó a la Corte que se confirme si  debe  continuarse  proveyendo</w:t>
        <w:br/>
        <w:t>medidas provisionales a favor del resto  de  personas  mencionadas,  ya  que</w:t>
        <w:br/>
        <w:t>dichas personas no fueron declaradas víctimas.</w:t>
        <w:br/>
        <w:br/>
        <w:t>15.   Al respecto, la Comisión consideró que el hecho de que el Tribunal  no</w:t>
        <w:br/>
        <w:t>haya declarado como víctimas a las personas indicadas  no  repercute  en  la</w:t>
        <w:br/>
        <w:t>vigencia  de  las  medidas  de  protección  ordenadas,  las   cuales   deben</w:t>
        <w:br/>
        <w:t>mantenerse mientras subsistan los supuestos que dieron  lugar  para  que  se</w:t>
        <w:br/>
        <w:t>dictaran de conformidad con el artículo 63.2 de la Convención. En  razón  de</w:t>
        <w:br/>
        <w:t>lo  anterior,  la  Comisión  consideró  que  deben  seguirse  prestando  con</w:t>
        <w:br/>
        <w:t>independencia de la Sentencia dictada por la Corte.  Con esos  antecedentes,</w:t>
        <w:br/>
        <w:t>la Comisión concluyó indicando que “la  solicitud  de  aclaración  formulada</w:t>
        <w:br/>
        <w:t>por el Estado sobre la vigencia de las medidas provisionales no  es  materia</w:t>
        <w:br/>
        <w:t>de interpretación de la Sentencia dictada en el presente caso.”</w:t>
        <w:br/>
        <w:br/>
        <w:t>16.    Los  representantes  manifestaron  que  esta  solicitud  del   Estado</w:t>
        <w:br/>
        <w:t>“tampoco tiende a la aclaración de un punto oscuro de  la  [S]entencia,  [ya</w:t>
        <w:br/>
        <w:t>que] el otorgamiento de las medidas provisionales a favor de estas  personas</w:t>
        <w:br/>
        <w:t>se dio a  través  de  dos  resoluciones  distintas  a  la  [S]entencia  cuya</w:t>
        <w:br/>
        <w:t>interpretación se solicita […]. En consecuencia, la solicitud  estatal  debe</w:t>
        <w:br/>
        <w:t>ser desestimada.”  Los representantes, además,  indicaron  que  las  medidas</w:t>
        <w:br/>
        <w:t>provisionales no han sido implementadas de manera efectiva en este caso.</w:t>
        <w:br/>
        <w:br/>
        <w:br/>
        <w:t>17.   La Corte observa que los párrafos 13 y 14 de  la  Sentencia  de  fondo</w:t>
        <w:br/>
        <w:t>contienen un resumen  relacionado  con  la  adopción  y  ampliación  de  las</w:t>
        <w:br/>
        <w:t>medidas provisionales ordenadas por el Tribunal, mediante  las  Resoluciones</w:t>
        <w:br/>
        <w:t>dictadas el 26 de septiembre de 2006 y el 27 de enero de 2007,  a  favor  de</w:t>
        <w:br/>
        <w:t>las siguientes personas: Gloria  Giralt  de  García  Prieto,  José  Mauricio</w:t>
        <w:br/>
        <w:t>García Prieto Hirlemann, María de los Ángeles García Prieto de Charur,  José</w:t>
        <w:br/>
        <w:t>Benjamín Cuéllar Martínez, Matilde Guadalupe  Hernández  de  Espinoza,  José</w:t>
        <w:br/>
        <w:t>Roberto Burgos Viale y Ricardo Alberto Iglesias Herrera. Sin embargo, en  la</w:t>
        <w:br/>
        <w:t>Sentencia esta Corte no hizo pronunciamiento específico sobre las  referidas</w:t>
        <w:br/>
        <w:t>medidas provisionales.</w:t>
        <w:br/>
        <w:br/>
        <w:br/>
        <w:t>18.   Este Tribunal hace notar que la materia de las  medidas  provisionales</w:t>
        <w:br/>
        <w:t>es distinta a la de los procesos contenciosos, dado que de  conformidad  con</w:t>
        <w:br/>
        <w:t>el artículo 63.2 de la Convención Americana[15], éstas  tienen  un  carácter</w:t>
        <w:br/>
        <w:t>excepcional y tutelar, ya que son dictadas en función de las necesidades  de</w:t>
        <w:br/>
        <w:t>protección y, una vez ordenadas, deben mantenerse siempre y cuando la  Corte</w:t>
        <w:br/>
        <w:t>considere que  subsisten  los  requisitos  básicos  de  extrema  gravedad  y</w:t>
        <w:br/>
        <w:t>urgencia y de prevención  de  daños  irreparables  a  los  derechos  de  las</w:t>
        <w:br/>
        <w:t>personas protegidas por ellas[16].</w:t>
        <w:br/>
        <w:br/>
        <w:t>19.   En este sentido, las características que configuran la calidad de  los</w:t>
        <w:br/>
        <w:t>beneficiarios de las medidas provisionales son distintas  de  las  presuntas</w:t>
        <w:br/>
        <w:t>víctimas de un caso  contencioso.   Así,  los  beneficiarios  se  encuentran</w:t>
        <w:br/>
        <w:t>dentro de las circunstancias descritas en el referido artículo  63.2  de  la</w:t>
        <w:br/>
        <w:t>Convención, mientras que las víctimas  han  sido  identificadas  como  tales</w:t>
        <w:br/>
        <w:t>durante el  transcurso  del  proceso  ante  el  sistema  interamericano,  de</w:t>
        <w:br/>
        <w:t>acuerdo con las formalidades establecidas en la Convención.  Si  bien  ambas</w:t>
        <w:br/>
        <w:t>calidades pueden coincidir, no es condición  que  la  Corte  declare  a  una</w:t>
        <w:br/>
        <w:t>persona como “víctima” para que  ésta  pueda  ser  beneficiaria  de  medidas</w:t>
        <w:br/>
        <w:t>provisionales.</w:t>
        <w:br/>
        <w:br/>
        <w:br/>
        <w:t>20.   Teniendo en cuenta lo anterior, el Tribunal considera que la  pregunta</w:t>
        <w:br/>
        <w:t>formulada por el Estado, expuesta en el párrafo  14,  no  tiene  por  objeto</w:t>
        <w:br/>
        <w:t>aclarar o precisar el contenido de algún punto de la  Sentencia  mencionada,</w:t>
        <w:br/>
        <w:t>ni desentrañar el sentido del  fallo  por  falta  de  claridad  o  precisión</w:t>
        <w:br/>
        <w:t>suficiente en sus puntos resolutivos o en sus consideraciones,  por  lo  que</w:t>
        <w:br/>
        <w:t>la declara improcedente,  ya  que  no  se  adecua  a  lo  requerido  por  la</w:t>
        <w:br/>
        <w:t>Convención Americana y el Reglamento, para efectos de la interpretación.</w:t>
        <w:br/>
        <w:br/>
        <w:br/>
        <w:br/>
        <w:br/>
        <w:br/>
        <w:br/>
        <w:br/>
        <w:br/>
        <w:br/>
        <w:br/>
        <w:t xml:space="preserve">                                     VI</w:t>
        <w:br/>
        <w:t xml:space="preserve">       Sobre la valoración de la Corte respecto de la prescripción de</w:t>
        <w:br/>
        <w:t xml:space="preserve">  la acción penal en la investigación de la muerte del señor García Prieto</w:t>
        <w:br/>
        <w:br/>
        <w:br/>
        <w:t>21.   El Estado observó que en la Sentencia la Corte le ordenó  que  realice</w:t>
        <w:br/>
        <w:t>una investigación judicial sobre el asesinato del señor  García  Prieto  sin</w:t>
        <w:br/>
        <w:t>pronunciarse sobre la prescripción de la acción penal en  relación  con  ese</w:t>
        <w:br/>
        <w:t>caso,  pero  “sí  manda  al  Estado  a   que   continúe   y   culminen   las</w:t>
        <w:br/>
        <w:t>investigaciones”.   Por lo que solicita al Tribunal que aclare “cuál fue  la</w:t>
        <w:br/>
        <w:t>valoración sobre la prescripción de la  acción  penal  en  relación  con  el</w:t>
        <w:br/>
        <w:t>caso, considerando que el Código Penal salvadoreño vigente y aplicable  para</w:t>
        <w:br/>
        <w:t>la época del asesinato […] establece diez años  para  que  la  acción  penal</w:t>
        <w:br/>
        <w:t>prescriba en los delitos sancionados con pena de  prisión  cuyo  máximo  sea</w:t>
        <w:br/>
        <w:t>superior a  quince  años”.  Agregó  que  por  lo  tanto,  “la  acción  penal</w:t>
        <w:br/>
        <w:t>tendiente a la investigación por la muerte [del  señor]  García  Prieto  […]</w:t>
        <w:br/>
        <w:t>está fuera de la competencia [del Tribunal], puesto que la  prescripción  de</w:t>
        <w:br/>
        <w:t>la acción penal es un principio básico de Derecho Penal contemplado en  [la]</w:t>
        <w:br/>
        <w:t>legislación” salvadoreña.</w:t>
        <w:br/>
        <w:br/>
        <w:br/>
        <w:br/>
        <w:t>22.   La Comisión indicó que  tanto  ella  como  los  representantes  habían</w:t>
        <w:br/>
        <w:t>solicitado a la Corte dejar sin efecto la prescripción de  la  acción  penal</w:t>
        <w:br/>
        <w:t>respecto a la investigación, pero el Tribunal no se pronunció “toda vez  que</w:t>
        <w:br/>
        <w:t>no encontró prueba en el expediente fiscal […] para determinar que  ésta  se</w:t>
        <w:br/>
        <w:t>haya  aplicado  en  el  caso  concreto.”    Agregó  que  de  acuerdo  a   la</w:t>
        <w:br/>
        <w:t>jurisprudencia  del  Tribunal  “las  disposiciones  de  prescripción  o  los</w:t>
        <w:br/>
        <w:t>obstáculos de derecho interno que impidan la investigación y sanción de  los</w:t>
        <w:br/>
        <w:t>responsables  de  violaciones  a   derechos   humanos   son   inadmisibles”.</w:t>
        <w:br/>
        <w:t>Finalmente, concluyó que según los términos de la Sentencia “el Estado  debe</w:t>
        <w:br/>
        <w:t>continuar  con  las   investigaciones   pertinentes   que   determinen   las</w:t>
        <w:br/>
        <w:t>circunstancias que dieron lugar al asesinato del señor  García  Prieto  y  a</w:t>
        <w:br/>
        <w:t>las amenazas y hostigamientos” sufridos por los padres de éste.</w:t>
        <w:br/>
        <w:br/>
        <w:br/>
        <w:br/>
        <w:t>23.   Los representantes manifestaron que la Sentencia es clara  al  ordenar</w:t>
        <w:br/>
        <w:t>que el Estado debe continuar con las  investigaciones  relacionadas  con  el</w:t>
        <w:br/>
        <w:t>asesinato del señor  García  Prieto.   Señalaron  que  el  Estado  introduce</w:t>
        <w:br/>
        <w:t>argumentos de hecho y de derecho que ya fueron escuchados  por  la  Corte  y</w:t>
        <w:br/>
        <w:t>sobre los cuales  ya  decidió,  por  lo  cual,  concluyeron  que  el  Estado</w:t>
        <w:br/>
        <w:t>“pretende usar la demanda de interpretación como un medio de impugnación  de</w:t>
        <w:br/>
        <w:t>la [S]entencia”.  Los representantes añadieron que “en el caso de  que  [la]</w:t>
        <w:br/>
        <w:t>Corte decidiera  acoger  la  consulta  [realizada  por  el]  Estado  […]  es</w:t>
        <w:br/>
        <w:t>necesario agregar que [éste…] no puede alegar obstáculos de derecho  interno</w:t>
        <w:br/>
        <w:t>para justificar el incumplimiento de sus obligaciones  internacionales”.  En</w:t>
        <w:br/>
        <w:t>consecuencia, los representantes afirmaron que en virtud de que el  Tribunal</w:t>
        <w:br/>
        <w:t>ordenó al  Estado  que  investigue  los  hechos  del  caso,  éste  no  puede</w:t>
        <w:br/>
        <w:t>argumentar la prescripción para negarse a cumplir con dicha obligación.</w:t>
        <w:br/>
        <w:br/>
        <w:t>24.   La Corte observa que la Sentencia de fondo es clara en señalar en  los</w:t>
        <w:br/>
        <w:t>párrafos 193, 194 y 195 que el Estado debe culminar  con  la  investigación,</w:t>
        <w:br/>
        <w:t>para lo cual debe utilizar todos los medios disponibles para hacer  expedita</w:t>
        <w:br/>
        <w:t>dicha investigación y  los  procedimientos  respectivos,  y  así  evitar  la</w:t>
        <w:br/>
        <w:t>repetición de hechos como los del presente caso.   Sin embargo,  en  lo  que</w:t>
        <w:br/>
        <w:t>se refiere a la prescripción, el Tribunal no realizó  valoración  alguna  al</w:t>
        <w:br/>
        <w:t>respecto, dado que concluyó, como se expresa claramente en  el  párrafo  197</w:t>
        <w:br/>
        <w:t>de la Sentencia, que en el  expediente  fiscal  No.  34-00-03  abierto  para</w:t>
        <w:br/>
        <w:t>investigar  la  posible  participación  de  autores  intelectuales   en   el</w:t>
        <w:br/>
        <w:t>homicidio del señor García Prieto y la identificación  del  posible  tercero</w:t>
        <w:br/>
        <w:t>que habría participado en los hechos no  se  había  encontrado  prueba  para</w:t>
        <w:br/>
        <w:t>determinar que se hubiere aplicado la  prescripción  en  el  presente  caso.</w:t>
        <w:br/>
        <w:t>Esta Corte reitera que no puede pronunciarse al  respecto  en  tanto  no  se</w:t>
        <w:br/>
        <w:t>verifique la aplicación de la prescripción  por  una  autoridad  competente,</w:t>
        <w:br/>
        <w:t>por lo que este punto podrá ser, según el caso, materia  de  supervisión  de</w:t>
        <w:br/>
        <w:t>cumplimiento de Sentencia.</w:t>
        <w:br/>
        <w:br/>
        <w:br/>
        <w:br/>
        <w:t>25.   En consecuencia, en relación con la tercera pregunta planteada por  el</w:t>
        <w:br/>
        <w:t>Estado (supra párr. 21), esta Corte la declara improcedente.</w:t>
        <w:br/>
        <w:br/>
        <w:br/>
        <w:br/>
        <w:br/>
        <w:br/>
        <w:t xml:space="preserve">                                     VII</w:t>
        <w:br/>
        <w:t xml:space="preserve">                             Puntos Resolutivos</w:t>
        <w:br/>
        <w:br/>
        <w:br/>
        <w:t>26.   Por las razones expuestas,</w:t>
        <w:br/>
        <w:br/>
        <w:br/>
        <w:br/>
        <w:t>La Corte Interamericana de Derechos Humanos</w:t>
        <w:br/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br/>
        <w:t>Decide:</w:t>
        <w:br/>
        <w:br/>
        <w:br/>
        <w:br/>
        <w:t>Por unanimidad,</w:t>
        <w:br/>
        <w:br/>
        <w:t>1.    Desestimar  por  improcedente  la  demanda  de  interpretación  de  la</w:t>
        <w:br/>
        <w:t>Sentencia de excepciones preliminares, fondo, reparaciones y costas  dictada</w:t>
        <w:br/>
        <w:t>por la Corte Interamericana de Derechos Humanos el 20 de noviembre de  2007.</w:t>
        <w:br/>
        <w:br/>
        <w:br/>
        <w:t xml:space="preserve">   2. Solicitar a la Secretaría  de  la  Corte  que  notifique  la  presente</w:t>
        <w:br/>
        <w:t xml:space="preserve">      Sentencia al Estado, a la Comisión Interamericana de Derechos  Humanos</w:t>
        <w:br/>
        <w:t xml:space="preserve">      y a los representantes de las víctima.</w:t>
        <w:br/>
        <w:br/>
        <w:br/>
        <w:br/>
        <w:br/>
        <w:br/>
        <w:br/>
        <w:br/>
        <w:t>Redactada en español y en inglés, haciendo fe el texto en  español,  en  San</w:t>
        <w:br/>
        <w:t>José, Costa Rica, el día 24 de noviembre de 2008.</w:t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Cecilia Medina Quiroga                          Manuel E. Ventura Robles</w:t>
        <w:br/>
        <w:br/>
        <w:br/>
        <w:br/>
        <w:br/>
        <w:br/>
        <w:t>Leonardo  A.   Franco                                       Margarette   May</w:t>
        <w:br/>
        <w:t>Macaulay</w:t>
        <w:br/>
        <w:br/>
        <w:br/>
        <w:br/>
        <w:br/>
        <w:br/>
        <w:t xml:space="preserve">                            Rhadys Abreu Blondet</w:t>
        <w:br/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t>(     El 22 de enero de  2007  el  Juez  Diego  García-Sayán  se  excusó  de</w:t>
        <w:br/>
        <w:t>conocer el presente caso, de conformidad con los artículos 19  del  Estatuto</w:t>
        <w:br/>
        <w:t>y 19 del Reglamento de la Corte.</w:t>
        <w:br/>
        <w:t>((    La Secretaria Adjunta Emilia Segares Rodríguez, por motivos de  fuerza</w:t>
        <w:br/>
        <w:t>mayor, no participó en la deliberación de la presente Sentencia.</w:t>
        <w:br/>
        <w:br/>
        <w:t>[1]   Cfr. Caso García  Prieto  y  Otro.  Excepciones  Preliminares,  Fondo,</w:t>
        <w:br/>
        <w:t>Reparaciones y Costas. Sentencia de 20 de noviembre de  2007.  Serie  C  No.</w:t>
        <w:br/>
        <w:t>168.</w:t>
        <w:br/>
        <w:br/>
        <w:t>[2]   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t>[3]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[4]   El artículo 59 del Reglamento dispone, en lo pertinente,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t xml:space="preserve">      […]</w:t>
        <w:br/>
        <w:br/>
        <w:t xml:space="preserve">      4.    La demanda de interpretación no suspenderá la  ejecución  de  la</w:t>
        <w:br/>
        <w:t xml:space="preserve">      sentencia.</w:t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br/>
        <w:t>[5]   Cfr. Caso Loayza Tamayo. Interpretación  de  la  Sentencia  de  Fondo.</w:t>
        <w:br/>
        <w:t>Resolución de la Corte de 8 de marzo de 1998. Serie  C  No.  47,  párr.  16;</w:t>
        <w:br/>
        <w:t>Caso Albán Cornejo y Otros Vs. Ecuador. Interpretación de  la  Sentencia  de</w:t>
        <w:br/>
        <w:t>Fondo, Reparaciones y Costas. Sentencia de 5 de agosto de 2008. Serie C  No.</w:t>
        <w:br/>
        <w:t>183, párr. 7, y Caso del Pueblo Saramaka Vs. Surinam. Interpretación  de  la</w:t>
        <w:br/>
        <w:t>Sentencia  de  Excepciones  Preliminares,  Fondo,  Reparaciones  y   Costas.</w:t>
        <w:br/>
        <w:t>Sentencia de 12 de agosto de 2008 Serie C No. 185, párr. 9.</w:t>
        <w:br/>
        <w:br/>
        <w:t>[6]   Cfr. Caso Cantos Vs. Argentina.  Excepciones  Preliminares.  Sentencia</w:t>
        <w:br/>
        <w:t>de 7 de septiembre de 2001. Serie C No. 85; párr. 34;  Caso  Alfonso  Martín</w:t>
        <w:br/>
        <w:t>del Campo Dodd Vs. México.  Excepciones  Preliminares.  Sentencia  de  3  de</w:t>
        <w:br/>
        <w:t>septiembre de 2004. Serie C No. 113,  párr.  68,  y  Caso  de  las  Hermanas</w:t>
        <w:br/>
        <w:t>Serrano Cruz Vs. El Salvador.  Excepciones Preliminares.   Sentencia  de  23</w:t>
        <w:br/>
        <w:t>de noviembre de 2004.  Serie C No. 118,  párr. 61.</w:t>
        <w:br/>
        <w:t>[7]   Cfr. Caso de las Hermanas Serrano Cruz, supra nota 6, párrs. 62-84,  y</w:t>
        <w:br/>
        <w:t>Caso García Prieto y otros, supra nota 1, párrs. 39 a 45.</w:t>
        <w:br/>
        <w:t>[8]   Cfr. Caso de las Hermanas Serrano Cruz, supra  nota  6,  párr.  84,  y</w:t>
        <w:br/>
        <w:t>Caso Almonacid Arellano y otros Vs. Chile. Excepciones Preliminares,  Fondo,</w:t>
        <w:br/>
        <w:t>Reparaciones y Costas. Sentencia de 26 de septiembre de 2006.  Serie  C  No.</w:t>
        <w:br/>
        <w:t>154, párr. 48.</w:t>
        <w:br/>
        <w:t>[9]    Cfr.  Caso  Comunidad  Indígena  Yakye  Axa  Vs.   Paraguay.   Fondo,</w:t>
        <w:br/>
        <w:t>Reparaciones y Costas. Sentencia de 17 de junio de 2005. Serie  C  No.  125,</w:t>
        <w:br/>
        <w:t>párr. 117, y Caso Almonacid Arellano y otros, supra nota 8, párr. 48.</w:t>
        <w:br/>
        <w:t>[10]  Cfr. Caso Castillo Petruzzi y otros Vs. Perú.  Fondo,  Reparaciones  y</w:t>
        <w:br/>
        <w:t>Costas. Sentencia de 30 de mayo de 1999. Serie C No. 52 , párrs. 141 y  142,</w:t>
        <w:br/>
        <w:t>146 a 149 y 153 a 156, y Caso Almonacid Arellano  y  otros,  supra  nota  8,</w:t>
        <w:br/>
        <w:t>párr. 48.</w:t>
        <w:br/>
        <w:t>[11]  Cfr. Caso  Lori  Berenson  Mejía  Vs.  Perú.   Fondo,  Reparaciones  y</w:t>
        <w:br/>
        <w:t>Costas. Sentencia de 25 de noviembre de 2004.  Serie C No. 119 , párr.  147,</w:t>
        <w:br/>
        <w:t>y Caso Almonacid Arellano y otros , supra nota 8, párr. 48.</w:t>
        <w:br/>
        <w:t>[12]  Cfr. Caso Cantoral Benavides Vs.  Perú.  Fondo.  Sentencia  de  18  de</w:t>
        <w:br/>
        <w:t>agosto de  2000.  Serie  C  No.  69,  párr.  104;  Caso  Tibi  Vs.  Ecuador.</w:t>
        <w:br/>
        <w:t>Excepciones Preliminares, Fondo, Reparaciones y Costas. Sentencia  de  7  de</w:t>
        <w:br/>
        <w:t>septiembre de 2004. Serie C No. 114, párr. 146, y Caso Almonacid Arellano  y</w:t>
        <w:br/>
        <w:t>otros, supra nota 8, párr. 48.</w:t>
        <w:br/>
        <w:t>[13]  Cfr.  Caso Acosta Calderón. Fondo, Reparaciones  y  Costas.  Sentencia</w:t>
        <w:br/>
        <w:t>de 24 de junio de 2005. Serie  C  No.  129,  párr.  125,  y  Caso  Almonacid</w:t>
        <w:br/>
        <w:t>Arellano y otros, supra nota 8, párr. 48.</w:t>
        <w:br/>
        <w:t>[14]  Cfr. Caso Fermín Ramírez. Fondo, Reparaciones y Costas.  Sentencia  de</w:t>
        <w:br/>
        <w:t>20 de junio de 2005. Serie C No. 126,  párrs.  65  a  6,  y  Caso  Almonacid</w:t>
        <w:br/>
        <w:t>Arellano y otros, supra nota 8, párr. 48.</w:t>
        <w:br/>
        <w:t>[15]  El artículo  63.2  de  la  Convención  Americana,  en  lo  conducente,</w:t>
        <w:br/>
        <w:t>establece:</w:t>
        <w:br/>
        <w:t xml:space="preserve">      En caso de extrema gravedad y urgencia, y  cuando  se  haga  necesario</w:t>
        <w:br/>
        <w:t xml:space="preserve">      evitar daños irreparables, a las personas, la Corte,  en  los  asuntos</w:t>
        <w:br/>
        <w:t xml:space="preserve">      que  esté  conociendo,  podrá  tomar  las  medidas  provisionales  que</w:t>
        <w:br/>
        <w:t xml:space="preserve">      considere pertinentes.   Si  tratare  de  asuntos  que  aún  no  estén</w:t>
        <w:br/>
        <w:t xml:space="preserve">      sometidos a su conocimiento, podrá actuar a solicitud de la Comisión.</w:t>
        <w:br/>
        <w:br/>
        <w:t>[16]    Cfr.  Caso  del  Tribunal  Constitucional.   Medidas   Provisionales</w:t>
        <w:br/>
        <w:t>respecto del  Perú.  Resolución  de  la  Corte  de  14  de  marzo  de  2001,</w:t>
        <w:br/>
        <w:t>Considerando  tercero;  Asunto  Álvarez  y  otros.   Medidas   Provisionales</w:t>
        <w:br/>
        <w:t>respecto de Colombia. Resolución de la  Corte  de  8  de  febrero  de  2008,</w:t>
        <w:br/>
        <w:t>Considerando décimo tercero;  y  Caso  de  los  Hermanos  Gómez  Paquiyauri.</w:t>
        <w:br/>
        <w:t>Medidas Provisionales respecto del Perú. Resolución de la  Corte   de  3  de</w:t>
        <w:br/>
        <w:t>mayo de 2008, Considerando undécimo.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