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t xml:space="preserve">                  Corte Interamericana de Derechos Humanos</w:t>
        <w:br/>
        <w:br/>
        <w:br/>
        <w:t xml:space="preserve">                         Caso Maqueda Vs. Argentina</w:t>
        <w:br/>
        <w:br/>
        <w:br/>
        <w:t xml:space="preserve">                       Resolución de 17 de enero 1995</w:t>
        <w:br/>
        <w:t xml:space="preserve">                         (Excepciones Preliminares)</w:t>
        <w:br/>
        <w:br/>
        <w:br/>
        <w:t>En el caso Maqueda,</w:t>
        <w:br/>
        <w:br/>
        <w:t>la Corte Interamericana de Derechos Humanos, integrada  por  los  siguientes</w:t>
        <w:br/>
        <w:t>jueces(*):</w:t>
        <w:br/>
        <w:br/>
        <w:br/>
        <w:t xml:space="preserve">      Héctor Fix-Zamudio, Presidente</w:t>
        <w:br/>
        <w:t xml:space="preserve">      Hernán Salgado Pesantes, Vicepresidente</w:t>
        <w:br/>
        <w:t xml:space="preserve">      Alejandro Montiel Argüello, Juez</w:t>
        <w:br/>
        <w:t xml:space="preserve">      Máximo Pacheco Gómez, Juez</w:t>
        <w:br/>
        <w:t xml:space="preserve">      Antônio A. Cançado Trindade, Juez;</w:t>
        <w:br/>
        <w:br/>
        <w:br/>
        <w:t>estuvieron, además, presentes:</w:t>
        <w:br/>
        <w:br/>
        <w:br/>
        <w:t xml:space="preserve">      Manuel E. Ventura Robles, Secretario y</w:t>
        <w:br/>
        <w:t xml:space="preserve">      Ana María Reina, Secretaria adjunta</w:t>
        <w:br/>
        <w:br/>
        <w:br/>
        <w:t>de acuerdo con el artículo 43 del Reglamento de la Corte  Interamericana  de</w:t>
        <w:br/>
        <w:t>Derechos Humanos (en adelante “Reglamento”) dicta  la  siguiente  resolución</w:t>
        <w:br/>
        <w:t>sobre el  presente  caso  introducido  por  la  Comisión  Interamericana  de</w:t>
        <w:br/>
        <w:t>Derechos Humanos (en adelante “la Comisión” o “la Comisión  Interamericana”)</w:t>
        <w:br/>
        <w:t>contra la República Argentina (en adelante “el Gobierno” o “la Argentina”).</w:t>
        <w:br/>
        <w:br/>
        <w:br/>
        <w:br/>
        <w:br/>
        <w:t>___________________</w:t>
        <w:br/>
        <w:t xml:space="preserve">      (*) El Juez Oliver Jackman se abstuvo de conocer este caso  por  haber</w:t>
        <w:br/>
        <w:t>participado en varias etapas del mismo durante su trámite ante  la  Comisión</w:t>
        <w:br/>
        <w:t>Interamericana de Derechos Humanos.</w:t>
        <w:br/>
        <w:br/>
        <w:br/>
        <w:t xml:space="preserve">                                      I</w:t>
        <w:br/>
        <w:br/>
        <w:br/>
        <w:t>1.    Este caso fue sometido a la Corte Interamericana de  Derechos  Humanos</w:t>
        <w:br/>
        <w:t>(en adelante “la  Corte”  o  “la  Corte  Interamericana”)  por  la  Comisión</w:t>
        <w:br/>
        <w:t>mediante nota del 25 de mayo de 1994 a la que acompañó el informe  Nº  17/94</w:t>
        <w:br/>
        <w:t>(caso 11.086) del 9 de febrero de 1994.</w:t>
        <w:br/>
        <w:br/>
        <w:t>2.    La Comisión  Interamericana  sometió  este  caso  para  que  la  Corte</w:t>
        <w:br/>
        <w:t>decidiera si hubo violación,  por  parte  del  Gobierno,  de  la  Convención</w:t>
        <w:br/>
        <w:t>Americana  sobre  Derechos  Humanos  (en  adelante  “la  Convención”  o  “la</w:t>
        <w:br/>
        <w:t>Convención Americana”) “en razón de la condena a diez (10) años  de  prisión</w:t>
        <w:br/>
        <w:t>de  Guillermo  José  Maqueda,  ciudadano  argentino,  en  violación  de   la</w:t>
        <w:br/>
        <w:t>Convención”.</w:t>
        <w:br/>
        <w:br/>
        <w:t>La Comisión solicitó a la Corte que declare que la Argentina ha  violado  en</w:t>
        <w:br/>
        <w:t>perjuicio de la alegada víctima</w:t>
        <w:br/>
        <w:br/>
        <w:t xml:space="preserve">      el derecho a ser oído por un tribunal  imparcial  (artículo  8.1);  el</w:t>
        <w:br/>
        <w:t xml:space="preserve">      derecho a la presunción de inocencia (artículo 8.2); y el  derecho  de</w:t>
        <w:br/>
        <w:t xml:space="preserve">      recurrir del fallo ante juez o  tribunal  superior  (artículo  8.2.h),</w:t>
        <w:br/>
        <w:t xml:space="preserve">      juntamente con las garantías judiciales del artículo 25,  todos  ellos</w:t>
        <w:br/>
        <w:t xml:space="preserve">      en relación con la obligación genérica  de  respetar  los  derechos  y</w:t>
        <w:br/>
        <w:t xml:space="preserve">      libertades reconocidos en la Convención y garantizar su libre y  pleno</w:t>
        <w:br/>
        <w:t xml:space="preserve">      ejercicio de conformidad con el artículo 1.1 de  la  misma.  Asimismo,</w:t>
        <w:br/>
        <w:t xml:space="preserve">      que declare que el Estado Argentino ha violado el  artículo  2  de  la</w:t>
        <w:br/>
        <w:t xml:space="preserve">      Convención, al no adoptar disposiciones de derecho interno  tendientes</w:t>
        <w:br/>
        <w:t xml:space="preserve">      a hacer efectivo el derecho consagrado en el artículo 8.2.h.</w:t>
        <w:br/>
        <w:br/>
        <w:t>Además, pidió a la Corte:</w:t>
        <w:br/>
        <w:br/>
        <w:t xml:space="preserve">      2. Que declare que el Estado  Argentino  debe  decretar  la  inmediata</w:t>
        <w:br/>
        <w:t xml:space="preserve">      libertad de Guillermo Maqueda por vía de indulto o conmutación  de  la</w:t>
        <w:br/>
        <w:t xml:space="preserve">      pena.</w:t>
        <w:br/>
        <w:br/>
        <w:br/>
        <w:t xml:space="preserve">      3. Que declare que el  Estado  Argentino  debe  reparar  e  indemnizar</w:t>
        <w:br/>
        <w:t xml:space="preserve">      adecuadamente a Guillermo Maqueda por el grave daño —material así como</w:t>
        <w:br/>
        <w:t xml:space="preserve">      moral—  sufrido  a  consecuencia  de  la  violación  de  sus  derechos</w:t>
        <w:br/>
        <w:t xml:space="preserve">      protegidos en la Convención.</w:t>
        <w:br/>
        <w:br/>
        <w:br/>
        <w:t xml:space="preserve">      4. Que declare que el Estado Argentino está obligado a  establecer  un</w:t>
        <w:br/>
        <w:t xml:space="preserve">      mecanismo  ordinario  que  garantice  la   doble   instancia   en   el</w:t>
        <w:br/>
        <w:t xml:space="preserve">      procedimiento establecido por la ley 23.077 con el fin  de  lograr  la</w:t>
        <w:br/>
        <w:t xml:space="preserve">      compatibilidad de dicha norma con la Convención Americana de acuerdo a</w:t>
        <w:br/>
        <w:t xml:space="preserve">      lo establecido por su artículo 2.</w:t>
        <w:br/>
        <w:br/>
        <w:br/>
        <w:t xml:space="preserve">      5. Que condene al Gobierno de Argentina a pagar  las  costas  de  este</w:t>
        <w:br/>
        <w:t xml:space="preserve">      proceso.</w:t>
        <w:br/>
        <w:br/>
        <w:t>3.    Según  la  demanda,  Guillermo  Maqueda  era  un  miembro  activo  del</w:t>
        <w:br/>
        <w:t>Movimiento Todos por la Patria (en adelante “MTP”), “un movimiento  político</w:t>
        <w:br/>
        <w:t>de carácter democrático legalmente reconocido” en  la  Argentina.  El  señor</w:t>
        <w:br/>
        <w:t>Maqueda participó en una reunión junto con otros miembros del MTP el  22  de</w:t>
        <w:br/>
        <w:t>enero de 1989 cuando uno de los dirigentes,</w:t>
        <w:br/>
        <w:br/>
        <w:t xml:space="preserve">      el Sr. Francisco Provenzano, les informó sobre la  posibilidad  de  un</w:t>
        <w:br/>
        <w:t xml:space="preserve">      levantamiento militar en un cuartel en la zona de La Tablada —hecho no</w:t>
        <w:br/>
        <w:t xml:space="preserve">      excepcional en  la  Argentina  de  1989,  que  había  visto  numerosos</w:t>
        <w:br/>
        <w:t xml:space="preserve">      levantamientos militares, y rumores de levantamientos. Con  motivo  de</w:t>
        <w:br/>
        <w:t xml:space="preserve">      dicho levantamiento los participantes discutieron  la  realización  de</w:t>
        <w:br/>
        <w:t xml:space="preserve">      diversas actividades para promover y proteger la democracia y el orden</w:t>
        <w:br/>
        <w:t xml:space="preserve">      constitucional. El Sr. Maqueda fue allí  informado  que  un  grupo  de</w:t>
        <w:br/>
        <w:t xml:space="preserve">      personas participaría de  una  movilización  pacífica  en  contra  del</w:t>
        <w:br/>
        <w:t xml:space="preserve">      levantamiento tal como había  ocurrido  en  ocasiones  anteriores.  De</w:t>
        <w:br/>
        <w:t xml:space="preserve">      acuerdo a sus convicciones democráticas, Maqueda decidió participar en</w:t>
        <w:br/>
        <w:t xml:space="preserve">      dicha protesta.</w:t>
        <w:br/>
        <w:br/>
        <w:t>4.    Según la Comisión, cuando Guillermo Maqueda, junto con otros  miembros</w:t>
        <w:br/>
        <w:t>del MTP, acudió en la mañana del  día  siguiente  a  las  inmediaciones  del</w:t>
        <w:br/>
        <w:t>cuartel de La Tablada, se encontraron con una situación distinta de  la  que</w:t>
        <w:br/>
        <w:t>esperaban: un enfrentamiento armado, resultado de la acción de un  grupo  de</w:t>
        <w:br/>
        <w:t>personas que intentaron la toma del cuartel, circunstancia que  les  impidió</w:t>
        <w:br/>
        <w:t>llevar a cabo la movilización pacífica programada. Pocas  horas  después  el</w:t>
        <w:br/>
        <w:t>señor Maqueda se retiró del lugar.</w:t>
        <w:br/>
        <w:br/>
        <w:t>5.    Agrega la demanda que “entre los  participantes  de  dicho  ataque  se</w:t>
        <w:br/>
        <w:t>encontraban  algunos  miembros  del  MTP,  principalmente  sus   dirigentes”</w:t>
        <w:br/>
        <w:t>quienes fueron detenidos y posteriormente  condenados  por  la  comisión  de</w:t>
        <w:br/>
        <w:t>diversos delitos.</w:t>
        <w:br/>
        <w:br/>
        <w:t>6.    Según el escrito de demanda de la Comisión, el 19  de  mayo  de  1989,</w:t>
        <w:br/>
        <w:t>cuatro meses después de su participación en la protesta,  el  señor  Maqueda</w:t>
        <w:br/>
        <w:t>fue detenido y el 11 de junio de 1990 la Cámara Federal  de  San  Martín  lo</w:t>
        <w:br/>
        <w:t>condenó a diez (10) años de prisión en aplicación de</w:t>
        <w:br/>
        <w:br/>
        <w:t xml:space="preserve">      la Ley 23.077, sancionada el 9 de  agosto  de  1984,  llamada  Ley  de</w:t>
        <w:br/>
        <w:t xml:space="preserve">      Defensa de la Democracia  —se  ofrece  copia  de  la  ley  (sic)  como</w:t>
        <w:br/>
        <w:t xml:space="preserve">      prueba—. Dicha ley (sic) crea un  procedimiento  penal  especial  para</w:t>
        <w:br/>
        <w:t xml:space="preserve">      casos de actos de violencia que tienen por fin atentar contra el orden</w:t>
        <w:br/>
        <w:t xml:space="preserve">      constitucional y la vida democrática.</w:t>
        <w:br/>
        <w:br/>
        <w:t>La  Cámara  Federal  de  San  Martín  condenó  a   Guillermo   Maqueda   por</w:t>
        <w:br/>
        <w:t>considerarlo:</w:t>
        <w:br/>
        <w:br/>
        <w:t xml:space="preserve">            a)   coautor del delito de asociación ilícita calificada, y</w:t>
        <w:br/>
        <w:br/>
        <w:br/>
        <w:t xml:space="preserve">             b)    partícipe  secundario  de  los   delitos   de   rebelión,</w:t>
        <w:br/>
        <w:t xml:space="preserve">      usurpación, robo agravado, privación ilegítima de  libertad  agravada,</w:t>
        <w:br/>
        <w:t xml:space="preserve">      homicidios consumados y en grado de tentativa doblemente  agravados  y</w:t>
        <w:br/>
        <w:t xml:space="preserve">      lesiones graves y leves.</w:t>
        <w:br/>
        <w:br/>
        <w:t>Los   representantes   del   señor   Maqueda   interpusieron   un    Recurso</w:t>
        <w:br/>
        <w:t>Extraordinario, que fue rechazado por la Cámara Federal  de  Apelaciones  de</w:t>
        <w:br/>
        <w:t>San Martín el 25 de octubre de 1990. Ante la negativa, presentaron  ante  la</w:t>
        <w:br/>
        <w:t>Corte Suprema de Justicia de la Nación un Recurso de  Queja  por  Denegación</w:t>
        <w:br/>
        <w:t>del Extraordinario, el que también fue rechazado el 17  de  marzo  de  1992,</w:t>
        <w:br/>
        <w:t>quedando  así  agotadas  las  instancias   procesales   existentes   en   la</w:t>
        <w:br/>
        <w:t>jurisdicción interna.</w:t>
        <w:br/>
        <w:br/>
        <w:t>Según la Comisión Interamericana, Guillermo Maqueda</w:t>
        <w:br/>
        <w:br/>
        <w:t xml:space="preserve">      no tuvo posibilidad  de  interponer  un  recurso  de  revisión  de  la</w:t>
        <w:br/>
        <w:t xml:space="preserve">      sentencia debido a que la Ley 23.077 no contempla apelación ni recurso</w:t>
        <w:br/>
        <w:t xml:space="preserve">      amplio ante  ningún  tribunal  de  alzada.  Por  lo  tanto,  la  única</w:t>
        <w:br/>
        <w:t xml:space="preserve">      alternativa que quedaba al acusado era recurrir ante la Corte  Suprema</w:t>
        <w:br/>
        <w:t xml:space="preserve">      utilizando la vía del  Recurso  Extraordinario,  un  recurso  de  tipo</w:t>
        <w:br/>
        <w:t xml:space="preserve">      excepcional y sujeto a restricciones.</w:t>
        <w:br/>
        <w:br/>
        <w:t>7.    El 15 de septiembre de 1992, la  Comisión  Interamericana  recibió  la</w:t>
        <w:br/>
        <w:t>denuncia de Guillermo Maqueda en contra de la Argentina presentada  por  sus</w:t>
        <w:br/>
        <w:t>padres, Ernesto  Maqueda  y  Licia  M.  Quiroga  de  Maqueda,  Human  Rights</w:t>
        <w:br/>
        <w:t>Watch/Americas y Centro por la Justicia y el Derecho Internacional  (CEJIL).</w:t>
        <w:br/>
        <w:t>La denuncia alegaba</w:t>
        <w:br/>
        <w:br/>
        <w:t xml:space="preserve">      que la condena del Sr.  Maqueda  a  diez  (10)  años  de  prisión  por</w:t>
        <w:br/>
        <w:t xml:space="preserve">      presunta vinculación al  ataque  del  23  de  enero  de  1989,  en  el</w:t>
        <w:br/>
        <w:t xml:space="preserve">      Regimiento de  la  Infantería  Motorizada  3  de  La  Tablada,  en  la</w:t>
        <w:br/>
        <w:t xml:space="preserve">      Provincia de Buenos Aires, violaba sus derechos humanos consagrados en</w:t>
        <w:br/>
        <w:t xml:space="preserve">      la Convención Americana, en particular los artículos  2,  8  y  25  en</w:t>
        <w:br/>
        <w:t xml:space="preserve">      relación al artículo 1.1.</w:t>
        <w:br/>
        <w:br/>
        <w:t>8.    El 24 de febrero de 1994, ante la falta de un acuerdo  amistoso  entre</w:t>
        <w:br/>
        <w:t>las partes, la Comisión envió al Gobierno el informe Nº 17/94,  aprobado  el</w:t>
        <w:br/>
        <w:t>9 de febrero de ese mismo año, con  sus  conclusiones  y  recomendaciones  y</w:t>
        <w:br/>
        <w:t>resolvió que si transcurrido el plazo de 60 días el  Gobierno  no  remediaba</w:t>
        <w:br/>
        <w:t>las violaciones “a los derechos humanos de Guillermo  Maqueda  sometería  el</w:t>
        <w:br/>
        <w:t>caso a consideración de la Corte”. La  Comisión  accedió,  a  solicitud  del</w:t>
        <w:br/>
        <w:t>Gobierno, a otorgar una prórroga de 20 días para informar sobre las  medidas</w:t>
        <w:br/>
        <w:t>adoptadas en relación con el informe.</w:t>
        <w:br/>
        <w:br/>
        <w:t>9.    La Corte es competente para conocer del presente  caso.  La  Argentina</w:t>
        <w:br/>
        <w:t>es Estado Parte en la Convención Americana desde el 5 de septiembre de  1984</w:t>
        <w:br/>
        <w:t>y aceptó en esa misma fecha la competencia contenciosa de la Corte a que  se</w:t>
        <w:br/>
        <w:t>refiere el artículo 62 de la Convención.</w:t>
        <w:br/>
        <w:br/>
        <w:t>10.   La Comisión al presentar el caso ante la Corte Interamericana,  el  25</w:t>
        <w:br/>
        <w:t>de mayo de 1994, designó a Michael  Reisman  como  su  delegado  y  a  Edith</w:t>
        <w:br/>
        <w:t>Márquez Rodríguez, Secretaria ejecutiva de la Comisión, y  Meredith  Caplan,</w:t>
        <w:br/>
        <w:t>abogada de la Secretaría, como  asistentes.  En  la  misma  comunicación  la</w:t>
        <w:br/>
        <w:t>Comisión informó a  la  Corte  que  los  peticionarios  son  los  padres  de</w:t>
        <w:br/>
        <w:t>Guillermo Maqueda, Ernesto Maqueda y Licia de Maqueda.</w:t>
        <w:br/>
        <w:br/>
        <w:t>11.   Mediante resolución del 22 de junio  de  1994,  el  Presidente  de  la</w:t>
        <w:br/>
        <w:t>Corte (en adelante “el  Presidente”),  Juez  Rafael  Nieto  Navia,  por  ser</w:t>
        <w:br/>
        <w:t>“miembro y  Presidente  del  Tribunal  Arbitral  Argentino-Chileno  para  la</w:t>
        <w:br/>
        <w:t>determinación de la traza del límite entre el Hito 62 y el Monte Fitz  Roy”,</w:t>
        <w:br/>
        <w:t>cedió la Presidencia para el conocimiento de este caso al Vicepresidente  de</w:t>
        <w:br/>
        <w:t>la Corte, Juez Héctor Fix-Zamudio.</w:t>
        <w:br/>
        <w:br/>
        <w:t>12.   El 24 de junio de 1994 la Secretaría de  la  Corte  (en  adelante  “la</w:t>
        <w:br/>
        <w:t>Secretaría”) notificó la demanda al Gobierno después de realizado el  examen</w:t>
        <w:br/>
        <w:t>preliminar de la misma por el Presidente ad hoc y le  informó  que  disponía</w:t>
        <w:br/>
        <w:t>de un plazo  de  tres  meses  para  contestar  la  demanda  (art.  29.1  del</w:t>
        <w:br/>
        <w:t>Reglamento), dos semanas para nombrar agente y agente alterno (arts. 28.3  y</w:t>
        <w:br/>
        <w:t>21.3 del Reglamento) y 30 días para oponer  excepciones  preliminares  (art.</w:t>
        <w:br/>
        <w:t>31.1 del Reglamento).</w:t>
        <w:br/>
        <w:br/>
        <w:t>13.   Por nota de la misma fecha la Secretaría, siguiendo instrucciones  del</w:t>
        <w:br/>
        <w:t>Presidente ad hoc, comunicó al Gobierno que de acuerdo con  el  artículo  18</w:t>
        <w:br/>
        <w:t>del Reglamento y 10.3 de su Estatuto, tenía plazo de 30  días  para  nombrar</w:t>
        <w:br/>
        <w:t>un Juez ad hoc.</w:t>
        <w:br/>
        <w:br/>
        <w:t>14.   Mediante comunicación del 8 de julio de  1994  el  Gobierno  nombró  a</w:t>
        <w:br/>
        <w:t>Orlando Enrique Sella, Embajador de la República Argentina ante el  Gobierno</w:t>
        <w:br/>
        <w:t>de Costa Rica, para que actuara  en  representación  del  Gobierno  en  este</w:t>
        <w:br/>
        <w:t>caso.</w:t>
        <w:br/>
        <w:br/>
        <w:t>15.   El 21 de septiembre de 1994 la  Argentina  solicitó  a  la  Corte  una</w:t>
        <w:br/>
        <w:t>prórroga de tres meses para contestar la demanda. Mediante comunicación  del</w:t>
        <w:br/>
        <w:t>21 de septiembre de 1994, la Secretaría informó al Gobierno la decisión  del</w:t>
        <w:br/>
        <w:t>Presidente ad hoc de otorgar una prórroga de 45 días para que contestara  la</w:t>
        <w:br/>
        <w:t>demanda.</w:t>
        <w:br/>
        <w:br/>
        <w:t>16.   Por carta del 4 de octubre de 1994 la Comisión notificó a la Corte  su</w:t>
        <w:br/>
        <w:t>decisión, de conformidad con el artículo 43 del Reglamento, de  desistir  de</w:t>
        <w:br/>
        <w:t>la acción entablada en el caso Maqueda contra la Argentina,  basada  en  que</w:t>
        <w:br/>
        <w:t>se había dado cumplimiento a un acuerdo que  “acoge  los  intereses  de  las</w:t>
        <w:br/>
        <w:t>partes y está en conformidad con el espíritu y la letra de la Convención”.</w:t>
        <w:br/>
        <w:br/>
        <w:br/>
        <w:t xml:space="preserve">                                     II</w:t>
        <w:br/>
        <w:br/>
        <w:t>17.   El 1 de noviembre de 1994 la Secretaría  solicitó  a  la  Comisión  el</w:t>
        <w:br/>
        <w:t>envío de toda la  documentación  relacionada  con  el  desistimiento  de  la</w:t>
        <w:br/>
        <w:t>acción,  en  especial  una  copia  del  acuerdo  entre   las   partes,   las</w:t>
        <w:br/>
        <w:t>manifestaciones del señor Guillermo Maqueda y de sus  padres  y  el  decreto</w:t>
        <w:br/>
        <w:t>publicado que le permitió al señor Maqueda salir en libertad  condicional  e</w:t>
        <w:br/>
        <w:t>informó al Gobierno la decisión de la Comisión  de  desistir  de  la  acción</w:t>
        <w:br/>
        <w:t>entablada en el caso.</w:t>
        <w:br/>
        <w:br/>
        <w:t>18.   Mediante nota del 2 de noviembre de 1994, la  Comisión  remitió  copia</w:t>
        <w:br/>
        <w:t>del acuerdo entre las partes del 20 de septiembre de 1994 y del  Decreto  Nº</w:t>
        <w:br/>
        <w:t>1680/94, publicado en el Boletín Oficial Nº  27.895,  1a.  Sección,  que  le</w:t>
        <w:br/>
        <w:t>permitió al señor Maqueda salir en libertad condicional.</w:t>
        <w:br/>
        <w:br/>
        <w:t>El acuerdo, firmado en Washington, D.C. el 20 de septiembre  de  1994  entre</w:t>
        <w:br/>
        <w:t>el Gobierno y los representantes de Guillermo Maqueda, establece:</w:t>
        <w:br/>
        <w:br/>
        <w:t xml:space="preserve">      2.    A tal fin, el Estado Argentino se compromete a dictar un decreto</w:t>
        <w:br/>
        <w:t xml:space="preserve">      de conmutación de  pena  que  reduzca  la  que  Guillermo  Maqueda  se</w:t>
        <w:br/>
        <w:t xml:space="preserve">      encuentra cumpliendo. La conmutación  permitirá  a  Maqueda  salir  en</w:t>
        <w:br/>
        <w:t xml:space="preserve">      libertad condicional en forma inmediata según el  cómputo  de  la  ley</w:t>
        <w:br/>
        <w:t xml:space="preserve">      Argentina.</w:t>
        <w:br/>
        <w:br/>
        <w:br/>
        <w:t xml:space="preserve">      3.    El Estado se compromete a firmar y publicar  el  correspondiente</w:t>
        <w:br/>
        <w:t xml:space="preserve">      decreto y a disponer el trámite de libertad condicional sin  necesidad</w:t>
        <w:br/>
        <w:t xml:space="preserve">      de gestión alguna por parte del detenido ni de los  peticionarios.  El</w:t>
        <w:br/>
        <w:t xml:space="preserve">      Estado se compromete asimismo a dictar tal medida y a efectivizarla en</w:t>
        <w:br/>
        <w:t xml:space="preserve">      el plazo de diez días contados a partir de este acuerdo.</w:t>
        <w:br/>
        <w:br/>
        <w:br/>
        <w:t xml:space="preserve">      4.     Los  representantes  de  Guillermo  Maqueda  se  comprometen  a</w:t>
        <w:br/>
        <w:t xml:space="preserve">      peticionar a la CIDH que desista de la acción promovida ante la  Corte</w:t>
        <w:br/>
        <w:t xml:space="preserve">      IDH, una vez cumplidos los pasos previstos en los puntos  2  y  3  del</w:t>
        <w:br/>
        <w:t xml:space="preserve">      presente, y habiendo éste recuperado su libertad.</w:t>
        <w:br/>
        <w:br/>
        <w:br/>
        <w:t xml:space="preserve">      5.     Los  representantes  de  Guillermo  Maqueda  se  comprometen  a</w:t>
        <w:br/>
        <w:t xml:space="preserve">      solicitar a la Corte IDH la  homologación  del  presente  convenio  de</w:t>
        <w:br/>
        <w:t xml:space="preserve">      conformidad con el artículo 43 del Reglamento de la Corte.</w:t>
        <w:br/>
        <w:br/>
        <w:br/>
        <w:t xml:space="preserve">      6.    Los representantes de  Guillermo  Maqueda  manifiestan  que,  de</w:t>
        <w:br/>
        <w:t xml:space="preserve">      cumplir el Estado Argentino con las obligaciones  que  asume  en  este</w:t>
        <w:br/>
        <w:t xml:space="preserve">      acuerdo,  su  parte  renuncia   expresamente   a   todo   reclamo   de</w:t>
        <w:br/>
        <w:t xml:space="preserve">      indemnización pecuniaria en  favor  de  Guillermo  Maqueda  o  de  sus</w:t>
        <w:br/>
        <w:t xml:space="preserve">      padres, como así  también  a  las  costas  y  honorarios  del  trámite</w:t>
        <w:br/>
        <w:t xml:space="preserve">      judicial internacional actualmente en marcha.</w:t>
        <w:br/>
        <w:br/>
        <w:br/>
        <w:t xml:space="preserve">      ...</w:t>
        <w:br/>
        <w:br/>
        <w:br/>
        <w:t xml:space="preserve">      8.    Los compromisos asumidos por  los  peticionarios  en  este  acto</w:t>
        <w:br/>
        <w:t xml:space="preserve">      según los párrafos  4,  5  y  6  están  sujetos  a  la  condición  del</w:t>
        <w:br/>
        <w:t xml:space="preserve">      cumplimiento previo por parte del Estado de los compromisos que  a  su</w:t>
        <w:br/>
        <w:t xml:space="preserve">      vez éste asume en este mismo acto.</w:t>
        <w:br/>
        <w:br/>
        <w:t>19.   El Presidente de la  Comisión  Interamericana  y  delegado  para  este</w:t>
        <w:br/>
        <w:t>caso, Michael Reisman,  manifestó  ese  mismo  día  su  conformidad  con  el</w:t>
        <w:br/>
        <w:t>acuerdo del 20 de septiembre de 1994 y afirmó en lo conducente:</w:t>
        <w:br/>
        <w:br/>
        <w:t xml:space="preserve">      1.    Que se dirigirá a la Corte IDH con un pedido de desistimiento de</w:t>
        <w:br/>
        <w:t xml:space="preserve">      la acción entablada por la CIDH contra el Estado Argentino en el  Caso</w:t>
        <w:br/>
        <w:t xml:space="preserve">      Guillermo Maqueda, por considerar que este acuerdo acoge los intereses</w:t>
        <w:br/>
        <w:t xml:space="preserve">      de las partes y está en conformidad con el espíritu y la letra  de  la</w:t>
        <w:br/>
        <w:t xml:space="preserve">      Convención Americana sobre Derechos Humanos.</w:t>
        <w:br/>
        <w:br/>
        <w:br/>
        <w:t xml:space="preserve">      2.    Que tal acto lo  hará  efectivo  cuando  los  representantes  de</w:t>
        <w:br/>
        <w:t xml:space="preserve">      Guillermo Maqueda le hagan saber que se ha  dado  cumplimiento  a  los</w:t>
        <w:br/>
        <w:t xml:space="preserve">      compromisos asumidos en el acuerdo que antecede.</w:t>
        <w:br/>
        <w:br/>
        <w:br/>
        <w:t xml:space="preserve">      ...</w:t>
        <w:br/>
        <w:br/>
        <w:br/>
        <w:t xml:space="preserve">      4.    Que en tal oportunidad solicitará a la Corte IDH la homologación</w:t>
        <w:br/>
        <w:t xml:space="preserve">      del presente acuerdo y la finalización del trámite  del  Caso  Maqueda</w:t>
        <w:br/>
        <w:t xml:space="preserve">      por desistimiento, sin pronunciamiento de la Corte IDH sobre el mérito</w:t>
        <w:br/>
        <w:t xml:space="preserve">      del caso y sin fijación de indemnización ni de costas, en  el  próximo</w:t>
        <w:br/>
        <w:t xml:space="preserve">      período ordinario de sesiones.</w:t>
        <w:br/>
        <w:br/>
        <w:t>20.   Mediante carta del 8 de noviembre de  1994  la  Secretaría,  siguiendo</w:t>
        <w:br/>
        <w:t>instrucciones del Presidente ad hoc, en virtud  de  lo  establecido  por  el</w:t>
        <w:br/>
        <w:t>artículo 43 del Reglamento, solicitó  al  Gobierno,  CEJIL  y  Human  Rights</w:t>
        <w:br/>
        <w:t>Watch/Americas su opinión sobre  el  desistimiento,  otorgándoles  un  plazo</w:t>
        <w:br/>
        <w:t>para remitirla a la Corte hasta el 8 de diciembre de 1994.</w:t>
        <w:br/>
        <w:br/>
        <w:t>21.   El 5 de diciembre de 1994, CEJIL  y  Human  Rights  Watch/Americas  en</w:t>
        <w:br/>
        <w:t>representación de los padres de Guillermo Maqueda,  informaron  a  la  Corte</w:t>
        <w:br/>
        <w:t>que  sus  representados  consentían  el  desistimiento  formulado   por   la</w:t>
        <w:br/>
        <w:t>Comisión;  que  el  señor  Maqueda  “recuperó  su  libertad  luego  de   una</w:t>
        <w:br/>
        <w:t>conmutación de pena; y en este momento se encuentra  en  su  domicilio  bajo</w:t>
        <w:br/>
        <w:t>libertad condicional”. Adicionalmente informaron que la  pena  de  Guillermo</w:t>
        <w:br/>
        <w:t>Maqueda expira en abril de 1997.</w:t>
        <w:br/>
        <w:br/>
        <w:t>22.   El 12  de  diciembre  de  1994,  el  Gobierno  manifestó  “su  opinión</w:t>
        <w:br/>
        <w:t>favorable a lo peticionado por la Comisión” en el presente caso.</w:t>
        <w:br/>
        <w:br/>
        <w:br/>
        <w:t xml:space="preserve">                                     III</w:t>
        <w:br/>
        <w:br/>
        <w:t>23.   La Corte es competente para conocer la solicitud de  desistimiento  en</w:t>
        <w:br/>
        <w:t>un caso remitido ante ésta de acuerdo con el artículo 43 del Reglamento  que</w:t>
        <w:br/>
        <w:t>establece:</w:t>
        <w:br/>
        <w:br/>
        <w:br/>
        <w:t xml:space="preserve">                                 Artículo 43</w:t>
        <w:br/>
        <w:t xml:space="preserve">                           Sobreseimiento del caso</w:t>
        <w:br/>
        <w:br/>
        <w:br/>
        <w:t xml:space="preserve">      1.    Cuando la parte demandante notificare a la Corte  su   intención</w:t>
        <w:br/>
        <w:t xml:space="preserve">           de desistir, ésta resolverá, oída la opinión de las otras partes</w:t>
        <w:br/>
        <w:t xml:space="preserve">           en el caso, así como  la  de  las  personas  mencionadas  en  el</w:t>
        <w:br/>
        <w:t xml:space="preserve">           artículo 22.2 de este Reglamento, si hay lugar al  desistimiento</w:t>
        <w:br/>
        <w:t xml:space="preserve">           y, en consecuencia, si procede sobreseer el caso y  archivar  el</w:t>
        <w:br/>
        <w:t xml:space="preserve">           expediente.</w:t>
        <w:br/>
        <w:br/>
        <w:br/>
        <w:t xml:space="preserve">      2.    Cuando las partes en un caso ante la Corte comunicaren a ésta la</w:t>
        <w:br/>
        <w:t xml:space="preserve">           existencia de una solución amistosa, de una avenencia o de  otro</w:t>
        <w:br/>
        <w:t xml:space="preserve">           hecho apto para proporcionar una solución al litigio,  la  Corte</w:t>
        <w:br/>
        <w:t xml:space="preserve">           podrá, llegado el caso y después de haber oído  a  las  personas</w:t>
        <w:br/>
        <w:t xml:space="preserve">           mencionadas en el artículo 22.2 de este Reglamento, sobreseer el</w:t>
        <w:br/>
        <w:t xml:space="preserve">           caso y archivar el expediente.</w:t>
        <w:br/>
        <w:br/>
        <w:br/>
        <w:t xml:space="preserve">      3.    La Corte,  teniendo  en  cuenta  las  responsabilidades  que  le</w:t>
        <w:br/>
        <w:t xml:space="preserve">           incumben de proteger los derechos  humanos,  podrá  decidir  que</w:t>
        <w:br/>
        <w:t xml:space="preserve">           prosiga el examen del caso, aún en presencia  de  los  supuestos</w:t>
        <w:br/>
        <w:t xml:space="preserve">           señalados en los dos párrafos precedentes.</w:t>
        <w:br/>
        <w:br/>
        <w:t>24.   En los términos del  precepto  reglamentario  transcrito,  esta  Corte</w:t>
        <w:br/>
        <w:t>debe decidir si dicho acuerdo es conforme a la Convención y, por  tanto,  si</w:t>
        <w:br/>
        <w:t>se admite  el  desistimiento  o,  por  el  contrario,  se  continúa  con  el</w:t>
        <w:br/>
        <w:t>conocimiento del caso.</w:t>
        <w:br/>
        <w:br/>
        <w:t>25.   De las constancias de autos aparece que en  cumplimiento  del  acuerdo</w:t>
        <w:br/>
        <w:t>del 20 de septiembre de 1994, el Gobierno expidió el Decreto Nº 1680/94  que</w:t>
        <w:br/>
        <w:t>permitió salir en libertad  condicional  al  señor  Maqueda,  en  virtud  de</w:t>
        <w:br/>
        <w:t>haberse reducido el plazo de su condena.</w:t>
        <w:br/>
        <w:br/>
        <w:t>26.   Esta Corte, en los términos  del  inciso  1  del  artículo  43  de  su</w:t>
        <w:br/>
        <w:t>Reglamento, transcripto con anterioridad, ha oído la opinión de  las  partes</w:t>
        <w:br/>
        <w:t>en este asunto, inclusive la de los representantes  de  los  familiares  del</w:t>
        <w:br/>
        <w:t>afectado, y todos ellos reiteraron su conformidad con el acuerdo del  20  de</w:t>
        <w:br/>
        <w:t>septiembre de 1994, así como con el cumplimiento del  mismo  por  parte  del</w:t>
        <w:br/>
        <w:t>Gobierno.</w:t>
        <w:br/>
        <w:br/>
        <w:t>27.   Teniendo en cuenta lo anterior y considerando que la cuestión  central</w:t>
        <w:br/>
        <w:t>en el caso es la violación del derecho a la libertad  del  señor  Maqueda  y</w:t>
        <w:br/>
        <w:t>que ese derecho ha sido restituido mediante el acuerdo  a  que  han  llegado</w:t>
        <w:br/>
        <w:t>las partes, la Corte estima que éste no viola la letra y el espíritu  de  la</w:t>
        <w:br/>
        <w:t>Convención Americana. Aunque en la demanda de la  Comisión  presentada  ante</w:t>
        <w:br/>
        <w:t>la Corte se citan otros derechos consagrados  en  la  Convención,  así  como</w:t>
        <w:br/>
        <w:t>mecanismos y disposiciones de derecho interno, estos han sido planteados  en</w:t>
        <w:br/>
        <w:t>relación con el derecho a la libertad. No obstante ello, la Corte,  teniendo</w:t>
        <w:br/>
        <w:t>presente  la  responsabilidad  que  le  incumbe  de  proteger  los  derechos</w:t>
        <w:br/>
        <w:t>humanos, se reserva la facultad de reabrir y continuar  la  tramitación  del</w:t>
        <w:br/>
        <w:t>caso si hubiere en el futuro un cambio  de  las  circunstancias  que  dieron</w:t>
        <w:br/>
        <w:t>lugar al acuerdo.</w:t>
        <w:br/>
        <w:br/>
        <w:br/>
        <w:br/>
        <w:t>Por tanto,</w:t>
        <w:br/>
        <w:br/>
        <w:br/>
        <w:t>LA CORTE</w:t>
        <w:br/>
        <w:br/>
        <w:br/>
        <w:t>RESUELVE:</w:t>
        <w:br/>
        <w:br/>
        <w:br/>
        <w:br/>
        <w:t>1.    Admitir el  desistimiento  de  la  acción  deducida  por  la  Comisión</w:t>
        <w:br/>
        <w:t>Interamericana de Derechos Humanos en el caso Maqueda  contra  la  República</w:t>
        <w:br/>
        <w:t>Argentina.</w:t>
        <w:br/>
        <w:br/>
        <w:t>2.    Sobreseer el caso Maqueda.</w:t>
        <w:br/>
        <w:br/>
        <w:t>3.    Reservarse la facultad de reabrir y continuar la tramitación del  caso</w:t>
        <w:br/>
        <w:t>si hubiere en el futuro un cambio de las circunstancias que dieron lugar  al</w:t>
        <w:br/>
        <w:t>acuerdo.</w:t>
        <w:br/>
        <w:br/>
        <w:t>4.    Comunicar esta resolución a las partes.</w:t>
        <w:br/>
        <w:br/>
        <w:br/>
        <w:br/>
        <w:br/>
        <w:br/>
        <w:t xml:space="preserve">                             Héctor Fix-Zamudio</w:t>
        <w:br/>
        <w:t xml:space="preserve">                                 Presidente</w:t>
        <w:br/>
        <w:br/>
        <w:br/>
        <w:br/>
        <w:br/>
        <w:t>Hernán Salgado Pesantes     Alejandro Montiel Argüello</w:t>
        <w:br/>
        <w:br/>
        <w:br/>
        <w:br/>
        <w:br/>
        <w:t>Máximo Pacheco Gómez   Antônio A. Cançado Trindade</w:t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