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Caso Acevedo buendía y otros</w:t>
        <w:br/>
        <w:t xml:space="preserve">             (“Cesantes y Jubilados de la Contraloría”) vs. Perú</w:t>
        <w:br/>
        <w:br/>
        <w:br/>
        <w:t xml:space="preserve">                       Sentencia de 1 de julio de 2009</w:t>
        <w:br/>
        <w:t xml:space="preserve">            (Excepción Preliminar, Fondo, Reparaciones y Costas)</w:t>
        <w:br/>
        <w:br/>
        <w:br/>
        <w:br/>
        <w:br/>
        <w:t>En  el  caso  Acevedo  Buendía  y  otros  (“Cesantes  y  Jubilados   de   la</w:t>
        <w:br/>
        <w:t>Contraloría”)[1],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jueces[2]:</w:t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Víctor Oscar Shiyín García Toma, Juez ad hoc;</w:t>
        <w:br/>
        <w:br/>
        <w:br/>
        <w:t>presentes, además,</w:t>
        <w:br/>
        <w:br/>
        <w:br/>
        <w:t xml:space="preserve">     Pablo Saavedra Alessandri, Secretario, y</w:t>
        <w:br/>
        <w:t xml:space="preserve">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Corte[3] (en adelante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 xml:space="preserve">   1. El 1 de abril de 2008, de conformidad con los artículos 51 y 61 de  la</w:t>
        <w:br/>
        <w:t xml:space="preserve">      Convención Americana,  la Comisión Interamericana de Derechos  Humanos</w:t>
        <w:br/>
        <w:t xml:space="preserve">      (en adelante “la Comisión” o “la Comisión Interamericana”)  sometió  a</w:t>
        <w:br/>
        <w:t xml:space="preserve">      la Corte una demanda contra la República del  Perú  (en  adelante  “el</w:t>
        <w:br/>
        <w:t xml:space="preserve">      Estado” o “el Perú”). Dicha demanda  se  originó  en  la  denuncia  Nº</w:t>
        <w:br/>
        <w:t xml:space="preserve">      12.357 remitida a la Secretaría de la Comisión el 12 de  noviembre  de</w:t>
        <w:br/>
        <w:t xml:space="preserve">      1998 por los integrantes de la Asociación de Cesantes y  Jubilados  de</w:t>
        <w:br/>
        <w:t xml:space="preserve">      la Contraloría General de la  República  del  Perú  (en  adelante  “la</w:t>
        <w:br/>
        <w:t xml:space="preserve">      Asociación” o “la Asociación de Cesantes y Jubilados”) y  ampliada  el</w:t>
        <w:br/>
        <w:t xml:space="preserve">      24 de enero de 2000, fecha en que designaron como representante legal,</w:t>
        <w:br/>
        <w:t xml:space="preserve">      inter alia, al Centro de Asesoría Laboral (en adelante “CEDAL”). El  9</w:t>
        <w:br/>
        <w:t xml:space="preserve">      de octubre de 2002 la Comisión aprobó el Informe de  admisibilidad  Nº</w:t>
        <w:br/>
        <w:t xml:space="preserve">      47/02, mediante el cual declaró admisible la petición. Posteriormente,</w:t>
        <w:br/>
        <w:t xml:space="preserve">      el 27 de octubre de 2006 la Comisión aprobó el  Informe  de  fondo  Nº</w:t>
        <w:br/>
        <w:t xml:space="preserve">      125/06, en los términos del artículo 50  de  la  Convención,  el  cual</w:t>
        <w:br/>
        <w:t xml:space="preserve">      contiene determinadas recomendaciones para el Estado[4]. El 1 de abril</w:t>
        <w:br/>
        <w:t xml:space="preserve">      de 2008 la Comisión decidió, en los términos de los artículos 51.1  de</w:t>
        <w:br/>
        <w:t xml:space="preserve">      la Convención y 44 de su Reglamento, someter el  presente  caso  a  la</w:t>
        <w:br/>
        <w:t xml:space="preserve">      jurisdicción de  la  Corte,  considerando  que  “el  Estado  no  había</w:t>
        <w:br/>
        <w:t xml:space="preserve">      cumplido con las recomendaciones” señaladas en el Informe de fondo  Nº</w:t>
        <w:br/>
        <w:t xml:space="preserve">      125/06. La Comisión designó como Delegados  al  señor  Paolo  Carozza,</w:t>
        <w:br/>
        <w:t xml:space="preserve">      Comisionado, y al señor Santiago A. Canton,  Secretario  Ejecutivo,  y</w:t>
        <w:br/>
        <w:t xml:space="preserve">      como asesores legales a las señoras Elizabeth Abi-Mershed,  Secretaria</w:t>
        <w:br/>
        <w:t xml:space="preserve">      Ejecutiva  Adjunta,  Norma  Colledani  y   Manuela   Cruz   Rodríguez,</w:t>
        <w:br/>
        <w:t xml:space="preserve">      especialistas de la Secretaría Ejecutiva de la Comisión.</w:t>
        <w:br/>
        <w:br/>
        <w:t xml:space="preserve">   2. En la demanda la Comisión se refirió al supuesto incumplimiento de las</w:t>
        <w:br/>
        <w:t xml:space="preserve">      sentencias judiciales del Tribunal Constitucional del Perú  de  21  de</w:t>
        <w:br/>
        <w:t xml:space="preserve">      octubre de 1997 y 26 de enero de 2001 que ordenan “que la  Contraloría</w:t>
        <w:br/>
        <w:t xml:space="preserve">      General de la República cumpla con abonar  a  los  integrantes  de  la</w:t>
        <w:br/>
        <w:t xml:space="preserve">      Asociación actora las remuneraciones, gratificaciones y bonificaciones</w:t>
        <w:br/>
        <w:t xml:space="preserve">      que perciben los servidores en actividad de la citada Contraloría  que</w:t>
        <w:br/>
        <w:t xml:space="preserve">      desempeñen cargos  idénticos,  similares  o  equivalentes  a  los  que</w:t>
        <w:br/>
        <w:t xml:space="preserve">      tuvieron los cesantes o jubilados”, respecto de doscientos  setenta  y</w:t>
        <w:br/>
        <w:t xml:space="preserve">      tres (273) integrantes de la Asociación de Cesantes y Jubilados de  la</w:t>
        <w:br/>
        <w:t xml:space="preserve">      Contraloría General  de  la  República  (en  adelante  “las  presuntas</w:t>
        <w:br/>
        <w:t xml:space="preserve">      víctimas” o “los 273 integrantes de la CGR”)[5].  La  Comisión  señaló</w:t>
        <w:br/>
        <w:t xml:space="preserve">      que “[s]i bien el Estado ha dado cumplimiento parcial a un extremo  de</w:t>
        <w:br/>
        <w:t xml:space="preserve">      la sentencia [del Tribunal Constitucional] al nivelar las pensiones de</w:t>
        <w:br/>
        <w:t xml:space="preserve">      las [presuntas] víctimas a partir de noviembre de 2002, no ha cumplido</w:t>
        <w:br/>
        <w:t xml:space="preserve">      con restituir los montos pensionarios retenidos desde el mes de  abril</w:t>
        <w:br/>
        <w:t xml:space="preserve">      del año 1993 hasta octubre de 2002”.</w:t>
        <w:br/>
        <w:br/>
        <w:t xml:space="preserve">   3. Por lo anterior, la Comisión solicitó a la Corte que  declare  que  el</w:t>
        <w:br/>
        <w:t xml:space="preserve">      Estado es responsable por la violación de los derechos reconocidos  en</w:t>
        <w:br/>
        <w:t xml:space="preserve">      los artículos 21 (Derecho a la Propiedad  Privada)  y  25  (Protección</w:t>
        <w:br/>
        <w:t xml:space="preserve">      Judicial) de la Convención Americana, en relación con el artículo  1.1</w:t>
        <w:br/>
        <w:t xml:space="preserve">      (Obligación de Respetar los Derechos) de la misma, en perjuicio de las</w:t>
        <w:br/>
        <w:t xml:space="preserve">      273  presuntas  víctimas.  Como  consecuencia  de   lo   anteriormente</w:t>
        <w:br/>
        <w:t xml:space="preserve">      expuesto, la Comisión solicitó a  la  Corte,  de  conformidad  con  el</w:t>
        <w:br/>
        <w:t xml:space="preserve">      artículo 63.1 (Obligación de Reparar) de la Convención, que ordene  al</w:t>
        <w:br/>
        <w:t xml:space="preserve">      Estado la adopción de “las medidas necesarias para dar cumplimiento en</w:t>
        <w:br/>
        <w:t xml:space="preserve">      forma eficiente a las sentencias  del  Tribunal  Constitucional  de[l]</w:t>
        <w:br/>
        <w:t xml:space="preserve">      Perú emitidas el 21 de octubre de 1997 y [el] 26 de  enero  de  2001”,</w:t>
        <w:br/>
        <w:t xml:space="preserve">      así como el pago  de  “las  costas  y  gastos  legales  en  que  hayan</w:t>
        <w:br/>
        <w:t xml:space="preserve">      incurrido las [presuntas] víctimas en la tramitación del caso a  nivel</w:t>
        <w:br/>
        <w:t xml:space="preserve">      nacional [y] ante el [S]istema [I]nteramericano”.</w:t>
        <w:br/>
        <w:br/>
        <w:t xml:space="preserve">   4. El 7 de julio de 2008 el señor Javier Mujica Petit, abogado  encargado</w:t>
        <w:br/>
        <w:t xml:space="preserve">      del  Programa  de  Derechos  Humanos  de  CEDAL   (en   adelante   “el</w:t>
        <w:br/>
        <w:t xml:space="preserve">      representante”), y la señora Isabel Acevedo  León,  presidenta  de  la</w:t>
        <w:br/>
        <w:t xml:space="preserve">      Asociación  de  Cesantes  y  Jubilados,  presentaron  el  escrito   de</w:t>
        <w:br/>
        <w:t xml:space="preserve">      solicitudes, argumentos y pruebas (en adelante “escrito de solicitudes</w:t>
        <w:br/>
        <w:t xml:space="preserve">      y argumentos”) en los términos del  artículo  23  del  Reglamento.  En</w:t>
        <w:br/>
        <w:t xml:space="preserve">      dicho escrito se solicitó a la Corte que declare que el  Estado  había</w:t>
        <w:br/>
        <w:t xml:space="preserve">      cometido las mismas violaciones de derechos invocadas por la  Comisión</w:t>
        <w:br/>
        <w:t xml:space="preserve">      y, adicionalmente, se alegó  que  el  Estado  es  responsable  por  el</w:t>
        <w:br/>
        <w:t xml:space="preserve">      incumplimiento del artículo 26 (Desarrollo Progresivo de los  Derechos</w:t>
        <w:br/>
        <w:t xml:space="preserve">      Económicos, Sociales y Culturales) de la Convención, en  relación  con</w:t>
        <w:br/>
        <w:t xml:space="preserve">      el artículo 1.1 (Obligación de Respetar los  Derechos)  de  la  misma.</w:t>
        <w:br/>
        <w:t xml:space="preserve">      Asimismo, se solicitó que la Corte ordene al  Estado  la  adopción  de</w:t>
        <w:br/>
        <w:t xml:space="preserve">      ciertas medidas de reparación y el reintegro de las costas  y  gastos.</w:t>
        <w:br/>
        <w:t xml:space="preserve">      En el mismo escrito se indicó que CEDAL “representa a 248  cesantes  o</w:t>
        <w:br/>
        <w:t xml:space="preserve">      jubilados de los 273 integrantes de la Asociación  mencionados  en  la</w:t>
        <w:br/>
        <w:t xml:space="preserve">      demanda” y que las “25 [presuntas] víctimas o sus  familiares  que  no</w:t>
        <w:br/>
        <w:t xml:space="preserve">      están representadas por [CEDAL], serán representadas por la  Comisión,</w:t>
        <w:br/>
        <w:t xml:space="preserve">      según el artículo 33.3 del Reglamento de la Corte”. Sin  embargo,  los</w:t>
        <w:br/>
        <w:t xml:space="preserve">      poderes y actas aportados como anexos a la demanda  y  al  escrito  de</w:t>
        <w:br/>
        <w:t xml:space="preserve">      solicitudes y argumentos permiten concluir  a  este  Tribunal  que  el</w:t>
        <w:br/>
        <w:t xml:space="preserve">      señor Mujica Petit representa a 251  presuntas  víctimas  y  que,  por</w:t>
        <w:br/>
        <w:t xml:space="preserve">      tanto, son 22 las representadas por la Comisión[6].</w:t>
        <w:br/>
        <w:br/>
        <w:t xml:space="preserve">   5. El 5 de septiembre de 2008  el  Estado,  representado  por  la  señora</w:t>
        <w:br/>
        <w:t xml:space="preserve">      Agente Delia Muñoz Muñoz, presentó su escrito de  contestación  de  la</w:t>
        <w:br/>
        <w:t xml:space="preserve">      demanda y de observaciones al escrito de solicitudes y argumentos  (en</w:t>
        <w:br/>
        <w:t xml:space="preserve">      adelante  “contestación  de  la  demanda”),  en  el  cual  objetó   la</w:t>
        <w:br/>
        <w:t xml:space="preserve">      competencia de la Corte ratione materiae, señalando que  ésta  “carece</w:t>
        <w:br/>
        <w:t xml:space="preserve">      de competencia para conocer en  sede  jurisdiccional  de  derechos  de</w:t>
        <w:br/>
        <w:t xml:space="preserve">      naturaleza económica[,] social o cultural”. En su escrito de  alegatos</w:t>
        <w:br/>
        <w:t xml:space="preserve">      finales el Estado aclaró que la excepción preliminar se  basa  en  “la</w:t>
        <w:br/>
        <w:t xml:space="preserve">      falta de  competencia  en  razón  de  la  materia  de  la  Corte  para</w:t>
        <w:br/>
        <w:t xml:space="preserve">      pronunciarse sobre la  supuesta  violación  al  derecho  de  seguridad</w:t>
        <w:br/>
        <w:t xml:space="preserve">      social, debiendo  únicamente  analizar  y  eventualmente  declarar  la</w:t>
        <w:br/>
        <w:t xml:space="preserve">      responsabilidad internacional del Estado en  relación  al  derecho  de</w:t>
        <w:br/>
        <w:t xml:space="preserve">      protección judicial y al  derecho  de  propiedad  contemplados  en  la</w:t>
        <w:br/>
        <w:t xml:space="preserve">      Convención”.  Asimismo, el Estado señaló que no es responsable por las</w:t>
        <w:br/>
        <w:t xml:space="preserve">      violaciones alegadas “por cuanto desde el a[ñ]o 2002 […] viene pagando</w:t>
        <w:br/>
        <w:t xml:space="preserve">      las  pensiones  a  las  presuntas  víctimas[,]  la  totalidad  de  las</w:t>
        <w:br/>
        <w:t xml:space="preserve">      mismas[,] conforme al mandato de las sentencias invocadas”, rechazando</w:t>
        <w:br/>
        <w:t xml:space="preserve">      “la obligación del pago de  devengados  de  pensiones,  por  no  estar</w:t>
        <w:br/>
        <w:t xml:space="preserve">      contenida  […]  en  el  fallo  de  las   [s]entencias   del   Tribunal</w:t>
        <w:br/>
        <w:t xml:space="preserve">      Constitucional”. Finalmente, el Estado solicitó declarar  improcedente</w:t>
        <w:br/>
        <w:t xml:space="preserve">      e infundada la solicitud de reparaciones y de reintegro  de  costas  y</w:t>
        <w:br/>
        <w:t xml:space="preserve">      gastos. De conformidad con el artículo 37.4 del Reglamento, el 10 y 21</w:t>
        <w:br/>
        <w:t xml:space="preserve">      de octubre de 2008 el representante y  la  Comisión,  respectivamente,</w:t>
        <w:br/>
        <w:t xml:space="preserve">      presentaron sus alegatos sobre la excepción preliminar interpuesta por</w:t>
        <w:br/>
        <w:t xml:space="preserve">      el Estado, solicitando que la Corte la desestimara.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 xml:space="preserve">   6. El 5 de mayo de 2008 la  Secretaría  de  la  Corte  (en  adelante  “la</w:t>
        <w:br/>
        <w:t xml:space="preserve">      Secretaría”), previo examen preliminar realizado por la Presidenta  de</w:t>
        <w:br/>
        <w:t xml:space="preserve">      la Corte, y de conformidad con los artículos 34 y 35.1 del Reglamento,</w:t>
        <w:br/>
        <w:t xml:space="preserve">      notificó la demanda vía facsimilar al Estado[7] y al representante. El</w:t>
        <w:br/>
        <w:t xml:space="preserve">      6 de junio de 2008 el Estado designó  al  señor  Víctor  Oscar  Shiyin</w:t>
        <w:br/>
        <w:t xml:space="preserve">      García Toma como Juez ad hoc.</w:t>
        <w:br/>
        <w:br/>
        <w:t xml:space="preserve">   7. El 5 de diciembre de  2008  la  Presidenta  de  la  Corte  emitió  una</w:t>
        <w:br/>
        <w:t xml:space="preserve">      Resolución, mediante la cual  ordenó  la  presentación,  a  través  de</w:t>
        <w:br/>
        <w:t xml:space="preserve">      declaraciones rendidas  ante  fedatario  público  (affidávit),  de  un</w:t>
        <w:br/>
        <w:t xml:space="preserve">      testimonio,  una  declaración  a  título  informativo  y  un  peritaje</w:t>
        <w:br/>
        <w:t xml:space="preserve">      propuestos por el representante  y  la  Comisión.   Asimismo,  admitió</w:t>
        <w:br/>
        <w:t xml:space="preserve">      cuatro  declaraciones  rendidas  ante  fedatario  público  (affidávit)</w:t>
        <w:br/>
        <w:t xml:space="preserve">      presentadas por el representante  el  13  de  noviembre  de  2008,  no</w:t>
        <w:br/>
        <w:t xml:space="preserve">      obstante su remisión prematura en  el  proceso.  Las  partes  tuvieron</w:t>
        <w:br/>
        <w:t xml:space="preserve">      oportunidad  de  presentar  observaciones   respecto   a   todas   las</w:t>
        <w:br/>
        <w:t xml:space="preserve">      declaraciones requeridas y admitidas. Al mismo tiempo,  la  Presidenta</w:t>
        <w:br/>
        <w:t xml:space="preserve">      convocó a la Comisión, al representante y al Estado  a  una  audiencia</w:t>
        <w:br/>
        <w:t xml:space="preserve">      pública para escuchar las declaraciones de dos testigos ofrecidos  por</w:t>
        <w:br/>
        <w:t xml:space="preserve">      el representante, así  como  los  alegatos  finales  orales  sobre  la</w:t>
        <w:br/>
        <w:t xml:space="preserve">      excepción preliminar y los eventuales fondo, reparaciones y costas[8].</w:t>
        <w:br/>
        <w:br/>
        <w:br/>
        <w:br/>
        <w:t xml:space="preserve">   8. El 5 de enero de 2009 el representante presentó el testimonio  rendido</w:t>
        <w:br/>
        <w:t xml:space="preserve">      ante fedatario público por la señora Dicha  Laura  Arias  Laureano  de</w:t>
        <w:br/>
        <w:t xml:space="preserve">      Pozo y el 6 de enero de 2009 la Comisión  presentó  la  declaración  a</w:t>
        <w:br/>
        <w:t xml:space="preserve">      título informativo y el  dictamen  pericial  rendidos  ante  fedatario</w:t>
        <w:br/>
        <w:t xml:space="preserve">      público por  los  señores  Javier  Cabanillas  Reyes  y  Flavia  Marco</w:t>
        <w:br/>
        <w:t xml:space="preserve">      Navarro, respectivamente. El 16 de enero de 2009  el  Estado  presentó</w:t>
        <w:br/>
        <w:t xml:space="preserve">      observaciones al testimonio de Dicha Laura Arias Laureano de Pozo, así</w:t>
        <w:br/>
        <w:t xml:space="preserve">      como a la declaración a título  informativo  y  al  dictamen  pericial</w:t>
        <w:br/>
        <w:t xml:space="preserve">      rendidos por los  señores  Javier  Cabanillas  Reyes  y  Flavia  Marco</w:t>
        <w:br/>
        <w:t xml:space="preserve">      Navarro, respectivamente. Ese mismo  día,  el  representante  presentó</w:t>
        <w:br/>
        <w:t xml:space="preserve">      observaciones a estas dos últimas declaraciones.</w:t>
        <w:br/>
        <w:br/>
        <w:br/>
        <w:t xml:space="preserve">   9. El 21 de enero de 2009 se realizó la audiencia pública,  en  el  marco</w:t>
        <w:br/>
        <w:t xml:space="preserve">      del LXXXII Periodo Ordinario de Sesiones de la Corte[9].</w:t>
        <w:br/>
        <w:br/>
        <w:t xml:space="preserve">  10. El 23 de febrero de 2009 la Comisión, el  Estado  y  el  representante</w:t>
        <w:br/>
        <w:t xml:space="preserve">      presentaron, respectivamente, sus alegatos finales escritos  sobre  la</w:t>
        <w:br/>
        <w:t xml:space="preserve">      excepción preliminar y los eventuales fondo,  reparaciones  y  costas.</w:t>
        <w:br/>
        <w:t xml:space="preserve">      Puesto que el Estado y el representante remitieron  prueba  documental</w:t>
        <w:br/>
        <w:t xml:space="preserve">      con sus escritos de alegatos finales, la Corte solicitó a  las  partes</w:t>
        <w:br/>
        <w:t xml:space="preserve">      observaciones a dichos anexos mediante nota del 11 de marzo  de  2009.</w:t>
        <w:br/>
        <w:t xml:space="preserve">      El  20  de  marzo  de  2009  la  Comisión  indicó  que   “no   t[enía]</w:t>
        <w:br/>
        <w:t xml:space="preserve">      observaciones que formular” en relación con la prueba ofrecida por  el</w:t>
        <w:br/>
        <w:t xml:space="preserve">      Estado y por el representante con sus respectivos escritos de alegatos</w:t>
        <w:br/>
        <w:t xml:space="preserve">      finales. El Estado y el representante no presentaron observaciones  al</w:t>
        <w:br/>
        <w:t xml:space="preserve">      respecto.</w:t>
        <w:br/>
        <w:br/>
        <w:t xml:space="preserve">  11. El 30 de marzo de 2009 se solicitó al representante que  remitiera  al</w:t>
        <w:br/>
        <w:t xml:space="preserve">      Tribunal los recibos y prueba relacionada  con  las  costas  y  gastos</w:t>
        <w:br/>
        <w:t xml:space="preserve">      señalados en el anexo 5 del escrito de solicitudes y argumentos en  el</w:t>
        <w:br/>
        <w:t xml:space="preserve">      presente caso. El 20 de abril de 2009 el  representante  solicitó  una</w:t>
        <w:br/>
        <w:t xml:space="preserve">      prórroga de 30 días para la presentación de dicha prueba, la cual  fue</w:t>
        <w:br/>
        <w:t xml:space="preserve">      concedida por la Presidenta de la Corte. El 28  de  mayo  de  2009  el</w:t>
        <w:br/>
        <w:t xml:space="preserve">      representante solicitó “una prórroga de 30 días adicionales”  para  la</w:t>
        <w:br/>
        <w:t xml:space="preserve">      presentación de la mencionada prueba. Al respecto, la  Presidenta  del</w:t>
        <w:br/>
        <w:t xml:space="preserve">      Tribunal otorgó al representante un nuevo plazo hasta el 12  de  junio</w:t>
        <w:br/>
        <w:t xml:space="preserve">      de 2009 para la presentación de la documentación referida.  El  17  de</w:t>
        <w:br/>
        <w:t xml:space="preserve">      junio de 2009 el representante indicó que había enviado una  “relación</w:t>
        <w:br/>
        <w:t xml:space="preserve">      de gastos” mediante correo postal, y el 22  y  23  de  junio  de  2009</w:t>
        <w:br/>
        <w:t xml:space="preserve">      presentó  vía  correo  electrónico  los  anexos  señalados  en   dicha</w:t>
        <w:br/>
        <w:t xml:space="preserve">      comunicación.  Se otorgó al Estado y a la Comisión un plazo  hasta  el</w:t>
        <w:br/>
        <w:t xml:space="preserve">      29 de junio de 2009 para la presentación de observaciones al respecto.</w:t>
        <w:br/>
        <w:t xml:space="preserve">      El  30  de  junio  de  2009  el  Estado  presentó  sus   observaciones</w:t>
        <w:br/>
        <w:t xml:space="preserve">      respectivas. A la fecha de la emisión de la  presente  Sentencia,  las</w:t>
        <w:br/>
        <w:t xml:space="preserve">      observaciones  de  la  Comisión  no  habían  sido  recibidas  en  este</w:t>
        <w:br/>
        <w:t xml:space="preserve">      Tribunal.</w:t>
        <w:br/>
        <w:br/>
        <w:t xml:space="preserve">                                     III</w:t>
        <w:br/>
        <w:br/>
        <w:t xml:space="preserve">                    EXCEPCIóN pRELIMINAR RATIONE MATERIAE</w:t>
        <w:br/>
        <w:br/>
        <w:br/>
        <w:t xml:space="preserve">  12. En su escrito de contestación de la demanda el Estado sostuvo  que  la</w:t>
        <w:br/>
        <w:t xml:space="preserve">      Corte carece de competencia ratione materiae para conocer el  presente</w:t>
        <w:br/>
        <w:t xml:space="preserve">      caso. En su escrito de  alegatos  finales  el  Estado  aclaró  que  la</w:t>
        <w:br/>
        <w:t xml:space="preserve">      excepción preliminar se basa en “la falta de competencia en  razón  de</w:t>
        <w:br/>
        <w:t xml:space="preserve">      la materia de la Corte para pronunciarse sobre la  supuesta  violación</w:t>
        <w:br/>
        <w:t xml:space="preserve">      al  derecho  de  seguridad  social,  debiendo  únicamente  analizar  y</w:t>
        <w:br/>
        <w:t xml:space="preserve">      eventualmente declarar la responsabilidad internacional del Estado  en</w:t>
        <w:br/>
        <w:t xml:space="preserve">      relación al derecho de protección judicial y al derecho  de  propiedad</w:t>
        <w:br/>
        <w:t xml:space="preserve">      contemplados en la Convención”. Durante la audiencia pública celebrada</w:t>
        <w:br/>
        <w:t xml:space="preserve">      en este caso, el Estado fue  aún  más  específico,  señalando  que  la</w:t>
        <w:br/>
        <w:t xml:space="preserve">      excepción de competencia que planteó se refiere a  la  pretensión  que</w:t>
        <w:br/>
        <w:t xml:space="preserve">      hiciera el representante en el sentido de  que  la  Corte  declare  el</w:t>
        <w:br/>
        <w:t xml:space="preserve">      incumplimiento del  artículo  26  de  la  Convención,  en  tanto  éste</w:t>
        <w:br/>
        <w:t xml:space="preserve">      supuestamente  protege,  según  el  representante,  el  derecho  a  la</w:t>
        <w:br/>
        <w:t xml:space="preserve">      seguridad social. Al respecto, el Estado alegó que  el  derecho  a  la</w:t>
        <w:br/>
        <w:t xml:space="preserve">      seguridad social queda fuera del alcance de la competencia de la Corte</w:t>
        <w:br/>
        <w:t xml:space="preserve">      en razón de la  materia,  ya  que  éste  no  está  contemplado  en  la</w:t>
        <w:br/>
        <w:t xml:space="preserve">      Convención  Americana  ni  es  uno  de  los  dos  derechos   (derechos</w:t>
        <w:br/>
        <w:t xml:space="preserve">      sindicales y derecho  a  la  educación)  que  excepcionalmente  serían</w:t>
        <w:br/>
        <w:t xml:space="preserve">      justiciables ante el Sistema Interamericano,  de  conformidad  con  lo</w:t>
        <w:br/>
        <w:t xml:space="preserve">      señalado en el artículo 19.6 del Protocolo de San Salvador.</w:t>
        <w:br/>
        <w:br/>
        <w:t xml:space="preserve">  13. Al respecto,  la  Comisión  consideró  que  “la  excepción  preliminar</w:t>
        <w:br/>
        <w:t xml:space="preserve">      presentada por parte del Estado debe  ser  desechada  por  carecer  de</w:t>
        <w:br/>
        <w:t xml:space="preserve">      fundamento jurídico”. Señaló,  primero,  que  el  Estado  “no  levantó</w:t>
        <w:br/>
        <w:t xml:space="preserve">      objeción alguna al cumplimiento de los  requisitos  de  admisibilidad”</w:t>
        <w:br/>
        <w:t xml:space="preserve">      durante el trámite ante la misma, por lo  que  su  excepción  “resulta</w:t>
        <w:br/>
        <w:t xml:space="preserve">      inadmisible en virtud del principio de estoppel”. Además,  indicó  que</w:t>
        <w:br/>
        <w:t xml:space="preserve">      “el objeto de la demanda presentada por la Comisión no  se  centra  en</w:t>
        <w:br/>
        <w:t xml:space="preserve">      establecer si los integrantes de la Asociación  […]  tienen  o  no  un</w:t>
        <w:br/>
        <w:t xml:space="preserve">      derecho a la  seguridad  social,  y  si  ese  derecho  ha  sido  o  no</w:t>
        <w:br/>
        <w:t xml:space="preserve">      respetado, garantizado o cumplido por el Estado peruano.  Ese  derecho</w:t>
        <w:br/>
        <w:t xml:space="preserve">      ya  fue  reconocido  como  tal  por  las   sentencias   del   Tribunal</w:t>
        <w:br/>
        <w:t xml:space="preserve">      Constitucional de[l] Perú de 21 de octubre de 1997 y 26  de  enero  de</w:t>
        <w:br/>
        <w:t xml:space="preserve">      2001. Su contenido no está en discusión ante la Corte […]. Lo que está</w:t>
        <w:br/>
        <w:t xml:space="preserve">      en discusión […] es el incumplimiento  de  dichas  sentencias,  y  las</w:t>
        <w:br/>
        <w:t xml:space="preserve">      consecuencias que ese  incumplimiento  tiene  en  el  derecho  [a  la]</w:t>
        <w:br/>
        <w:t xml:space="preserve">      propiedad de las víctimas sobre sus pensiones”.  Por  otra  parte,  la</w:t>
        <w:br/>
        <w:t xml:space="preserve">      Comisión indicó que, si bien el alegado incumplimiento del artículo 26</w:t>
        <w:br/>
        <w:t xml:space="preserve">      de la Convención “no forma parte del caso presentado  por  [ella,]  la</w:t>
        <w:br/>
        <w:t xml:space="preserve">      jurisprudencia del [S]istema confirma que la Corte  tiene  competencia</w:t>
        <w:br/>
        <w:t xml:space="preserve">      material para pronunciarse  sobre  u[n]  alegad[o  incumplimiento]  de</w:t>
        <w:br/>
        <w:t xml:space="preserve">      dicha norma”. En todo caso, señaló  que  “la  discusión  sobre  si  el</w:t>
        <w:br/>
        <w:t xml:space="preserve">      Estado  incurrió  o  no  en  u[n  incumplimiento]  del   artículo   26</w:t>
        <w:br/>
        <w:t xml:space="preserve">      convencional pertenece al  fondo  del  presente  asunto”.  Finalmente,</w:t>
        <w:br/>
        <w:t xml:space="preserve">      destacó que “ni la Comisión ni [el] representant[e] de las [presuntas]</w:t>
        <w:br/>
        <w:t xml:space="preserve">      víctimas han alegado la violación de disposiciones de[l  Protocolo  de</w:t>
        <w:br/>
        <w:t xml:space="preserve">      San Salvador]”, por lo  que  resulta  “innecesario  que  la  Corte  se</w:t>
        <w:br/>
        <w:t xml:space="preserve">      pronuncie  sobre  su  competencia  material  en  relación  con   dicho</w:t>
        <w:br/>
        <w:t xml:space="preserve">      tratado”.</w:t>
        <w:br/>
        <w:br/>
        <w:t xml:space="preserve">  14. Por su parte, el representante también solicitó que la Corte desestime</w:t>
        <w:br/>
        <w:t xml:space="preserve">      la excepción preliminar planteada por el Estado. Alegó que la Corte es</w:t>
        <w:br/>
        <w:t xml:space="preserve">      competente “para interpretar y fijar el alcance  de  las  obligaciones</w:t>
        <w:br/>
        <w:t xml:space="preserve">      generales de respeto y garantía, y de adecuación  normativa,  respecto</w:t>
        <w:br/>
        <w:t xml:space="preserve">      de los derechos que se derivan de las normas  económicas,  sociales  y</w:t>
        <w:br/>
        <w:t xml:space="preserve">      sobre educación, ciencia y cultura,  contenidas  en  la  Carta  de  la</w:t>
        <w:br/>
        <w:t xml:space="preserve">      Organización de los Estados Americanos, reformada por el Protocolo  de</w:t>
        <w:br/>
        <w:t xml:space="preserve">      Buenos Aires, a que hace referencia el artículo 26” de la  Convención.</w:t>
        <w:br/>
        <w:t xml:space="preserve">      Además,  señaló  que  la  Convención  Americana  “no  excluye  de  [la</w:t>
        <w:br/>
        <w:t xml:space="preserve">      competencia de la Corte] la interpretación y  aplicación  [de]  ningún</w:t>
        <w:br/>
        <w:t xml:space="preserve">      derecho  o  disposición  de  [dicho  instrumento].  Por  tanto,   debe</w:t>
        <w:br/>
        <w:t xml:space="preserve">      entenderse que  todos  sus  artículos  […]  son  susceptibles  de  ser</w:t>
        <w:br/>
        <w:t xml:space="preserve">      interpretados por la Corte al  ejercer  su  competencia  contenciosa”.</w:t>
        <w:br/>
        <w:t xml:space="preserve">      Asimismo, indicó que si bien “la materia  objeto  de  controversia  en</w:t>
        <w:br/>
        <w:t xml:space="preserve">      este caso consiste en establecer si el Estado peruano ha incurrido  en</w:t>
        <w:br/>
        <w:t xml:space="preserve">      responsabilidad internacional al incumplir dos sentencias  judiciales,</w:t>
        <w:br/>
        <w:t xml:space="preserve">      […] el derecho a la  protección  judicial  implica  necesariamente  la</w:t>
        <w:br/>
        <w:t xml:space="preserve">      protección indirecta de los derechos amparados por [tales]  sentencias</w:t>
        <w:br/>
        <w:t xml:space="preserve">      judiciales, […] incluso cuando estos [derechos] no gozan de protección</w:t>
        <w:br/>
        <w:t xml:space="preserve">      convencional”. En este sentido, el representante señaló que  la  Corte</w:t>
        <w:br/>
        <w:t xml:space="preserve">      “ha [decidido] casos con el mismo o similar patrón  fáctico  [al]  que</w:t>
        <w:br/>
        <w:t xml:space="preserve">      ahora se somete a su consideración”, sin encontrar limitaciones  a  su</w:t>
        <w:br/>
        <w:t xml:space="preserve">      competencia para pronunciarse sobre el artículo 26 de  la  Convención.</w:t>
        <w:br/>
        <w:t xml:space="preserve">      Destacó, además, que “lo que [ha] solicitado a la  Corte  es  que  [se</w:t>
        <w:br/>
        <w:t xml:space="preserve">      encuentre] u[n incumplimiento] del artículo 26 de la Convención”, y no</w:t>
        <w:br/>
        <w:t xml:space="preserve">      que se “establezca la violación de derechos contenidos en el Protocolo</w:t>
        <w:br/>
        <w:t xml:space="preserve">      de San Salvador”.</w:t>
        <w:br/>
        <w:br/>
        <w:t xml:space="preserve">  15. La controversia en  el  presente  caso,  según  se  desprende  de  los</w:t>
        <w:br/>
        <w:t xml:space="preserve">      escritos presentados por las partes, tiene como objeto  determinar  la</w:t>
        <w:br/>
        <w:t xml:space="preserve">      responsabilidad   internacional   del   Estado   por    el    supuesto</w:t>
        <w:br/>
        <w:t xml:space="preserve">      incumplimiento de lo ordenado a favor de las 273 presuntas víctimas en</w:t>
        <w:br/>
        <w:t xml:space="preserve">      dos sentencias emitidas por el Tribunal Constitucional peruano  en  lo</w:t>
        <w:br/>
        <w:t xml:space="preserve">      que respecta al derecho a la seguridad social de  éstos  en  el  Perú.</w:t>
        <w:br/>
        <w:t xml:space="preserve">      Según  la  Comisión,  dicho  supuesto  incumplimiento  constituye  una</w:t>
        <w:br/>
        <w:t xml:space="preserve">      violación de los derechos reconocidos en los artículos 25 y 21  de  la</w:t>
        <w:br/>
        <w:t xml:space="preserve">      Convención, en relación con la  obligación  general  contenida  en  el</w:t>
        <w:br/>
        <w:t xml:space="preserve">      artículo 1.1 del mismo instrumento. Por  su  parte,  el  representante</w:t>
        <w:br/>
        <w:t xml:space="preserve">      solicitó  un  pronunciamiento  adicional  de  la  Corte  respecto  del</w:t>
        <w:br/>
        <w:t xml:space="preserve">      artículo 26 de la Convención. La excepción preliminar planteada por el</w:t>
        <w:br/>
        <w:t xml:space="preserve">      Estado se enfoca en la supuesta falta de competencia en  razón  de  la</w:t>
        <w:br/>
        <w:t xml:space="preserve">      materia respecto del referido artículo 26 de  la  Convención.  Por  lo</w:t>
        <w:br/>
        <w:t xml:space="preserve">      tanto, corresponde al Tribunal analizar si  éste  es  competente  para</w:t>
        <w:br/>
        <w:t xml:space="preserve">      pronunciarse sobre un supuesto incumplimiento de dicho artículo.</w:t>
        <w:br/>
        <w:br/>
        <w:t xml:space="preserve">  16. Como todo órgano con funciones jurisdiccionales, este  Tribunal  tiene</w:t>
        <w:br/>
        <w:t xml:space="preserve">      el poder inherente a sus atribuciones de determinar el alcance  de  su</w:t>
        <w:br/>
        <w:t xml:space="preserve">      propia competencia (compétence de la  compétence).  Para  hacer  dicha</w:t>
        <w:br/>
        <w:t xml:space="preserve">      determinación, la Corte debe tener en cuenta que los  instrumentos  de</w:t>
        <w:br/>
        <w:t xml:space="preserve">      reconocimiento  de  la  cláusula  facultativa   de   la   jurisdicción</w:t>
        <w:br/>
        <w:t xml:space="preserve">      obligatoria (artículo 62.1 de la Convención) presuponen  la  admisión,</w:t>
        <w:br/>
        <w:t xml:space="preserve">      por los Estados que la presentan, del derecho de la Corte  a  resolver</w:t>
        <w:br/>
        <w:t xml:space="preserve">      cualquier controversia relativa a  su  jurisdicción[10].   Además,  el</w:t>
        <w:br/>
        <w:t xml:space="preserve">      Tribunal ha señalado anteriormente que los  términos  amplios  en  que</w:t>
        <w:br/>
        <w:t xml:space="preserve">      está  redactada  la  Convención  indican  que  la  Corte  ejerce   una</w:t>
        <w:br/>
        <w:t xml:space="preserve">      jurisdicción plena sobre todos sus artículos y disposiciones[11].</w:t>
        <w:br/>
        <w:br/>
        <w:t xml:space="preserve">  17. Adicionalmente, puesto que el Perú es Estado Parte  de  la  Convención</w:t>
        <w:br/>
        <w:t xml:space="preserve">      Americana y ha reconocido la competencia contenciosa de la Corte, ésta</w:t>
        <w:br/>
        <w:t xml:space="preserve">      es competente para decidir si el Estado ha incurrido en una  violación</w:t>
        <w:br/>
        <w:t xml:space="preserve">      o  incumplimiento  de  alguno  de  los  derechos  reconocidos  en   la</w:t>
        <w:br/>
        <w:t xml:space="preserve">      Convención, inclusive en lo concerniente al artículo 26 de  la  misma.</w:t>
        <w:br/>
        <w:t xml:space="preserve">      Por  lo  tanto,  el  análisis  de  esta  controversia,  es  decir,  la</w:t>
        <w:br/>
        <w:t xml:space="preserve">      determinación de si el Estado es responsable por el incumplimiento del</w:t>
        <w:br/>
        <w:t xml:space="preserve">      artículo 26 de la Convención, se realizará en el capítulo de fondo  de</w:t>
        <w:br/>
        <w:t xml:space="preserve">      la presente Sentencia (infra párrs. 92 a 107).</w:t>
        <w:br/>
        <w:br/>
        <w:t xml:space="preserve">  18. Por otro lado, el Tribunal observa que en el presente caso  no  se  ha</w:t>
        <w:br/>
        <w:t xml:space="preserve">      alegado una violación del Protocolo de San Salvador,  por  lo  que  la</w:t>
        <w:br/>
        <w:t xml:space="preserve">      Corte considera innecesario  resolver  si  puede  ejercer  competencia</w:t>
        <w:br/>
        <w:t xml:space="preserve">      sobre dicho Tratado.</w:t>
        <w:br/>
        <w:br/>
        <w:t xml:space="preserve">  19. Consecuentemente, el Tribunal desestima  la  excepción  preliminar  de</w:t>
        <w:br/>
        <w:t xml:space="preserve">      falta de competencia de la Corte ratione  materiae  planteada  por  el</w:t>
        <w:br/>
        <w:t xml:space="preserve">      Estado y considera  que  es  competente  para  analizar  los  alegatos</w:t>
        <w:br/>
        <w:t xml:space="preserve">      relacionados con el fondo del presente caso.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20. La Corte observa que el Estado señaló en sus alegatos finales que  aún</w:t>
        <w:br/>
        <w:t xml:space="preserve">      se encuentra pendiente a nivel interno un “proceso  de  ejecución”  de</w:t>
        <w:br/>
        <w:t xml:space="preserve">      las  sentencias  en  cuestión.  Este  Tribunal   observa   que   dicho</w:t>
        <w:br/>
        <w:t xml:space="preserve">      señalamiento no fue planteado explícitamente por el  Estado  como  una</w:t>
        <w:br/>
        <w:t xml:space="preserve">      excepción preliminar de incompetencia en razón de una  supuesta  falta</w:t>
        <w:br/>
        <w:t xml:space="preserve">      de agotamiento de recursos internos. Por lo tanto, no  corresponde  al</w:t>
        <w:br/>
        <w:t xml:space="preserve">      Tribunal  pronunciarse  al  respecto   más   allá   de   reiterar   su</w:t>
        <w:br/>
        <w:t xml:space="preserve">      jurisprudencia constante[12], en la cual se afirma que si la excepción</w:t>
        <w:br/>
        <w:t xml:space="preserve">      de  no  agotamiento  de  los  recursos  internos  no  es   interpuesta</w:t>
        <w:br/>
        <w:t xml:space="preserve">      oportunamente,   se   ha   perdido   la   posibilidad   de    hacerlo.</w:t>
        <w:br/>
        <w:t xml:space="preserve">      Consecuentemente, el Estado  debió  haber  planteado  dicha  excepción</w:t>
        <w:br/>
        <w:t xml:space="preserve">      preliminar, si así lo pretendía, en el momento procesal  oportuno,  lo</w:t>
        <w:br/>
        <w:t xml:space="preserve">      cual no hizo. Sin embargo, al analizar el fondo de la controversia, la</w:t>
        <w:br/>
        <w:t xml:space="preserve">      Corte valorará el señalamiento del Estado relacionado con el  supuesto</w:t>
        <w:br/>
        <w:t xml:space="preserve">      “proceso de ejecución” que sigue en trámite a nivel interno.</w:t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t xml:space="preserve">  21. La Corte es competente para conocer del presente caso, en los términos</w:t>
        <w:br/>
        <w:t xml:space="preserve">      del artículo 62.3 de la Convención Americana, ya que el Perú es Estado</w:t>
        <w:br/>
        <w:t xml:space="preserve">      Parte de la Convención desde el 28 de julio de  1978  y  reconoció  la</w:t>
        <w:br/>
        <w:t xml:space="preserve">      competencia contenciosa de la Corte el 21 de enero de 1981.</w:t>
        <w:br/>
        <w:br/>
        <w:t xml:space="preserve">                                      V</w:t>
        <w:br/>
        <w:t xml:space="preserve">                                   Prueba</w:t>
        <w:br/>
        <w:br/>
        <w:t xml:space="preserve">  22. Con base en lo establecido en los artículos 44 y  45  del  Reglamento,</w:t>
        <w:br/>
        <w:t xml:space="preserve">      así como en la jurisprudencia del Tribunal respecto de la prueba y  su</w:t>
        <w:br/>
        <w:t xml:space="preserve">      apreciación[13],  la  Corte  examinará  y   valorará   los   elementos</w:t>
        <w:br/>
        <w:t xml:space="preserve">      probatorios que constan en el expediente.</w:t>
        <w:br/>
        <w:br/>
        <w:br/>
        <w:t xml:space="preserve">               A)    Prueba Documental, Testimonial y Pericial</w:t>
        <w:br/>
        <w:br/>
        <w:br/>
        <w:t xml:space="preserve">  23. A pedido de la Presidencia[14], el Tribunal recibió los testimonios  y</w:t>
        <w:br/>
        <w:t xml:space="preserve">      las declaraciones a título informativo rendidas ante fedatario público</w:t>
        <w:br/>
        <w:t xml:space="preserve">      (affidávit) por las siguientes personas:</w:t>
        <w:br/>
        <w:br/>
        <w:t xml:space="preserve">   a) Cosme Marino Vargas Salas;</w:t>
        <w:br/>
        <w:t xml:space="preserve">   b) Juan José Medina Morán;</w:t>
        <w:br/>
        <w:t xml:space="preserve">   c) César Daniel Collantes Sora;</w:t>
        <w:br/>
        <w:t xml:space="preserve">   d) Julio César Borrero Briceño, y</w:t>
        <w:br/>
        <w:t xml:space="preserve">   e) Dicha Laura Arias Laureano.</w:t>
        <w:br/>
        <w:br/>
        <w:br/>
        <w:t xml:space="preserve">      Todos los testigos anteriores fueron propuestos por  el  representante</w:t>
        <w:br/>
        <w:t xml:space="preserve">      en su calidad de presuntas víctimas como miembros de la Asociación  de</w:t>
        <w:br/>
        <w:t xml:space="preserve">      Cesantes y Jubilados. Declararon  sobre  las  supuestas  consecuencias</w:t>
        <w:br/>
        <w:t xml:space="preserve">      económicas, personales y familiares que les ha ocasionado  el  alegado</w:t>
        <w:br/>
        <w:t xml:space="preserve">      incumplimiento de las decisiones del Tribunal Constitucional del  Perú</w:t>
        <w:br/>
        <w:t xml:space="preserve">      que son objeto del presente caso,  y  sobre  las  supuestas  gestiones</w:t>
        <w:br/>
        <w:t xml:space="preserve">      realizadas a través de la Asociación de Cesantes y Jubilados, tanto  a</w:t>
        <w:br/>
        <w:t xml:space="preserve">      nivel interno como internacional,  para  obtener  el  cumplimiento  de</w:t>
        <w:br/>
        <w:t xml:space="preserve">      dichas sentencias, así como los resultados de las mismas;</w:t>
        <w:br/>
        <w:br/>
        <w:br/>
        <w:t xml:space="preserve">   f) Javier Cabanillas Reyes, declarante a título informativo propuesto por</w:t>
        <w:br/>
        <w:t xml:space="preserve">      la Comisión, perito judicial peruano. Su declaración  versó  sobre  el</w:t>
        <w:br/>
        <w:t xml:space="preserve">      procedimiento de ejecución de sentencia llevado a  cabo  ante  el  66°</w:t>
        <w:br/>
        <w:t xml:space="preserve">      Juzgado Especializado en lo Civil de Lima, y sobre un informe pericial</w:t>
        <w:br/>
        <w:t xml:space="preserve">      que alegadamente determina el monto total actualizado por concepto  de</w:t>
        <w:br/>
        <w:t xml:space="preserve">      pensiones devengadas desde el mes de abril de 1993 al mes  de  octubre</w:t>
        <w:br/>
        <w:t xml:space="preserve">      de 2002, y</w:t>
        <w:br/>
        <w:br/>
        <w:br/>
        <w:t xml:space="preserve">   g) Flavia Marco Navarro, perita propuesta por la Comisión, es  abogada  y</w:t>
        <w:br/>
        <w:t xml:space="preserve">      experta en sistemas previsionales. Su declaración versó sobre aspectos</w:t>
        <w:br/>
        <w:t xml:space="preserve">      de reparaciones y modos de cumplimiento vinculados  a  las  sentencias</w:t>
        <w:br/>
        <w:t xml:space="preserve">      expedidas por el Tribunal Constitucional del Perú en el presente caso.</w:t>
        <w:br/>
        <w:br/>
        <w:t xml:space="preserve">  24. Durante la audiencia pública, la Corte recibió la declaración  de  los</w:t>
        <w:br/>
        <w:t xml:space="preserve">      siguientes testigos:</w:t>
        <w:br/>
        <w:br/>
        <w:t xml:space="preserve">      a)    José Guillermo Ruiz Boto, presunta víctima y  testigo  propuesto</w:t>
        <w:br/>
        <w:t xml:space="preserve">      por  el  representante.  Declaró,  inter  alia,  sobre  las   alegadas</w:t>
        <w:br/>
        <w:t xml:space="preserve">      consecuencias que ha tenido  en  las  presuntas  víctimas  el  alegado</w:t>
        <w:br/>
        <w:t xml:space="preserve">      incumplimiento de las decisiones del Tribunal Constitucional del  Perú</w:t>
        <w:br/>
        <w:t xml:space="preserve">      objeto del presente caso,  y  las  supuestas  gestiones  realizadas  a</w:t>
        <w:br/>
        <w:t xml:space="preserve">      través de la Asociación de Cesantes y Jubilados, tanto a nivel interno</w:t>
        <w:br/>
        <w:t xml:space="preserve">      como internacional, para obtener el cumplimiento de dichas sentencias,</w:t>
        <w:br/>
        <w:t xml:space="preserve">      y</w:t>
        <w:br/>
        <w:br/>
        <w:t xml:space="preserve">      b)    José Baltasar Vitkovic  Trujillo,  presunta  víctima  y  testigo</w:t>
        <w:br/>
        <w:t xml:space="preserve">      propuesto  por  el  representante.  Declaró,  inter  alia,  sobre  las</w:t>
        <w:br/>
        <w:t xml:space="preserve">      particularidades del régimen pensionario del Decreto  Ley  20530,  las</w:t>
        <w:br/>
        <w:t xml:space="preserve">      alegadas consecuencias que ha tenido  en  las  presuntas  víctimas  el</w:t>
        <w:br/>
        <w:t xml:space="preserve">      alegado incumplimiento de las decisiones del  Tribunal  Constitucional</w:t>
        <w:br/>
        <w:t xml:space="preserve">      del  Perú  objeto  del  presente  caso,  y  las  supuestas   gestiones</w:t>
        <w:br/>
        <w:t xml:space="preserve">      realizadas tanto a nivel interno como internacional  para  obtener  el</w:t>
        <w:br/>
        <w:t xml:space="preserve">      cumplimiento de dichas sentencias.</w:t>
        <w:br/>
        <w:br/>
        <w:t xml:space="preserve">  25. Además de las declaraciones y peritajes  señalados  anteriormente,  la</w:t>
        <w:br/>
        <w:t xml:space="preserve">      Comisión,  el  representante  y   el   Estado   remitieron   elementos</w:t>
        <w:br/>
        <w:t xml:space="preserve">      probatorios en diversas  oportunidades  procesales,  así  como  en  la</w:t>
        <w:br/>
        <w:t xml:space="preserve">      audiencia pública (supra párrs. 9, 10 y 11.)</w:t>
        <w:br/>
        <w:br/>
        <w:t xml:space="preserve">                        B)    Valoración de la Prueba</w:t>
        <w:br/>
        <w:br/>
        <w:br/>
        <w:t xml:space="preserve">  26. En el presente caso, como en otros[15], el Tribunal  admite  el  valor</w:t>
        <w:br/>
        <w:t xml:space="preserve">      probatorio de aquellos documentos y declaraciones  remitidos  por  las</w:t>
        <w:br/>
        <w:t xml:space="preserve">      partes en el momento procesal oportuno, en los términos  del  artículo</w:t>
        <w:br/>
        <w:t xml:space="preserve">      44 del Reglamento, que no fueron controvertidos ni objetados, ni  cuya</w:t>
        <w:br/>
        <w:t xml:space="preserve">      autenticidad fue cuestionada.</w:t>
        <w:br/>
        <w:br/>
        <w:t xml:space="preserve">  27. En cuanto a los testimonios,  declaraciones  a  título  informativo  y</w:t>
        <w:br/>
        <w:t xml:space="preserve">      dictámenes rendidos por los testigos y peritos mediante  declaraciones</w:t>
        <w:br/>
        <w:t xml:space="preserve">      juradas (affidávits) y en audiencia pública que  no  fueron  objetados</w:t>
        <w:br/>
        <w:t xml:space="preserve">      por las partes, la Corte los estima pertinentes en cuanto  se  ajusten</w:t>
        <w:br/>
        <w:t xml:space="preserve">      al objeto que fue definido por el Tribunal en la Resolución en la cual</w:t>
        <w:br/>
        <w:t xml:space="preserve">      se ordenó recibirlos (supra párr. 7) y los admite para  ser  valorados</w:t>
        <w:br/>
        <w:t xml:space="preserve">      conforme a las reglas de la sana crítica y al conjunto de  pruebas  en</w:t>
        <w:br/>
        <w:t xml:space="preserve">      el proceso. Este Tribunal estima que las  declaraciones  testimoniales</w:t>
        <w:br/>
        <w:t xml:space="preserve">      presentadas  por  las  presuntas  víctimas  no  pueden  ser  valoradas</w:t>
        <w:br/>
        <w:t xml:space="preserve">      aisladamente dado que dichas personas tienen  un  interés  directo  en</w:t>
        <w:br/>
        <w:t xml:space="preserve">      este caso, razón por la cual serán valoradas dentro  del  conjunto  de</w:t>
        <w:br/>
        <w:t xml:space="preserve">      las pruebas del proceso y conforme a las reglas de la sana crítica.</w:t>
        <w:br/>
        <w:br/>
        <w:t xml:space="preserve">  28. En su demanda, la Comisión solicitó  a  la  Corte  que  requiriera  al</w:t>
        <w:br/>
        <w:t xml:space="preserve">      Estado  “la  presentación  de  copias  certificadas  e  íntegras   del</w:t>
        <w:br/>
        <w:t xml:space="preserve">      expediente 2027-98 que se tramita ante el 66° Juzgado Especializado en</w:t>
        <w:br/>
        <w:t xml:space="preserve">      lo Civil de Lima”. Por su parte, el Estado solicitó que  se  declarara</w:t>
        <w:br/>
        <w:t xml:space="preserve">      inadmisible el pedido de la Comisión “por no resultar pertinente en el</w:t>
        <w:br/>
        <w:t xml:space="preserve">      presente caso”. Al respecto, la Corte observa que el acervo probatorio</w:t>
        <w:br/>
        <w:t xml:space="preserve">      que integra el  expediente  ante  la  misma  resulta  suficiente  para</w:t>
        <w:br/>
        <w:t xml:space="preserve">      resolver las controversias  planteadas  en  el  presente  caso  (supra</w:t>
        <w:br/>
        <w:t xml:space="preserve">      párrs. 1 a  5),  por  lo  que  consideró  innecesario  requerir  dicha</w:t>
        <w:br/>
        <w:t xml:space="preserve">      documentación.</w:t>
        <w:br/>
        <w:br/>
        <w:t xml:space="preserve">  29. Por otra parte, el representante y el Estado remitieron  prueba  junto</w:t>
        <w:br/>
        <w:t xml:space="preserve">      con  sus  observaciones  a  las  declaraciones  juradas   (affidávits)</w:t>
        <w:br/>
        <w:t xml:space="preserve">      presentadas en el presente caso[16]. El Tribunal observa que, si  bien</w:t>
        <w:br/>
        <w:t xml:space="preserve">      la  prueba  presentada  por  el   representante   fue   remitida   con</w:t>
        <w:br/>
        <w:t xml:space="preserve">      posterioridad  a  la  presentación  del  escrito  de   solicitudes   y</w:t>
        <w:br/>
        <w:t xml:space="preserve">      argumentos (supra párr.  8),  la  misma  se  relaciona  con  un  hecho</w:t>
        <w:br/>
        <w:t xml:space="preserve">      superviniente que no existía al momento de  presentar  dicho  escrito.</w:t>
        <w:br/>
        <w:t xml:space="preserve">      Asimismo, la Corte observa que la  prueba  presentada  por  el  Estado</w:t>
        <w:br/>
        <w:t xml:space="preserve">      consiste en  varias  resoluciones  y  escritos  que  fueron  emitidos,</w:t>
        <w:br/>
        <w:t xml:space="preserve">      notificados o presentados entre los meses de diciembre de 2008 y enero</w:t>
        <w:br/>
        <w:t xml:space="preserve">      de 2009, es decir, con posterioridad a la fecha de presentación de  la</w:t>
        <w:br/>
        <w:t xml:space="preserve">      contestación de la demanda, o  que  se  relacionan  con  tales  hechos</w:t>
        <w:br/>
        <w:t xml:space="preserve">      supervinientes. Además, la Corte  observa  que  dicha  prueba  no  fue</w:t>
        <w:br/>
        <w:t xml:space="preserve">      objetada por las partes (supra párrs. 8, 9 y 10) y que resulta útil  y</w:t>
        <w:br/>
        <w:t xml:space="preserve">      pertinente para la determinación de los hechos en  el  presente  caso.</w:t>
        <w:br/>
        <w:t xml:space="preserve">      Por lo tanto, de conformidad con el artículo 44.3 del Reglamento de la</w:t>
        <w:br/>
        <w:t xml:space="preserve">      Corte, el Tribunal la admite para ser  valorada  en  conjunto  con  el</w:t>
        <w:br/>
        <w:t xml:space="preserve">      resto del acervo probatorio  y  conforme  a  las  reglas  de  la  sana</w:t>
        <w:br/>
        <w:t xml:space="preserve">      crítica.</w:t>
        <w:br/>
        <w:br/>
        <w:t xml:space="preserve">  30. El Estado impugnó la declaración de la señora Flavia Marco Navarro por</w:t>
        <w:br/>
        <w:t xml:space="preserve">      “no  cumpl[ir]  con  los  requisitos  de  competencia,   idoneidad   o</w:t>
        <w:br/>
        <w:t xml:space="preserve">      especialidad para actuar  como  perito  en  los  temas  que  han  sido</w:t>
        <w:br/>
        <w:t xml:space="preserve">      definidos como objeto de la pericia […] pues, lejos  de  referirse  [a</w:t>
        <w:br/>
        <w:t xml:space="preserve">      dicho] objeto […], se refiere a temas totalmente distintos”. La  Corte</w:t>
        <w:br/>
        <w:t xml:space="preserve">      ha constatado, habiendo visto el currículum vítae de la perito  Flavia</w:t>
        <w:br/>
        <w:t xml:space="preserve">      Marco  Navarro,  que  ésta  se  presenta  como  experta  en   sistemas</w:t>
        <w:br/>
        <w:t xml:space="preserve">      previsionales y que rindió su opinión respecto  al  modo  mediante  el</w:t>
        <w:br/>
        <w:t xml:space="preserve">      cual el Estado debería realizar los  pagos  que  la  perito  considera</w:t>
        <w:br/>
        <w:t xml:space="preserve">      quedan pendientes de cumplimiento en razón de las sentencias expedidas</w:t>
        <w:br/>
        <w:t xml:space="preserve">      por el Tribunal Constitucional  del  Perú  en  el  presente  caso.  Lo</w:t>
        <w:br/>
        <w:t xml:space="preserve">      anterior se ajusta, al menos parcialmente, al  objeto  de  la  pericia</w:t>
        <w:br/>
        <w:t xml:space="preserve">      requerida por el Tribunal. Por lo tanto, la Corte toma en  cuenta  las</w:t>
        <w:br/>
        <w:t xml:space="preserve">      observaciones presentadas por el  Estado  y  estima  que  la  referida</w:t>
        <w:br/>
        <w:t xml:space="preserve">      declaración  puede  contribuir  a  la  determinación,  por  parte  del</w:t>
        <w:br/>
        <w:t xml:space="preserve">      Tribunal, de los hechos en el presente caso, en tanto se relacione con</w:t>
        <w:br/>
        <w:t xml:space="preserve">      el objeto definido por la  Corte,  por  lo  que  la  admite  para  ser</w:t>
        <w:br/>
        <w:t xml:space="preserve">      valorada en conjunto con el resto del acervo probatorio y  conforme  a</w:t>
        <w:br/>
        <w:t xml:space="preserve">      las reglas de la sana crítica.</w:t>
        <w:br/>
        <w:br/>
        <w:t xml:space="preserve">  31. El Estado impugnó, además, la declaración  a  título  informativo  del</w:t>
        <w:br/>
        <w:t xml:space="preserve">      señor Javier Cabanillas  Reyes,  señalando  que  dicha  declaración  a</w:t>
        <w:br/>
        <w:t xml:space="preserve">      título informativo “omite información  relevante  relacionada  con  el</w:t>
        <w:br/>
        <w:t xml:space="preserve">      procedimiento de ejecución,  así  como  la  referencia  a  actuaciones</w:t>
        <w:br/>
        <w:t xml:space="preserve">      procesales relevantes ocurridas dentro de él”. Al respecto,  la  Corte</w:t>
        <w:br/>
        <w:t xml:space="preserve">      observa que la objeción por parte del Estado no guarda relación con la</w:t>
        <w:br/>
        <w:t xml:space="preserve">      pertinencia y  admisibilidad  de  la  prueba  ofrecida,  sino  con  la</w:t>
        <w:br/>
        <w:t xml:space="preserve">      valoración que pueda hacer el Tribunal respecto a ésta. Por lo  tanto,</w:t>
        <w:br/>
        <w:t xml:space="preserve">      la Corte admite esta prueba  en  tanto  se  relaciona  con  el  objeto</w:t>
        <w:br/>
        <w:t xml:space="preserve">      establecido en la Resolución de la Presidencia (supra párr.  7),  para</w:t>
        <w:br/>
        <w:t xml:space="preserve">      ser valorada en conjunto con el resto del acervo probatorio y conforme</w:t>
        <w:br/>
        <w:t xml:space="preserve">      a las reglas de la sana crítica, teniendo en cuenta las  observaciones</w:t>
        <w:br/>
        <w:t xml:space="preserve">      realizadas por el Estado al respecto.</w:t>
        <w:br/>
        <w:br/>
        <w:t xml:space="preserve">  32. Asimismo, el Estado impugnó la declaración de la  señora  Dicha  Laura</w:t>
        <w:br/>
        <w:t xml:space="preserve">      Arias Laureano, indicando que  ésta  “no  cumplió  con  su  finalidad,</w:t>
        <w:br/>
        <w:t xml:space="preserve">      teniendo en cuenta el objeto de la declaración que fue definido por la</w:t>
        <w:br/>
        <w:t xml:space="preserve">      Corte”. El Estado alegó que “[c]ontrariamente  a  lo  que  sugiere  la</w:t>
        <w:br/>
        <w:t xml:space="preserve">      declarante, […] no ha  incumplido  con  las  sentencias  del  Tribunal</w:t>
        <w:br/>
        <w:t xml:space="preserve">      Constitucional”. Señaló,  además,  que  “no  existe  una  relación  de</w:t>
        <w:br/>
        <w:t xml:space="preserve">      causalidad adecuada entre [los] hechos [padecidos por la declarante  y</w:t>
        <w:br/>
        <w:t xml:space="preserve">      su familia] y los supuestos incumplimientos atribuidos al  Estado”  y,</w:t>
        <w:br/>
        <w:t xml:space="preserve">      por último, que  las  respuestas  de  la  declarante  respecto  a  los</w:t>
        <w:br/>
        <w:t xml:space="preserve">      recursos interpuestos por su esposo para lograr el  reintegro  de  las</w:t>
        <w:br/>
        <w:t xml:space="preserve">      pensiones no otorgadas resultan insuficientes, pues la  declarante  no</w:t>
        <w:br/>
        <w:t xml:space="preserve">      detalló las acciones efectuadas. Al respecto, la Corte observa que  la</w:t>
        <w:br/>
        <w:t xml:space="preserve">      objeción por parte del Estado no guarda relación con la pertinencia  y</w:t>
        <w:br/>
        <w:t xml:space="preserve">      admisibilidad de la prueba ofrecida, sino con la valoración que  pueda</w:t>
        <w:br/>
        <w:t xml:space="preserve">      hacer el Tribunal respecto a ésta. Por lo  tanto,  la  Corte  toma  en</w:t>
        <w:br/>
        <w:t xml:space="preserve">      cuenta las observaciones presentadas por el Estado  y  estima  que  la</w:t>
        <w:br/>
        <w:t xml:space="preserve">      declaración de la señora Dicha Laura Arias Laureano puede contribuir a</w:t>
        <w:br/>
        <w:t xml:space="preserve">      la determinación, por parte del Tribunal, de los hechos en el presente</w:t>
        <w:br/>
        <w:t xml:space="preserve">      caso, por lo que la admite para ser valorada en conjunto con el  resto</w:t>
        <w:br/>
        <w:t xml:space="preserve">      del acervo probatorio y conforme a las reglas de la sana crítica.</w:t>
        <w:br/>
        <w:br/>
        <w:t xml:space="preserve">  33. El Estado impugnó “la presentación,  aceptación  y  actuación  de  las</w:t>
        <w:br/>
        <w:t xml:space="preserve">      pruebas documentales ofrecidas en el Anexo No. 3 [de la demanda de  la</w:t>
        <w:br/>
        <w:t xml:space="preserve">      Comisión Interamericana] sobre legislación y sentencias del régimen de</w:t>
        <w:br/>
        <w:t xml:space="preserve">      pensiones por impertinentes y no estar vinculada[s] a la  materia  del</w:t>
        <w:br/>
        <w:t xml:space="preserve">      presente  proceso”.  Al  respecto,  el   Tribunal   observa   que   la</w:t>
        <w:br/>
        <w:t xml:space="preserve">      controversia  en  el   presente   caso   versa   sobre   el   supuesto</w:t>
        <w:br/>
        <w:t xml:space="preserve">      incumplimiento de ciertas decisiones internas en las que se analizaron</w:t>
        <w:br/>
        <w:t xml:space="preserve">      temas del régimen de pensiones aplicable en el Perú. Por lo tanto,  la</w:t>
        <w:br/>
        <w:t xml:space="preserve">      Corte toma en cuenta las observaciones presentadas  por  el  Estado  y</w:t>
        <w:br/>
        <w:t xml:space="preserve">      estima que los referidos  documentos  son  pertinentes  y  pueden  ser</w:t>
        <w:br/>
        <w:t xml:space="preserve">      útiles para la determinación, por parte del Tribunal, de los hechos en</w:t>
        <w:br/>
        <w:t xml:space="preserve">      el presente caso, por lo que los admite para ser valorados en conjunto</w:t>
        <w:br/>
        <w:t xml:space="preserve">      con el resto del acervo probatorio y conforme a las reglas de la  sana</w:t>
        <w:br/>
        <w:t xml:space="preserve">      crítica, en tanto guarden relación con el objeto del caso.</w:t>
        <w:br/>
        <w:br/>
        <w:t xml:space="preserve">  34. El Estado también impugnó “en su integridad el ofrecimiento de pruebas</w:t>
        <w:br/>
        <w:t xml:space="preserve">      [documentales  realizado  por  el  representante  en  su  escrito   de</w:t>
        <w:br/>
        <w:t xml:space="preserve">      solicitudes y argumentos], por no estar vinculadas al  núcleo  de  las</w:t>
        <w:br/>
        <w:t xml:space="preserve">      pretensiones del presente proceso”. Dicho  ofrecimiento  trata  de  lo</w:t>
        <w:br/>
        <w:t xml:space="preserve">      siguiente: a) dos sentencias del Tribunal Constitucional del Perú  que</w:t>
        <w:br/>
        <w:t xml:space="preserve">      demostrarían  la  supuesta   “problemática   del   incumplimiento   de</w:t>
        <w:br/>
        <w:t xml:space="preserve">      sentencias en general [en el Perú] y, en particular, las  relativas  a</w:t>
        <w:br/>
        <w:t xml:space="preserve">      los  derechos  de  carácter  social”,  lo  cual  la  Corte   considera</w:t>
        <w:br/>
        <w:t xml:space="preserve">      pertinente y relevante para determinar el supuesto contexto en el  que</w:t>
        <w:br/>
        <w:t xml:space="preserve">      se alega se ha producido el incumplimiento de las  sentencias  materia</w:t>
        <w:br/>
        <w:t xml:space="preserve">      del presente caso; b)  respuestas de 95 integrantes de  la  Asociación</w:t>
        <w:br/>
        <w:t xml:space="preserve">      de Cesantes y Jubilados a preguntas sobre la forma  como  alegadamente</w:t>
        <w:br/>
        <w:t xml:space="preserve">      “les afectó la reducción de sus pensiones desde el  mes  de  marzo  de</w:t>
        <w:br/>
        <w:t xml:space="preserve">      1993”,  lo  cual  la  Corte  considera  pertinente  y  relevante  para</w:t>
        <w:br/>
        <w:t xml:space="preserve">      analizar,  de  resultar  pertinente,  el  supuesto  daño  material   e</w:t>
        <w:br/>
        <w:t xml:space="preserve">      inmaterial sufrido por las presuntas víctimas; c) contratos celebrados</w:t>
        <w:br/>
        <w:t xml:space="preserve">      con el Estudio de abogados Carlos Blancas Bustamente y una relación de</w:t>
        <w:br/>
        <w:t xml:space="preserve">      gastos y costas en que supuestamente ha incurrido el representante, lo</w:t>
        <w:br/>
        <w:t xml:space="preserve">      cual resulta pertinente y relevante para la determinación, en su caso,</w:t>
        <w:br/>
        <w:t xml:space="preserve">      de las costas y gastos generados en el presente caso; d) una  relación</w:t>
        <w:br/>
        <w:t xml:space="preserve">      de miembros activos y  fallecidos  de  la  Asociación  de  Cesantes  y</w:t>
        <w:br/>
        <w:t xml:space="preserve">      Jubilados y  veintidós  (22)  testimonios  de  sucesión  intestada  de</w:t>
        <w:br/>
        <w:t xml:space="preserve">      pensionistas fallecidos pertenecientes a  dicha  Asociación,  lo  cual</w:t>
        <w:br/>
        <w:t xml:space="preserve">      resulta pertinente y relevante para la determinación, en su  caso,  de</w:t>
        <w:br/>
        <w:t xml:space="preserve">      la distribución de las reparaciones  que  el  Tribunal  pueda  ordenar</w:t>
        <w:br/>
        <w:t xml:space="preserve">      respecto de presuntas víctimas  fallecidas.  Por  lo  tanto,  habiendo</w:t>
        <w:br/>
        <w:t xml:space="preserve">      determinado  que  la  prueba  objetada  puede  resultar  pertinente  y</w:t>
        <w:br/>
        <w:t xml:space="preserve">      relevante para el análisis del presente caso, este Tribunal la  admite</w:t>
        <w:br/>
        <w:t xml:space="preserve">      para ser valorada en conjunto con el resto  del  acervo  probatorio  y</w:t>
        <w:br/>
        <w:t xml:space="preserve">      conforme a las reglas de la  sana  crítica,  teniendo  en  cuenta  las</w:t>
        <w:br/>
        <w:t xml:space="preserve">      observaciones presentadas por el Estado.</w:t>
        <w:br/>
        <w:br/>
        <w:t xml:space="preserve">  35.  Igualmente,  el  Estado  impugnó  diversos   documentos   de   prueba</w:t>
        <w:br/>
        <w:t xml:space="preserve">      presentados por  el  representante  el  22  y  23  de  junio  de  2009</w:t>
        <w:br/>
        <w:t xml:space="preserve">      relacionados a las costas  y  gastos  incurridos  en  el  trámite  del</w:t>
        <w:br/>
        <w:t xml:space="preserve">      presente caso desde el año 2004 hasta  el  2008,  consistentes,  inter</w:t>
        <w:br/>
        <w:t xml:space="preserve">      alia, en facturas y recibos por servicios  telefónicos  y  de  envíos,</w:t>
        <w:br/>
        <w:t xml:space="preserve">      materiales,  billetes   de   aerolínea,   hospedaje,   reembolsos   de</w:t>
        <w:br/>
        <w:t xml:space="preserve">      movilidades y refrigerio y honorarios.  El  Estado  señaló  que  dicha</w:t>
        <w:br/>
        <w:t xml:space="preserve">      prueba debió haber sido remitida  “en  el  escrito  de  solicitudes  y</w:t>
        <w:br/>
        <w:t xml:space="preserve">      argumentos de los peticionarios”. Al respecto, la  Corte  observa  que</w:t>
        <w:br/>
        <w:t xml:space="preserve">      estos documentos y comprobantes fueron  requeridos  por  la  Corte  al</w:t>
        <w:br/>
        <w:t xml:space="preserve">      considerarlos pertinentes y necesarios para la  determinación,  en  su</w:t>
        <w:br/>
        <w:t xml:space="preserve">      caso,  de  las  reparaciones  solicitadas  por  la   Comisión   y   el</w:t>
        <w:br/>
        <w:t xml:space="preserve">      representante en el presente caso. Por lo tanto,  el  Tribunal  admite</w:t>
        <w:br/>
        <w:t xml:space="preserve">      dicha prueba de conformidad con el artículo 45.1 de su Reglamento para</w:t>
        <w:br/>
        <w:t xml:space="preserve">      ser valorada en conjunto con el resto del acervo probatorio y conforme</w:t>
        <w:br/>
        <w:t xml:space="preserve">      a las reglas de la sana crítica.</w:t>
        <w:br/>
        <w:br/>
        <w:t xml:space="preserve">  36. Tanto el representante como el  Estado  presentaron  prueba  adicional</w:t>
        <w:br/>
        <w:t xml:space="preserve">      junto con sus alegatos finales escritos (supra párr. 10). El  Tribunal</w:t>
        <w:br/>
        <w:t xml:space="preserve">      observa que los documentos contenidos en los  Anexos  1  y  3  de  los</w:t>
        <w:br/>
        <w:t xml:space="preserve">      alegatos finales escritos del representante, a saber, el  Informe  No.</w:t>
        <w:br/>
        <w:t xml:space="preserve">      08-2008-JUS/CNDH-SE-CESAPI  de  fecha  14  de  enero  de  2008  y   la</w:t>
        <w:br/>
        <w:t xml:space="preserve">      Resolución de Administración No. 022-2001-CG/B190, ya  formaban  parte</w:t>
        <w:br/>
        <w:t xml:space="preserve">      del acervo probatorio, correspondiendo a los Anexos 1.61 y 4.8  de  la</w:t>
        <w:br/>
        <w:t xml:space="preserve">      demanda, respectivamente, y que  éstos  ya  fueron  admitidos  por  el</w:t>
        <w:br/>
        <w:t xml:space="preserve">      Tribunal (supra párr. 26). Los siguientes documentos presentados  como</w:t>
        <w:br/>
        <w:t xml:space="preserve">      anexos a los alegatos finales escritos del Estado también  constan  en</w:t>
        <w:br/>
        <w:t xml:space="preserve">      el acervo probatorio: a) el Anexo 2, titulado “Sentencias del Tribunal</w:t>
        <w:br/>
        <w:t xml:space="preserve">      Constitucional de fechas 21 de octubre de 1997 y 26 de enero de 2001”,</w:t>
        <w:br/>
        <w:t xml:space="preserve">      corresponde a los Anexos 4.3 y 4.7 de la demanda, y b) los Anexos 4, 5</w:t>
        <w:br/>
        <w:t xml:space="preserve">      y 6, que contienen las Resoluciones  Nos.  291,  298,  y  299  del  4º</w:t>
        <w:br/>
        <w:t xml:space="preserve">      Juzgado Especializado en lo Civil de la Corte Superior de Justicia  de</w:t>
        <w:br/>
        <w:t xml:space="preserve">      Lima, corresponden a los Anexos 3.2, 3.4 y 3.6  de  las  observaciones</w:t>
        <w:br/>
        <w:t xml:space="preserve">      del  Estado  a  las  declaraciones  rendidas  ante  fedatario  público</w:t>
        <w:br/>
        <w:t xml:space="preserve">      (affidávits), sobre cuya admisibilidad y valoración el Tribunal ya  se</w:t>
        <w:br/>
        <w:t xml:space="preserve">      pronunció (supra párr. 29).</w:t>
        <w:br/>
        <w:br/>
        <w:t xml:space="preserve">  37. No obstante lo anterior, el  Estado  y  el  representante  presentaron</w:t>
        <w:br/>
        <w:t xml:space="preserve">      varios documentos junto con  sus  alegatos  finales  escritos  que  no</w:t>
        <w:br/>
        <w:t xml:space="preserve">      habían sido remitidos en el momento procesal oportuno, de  conformidad</w:t>
        <w:br/>
        <w:t xml:space="preserve">      con el artículo 44  del  Reglamento.  El  Estado  remitió  la  demanda</w:t>
        <w:br/>
        <w:t xml:space="preserve">      interpuesta por los miembros de la Asociación de Cesantes y  Jubilados</w:t>
        <w:br/>
        <w:t xml:space="preserve">      con fecha 27 de mayo de 1993, así como la  Resolución  N°  63  del  4º</w:t>
        <w:br/>
        <w:t xml:space="preserve">      Juzgado Especializado en lo Civil de la Corte Superior de Justicia  de</w:t>
        <w:br/>
        <w:t xml:space="preserve">      Lima, de fecha 24 de enero de 2005, y un expediente de  jurisprudencia</w:t>
        <w:br/>
        <w:t xml:space="preserve">      del Tribunal Constitucional del Perú  en  torno  a  sus  criterios  de</w:t>
        <w:br/>
        <w:t xml:space="preserve">      interpretación y ejecución de sentencias. La Corte observa  que  dicha</w:t>
        <w:br/>
        <w:t xml:space="preserve">      prueba fue presentada extemporáneamente dentro  del  proceso  ante  la</w:t>
        <w:br/>
        <w:t xml:space="preserve">      misma y que no se relaciona con hechos supervinientes. No obstante, al</w:t>
        <w:br/>
        <w:t xml:space="preserve">      tratarse de documentos relacionados con el procedimiento interno en el</w:t>
        <w:br/>
        <w:t xml:space="preserve">      presente caso y de jurisprudencia relevante para la  determinación  de</w:t>
        <w:br/>
        <w:t xml:space="preserve">      las normas procesales aplicables para la ejecución de  las  sentencias</w:t>
        <w:br/>
        <w:t xml:space="preserve">      materia de esta controversia, el Tribunal considera que  ésta  resulta</w:t>
        <w:br/>
        <w:t xml:space="preserve">      pertinente y necesaria para la determinación, por parte del  Tribunal,</w:t>
        <w:br/>
        <w:t xml:space="preserve">      de los hechos en el presente caso.  Por lo tanto, teniendo  en  cuenta</w:t>
        <w:br/>
        <w:t xml:space="preserve">      que la misma tampoco fue objetada por las demás  partes  (supra  párr.</w:t>
        <w:br/>
        <w:t xml:space="preserve">      10), el Tribunal la admite de conformidad con el artículo 45.1  de  su</w:t>
        <w:br/>
        <w:t xml:space="preserve">      Reglamento para ser valorada en  conjunto  con  el  resto  del  acervo</w:t>
        <w:br/>
        <w:t xml:space="preserve">      probatorio y conforme a las reglas de la sana crítica.</w:t>
        <w:br/>
        <w:br/>
        <w:t xml:space="preserve">  38. Igualmente,  el  representante  presentó,  junto  con  su  escrito  de</w:t>
        <w:br/>
        <w:t xml:space="preserve">      alegatos finales, la siguiente prueba documental  que  no  había  sido</w:t>
        <w:br/>
        <w:t xml:space="preserve">      remitida en el  momento  procesal  oportuno,  de  conformidad  con  el</w:t>
        <w:br/>
        <w:t xml:space="preserve">      artículo 44 del Reglamento: a) en el  Anexo  2,  el  “Dictamen  de  la</w:t>
        <w:br/>
        <w:t xml:space="preserve">      Comisión de Presupuesto y Cuenta General de la  República  recaído  en</w:t>
        <w:br/>
        <w:t xml:space="preserve">      relación con el Proyecto de Ley N° 2029/2007-PE” de 16 de diciembre de</w:t>
        <w:br/>
        <w:t xml:space="preserve">      2008; b) en el Anexo 4, la “Resolución Judicial N° 152 de fecha 19  de</w:t>
        <w:br/>
        <w:t xml:space="preserve">      julio de 2006”; c) en el Anexo 5, el “Oficio N°  692-2007-JUZ/CNDH-SE”</w:t>
        <w:br/>
        <w:t xml:space="preserve">      de 26 de abril de 2007; d) en el Anexo  6,  el  “Oficio  N°  247-2006-</w:t>
        <w:br/>
        <w:t xml:space="preserve">      CG/RH” de 17 de junio de 2006, y e) en el Anexo 7, una  copia  de  las</w:t>
        <w:br/>
        <w:t xml:space="preserve">      “declaraciones de la Jefa de la SUNAT  ([publicadas  en  dos]  diarios</w:t>
        <w:br/>
        <w:t xml:space="preserve">      [peruanos,] PERÚ 21 y GESTIÓN del 17 de enero de 2009)”. Al  respecto,</w:t>
        <w:br/>
        <w:t xml:space="preserve">      la Corte observa que dicha  prueba  fue  presentada  extemporáneamente</w:t>
        <w:br/>
        <w:t xml:space="preserve">      dentro  del  presente  proceso  y  que,  con  excepción  del  referido</w:t>
        <w:br/>
        <w:t xml:space="preserve">      “Dictamen de la Comisión de Presupuesto” de 16 de diciembre  de  2008,</w:t>
        <w:br/>
        <w:t xml:space="preserve">      no se relaciona con hechos supervinientes.  El  Tribunal  admite  como</w:t>
        <w:br/>
        <w:t xml:space="preserve">      prueba  superviniente  el  referido  “Dictamen  de  la   Comisión   de</w:t>
        <w:br/>
        <w:t xml:space="preserve">      Presupuesto” de 16  de  diciembre  de  2008,  de  conformidad  con  el</w:t>
        <w:br/>
        <w:t xml:space="preserve">      artículo 44.3 del Reglamento de la Corte, ya que éste no fue  objetado</w:t>
        <w:br/>
        <w:t xml:space="preserve">      por  las  partes  (supra  para.  10)  y  resulta  pertinente  para  la</w:t>
        <w:br/>
        <w:t xml:space="preserve">      determinación de los hechos del caso.  Asimismo, estima que los  demás</w:t>
        <w:br/>
        <w:t xml:space="preserve">      documentos[17] se refieren a la supuesta falta  de  ejecución  de  las</w:t>
        <w:br/>
        <w:t xml:space="preserve">      sentencias objeto del presente caso, por lo que resultan pertinentes y</w:t>
        <w:br/>
        <w:t xml:space="preserve">      necesarios para la determinación  de  los  hechos  y  los  admite,  de</w:t>
        <w:br/>
        <w:t xml:space="preserve">      conformidad con el artículo 45.1 de su Reglamento, para ser  valorados</w:t>
        <w:br/>
        <w:t xml:space="preserve">      en conjunto con el resto del acervo probatorio y conforme a las reglas</w:t>
        <w:br/>
        <w:t xml:space="preserve">      de la sana crítica.</w:t>
        <w:br/>
        <w:br/>
        <w:t xml:space="preserve">  39.  En  relación  con  los  documentos  de  prensa   aportados   por   el</w:t>
        <w:br/>
        <w:t xml:space="preserve">      representante en el Anexo 7 de sus  alegatos  finales  escritos,  este</w:t>
        <w:br/>
        <w:t xml:space="preserve">      Tribunal  considera  que  serán  valorados  en  tanto  recojan  hechos</w:t>
        <w:br/>
        <w:t xml:space="preserve">      públicos y notorios o declaraciones  de  funcionarios  del  Estado,  o</w:t>
        <w:br/>
        <w:t xml:space="preserve">      cuando corroboren aspectos relacionados con el caso[18].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40. Efectuado el examen de los elementos probatorios  que  constan  en  el</w:t>
        <w:br/>
        <w:t xml:space="preserve">      expediente, la Corte procede a analizar las  violaciones  alegadas  en</w:t>
        <w:br/>
        <w:t xml:space="preserve">      consideración de los hechos que considere probados, así  como  de  los</w:t>
        <w:br/>
        <w:t xml:space="preserve">      argumentos de derecho presentados por las partes.</w:t>
        <w:br/>
        <w:br/>
        <w:br/>
        <w:br/>
        <w:br/>
        <w:br/>
        <w:br/>
        <w:br/>
        <w:br/>
        <w:t xml:space="preserve">                                     VI</w:t>
        <w:br/>
        <w:t xml:space="preserve"> VIOLACIÓN DE Los Artículos 25.1 Y 25.2.C (Protección Judicial)[19], y 21.1</w:t>
        <w:br/>
        <w:t xml:space="preserve"> y 21.2 (derecho a la propiedad privada)[20] de la Convención Americana, en</w:t>
        <w:br/>
        <w:t xml:space="preserve">  Relación con el artículo 1.1 (obligación de respetar los derechos)[21] de</w:t>
        <w:br/>
        <w:t xml:space="preserve">                                  la Misma</w:t>
        <w:br/>
        <w:br/>
        <w:t xml:space="preserve">  41. La Corte procederá a examinar en este  capítulo  los  siguientes  tres</w:t>
        <w:br/>
        <w:t xml:space="preserve">      asuntos: primero, describirá el proceso judicial interno  y  analizará</w:t>
        <w:br/>
        <w:t xml:space="preserve">      el alcance de lo ordenado en las sentencias  judiciales  del  Tribunal</w:t>
        <w:br/>
        <w:t xml:space="preserve">      Constitucional del Perú de 21 de octubre de 1997  y  26  de  enero  de</w:t>
        <w:br/>
        <w:t xml:space="preserve">      2001; segundo, determinará si el Estado ha garantizado a las presuntas</w:t>
        <w:br/>
        <w:t xml:space="preserve">      víctimas un recurso judicial efectivo contra actos violatorios de  sus</w:t>
        <w:br/>
        <w:t xml:space="preserve">      derechos, a la luz del  artículo  25.1  y  25.2.c  de  la  Convención;</w:t>
        <w:br/>
        <w:t xml:space="preserve">      finalmente, de ser pertinente, examinará si el cumplimiento o no de lo</w:t>
        <w:br/>
        <w:t xml:space="preserve">      ordenado en las  referidas  sentencias  ha  tenido  como  consecuencia</w:t>
        <w:br/>
        <w:t xml:space="preserve">      alguna afectación al derecho a la propiedad de las presuntas víctimas,</w:t>
        <w:br/>
        <w:t xml:space="preserve">      según el artículo 21 de la Convención.</w:t>
        <w:br/>
        <w:br/>
        <w:t xml:space="preserve">  42. Antes de analizar si el Estado ha  incumplido  con  alguna  obligación</w:t>
        <w:br/>
        <w:t xml:space="preserve">      convencional, resulta pertinente describir el proceso judicial que dio</w:t>
        <w:br/>
        <w:t xml:space="preserve">      origen a las sentencias materia de este caso.</w:t>
        <w:br/>
        <w:br/>
        <w:t xml:space="preserve">          A)  El régimen pensionario sobre el cual se pronunciaron</w:t>
        <w:br/>
        <w:t xml:space="preserve">        las sentencias de 1997 y 2001 y el derecho amparado por éstas</w:t>
        <w:br/>
        <w:br/>
        <w:t xml:space="preserve">  43. Es un hecho no controvertido que las presuntas víctimas  se  acogieron</w:t>
        <w:br/>
        <w:t xml:space="preserve">      al régimen de pensiones regulado por el Decreto Ley Nº 20530  (Régimen</w:t>
        <w:br/>
        <w:t xml:space="preserve">      de Pensiones y  Compensaciones  por  Servicios  Civiles  Prestados  al</w:t>
        <w:br/>
        <w:t xml:space="preserve">      Estado no Comprendidos en  el  Decreto-Ley  No.  19990[22]),  el  cual</w:t>
        <w:br/>
        <w:t xml:space="preserve">      establece una pensión de jubilación nivelable progresivamente  con  la</w:t>
        <w:br/>
        <w:t xml:space="preserve">      remuneración del titular en actividad de la Contraloría General de  la</w:t>
        <w:br/>
        <w:t xml:space="preserve">      República (en adelante “CGR”) que ocupara el mismo  puesto  o  función</w:t>
        <w:br/>
        <w:t xml:space="preserve">      análoga a la que ellas desempeñaban a la fecha de  su  jubilación.  La</w:t>
        <w:br/>
        <w:t xml:space="preserve">      Constitución  Política  del  Perú  de  1979  integró  el  régimen   de</w:t>
        <w:br/>
        <w:t xml:space="preserve">      nivelación de las pensiones de los servidores civiles del Estado en su</w:t>
        <w:br/>
        <w:t xml:space="preserve">      Octava Disposición General y Transitoria,  la  cual  fue  desarrollada</w:t>
        <w:br/>
        <w:t xml:space="preserve">      posteriormente mediante la Ley No. 23495 de 19 de noviembre  de  1982.</w:t>
        <w:br/>
        <w:t xml:space="preserve">      Sin embargo, el 7 de julio de 1992 se publicó el Decreto Ley Nº 25597,</w:t>
        <w:br/>
        <w:t xml:space="preserve">      que encargó al Ministerio de Economía y Finanzas (en  adelante  “MEF”)</w:t>
        <w:br/>
        <w:t xml:space="preserve">      asumir el pago de las remuneraciones, pensiones y similares que  hasta</w:t>
        <w:br/>
        <w:t xml:space="preserve">      ese momento le correspondía pagar a la CGR, y recortó  el  derecho  de</w:t>
        <w:br/>
        <w:t xml:space="preserve">      los integrantes de la Asociación a continuar  recibiendo  una  pensión</w:t>
        <w:br/>
        <w:t xml:space="preserve">      nivelable conforme al Decreto Ley Nº 20530. Asimismo, mediante Decreto</w:t>
        <w:br/>
        <w:t xml:space="preserve">      Supremo Nº 036-93-EF, publicado el 17 de marzo de 1993,  se  otorgó  a</w:t>
        <w:br/>
        <w:t xml:space="preserve">      los pensionistas a cargo del Estado una bonificación por  escolaridad,</w:t>
        <w:br/>
        <w:t xml:space="preserve">      a fin de sustituir la Bonificación Anual por Educación Ocupacional que</w:t>
        <w:br/>
        <w:t xml:space="preserve">      percibían los miembros integrantes de la Asociación,  cuyo  monto  era</w:t>
        <w:br/>
        <w:t xml:space="preserve">      mayor. Así, a partir del mes de abril de 1993, se dejó de abonar a las</w:t>
        <w:br/>
        <w:t xml:space="preserve">      presuntas víctimas los  montos  pensionarios  correspondientes  a  los</w:t>
        <w:br/>
        <w:t xml:space="preserve">      conceptos de nivelación.</w:t>
        <w:br/>
        <w:br/>
        <w:t xml:space="preserve">  44. Ante ello, el 27 de mayo de 1993 la Asociación interpuso una acción de</w:t>
        <w:br/>
        <w:t xml:space="preserve">      amparo contra la CGR y el MEF ante el Sexto Juzgado  en  lo  Civil  de</w:t>
        <w:br/>
        <w:t xml:space="preserve">      Lima, a fin de que  declarara  la  inaplicación  de  los  dispositivos</w:t>
        <w:br/>
        <w:t xml:space="preserve">      legales mencionados a favor de sus integrantes. El 9 de julio de  1993</w:t>
        <w:br/>
        <w:t xml:space="preserve">      el Sexto Juzgado  expidió  sentencia[23]  declarando  improcedente  la</w:t>
        <w:br/>
        <w:t xml:space="preserve">      demanda de  amparo  por  considerar,  entre  otras  razones,  que  los</w:t>
        <w:br/>
        <w:t xml:space="preserve">      peticionarios no cuestionaron en tiempo  oportuno  la  aplicación  del</w:t>
        <w:br/>
        <w:t xml:space="preserve">      Decreto Ley Nº 25597[24]. Los peticionarios interpusieron  recurso  de</w:t>
        <w:br/>
        <w:t xml:space="preserve">      apelación ante  la  Primera  Sala  Civil  Especializada  de  la  Corte</w:t>
        <w:br/>
        <w:t xml:space="preserve">      Superior de Justicia de Lima, la que, mediante resolución de fecha  14</w:t>
        <w:br/>
        <w:t xml:space="preserve">      de diciembre de 1993, revocó la sentencia apelada y declaró fundada la</w:t>
        <w:br/>
        <w:t xml:space="preserve">      demanda, declarando inaplicables a los integrantes  de  la  Asociación</w:t>
        <w:br/>
        <w:t xml:space="preserve">      los artículos 9° inciso c) y 13° del Decreto Ley Nº 25597, así como el</w:t>
        <w:br/>
        <w:t xml:space="preserve">      artículo 5° del Decreto Supremo Nº 036-93 EF, y ordenó:</w:t>
        <w:br/>
        <w:br/>
        <w:br/>
        <w:t xml:space="preserve">      […] que la [CGR] cumpla con abonar a los integrantes de la  Asociación</w:t>
        <w:br/>
        <w:t xml:space="preserve">      actora  las  remuneraciones,  gratificaciones  y  bonificaciones   que</w:t>
        <w:br/>
        <w:t xml:space="preserve">      perciben los servidores en actividad  de  la  citada  Contraloría  que</w:t>
        <w:br/>
        <w:t xml:space="preserve">      desempeñen cargos  idénticos,  similares  o  equivalentes  a  los  que</w:t>
        <w:br/>
        <w:t xml:space="preserve">      tuvieron los cesantes y jubilados[25].</w:t>
        <w:br/>
        <w:br/>
        <w:t>De este modo, la Primera Sala concluyó que en el caso “se […]  produ[jo]  la</w:t>
        <w:br/>
        <w:t>omisión por la Contraloría de un acto de cumplimiento obligatorio”[26].</w:t>
        <w:br/>
        <w:br/>
        <w:t xml:space="preserve">  45. Posteriormente, la CGR promovió recurso de nulidad  ante  la  Sala  de</w:t>
        <w:br/>
        <w:t xml:space="preserve">      Derecho Constitucional y Social de la Corte Suprema de Justicia de  la</w:t>
        <w:br/>
        <w:t xml:space="preserve">      República. Ésta, con fecha 3 de octubre de 1994, declaró la nulidad de</w:t>
        <w:br/>
        <w:t xml:space="preserve">      la referida resolución de 14 de diciembre de 1993  e  improcedente  la</w:t>
        <w:br/>
        <w:t xml:space="preserve">      demanda de amparo al considerar que aquélla fue interpuesta fuera  del</w:t>
        <w:br/>
        <w:t xml:space="preserve">      plazo señalado por la ley y que, respecto al Decreto Supremo Nº 036-93-</w:t>
        <w:br/>
        <w:t xml:space="preserve">      EF, no había operado la caducidad, pero  que  la  norma  no  resultaba</w:t>
        <w:br/>
        <w:t xml:space="preserve">      incompatible con la Constitución  Política  del  Estado.  Contra  esta</w:t>
        <w:br/>
        <w:t xml:space="preserve">      decisión, la Asociación interpuso un recurso  extraordinario  ante  el</w:t>
        <w:br/>
        <w:t xml:space="preserve">      Tribunal Constitucional, el que, mediante sentencia de 21  de  octubre</w:t>
        <w:br/>
        <w:t xml:space="preserve">      de  1997,  revocó  la  sentencia  expedida  por  la  Sala  de  Derecho</w:t>
        <w:br/>
        <w:t xml:space="preserve">      Constitucional y Social, declarando fundada la acción de amparo y,  en</w:t>
        <w:br/>
        <w:t xml:space="preserve">      consecuencia, confirmando la de la Primera  Sala  Civil  de  la  Corte</w:t>
        <w:br/>
        <w:t xml:space="preserve">      Superior de Justicia de Lima de 14 de diciembre de 1993. Asimismo,  el</w:t>
        <w:br/>
        <w:t xml:space="preserve">      Tribunal Constitucional estableció que “el derecho a pensión nivelable</w:t>
        <w:br/>
        <w:t xml:space="preserve">      de la Seguridad Social está garantizado  a  los  beneficiarios  de  la</w:t>
        <w:br/>
        <w:t xml:space="preserve">      Administración  Pública,  cuyo  ejercicio  está  consagrado   por   la</w:t>
        <w:br/>
        <w:t xml:space="preserve">      Constitución, [es] irrenunciabl[e],  y  todo  pacto  en  contrario  al</w:t>
        <w:br/>
        <w:t xml:space="preserve">      respecto es nulo”[27]. Asimismo, destacó que “el servicio de  pago  de</w:t>
        <w:br/>
        <w:t xml:space="preserve">      las pensiones constituye un  acto  continuado  en  forma  periódica  y</w:t>
        <w:br/>
        <w:t xml:space="preserve">      sucesiva, [el] mism[o] que reiteradamente  h[a]  sido  vulnerad[o]  en</w:t>
        <w:br/>
        <w:t xml:space="preserve">      cada nueva oportunidad por la entidad demandada”[28].</w:t>
        <w:br/>
        <w:br/>
        <w:t xml:space="preserve">  46. El 10 de diciembre de 1997 fue notificada la Ejecutoria  del  Tribunal</w:t>
        <w:br/>
        <w:t xml:space="preserve">      Constitucional  del  Perú.  A  partir  de  ello,  el  Primer   Juzgado</w:t>
        <w:br/>
        <w:t xml:space="preserve">      Corporativo Transitorio Especializado en Derecho Público  requirió  en</w:t>
        <w:br/>
        <w:t xml:space="preserve">      más de una oportunidad a la  CGR  y  al  MEF  que  cumplieran  con  lo</w:t>
        <w:br/>
        <w:t xml:space="preserve">      ordenado por el Tribunal Constitucional[29]. El 6 de octubre  de  1998</w:t>
        <w:br/>
        <w:t xml:space="preserve">      el Procurador Público del MEF  solicitó  a  dicho  Juzgado  dejar  sin</w:t>
        <w:br/>
        <w:t xml:space="preserve">      efecto el requerimiento por  considerar  que  su  cumplimiento  no  le</w:t>
        <w:br/>
        <w:t xml:space="preserve">      correspondía a esa entidad, sino a la CGR. El 16 de octubre de 1998 el</w:t>
        <w:br/>
        <w:t xml:space="preserve">      referido Juzgado  declaró  improcedente  la  petición  del  Procurador</w:t>
        <w:br/>
        <w:t xml:space="preserve">      Público del MEF y éste interpuso recurso de apelación. Por  su  parte,</w:t>
        <w:br/>
        <w:t xml:space="preserve">      el 5 de enero de 1999 la CGR manifestó que se  encontraba  gestionando</w:t>
        <w:br/>
        <w:t xml:space="preserve">      ante el MEF los recursos para atender dicho pago. Finalmente, mediante</w:t>
        <w:br/>
        <w:t xml:space="preserve">      Resolución de 12 de febrero de 1999  y  refiriéndose  a  la  falta  de</w:t>
        <w:br/>
        <w:t xml:space="preserve">      idoneidad de la Acción de Amparo para la solución  de  este  caso,  la</w:t>
        <w:br/>
        <w:t xml:space="preserve">      Sala Corporativa Transitoria Especializada en Derecho  Público  de  la</w:t>
        <w:br/>
        <w:t xml:space="preserve">      Corte Superior de Justicia de Lima declaró nula la Resolución de 16 de</w:t>
        <w:br/>
        <w:t xml:space="preserve">      octubre de 1998 e insubsistente todo lo actuado en vías de  ejecución,</w:t>
        <w:br/>
        <w:t xml:space="preserve">      “dejando a salvo el derecho de la [Asociación], para que lo haga valer</w:t>
        <w:br/>
        <w:t xml:space="preserve">      en la forma y modo que corresponda”[30].</w:t>
        <w:br/>
        <w:br/>
        <w:t xml:space="preserve">  47. Frente a este  nuevo  pronunciamiento,  el  27  de  mayo  de  1999  la</w:t>
        <w:br/>
        <w:t xml:space="preserve">      Asociación presentó una segunda acción  de  amparo  ante  la  Sala  de</w:t>
        <w:br/>
        <w:t xml:space="preserve">      Derecho Constitucional y Social de la Corte Suprema de Justicia de  la</w:t>
        <w:br/>
        <w:t xml:space="preserve">      República solicitando: 1) “[l]a inaplicación al caso de la  Resolución</w:t>
        <w:br/>
        <w:t xml:space="preserve">      de fecha 12 de [f]ebrero de 1999”; 2) “[l]a reposición de la  causa  a</w:t>
        <w:br/>
        <w:t xml:space="preserve">      su estado de ejecución de sentencia”, y 3) “[e]l pago de  los  gastos,</w:t>
        <w:br/>
        <w:t xml:space="preserve">      costos y costas del proceso”[31]. El 5 de  mayo  de  2000  dicha  Sala</w:t>
        <w:br/>
        <w:t xml:space="preserve">      confirmó la decisión de 12 de febrero de 1999 y, a continuación, el 27</w:t>
        <w:br/>
        <w:t xml:space="preserve">      de mayo de 2000 la Asociación presentó un recurso extraordinario  ante</w:t>
        <w:br/>
        <w:t xml:space="preserve">      el Tribunal Constitucional.</w:t>
        <w:br/>
        <w:br/>
        <w:t xml:space="preserve">  48. El Tribunal Constitucional, mediante sentencia de 26 de enero de 2001,</w:t>
        <w:br/>
        <w:t xml:space="preserve">      revocó la resolución de la Sala de Derecho Constitucional y Social  de</w:t>
        <w:br/>
        <w:t xml:space="preserve">      la Corte Suprema de Justicia de 5 de mayo de 2000 y declaró fundada la</w:t>
        <w:br/>
        <w:t xml:space="preserve">      acción de amparo y, en consecuencia, inaplicable la Resolución  de  12</w:t>
        <w:br/>
        <w:t xml:space="preserve">      de febrero de 1999 de la Sala Corporativa Transitoria Especializada en</w:t>
        <w:br/>
        <w:t xml:space="preserve">      Derecho Público de la Corte Superior de Justicia  de  Lima,  ordenando</w:t>
        <w:br/>
        <w:t xml:space="preserve">      “reponerse la causa al estado de ejecución de sentencia  para  que  el</w:t>
        <w:br/>
        <w:t xml:space="preserve">      órgano judicial respectivo cumpla de forma inmediata  e  incondicional</w:t>
        <w:br/>
        <w:t xml:space="preserve">      con el mandato derivado de la sentencia del Tribunal Constitucional de</w:t>
        <w:br/>
        <w:t xml:space="preserve">      fecha [21 de octubre de 1997]”[32].</w:t>
        <w:br/>
        <w:br/>
        <w:t xml:space="preserve">  49. Mediante Resolución de Administración No. 022-2001-CG/B190  de  29  de</w:t>
        <w:br/>
        <w:t xml:space="preserve">      marzo de 2001, la CGR resolvió  “[a]probar  la  homologación  de  [las</w:t>
        <w:br/>
        <w:t xml:space="preserve">      pensiones de las presuntas víctimas] con relación a su personal activo</w:t>
        <w:br/>
        <w:t xml:space="preserve">      en sus diversos niveles”[33] y la Dirección Nacional  del  Presupuesto</w:t>
        <w:br/>
        <w:t xml:space="preserve">      Público  del  MEF  autorizó  el  pago  de  las  respectivas  pensiones</w:t>
        <w:br/>
        <w:t xml:space="preserve">      niveladas a partir de noviembre de 2002[34], las cuales se mantuvieron</w:t>
        <w:br/>
        <w:t xml:space="preserve">      hasta diciembre de 2004[35].</w:t>
        <w:br/>
        <w:br/>
        <w:t xml:space="preserve">  50. Respecto del reintegro de los montos pensionarios  devengados  dejados</w:t>
        <w:br/>
        <w:t xml:space="preserve">      de percibir entre abril de 1993  y  octubre  de  2002,  las  presuntas</w:t>
        <w:br/>
        <w:t xml:space="preserve">      víctimas  iniciaron  un  proceso  de  ejecución   de   sentencia   con</w:t>
        <w:br/>
        <w:t xml:space="preserve">      posterioridad al fallo emitido el 26 de enero de 2001 por el  Tribunal</w:t>
        <w:br/>
        <w:t xml:space="preserve">      Constitucional. En dicho proceso, mediante Resolución No. 63 de 24  de</w:t>
        <w:br/>
        <w:t xml:space="preserve">      enero de 2005, el 4º Juzgado Especializado en lo Civil ordenó “que las</w:t>
        <w:br/>
        <w:t xml:space="preserve">      entidades demandadas deber[ían] efectuar  el  pago  de  las  pensiones</w:t>
        <w:br/>
        <w:t xml:space="preserve">      devengadas de la Asociación demandante de acuerdo con [las Leyes  Nos.</w:t>
        <w:br/>
        <w:t xml:space="preserve">      27584 y 27684]”[36].</w:t>
        <w:br/>
        <w:br/>
        <w:t xml:space="preserve">  51. Mediante Resolución No. 244 de 23 de julio de 2007[37] el 66º  Juzgado</w:t>
        <w:br/>
        <w:t xml:space="preserve">      Especializado en lo Civil de Lima aprobó “el monto que  por  pensiones</w:t>
        <w:br/>
        <w:t xml:space="preserve">      devengadas, más intereses[,]  adeuda  la  [CGR]  en  la  suma  de  S/.</w:t>
        <w:br/>
        <w:t xml:space="preserve">      240’204,220.66 ([d]oscientos cuarenta millones, doscientos cuatro  mil</w:t>
        <w:br/>
        <w:t xml:space="preserve">      doscientos  veinte  y  66/100)  [n]uevos  [s]oles,  por   el   período</w:t>
        <w:br/>
        <w:t xml:space="preserve">      comprendido desde [a]bril de 1993 a [o]ctubre del 200[2],  conforme  a</w:t>
        <w:br/>
        <w:t xml:space="preserve">      lo establecido  en  [los  respectivos]  Informe[s]  Pericial[es]”[38],</w:t>
        <w:br/>
        <w:t xml:space="preserve">      requiriendo el cumplimiento del pago “dentro de[l] tercer […]  día  de</w:t>
        <w:br/>
        <w:t xml:space="preserve">      notificada” la referida resolución. Sin embargo,  mediante  Resolución</w:t>
        <w:br/>
        <w:t xml:space="preserve">      No. 298 de 9 de enero de 2009, el 4º Juzgado Especializado en lo Civil</w:t>
        <w:br/>
        <w:t xml:space="preserve">      de la Corte Superior de Justicia de Lima ordenó una nueva  liquidación</w:t>
        <w:br/>
        <w:t xml:space="preserve">      por parte del perito judicial, tomando en cuenta  que  la  Sexta  Sala</w:t>
        <w:br/>
        <w:t xml:space="preserve">      Civil de la misma corte había declarado nula  la  Resolución  No.  244</w:t>
        <w:br/>
        <w:t xml:space="preserve">      mediante resolución de 1 de julio de 2008[39].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52. No está controvertido que, mediante sentencias de  21  de  octubre  de</w:t>
        <w:br/>
        <w:t xml:space="preserve">      1997 y 26 de enero  de  2001,  el  Tribunal  Constitucional  del  Perú</w:t>
        <w:br/>
        <w:t xml:space="preserve">      declaró que la aplicación de una normativa contraria a la Constitución</w:t>
        <w:br/>
        <w:t xml:space="preserve">      entonces vigente restringió indebidamente el  derecho  a  una  pensión</w:t>
        <w:br/>
        <w:t xml:space="preserve">      nivelable que habían adquirido las presuntas víctimas (supra párrs. 45</w:t>
        <w:br/>
        <w:t xml:space="preserve">      y 48). Por tanto, de conformidad con el objeto del presente  caso,  no</w:t>
        <w:br/>
        <w:t xml:space="preserve">      corresponde a este Tribunal analizar si las presuntas víctimas  tenían</w:t>
        <w:br/>
        <w:t xml:space="preserve">      el derecho a recibir una pensión nivelable ni  tampoco  si  el  Estado</w:t>
        <w:br/>
        <w:t xml:space="preserve">      vulneró tal derecho.  Estos asuntos ya fueron resueltos a favor de las</w:t>
        <w:br/>
        <w:t xml:space="preserve">      presuntas víctimas mediante las referidas sentencias internas.</w:t>
        <w:br/>
        <w:br/>
        <w:t xml:space="preserve">  53. Tampoco está en controversia que, entre los meses de abril de  1993  y</w:t>
        <w:br/>
        <w:t xml:space="preserve">      octubre de 2002, las presuntas  víctimas  recibieron  una  pensión  no</w:t>
        <w:br/>
        <w:t xml:space="preserve">      nivelada que era mucho menor que la  que  les  correspondía  según  el</w:t>
        <w:br/>
        <w:t xml:space="preserve">      régimen de pensión nivelable al que  se  acogieron.  Lo  que  está  en</w:t>
        <w:br/>
        <w:t xml:space="preserve">      controversia y forma parte del objeto del presente caso es el pago  de</w:t>
        <w:br/>
        <w:t xml:space="preserve">      los montos correspondientes a la pensión nivelable que  las  presuntas</w:t>
        <w:br/>
        <w:t xml:space="preserve">      víctimas dejaron de percibir entre  los  meses  de  abril  de  1993  y</w:t>
        <w:br/>
        <w:t xml:space="preserve">      octubre de 2002.</w:t>
        <w:br/>
        <w:br/>
        <w:t xml:space="preserve">  54. Según la Comisión y el representante, no existe controversia sobre  la</w:t>
        <w:br/>
        <w:t xml:space="preserve">      existencia de la obligación de pagar a las  presuntas  víctimas  estas</w:t>
        <w:br/>
        <w:t xml:space="preserve">      pensiones devengadas entre 1993 y 2002.  En este sentido, la  Comisión</w:t>
        <w:br/>
        <w:t xml:space="preserve">      resaltó en la demanda que, en todo el proceso del caso ante ella,  “el</w:t>
        <w:br/>
        <w:t xml:space="preserve">      Estado sólo se refirió a las limitaciones  presupuestarias  existentes</w:t>
        <w:br/>
        <w:t xml:space="preserve">      para dar cumplimiento al pago de lo adeudado a las víctimas”.  Además,</w:t>
        <w:br/>
        <w:t xml:space="preserve">      la Comisión indicó que, “tras la adopción del  informe  de  fondo  por</w:t>
        <w:br/>
        <w:t xml:space="preserve">      parte de la Comisión [en el año 2006, es decir, con posterioridad a la</w:t>
        <w:br/>
        <w:t xml:space="preserve">      nivelación de las pensiones entre los años 2002  y  2005,  el  Estado]</w:t>
        <w:br/>
        <w:t xml:space="preserve">      solicitó un total de seis prórrogas para la remisión  del  caso  a  la</w:t>
        <w:br/>
        <w:t xml:space="preserve">      Corte[,] fundamentándolas en que a nivel interno se estaban realizando</w:t>
        <w:br/>
        <w:t xml:space="preserve">      gestiones de alto nivel para pagar lo  adeudado  a  las  víctimas  del</w:t>
        <w:br/>
        <w:t xml:space="preserve">      presente caso”[40].</w:t>
        <w:br/>
        <w:br/>
        <w:t xml:space="preserve">  55. Sin embargo, durante el trámite del caso ante esta  Corte,  el  Estado</w:t>
        <w:br/>
        <w:t xml:space="preserve">      cambió su defensa y alegó que las referidas sentencias no ordenaron el</w:t>
        <w:br/>
        <w:t xml:space="preserve">      pago de las pensiones devengadas entre 1993 y 2002, sino más bien  que</w:t>
        <w:br/>
        <w:t xml:space="preserve">      dicha obligación surgió a partir de enero de 2005, cuando tal pago fue</w:t>
        <w:br/>
        <w:t xml:space="preserve">      ordenado  judicialmente  en  el  proceso  de  ejecución  que  continúa</w:t>
        <w:br/>
        <w:t xml:space="preserve">      abierto. Según el Estado, “[u]na simple lectura de la sentencia de  la</w:t>
        <w:br/>
        <w:t xml:space="preserve">      Corte Superior [de 14  de  diciembre  de  1993  –  confirmada  por  la</w:t>
        <w:br/>
        <w:t xml:space="preserve">      sentencia del Tribunal Constitucional  de  1997]  es  suficiente  para</w:t>
        <w:br/>
        <w:t xml:space="preserve">      notar que ella no ordena que el Estado pague monto  devengado  alguno.</w:t>
        <w:br/>
        <w:t xml:space="preserve">      Sólo  ordena  que  pague  a  los  [p]eticionarios  sus  pensiones   de</w:t>
        <w:br/>
        <w:t xml:space="preserve">      jubilación con el denominado  ‘efecto  espejo’”,  lo  cual  el  Estado</w:t>
        <w:br/>
        <w:t xml:space="preserve">      cumplió a partir de noviembre de 2002. Asimismo, el Estado indicó  que</w:t>
        <w:br/>
        <w:t xml:space="preserve">      la “segunda sentencia del Tribunal  Constitucional  [de  fecha  26  de</w:t>
        <w:br/>
        <w:t xml:space="preserve">      enero de 2001] tampoco se refiere a pago de  devengado  alguno[,  pues</w:t>
        <w:br/>
        <w:t xml:space="preserve">      n]ada agrega a la primera […] que no sea insistir en su ejecución”. El</w:t>
        <w:br/>
        <w:t xml:space="preserve">      Estado resaltó que las presuntas  víctimas  iniciaron  el  proceso  de</w:t>
        <w:br/>
        <w:t xml:space="preserve">      ejecución de resoluciones judiciales  “luego  de  emitida  la  segunda</w:t>
        <w:br/>
        <w:t xml:space="preserve">      sentencia  del  Tribunal  Constitucional”  y  que  la  emisión  de  la</w:t>
        <w:br/>
        <w:t xml:space="preserve">      Resolución No. 63 de 24 de enero de 2005, que ordena el  pago  de  las</w:t>
        <w:br/>
        <w:t xml:space="preserve">      pensiones devengadas (supra párr. 50), “era necesaria […]  porque  las</w:t>
        <w:br/>
        <w:t xml:space="preserve">      sentencias del Tribunal Constitucional […]  no  […]  ordena[ban  dicho</w:t>
        <w:br/>
        <w:t xml:space="preserve">      pago]”.</w:t>
        <w:br/>
        <w:br/>
        <w:t xml:space="preserve">  56. El Estado justificó este cambio de postura señalando que:</w:t>
        <w:br/>
        <w:br/>
        <w:br/>
        <w:t xml:space="preserve">      [c]uando el Estado peruano formula  sus  propuestas  para  lograr  una</w:t>
        <w:br/>
        <w:t xml:space="preserve">      solución amistosa [ante  la  Comisión  Interamericana],  lo  hace  sin</w:t>
        <w:br/>
        <w:t xml:space="preserve">      entrar a un análisis de fondo de los hechos y el derecho invocado  por</w:t>
        <w:br/>
        <w:t xml:space="preserve">      los peticionarios, sin embargo cuando es emplazado por la  […]  Corte,</w:t>
        <w:br/>
        <w:t xml:space="preserve">      en tanto ente que debe tutelar por su población en general y  cautelar</w:t>
        <w:br/>
        <w:t xml:space="preserve">      los derechos de todos sus ciudadanos, y dado que el impacto [del  pago</w:t>
        <w:br/>
        <w:t xml:space="preserve">      en cuestión en el presente caso] es de por lo  menos  75  millones  de</w:t>
        <w:br/>
        <w:t xml:space="preserve">      dólares, se realizó un análisis multidisciplinario del tema jurídico y</w:t>
        <w:br/>
        <w:t xml:space="preserve">      lo actuado en la sede supranacional [y] se llegó a la  conclusión  que</w:t>
        <w:br/>
        <w:t xml:space="preserve">      [las sentencias en cuestión no contienen un mandato que lo condene  al</w:t>
        <w:br/>
        <w:t xml:space="preserve">      pago de los montos pensionarios devengados entre los meses de abril de</w:t>
        <w:br/>
        <w:t xml:space="preserve">      1993 y octubre de 2002]”.</w:t>
        <w:br/>
        <w:br/>
        <w:t xml:space="preserve">  57. Conforme a su jurisprudencia  y  al  derecho  internacional[41],  esta</w:t>
        <w:br/>
        <w:t xml:space="preserve">      Corte ha considerado en varias ocasiones que un Estado que ha adoptado</w:t>
        <w:br/>
        <w:t xml:space="preserve">      una determinada posición, la cual produce efectos jurídicos, no  puede</w:t>
        <w:br/>
        <w:t xml:space="preserve">      luego, en virtud del principio de estoppel  y  la  doctrina  de  actos</w:t>
        <w:br/>
        <w:t xml:space="preserve">      propios (non concedit venire  contra  factum  proprium),  asumir  otra</w:t>
        <w:br/>
        <w:t xml:space="preserve">      conducta que sea contradictoria con la primera y que cambie el  estado</w:t>
        <w:br/>
        <w:t xml:space="preserve">      de cosas sobre el  cual  se  basó  la  otra  parte[42].  Además,  este</w:t>
        <w:br/>
        <w:t xml:space="preserve">      Tribunal[43] ha aplicado el principio de estoppel para otorgar  plenos</w:t>
        <w:br/>
        <w:t xml:space="preserve">      alcances al reconocimiento de responsabilidad efectuado por el Estado,</w:t>
        <w:br/>
        <w:t xml:space="preserve">      que pretendió desconocer en etapas posteriores del proceso[44].</w:t>
        <w:br/>
        <w:br/>
        <w:t xml:space="preserve">  58. Particularmente, en  cuanto  al  efecto  que  pueden  llegar  a  tener</w:t>
        <w:br/>
        <w:t xml:space="preserve">      aquellos actos de reconocimiento realizados en el trámite de  un  caso</w:t>
        <w:br/>
        <w:t xml:space="preserve">      ante la Comisión, el Tribunal determinó en otro caso  contra  el  Perú</w:t>
        <w:br/>
        <w:t xml:space="preserve">      que:</w:t>
        <w:br/>
        <w:br/>
        <w:t xml:space="preserve">      cada acto de reconocimiento realizado por [dicho Estado, tanto a nivel</w:t>
        <w:br/>
        <w:t xml:space="preserve">      interno como] ante la Comisión creó un estoppel.  Por ello,  al  haber</w:t>
        <w:br/>
        <w:t xml:space="preserve">      admitido como legítima, por medio de un acto  jurídico  unilateral  de</w:t>
        <w:br/>
        <w:t xml:space="preserve">      reconocimiento, la pretensión planteada en el  procedimiento  ante  la</w:t>
        <w:br/>
        <w:t xml:space="preserve">      Comisión, el Perú qued[ó] impedido  de  contradecirse  posteriormente.</w:t>
        <w:br/>
        <w:t xml:space="preserve">      Tanto las presuntas víctimas [y] sus representantes como  la  Comisión</w:t>
        <w:br/>
        <w:t xml:space="preserve">      Interamericana actuaron en el procedimiento ante dicho órgano con base</w:t>
        <w:br/>
        <w:t xml:space="preserve">      en esa posición de reconocimiento adoptada por el Estado[45].</w:t>
        <w:br/>
        <w:br/>
        <w:t xml:space="preserve">  59. De esta manera, los actos  de  reconocimiento  realizados  durante  el</w:t>
        <w:br/>
        <w:t xml:space="preserve">      trámite de una  petición  ante  la  Comisión  resultan  necesariamente</w:t>
        <w:br/>
        <w:t xml:space="preserve">      relevantes para la determinación de la  aplicación  del  principio  de</w:t>
        <w:br/>
        <w:t xml:space="preserve">      estoppel  respecto  de  posiciones  contrarias  alegadas  durante   el</w:t>
        <w:br/>
        <w:t xml:space="preserve">      procedimiento del caso  ante  la  Corte.   Esto  es  así  ya  que,  de</w:t>
        <w:br/>
        <w:t xml:space="preserve">      conformidad con el artículo 61.2 de la Convención Americana, no  puede</w:t>
        <w:br/>
        <w:t xml:space="preserve">      iniciarse un proceso ante la Corte Interamericana sin que  previamente</w:t>
        <w:br/>
        <w:t xml:space="preserve">      se haya tramitado  ante  la  Comisión  Interamericana  y  agotado  los</w:t>
        <w:br/>
        <w:t xml:space="preserve">      procedimientos  previstos  en  los  artículos  48  a   50   de   dicho</w:t>
        <w:br/>
        <w:t xml:space="preserve">      instrumento. Consecuentemente, la controversia que somete la  Comisión</w:t>
        <w:br/>
        <w:t xml:space="preserve">      a la jurisdicción de la Corte se  debe  ceñir  a  lo  señalado  en  el</w:t>
        <w:br/>
        <w:t xml:space="preserve">      informe contemplado en el artículo 50 de la Convención.  Por lo tanto,</w:t>
        <w:br/>
        <w:t xml:space="preserve">      si la controversia planteada ante el Tribunal se  basa  necesariamente</w:t>
        <w:br/>
        <w:t xml:space="preserve">      en dicho informe, fundamentado  en  ciertos  actos  de  reconocimiento</w:t>
        <w:br/>
        <w:t xml:space="preserve">      realizados por el Estado durante el procedimiento  ante  la  Comisión,</w:t>
        <w:br/>
        <w:t xml:space="preserve">      aquél no puede posteriormente negar  el  efecto  jurídico  que  tienen</w:t>
        <w:br/>
        <w:t xml:space="preserve">      dichos pronunciamientos en la determinación  de  la  controversia  que</w:t>
        <w:br/>
        <w:t xml:space="preserve">      plantee la Comisión ante la Corte.</w:t>
        <w:br/>
        <w:br/>
        <w:t xml:space="preserve">  60.  Sin  embargo,  no  toda  posición  adoptada  dentro  del  marco   del</w:t>
        <w:br/>
        <w:t xml:space="preserve">      procedimiento   ante   la   Comisión   genera    automáticamente    un</w:t>
        <w:br/>
        <w:t xml:space="preserve">      reconocimiento de hechos o de responsabilidad, ni la  asunción  de  un</w:t>
        <w:br/>
        <w:t xml:space="preserve">      deber correspondiente. Dada la naturaleza del  procedimiento  ante  la</w:t>
        <w:br/>
        <w:t xml:space="preserve">      Comisión, un Estado puede  llegar  a  un  acuerdo  y  comprometerse  a</w:t>
        <w:br/>
        <w:t xml:space="preserve">      realizar ciertos actos, sin que de esto se  desprenda  que  el  Estado</w:t>
        <w:br/>
        <w:t xml:space="preserve">      esté  aceptando  como  ciertos  los  hechos  que  se  le  imputan   ni</w:t>
        <w:br/>
        <w:t xml:space="preserve">      reconociendo que es responsable por  las  consecuencias  jurídicas  de</w:t>
        <w:br/>
        <w:t xml:space="preserve">      éstos.  Concretamente,  sólo  un   acto   unilateral   específico   de</w:t>
        <w:br/>
        <w:t xml:space="preserve">      reconocimiento de hechos o una clara manifestación de  responsabilidad</w:t>
        <w:br/>
        <w:t xml:space="preserve">      en el marco de dicho procedimiento, sobre el cual la  Comisión  o  los</w:t>
        <w:br/>
        <w:t xml:space="preserve">      representantes hayan actuado y que,  consecuentemente,  haya  generado</w:t>
        <w:br/>
        <w:t xml:space="preserve">      efectos jurídicos, compromete al Estado en ese sentido y, por ende, le</w:t>
        <w:br/>
        <w:t xml:space="preserve">      resulta oponible en el proceso ante la Corte.</w:t>
        <w:br/>
        <w:br/>
        <w:t xml:space="preserve">  61. En el presente  caso,  según  se  desprende  del  expediente  ante  la</w:t>
        <w:br/>
        <w:t xml:space="preserve">      Comisión, luego de haber cumplido con nivelar  las  pensiones  de  las</w:t>
        <w:br/>
        <w:t xml:space="preserve">      presuntas víctimas en noviembre de 2002, el Estado  señaló  en  varias</w:t>
        <w:br/>
        <w:t xml:space="preserve">      ocasiones que  “debe  quedar  claramente  establecido  que  en  ningún</w:t>
        <w:br/>
        <w:t xml:space="preserve">      momento se ha dado por agotado el cumplimiento de las  sentencias  del</w:t>
        <w:br/>
        <w:t xml:space="preserve">      Tribunal Constitucional”  y  que  se  encontraba  realizando  acciones</w:t>
        <w:br/>
        <w:t xml:space="preserve">      conducentes “para financiar el pago de las pensiones devengadas a  que</w:t>
        <w:br/>
        <w:t xml:space="preserve">      alude […] la Asociación”[46]. Así, el Estado señaló que  “el  pago  de</w:t>
        <w:br/>
        <w:t xml:space="preserve">      las pensiones devengadas constituye un problema económico antes que un</w:t>
        <w:br/>
        <w:t xml:space="preserve">      problema jurídico, puesto que la Contraloría […]  no  cuenta  con  los</w:t>
        <w:br/>
        <w:t xml:space="preserve">      recursos económicos [para efectuar el pago correspondiente]”[47].</w:t>
        <w:br/>
        <w:br/>
        <w:t xml:space="preserve">  62. Dicha obligación del reintegro de los devengados también se desprende,</w:t>
        <w:br/>
        <w:t xml:space="preserve">      inter alia, de  los  siguientes  documentos  emitidos  por  diferentes</w:t>
        <w:br/>
        <w:t xml:space="preserve">      instituciones y órganos estatales a lo largo del procedimiento interno</w:t>
        <w:br/>
        <w:t xml:space="preserve">      y del procedimiento ante la Comisión:</w:t>
        <w:br/>
        <w:br/>
        <w:br/>
        <w:t xml:space="preserve">   a) el Proyecto de Ley No. 2029-2007-PE que el  Presidente  Constitucional</w:t>
        <w:br/>
        <w:t xml:space="preserve">      de la República y el Presidente del Consejo de Ministros sometieron  a</w:t>
        <w:br/>
        <w:t xml:space="preserve">      la consideración del Presidente del Congreso de la República  mediante</w:t>
        <w:br/>
        <w:t xml:space="preserve">      Oficio No. 303-2007-PR, de 27 de diciembre  de  2007.  Dicho  proyecto</w:t>
        <w:br/>
        <w:t xml:space="preserve">      “autoriza la constitución de un depósito para el pago de  obligaciones</w:t>
        <w:br/>
        <w:t xml:space="preserve">      [pendientes]  de  la  Contraloría  General  de  la  República”.   Cabe</w:t>
        <w:br/>
        <w:t xml:space="preserve">      mencionar que la “Exposición de Motivos” del referido Proyecto de  Ley</w:t>
        <w:br/>
        <w:t xml:space="preserve">      señala que “[l]a posición del Estado peruano frente al Caso N°  12.357</w:t>
        <w:br/>
        <w:t xml:space="preserve">      se ha centrado  básicamente  en  que  […]  ‘el  incumplimiento  de  la</w:t>
        <w:br/>
        <w:t xml:space="preserve">      sentencia del Tribunal Constitucional se debe en primer  orden  a  una</w:t>
        <w:br/>
        <w:t xml:space="preserve">      realidad presupuestal’, la misma  que  a  la  fecha  es  imposible  de</w:t>
        <w:br/>
        <w:t xml:space="preserve">      atender”, y se refiere de  forma  explícita  “al  pago  de  devengados</w:t>
        <w:br/>
        <w:t xml:space="preserve">      [durante] el período [a]bril  1993  a  [o]ctubre  del  2002”  (énfasis</w:t>
        <w:br/>
        <w:t xml:space="preserve">      añadido). Asimismo, hace mención de los Oficios Nos. 019-2007-CG/GG  y</w:t>
        <w:br/>
        <w:t xml:space="preserve">      079-2007-CG/GG de 9 de  febrero  de  2007  y  17  de  julio  de  2007,</w:t>
        <w:br/>
        <w:t xml:space="preserve">      respectivamente,  mediante  los  cuales  el  Gerente  General  de   la</w:t>
        <w:br/>
        <w:t xml:space="preserve">      Contraloría,  teniendo  en  consideración  el  “[i]nforme   [p]ericial</w:t>
        <w:br/>
        <w:t xml:space="preserve">      emitido por el [p]erito designado por el 66° [Juzgado Especializado en</w:t>
        <w:br/>
        <w:t xml:space="preserve">      lo Civil de Lima]”, solicitó a la Dirección  Nacional  de  Presupuesto</w:t>
        <w:br/>
        <w:t xml:space="preserve">      Público del Ministerio de Economía  y  Finanzas  que  “apr[obara]  una</w:t>
        <w:br/>
        <w:t xml:space="preserve">      demanda adicional [en el presupuesto de la Contraloría por]  el  monto</w:t>
        <w:br/>
        <w:t xml:space="preserve">      [de S/. 244.314.787,00 nuevos soles,] destinada a cubrir  el  pago  de</w:t>
        <w:br/>
        <w:t xml:space="preserve">      los devengados a favor  de  los  pensionistas”  de  la  Asociación  de</w:t>
        <w:br/>
        <w:t xml:space="preserve">      Cesantes y Jubilados;</w:t>
        <w:br/>
        <w:br/>
        <w:br/>
        <w:t xml:space="preserve">   b) la Resolución Judicial N° 152 de fecha 19 de julio  de  2006  del  66°</w:t>
        <w:br/>
        <w:t xml:space="preserve">      Juzgado Especializado en lo Civil de Lima a cargo de la  ejecución  de</w:t>
        <w:br/>
        <w:t xml:space="preserve">      la sentencia de la Primera Sala Civil de la Corte Superior de Justicia</w:t>
        <w:br/>
        <w:t xml:space="preserve">      de Lima de fecha 14 de diciembre de 1993 (confirmada por la  sentencia</w:t>
        <w:br/>
        <w:t xml:space="preserve">      del Tribunal Constitucional del 21 de octubre de 1997),  que  resolvió</w:t>
        <w:br/>
        <w:t xml:space="preserve">      “remitir [el expediente] a la Oficina de Pericias Judiciales” para que</w:t>
        <w:br/>
        <w:t xml:space="preserve">      se  designara  el  perito  judicial  que  liquidaría   las   pensiones</w:t>
        <w:br/>
        <w:t xml:space="preserve">      devengadas adeudadas a los pensionistas integrantes de  la  Asociación</w:t>
        <w:br/>
        <w:t xml:space="preserve">      por el período comprendido entre el mes de abril de  1993  al  mes  de</w:t>
        <w:br/>
        <w:t xml:space="preserve">      octubre de 2002;</w:t>
        <w:br/>
        <w:br/>
        <w:br/>
        <w:t xml:space="preserve">   c) la nota No. 7-5-M/608 de 20 de diciembre de  2007  presentada  por  la</w:t>
        <w:br/>
        <w:t xml:space="preserve">      representación del Perú ante la OEA el 26 de diciembre de 2007  en  el</w:t>
        <w:br/>
        <w:t xml:space="preserve">      proceso ante la Comisión, mediante la cual informó, “con la  finalidad</w:t>
        <w:br/>
        <w:t xml:space="preserve">      de demostrar la  voluntad  del  Estado  peruano  de  cumplir  con  las</w:t>
        <w:br/>
        <w:t xml:space="preserve">      recomendaciones del Informe [de  la  Comisión]  No.  125/06,  [que  se</w:t>
        <w:br/>
        <w:t xml:space="preserve">      había] aprobado un primer pago a favor de los cesantes y jubilados  de</w:t>
        <w:br/>
        <w:t xml:space="preserve">      la Contraloría  General  de  la  República”.  Asimismo,  solicitó  una</w:t>
        <w:br/>
        <w:t xml:space="preserve">      prórroga para “programar la modalidad de cumplimiento  [con  el  pago]</w:t>
        <w:br/>
        <w:t xml:space="preserve">      del monto restante a favor de los peticionarios”;</w:t>
        <w:br/>
        <w:br/>
        <w:t xml:space="preserve">   d) el Proyecto de Decreto de Urgencia de 11 de enero de 2008,  presentado</w:t>
        <w:br/>
        <w:t xml:space="preserve">      por la Secretaría Ejecutiva del Consejo Nacional de  Derechos  Humanos</w:t>
        <w:br/>
        <w:t xml:space="preserve">      mediante  Oficio  N°  094-2008-JUS/CNDH-SE  ante  el  Asesor   de   la</w:t>
        <w:br/>
        <w:t xml:space="preserve">      Presidencia  del  Consejo   de   Ministros,   que   propuso   que   se</w:t>
        <w:br/>
        <w:t xml:space="preserve">      “[a]utor[i]zase, en forma excepcional, a  la  Dirección  Nacional  del</w:t>
        <w:br/>
        <w:t xml:space="preserve">      Tesoro Público a constituir un fondo hasta  por  la  suma  de  [ciento</w:t>
        <w:br/>
        <w:t xml:space="preserve">      veinte millones] y 00/100 [nuevos soles]  (S/.  120’000,000.00),  para</w:t>
        <w:br/>
        <w:t xml:space="preserve">      ser destinados exclusivamente al cumplimiento de  la  deuda  originada</w:t>
        <w:br/>
        <w:t xml:space="preserve">      por los mandatos judiciales a los que se refiere el Informe  Final  de</w:t>
        <w:br/>
        <w:t xml:space="preserve">      la Comisión”, y</w:t>
        <w:br/>
        <w:br/>
        <w:t xml:space="preserve">   e) la Resolución de Administración N° 022-2001-CG/B190 de 29 de marzo  de</w:t>
        <w:br/>
        <w:t xml:space="preserve">      2001, de la Oficina de Administración de la Contraloría General de  la</w:t>
        <w:br/>
        <w:t xml:space="preserve">      República del Perú, mediante la cual se dispuso que  “el  Departamento</w:t>
        <w:br/>
        <w:t xml:space="preserve">      de Recursos Humanos de la Contraloría General de la República  efectúe</w:t>
        <w:br/>
        <w:t xml:space="preserve">      la liquidación pertinente en relación a los adeudos  por  concepto  de</w:t>
        <w:br/>
        <w:t xml:space="preserve">      devengados”.</w:t>
        <w:br/>
        <w:br/>
        <w:t xml:space="preserve">  63. Por lo tanto, la Corte considera  que,  mediante  tales  actos  en  el</w:t>
        <w:br/>
        <w:t xml:space="preserve">      proceso ante la Comisión, el Estado  peruano  reconoció  como  ciertos</w:t>
        <w:br/>
        <w:t xml:space="preserve">      algunos hechos o pretensiones planteados por el  representante  y  que</w:t>
        <w:br/>
        <w:t xml:space="preserve">      éstos, consecuentemente, generaron un efecto jurídico  sobre  el  cual</w:t>
        <w:br/>
        <w:t xml:space="preserve">      tanto el  representante  como  la  Comisión  actuaron.  Por  ende,  la</w:t>
        <w:br/>
        <w:t xml:space="preserve">      conducta contradictoria que pretende asumir el Estado  en  el  trámite</w:t>
        <w:br/>
        <w:t xml:space="preserve">      del caso ante esta Corte queda impedida  en  razón  del  principio  de</w:t>
        <w:br/>
        <w:t xml:space="preserve">      estoppel. Así, el Estado está imposibilitado  de  desconocer  aquellos</w:t>
        <w:br/>
        <w:t xml:space="preserve">      actos mediante los cuales reconoció que tiene la obligación  de  pagar</w:t>
        <w:br/>
        <w:t xml:space="preserve">      los montos correspondientes a la pensión nivelable que  las  presuntas</w:t>
        <w:br/>
        <w:t xml:space="preserve">      víctimas dejaron de percibir entre  los  meses  de  abril  de  1993  y</w:t>
        <w:br/>
        <w:t xml:space="preserve">      octubre de 2002.</w:t>
        <w:br/>
        <w:br/>
        <w:t xml:space="preserve">  64. Además, la Corte observa que el Estado reconoció  ante  este  Tribunal</w:t>
        <w:br/>
        <w:t xml:space="preserve">      que las presuntas  víctimas  iniciaron  un  proceso  de  ejecución  de</w:t>
        <w:br/>
        <w:t xml:space="preserve">      sentencia luego de la emisión de la  segunda  sentencia  del  Tribunal</w:t>
        <w:br/>
        <w:t xml:space="preserve">      Constitucional y que, mediante Resolución No. 63 de  24  de  enero  de</w:t>
        <w:br/>
        <w:t xml:space="preserve">      2005, el 4º  Juzgado  Especializado  en  lo  Civil  ordenó  al  Estado</w:t>
        <w:br/>
        <w:t xml:space="preserve">      “efectuar el pago de las pensiones devengadas de  la  Asociación”[48].</w:t>
        <w:br/>
        <w:t xml:space="preserve">      En dicho proceso de ejecución ha quedado demostrado nuevamente que  el</w:t>
        <w:br/>
        <w:t xml:space="preserve">      Estado tiene la obligación de  pagar  a  las  presuntas  víctimas  los</w:t>
        <w:br/>
        <w:t xml:space="preserve">      montos correspondientes a la pensión nivelable que dejaron de percibir</w:t>
        <w:br/>
        <w:t xml:space="preserve">      entre los meses de abril de 1993 y  octubre  de  2002.  Lo  que  queda</w:t>
        <w:br/>
        <w:t xml:space="preserve">      pendiente en dicho proceso, a la fecha de la emisión  de  la  presente</w:t>
        <w:br/>
        <w:t xml:space="preserve">      Sentencia, es la determinación del monto respectivo.</w:t>
        <w:br/>
        <w:br/>
        <w:t xml:space="preserve">  65. Una vez establecido que  la  obligación  del  Estado  emanada  de  las</w:t>
        <w:br/>
        <w:t xml:space="preserve">      sentencias en cuestión incluye el  pago  de  los  montos  pensionarios</w:t>
        <w:br/>
        <w:t xml:space="preserve">      retenidos desde abril de 1993 hasta octubre de  2002,  corresponde  al</w:t>
        <w:br/>
        <w:t xml:space="preserve">      Tribunal examinar si  el  Estado  ha  incurrido  en  una  violación  o</w:t>
        <w:br/>
        <w:t xml:space="preserve">      incumplimiento de los artículos 25, 21 y 26 de la Convención.</w:t>
        <w:br/>
        <w:br/>
        <w:t xml:space="preserve">                   B)  El derecho a la protección judicial</w:t>
        <w:br/>
        <w:br/>
        <w:t xml:space="preserve">  66. La Comisión alegó que “los recursos de  amparo  interpuestos  por  las</w:t>
        <w:br/>
        <w:t xml:space="preserve">      [presuntas]  víctimas,  […]  no  fueron  sencillos,  ni  rápidos,   ni</w:t>
        <w:br/>
        <w:t xml:space="preserve">      eficaces”, por lo que el Estado violó el artículo 25 de la Convención.</w:t>
        <w:br/>
        <w:t xml:space="preserve">      Señaló que, “[e]n primer lugar, el mero hecho de que  las  [presuntas]</w:t>
        <w:br/>
        <w:t xml:space="preserve">      víctimas se vieron obligadas  a  interponer  un  segundo  amparo  para</w:t>
        <w:br/>
        <w:t xml:space="preserve">      procurar la ejecución de lo decidido en el primer[o], demuestra que no</w:t>
        <w:br/>
        <w:t xml:space="preserve">      se trató  de  recursos  sencillos.  […]  En  segundo  lugar,  dada  la</w:t>
        <w:br/>
        <w:t xml:space="preserve">      naturaleza tutelar de los recursos interpuestos, la respuesta  de  las</w:t>
        <w:br/>
        <w:t xml:space="preserve">      autoridades judiciales debió darse con la mayor celeridad posible […];</w:t>
        <w:br/>
        <w:t xml:space="preserve">      no obstante, entre la  interposición  del  primer  amparo,  […]  y  el</w:t>
        <w:br/>
        <w:t xml:space="preserve">      pronunciamiento de una sentencia definitiva sobre  el  mismo  debieron</w:t>
        <w:br/>
        <w:t xml:space="preserve">      transcurrir cuatro años y cinco meses; y desde  la  interposición  del</w:t>
        <w:br/>
        <w:t xml:space="preserve">      segundo amparo, […] casi  dos  años;  es  decir  ninguno  de  los  dos</w:t>
        <w:br/>
        <w:t xml:space="preserve">      recursos fue rápido. […] En tercer lugar, [de acuerdo con el  artículo</w:t>
        <w:br/>
        <w:t xml:space="preserve">      25  de  la  Convención  Americana,]  el  proceso  debe  tender  a   la</w:t>
        <w:br/>
        <w:t xml:space="preserve">      materialización  de  la  protección  del  derecho  reconocido  en   el</w:t>
        <w:br/>
        <w:t xml:space="preserve">      pronunciamiento judicial mediante la aplicación idónea de  [éste],  lo</w:t>
        <w:br/>
        <w:t xml:space="preserve">      que en el presente  caso  no  ha  ocurrido  con  ninguno  de  los  dos</w:t>
        <w:br/>
        <w:t xml:space="preserve">      amparos[, por lo que] estos recursos no resultaron eficaces”.  Además,</w:t>
        <w:br/>
        <w:t xml:space="preserve">      la Comisión “observ[ó] que el Estado no adoptó  medidas  tendientes  a</w:t>
        <w:br/>
        <w:t xml:space="preserve">      aminorar o  superar  las  circunstancias  presupuestales  alegadas  en</w:t>
        <w:br/>
        <w:t xml:space="preserve">      cuanto a la falta de recursos económicos, tales como la programación e</w:t>
        <w:br/>
        <w:t xml:space="preserve">      implementación de un plan de  pago  o  financiación  a  favor  de  los</w:t>
        <w:br/>
        <w:t xml:space="preserve">      pensionistas de la Contraloría, a fin de dar cumplimiento  efectivo  a</w:t>
        <w:br/>
        <w:t xml:space="preserve">      las referidas sentencias”, “configurándose una demora injustificada de</w:t>
        <w:br/>
        <w:t xml:space="preserve">      más de 10 años en la implementación efectiva de [las mismas]”.</w:t>
        <w:br/>
        <w:br/>
        <w:t xml:space="preserve">  67. Por su parte, el representante alegó que  “el  incumplimiento  de  las</w:t>
        <w:br/>
        <w:t xml:space="preserve">      sentencias del Tribunal Constitucional […]  constituye  una  violación</w:t>
        <w:br/>
        <w:t xml:space="preserve">      [específica] del artículo 25.1 y del 25.2.c. [de la  Convención]”.  De</w:t>
        <w:br/>
        <w:t xml:space="preserve">      acuerdo con el representante, dicha violación se configura  de  cuatro</w:t>
        <w:br/>
        <w:t xml:space="preserve">      maneras: “1) porque hasta la fecha, transcurridos más de  11  años  de</w:t>
        <w:br/>
        <w:t xml:space="preserve">      dictada la primera  sentencia,  permanecen  incumplidos  los  mandatos</w:t>
        <w:br/>
        <w:t xml:space="preserve">      judiciales en ella contenidos […]; 2) porque persiste en el  Perú  una</w:t>
        <w:br/>
        <w:t xml:space="preserve">      práctica generalizada de incumplir sentencias judiciales; 3) porque no</w:t>
        <w:br/>
        <w:t xml:space="preserve">      se han adoptado medidas dirigidas a enfrentar, superar o disminuir  la</w:t>
        <w:br/>
        <w:t xml:space="preserve">      situación  presupuestal  que  el  Estado   invoca   como   razón   del</w:t>
        <w:br/>
        <w:t xml:space="preserve">      incumplimiento de tales sentencias[,] y 4) porque el incumplimiento de</w:t>
        <w:br/>
        <w:t xml:space="preserve">      las sentencias judiciales […] implica  una  violación  permanente  del</w:t>
        <w:br/>
        <w:t xml:space="preserve">      derecho a la seguridad social de las [presuntas] víctimas”. De acuerdo</w:t>
        <w:br/>
        <w:t xml:space="preserve">      con el representante, “[e]l incumplimiento de los mandatos  judiciales</w:t>
        <w:br/>
        <w:t xml:space="preserve">      […] perpetúa la  situación  violatoria  que  supuestamente  debía  ser</w:t>
        <w:br/>
        <w:t xml:space="preserve">      reparada, no sólo mediante la determinación judicial del derecho, sino</w:t>
        <w:br/>
        <w:t xml:space="preserve">      también  mediante  la  posterior  ejecución  o  cumplimiento   de   la</w:t>
        <w:br/>
        <w:t xml:space="preserve">      sentencia. Si la orden judicial no se  cumple,  el  derecho  vulnerado</w:t>
        <w:br/>
        <w:t xml:space="preserve">      permanece vulnerado; y esta vulneración es, a su vez, una  vulneración</w:t>
        <w:br/>
        <w:t xml:space="preserve">      del derecho a la protección judicial”.</w:t>
        <w:br/>
        <w:br/>
        <w:t xml:space="preserve">  68. El Estado alegó que “no se ha  verificado  el  incumplimiento  de  las</w:t>
        <w:br/>
        <w:t xml:space="preserve">      obligaciones contenidas en los artículos 21 y 25  de  la  Convención”.</w:t>
        <w:br/>
        <w:t xml:space="preserve">      Ello, porque “desde el mes de octubre de 2002 […] se viene  pagando  a</w:t>
        <w:br/>
        <w:t xml:space="preserve">      los 273 integrantes de la Asociación […]  sus  remuneraciones  con  el</w:t>
        <w:br/>
        <w:t xml:space="preserve">      efecto espejo[,] conforme a lo dispuesto por la primera sentencia [del</w:t>
        <w:br/>
        <w:t xml:space="preserve">      Tribunal Constitucional] y de acuerdo a lo  reiterado  en  la  segunda</w:t>
        <w:br/>
        <w:t xml:space="preserve">      sentencia [del mismo]”. En cuanto al pago de los  montos  pensionarios</w:t>
        <w:br/>
        <w:t xml:space="preserve">      retenidos entre 1993 y 2002, el Estado indicó que “recién  en  el  año</w:t>
        <w:br/>
        <w:t xml:space="preserve">      2006 los  [p]eticionarios  ha[bía]n  cumplido  con  presentar  […]  su</w:t>
        <w:br/>
        <w:t xml:space="preserve">      liquidación de parte[, y] que la determinación de  los  devengados  es</w:t>
        <w:br/>
        <w:t xml:space="preserve">      […] complej[a] [en la medida que se debe definir] lo que corresponde a</w:t>
        <w:br/>
        <w:t xml:space="preserve">      cada uno de los más de  [200]  peticionarios,  muchos  de  los  cuales</w:t>
        <w:br/>
        <w:t xml:space="preserve">      cuentan con circunstancias distintas (cargos, tiempos  y  remuneración</w:t>
        <w:br/>
        <w:t xml:space="preserve">      referencial diferente, etc.)”, por lo que el Estado no ha incurrido en</w:t>
        <w:br/>
        <w:t xml:space="preserve">      el incumplimiento de un pago cuyo monto aún no se ha precisado.</w:t>
        <w:br/>
        <w:br/>
        <w:t xml:space="preserve">  69. La Corte ha señalado que el artículo 25.1 de la  Convención  contempla</w:t>
        <w:br/>
        <w:t xml:space="preserve">      la obligación de  los  Estados  Partes  de  garantizar,  a  todas  las</w:t>
        <w:br/>
        <w:t xml:space="preserve">      personas bajo su jurisdicción, un  recurso  judicial  efectivo  contra</w:t>
        <w:br/>
        <w:t xml:space="preserve">      actos violatorios de sus derechos fundamentales[49]. Dicha efectividad</w:t>
        <w:br/>
        <w:t xml:space="preserve">      supone que, además de la existencia formal de los recursos, éstos  den</w:t>
        <w:br/>
        <w:t xml:space="preserve">      resultados o respuestas a las violaciones de derechos contemplados  ya</w:t>
        <w:br/>
        <w:t xml:space="preserve">      sea en la Convención, en la Constitución[50] o en  las  leyes[51].  En</w:t>
        <w:br/>
        <w:t xml:space="preserve">      ese sentido, no pueden considerarse efectivos aquellos  recursos  que,</w:t>
        <w:br/>
        <w:t xml:space="preserve">      por  las  condiciones  generales  del   país   o   incluso   por   las</w:t>
        <w:br/>
        <w:t xml:space="preserve">      circunstancias particulares de un caso dado, resulten ilusorios.  Ello</w:t>
        <w:br/>
        <w:t xml:space="preserve">      puede  ocurrir,  por  ejemplo,  cuando  su  inutilidad  haya   quedado</w:t>
        <w:br/>
        <w:t xml:space="preserve">      demostrada por la práctica, porque falten los medios para ejecutar sus</w:t>
        <w:br/>
        <w:t xml:space="preserve">      decisiones o por cualquier otra situación que configure un  cuadro  de</w:t>
        <w:br/>
        <w:t xml:space="preserve">      denegación  de  justicia[52].  Así,  el  proceso  debe  tender  a   la</w:t>
        <w:br/>
        <w:t xml:space="preserve">      materialización  de  la  protección  del  derecho  reconocido  en   el</w:t>
        <w:br/>
        <w:t xml:space="preserve">      pronunciamiento  judicial  mediante  la  aplicación  idónea  de  dicho</w:t>
        <w:br/>
        <w:t xml:space="preserve">      pronunciamiento[53].</w:t>
        <w:br/>
        <w:br/>
        <w:t xml:space="preserve">  70. Asimismo, el artículo 25.2.c de la Convención establece la  obligación</w:t>
        <w:br/>
        <w:t xml:space="preserve">      del  Estado  de  garantizar  “el  cumplimiento,  por  las  autoridades</w:t>
        <w:br/>
        <w:t xml:space="preserve">      competentes, de toda decisión en que se haya  estimado  procedente  el</w:t>
        <w:br/>
        <w:t xml:space="preserve">      recurso”[54].</w:t>
        <w:br/>
        <w:br/>
        <w:t xml:space="preserve">  71. Por su parte, si bien el Convenio Europeo para la  Protección  de  los</w:t>
        <w:br/>
        <w:t xml:space="preserve">      Derechos Humanos y de  las  Libertades  Fundamentales  no  incluye  un</w:t>
        <w:br/>
        <w:t xml:space="preserve">      artículo  equivalente  al  25.2.c  de  la  Convención  Americana,   la</w:t>
        <w:br/>
        <w:t xml:space="preserve">      jurisprudencia de la Corte Europea de Derechos Humanos se ha  referido</w:t>
        <w:br/>
        <w:t xml:space="preserve">      a las exigencias del mismo en su pronunciamiento acerca del artículo 6</w:t>
        <w:br/>
        <w:t xml:space="preserve">      del citado Convenio, sobre el derecho  a  un  proceso  equitativo[55].</w:t>
        <w:br/>
        <w:t xml:space="preserve">      Así, la Corte Europea ha declarado que,</w:t>
        <w:br/>
        <w:br/>
        <w:br/>
        <w:t xml:space="preserve">      40.   […] este derecho[, el de acceso a la protección judicial,] sería</w:t>
        <w:br/>
        <w:t xml:space="preserve">      ilusorio si el sistema legal de los Estados Partes permitiese que  una</w:t>
        <w:br/>
        <w:t xml:space="preserve">      resolución final y de obligatorio cumplimiento  permanezca  inoperante</w:t>
        <w:br/>
        <w:t xml:space="preserve">      en detrimento de una de las partes [involucradas en un proceso]. Sería</w:t>
        <w:br/>
        <w:t xml:space="preserve">      inconcebible que el artículo 6  para.  1  (art.  6-1)  describiese  en</w:t>
        <w:br/>
        <w:t xml:space="preserve">      detalle todas las garantías procesales con que cuentan los  litigantes</w:t>
        <w:br/>
        <w:t xml:space="preserve">      -procedimientos  justos,  públicos  y   rápidos-   sin   proteger   la</w:t>
        <w:br/>
        <w:t xml:space="preserve">      implementación de decisiones judiciales; construir el artículo 6 (art.</w:t>
        <w:br/>
        <w:t xml:space="preserve">      6) refiriéndolo únicamente al acceso a la justicia y al desarrollo  de</w:t>
        <w:br/>
        <w:t xml:space="preserve">      los   procedimientos   probablemente   daría   lugar   a   situaciones</w:t>
        <w:br/>
        <w:t xml:space="preserve">      incompatibles con el principio de "estado de derecho" que los  Estados</w:t>
        <w:br/>
        <w:t xml:space="preserve">      Partes se comprometieron a respetar cuando  ratificaron  el  Convenio.</w:t>
        <w:br/>
        <w:t xml:space="preserve">      (ver, mutatis mutandi, Golder v. the United Kingdom, Sentencia  de  21</w:t>
        <w:br/>
        <w:t xml:space="preserve">      febrero 1975, Serie A no. 18, pp. 16-18, paras. 34-36).  La  ejecución</w:t>
        <w:br/>
        <w:t xml:space="preserve">      de una sentencia emitida por cualquier tribunal debe, por  tanto,  ser</w:t>
        <w:br/>
        <w:t xml:space="preserve">      entendida como parte integral  del  "juicio"  bajo  los  términos  del</w:t>
        <w:br/>
        <w:t xml:space="preserve">      artículo 6”[56].</w:t>
        <w:br/>
        <w:br/>
        <w:t xml:space="preserve">  72. En ese sentido, en los términos del artículo 25 de la  Convención,  es</w:t>
        <w:br/>
        <w:t xml:space="preserve">      posible identificar dos responsabilidades  concretas  del  Estado.  La</w:t>
        <w:br/>
        <w:t xml:space="preserve">      primera, consagrar normativamente y asegurar la debida  aplicación  de</w:t>
        <w:br/>
        <w:t xml:space="preserve">      recursos efectivos ante las autoridades  competentes,  que  amparen  a</w:t>
        <w:br/>
        <w:t xml:space="preserve">      todas las personas bajo su jurisdicción contra actos  que  violen  sus</w:t>
        <w:br/>
        <w:t xml:space="preserve">      derechos fundamentales o que  conlleven  a  la  determinación  de  los</w:t>
        <w:br/>
        <w:t xml:space="preserve">      derechos y obligaciones de  éstas[57].   La  segunda,  garantizar  los</w:t>
        <w:br/>
        <w:t xml:space="preserve">      medios  para  ejecutar  las  respectivas   decisiones   y   sentencias</w:t>
        <w:br/>
        <w:t xml:space="preserve">      definitivas emitidas por tales autoridades competentes, de manera  que</w:t>
        <w:br/>
        <w:t xml:space="preserve">      se protejan efectivamente los derechos declarados  o  reconocidos[58].</w:t>
        <w:br/>
        <w:t xml:space="preserve">      Esto último, debido a que una sentencia con carácter de  cosa  juzgada</w:t>
        <w:br/>
        <w:t xml:space="preserve">      otorga certeza sobre el derecho o controversia discutida  en  el  caso</w:t>
        <w:br/>
        <w:t xml:space="preserve">      concreto y, por ende, tiene como uno de sus efectos la  obligatoriedad</w:t>
        <w:br/>
        <w:t xml:space="preserve">      o necesidad de cumplimiento[59]. Lo contrario supone la negación misma</w:t>
        <w:br/>
        <w:t xml:space="preserve">      del derecho involucrado[60].</w:t>
        <w:br/>
        <w:br/>
        <w:t xml:space="preserve">  73. Así, esta Corte ha declarado  la  violación  del  artículo  25  de  la</w:t>
        <w:br/>
        <w:t xml:space="preserve">      Convención en otro caso contra el Perú, debido  a  que  el  Estado  no</w:t>
        <w:br/>
        <w:t xml:space="preserve">      ejecutó las sentencias emitidas por los tribunales internos durante un</w:t>
        <w:br/>
        <w:t xml:space="preserve">      largo período de tiempo[61] y,  en  otro  caso,  no  aseguró  que  una</w:t>
        <w:br/>
        <w:t xml:space="preserve">      sentencia de hábeas corpus “fuera apropiadamente ejecutada”[62].  Ello</w:t>
        <w:br/>
        <w:t xml:space="preserve">      porque si el ordenamiento jurídico interno de un  Estado  permite  que</w:t>
        <w:br/>
        <w:t xml:space="preserve">      una decisión judicial  final  y  obligatoria  permanezca  ineficaz  en</w:t>
        <w:br/>
        <w:t xml:space="preserve">      detrimento de una de las partes, el derecho a la  protección  judicial</w:t>
        <w:br/>
        <w:t xml:space="preserve">      resulta ilusorio[63].</w:t>
        <w:br/>
        <w:br/>
        <w:t xml:space="preserve">  74. En el presente caso, las presuntas víctimas  presentaron  acciones  de</w:t>
        <w:br/>
        <w:t xml:space="preserve">      amparo que, por su  propia  naturaleza  y  según  lo  señalado  en  el</w:t>
        <w:br/>
        <w:t xml:space="preserve">      artículo 25.1 de  la  Convención,  debían  ser  recursos  sencillos  y</w:t>
        <w:br/>
        <w:t xml:space="preserve">      rápidos. Por lo tanto, el Estado tenía  la  obligación  de  establecer</w:t>
        <w:br/>
        <w:t xml:space="preserve">      procedimientos expeditos y evitar cualquier retraso en  su  resolución</w:t>
        <w:br/>
        <w:t xml:space="preserve">      para  prevenir  que   se   generara   una   afectación   del   derecho</w:t>
        <w:br/>
        <w:t xml:space="preserve">      concernido[64]. Sin embargo, la Corte observa que transcurrieron  casi</w:t>
        <w:br/>
        <w:t xml:space="preserve">      cuatro años y medio desde que las presuntas víctimas interpusieron  el</w:t>
        <w:br/>
        <w:t xml:space="preserve">      primer recurso de amparo y éste fue resuelto. Asimismo,  pasaron  casi</w:t>
        <w:br/>
        <w:t xml:space="preserve">      dos años sin que se resolviera el segundo recurso  de  amparo  que  se</w:t>
        <w:br/>
        <w:t xml:space="preserve">      presentó con el propósito de  que  se  cumpliera  lo  ordenado  en  el</w:t>
        <w:br/>
        <w:t xml:space="preserve">      primero. Esto demuestra que la tramitación de los recursos  de  amparo</w:t>
        <w:br/>
        <w:t xml:space="preserve">      no fue rápida.</w:t>
        <w:br/>
        <w:br/>
        <w:t xml:space="preserve">  75. Además, los recursos no han sido del todo eficaces para garantizar  el</w:t>
        <w:br/>
        <w:t xml:space="preserve">      derecho en cuestión. No  obstante  haber  planteado  dos  recursos  de</w:t>
        <w:br/>
        <w:t xml:space="preserve">      amparo, los cuales fueron resueltos a  su  favor,  la  protección  del</w:t>
        <w:br/>
        <w:t xml:space="preserve">      derecho que les fue reconocido por esa vía a  las  presuntas  víctimas</w:t>
        <w:br/>
        <w:t xml:space="preserve">      aún no se ha materializado por completo (infra párr. 89), faltando que</w:t>
        <w:br/>
        <w:t xml:space="preserve">      se les pague los montos pensionarios que dejaron de percibir entre los</w:t>
        <w:br/>
        <w:t xml:space="preserve">      meses de abril de 1993 y octubre de 2002 (supra párrs. 61  a  65).  Al</w:t>
        <w:br/>
        <w:t xml:space="preserve">      respecto,  el  Estado  señaló  insuficiencias   presupuestarias   como</w:t>
        <w:br/>
        <w:t xml:space="preserve">      justificación del incumplimiento de esta obligación (supra párrs. 61 y</w:t>
        <w:br/>
        <w:t xml:space="preserve">      62). En este sentido, cabe reiterar  que  para  que  los  recursos  de</w:t>
        <w:br/>
        <w:t xml:space="preserve">      amparo planteados en el presente caso fueran verdaderamente  eficaces,</w:t>
        <w:br/>
        <w:t xml:space="preserve">      el Estado debió adoptar las medidas necesarias para  su  cumplimiento,</w:t>
        <w:br/>
        <w:t xml:space="preserve">      lo cual incluye medidas de carácter presupuestal. Si bien el Estado ha</w:t>
        <w:br/>
        <w:t xml:space="preserve">      manifestado que  ha  adoptado  una  serie  de  medidas  de  naturaleza</w:t>
        <w:br/>
        <w:t xml:space="preserve">      administrativa,  legislativa  y  judicial  orientadas  a  superar   la</w:t>
        <w:br/>
        <w:t xml:space="preserve">      referida limitación económica con el  propósito  de  cumplir  con  sus</w:t>
        <w:br/>
        <w:t xml:space="preserve">      obligaciones convencionales (supra párrs. 61 y 62), éstas  aún  no  se</w:t>
        <w:br/>
        <w:t xml:space="preserve">      han concretado. Al respecto, el Tribunal ha señalado que las normas de</w:t>
        <w:br/>
        <w:t xml:space="preserve">      presupuesto  no  pueden  justificar  la  demora   durante   años   del</w:t>
        <w:br/>
        <w:t xml:space="preserve">      cumplimiento de sentencias[65].</w:t>
        <w:br/>
        <w:br/>
        <w:t xml:space="preserve">  76. Por otro lado, el Tribunal reconoce que la normativa peruana contempla</w:t>
        <w:br/>
        <w:t xml:space="preserve">      un procedimiento de ejecución de sentencias, el cual  fue  formalmente</w:t>
        <w:br/>
        <w:t xml:space="preserve">      implementado con posterioridad a la sentencia de 26 de enero  de  2001</w:t>
        <w:br/>
        <w:t xml:space="preserve">      (supra párrs. 50, 51 y 64), y que  en  dicho  proceso  se  tienen  que</w:t>
        <w:br/>
        <w:t xml:space="preserve">      realizar determinaciones para dar cumplimiento a lo  ordenado  por  el</w:t>
        <w:br/>
        <w:t xml:space="preserve">      Tribunal Constitucional y emitir  diversas  resoluciones.  Además,  la</w:t>
        <w:br/>
        <w:t xml:space="preserve">      Corte observa, como lo ha enfatizado el Estado, que  la  determinación</w:t>
        <w:br/>
        <w:t xml:space="preserve">      judicial del monto adeudado aún no se ha establecido (supra párrs.  51</w:t>
        <w:br/>
        <w:t xml:space="preserve">      y  64).   Sin  embargo,  esto,  más  que  eximir  al  Estado   de   su</w:t>
        <w:br/>
        <w:t xml:space="preserve">      responsabilidad, demuestra la ineficacia de  los  recursos  planteados</w:t>
        <w:br/>
        <w:t xml:space="preserve">      para garantizar los derechos que el Tribunal  Constitucional  encontró</w:t>
        <w:br/>
        <w:t xml:space="preserve">      vulnerados y no puede ser considerado como una justificación razonable</w:t>
        <w:br/>
        <w:t xml:space="preserve">      ante  la  falta  de  ejecución  de  las  sentencias  firmes  de  dicho</w:t>
        <w:br/>
        <w:t xml:space="preserve">      tribunal[66]. La obligación que  tiene  el  Estado  de  garantizar  la</w:t>
        <w:br/>
        <w:t xml:space="preserve">      eficacia de sus recursos judiciales surge de la Convención Americana y</w:t>
        <w:br/>
        <w:t xml:space="preserve">      no puede ser limitada por disposiciones de procedimiento en el derecho</w:t>
        <w:br/>
        <w:t xml:space="preserve">      interno ni debe depender exclusivamente de la iniciativa  procesal  de</w:t>
        <w:br/>
        <w:t xml:space="preserve">      la parte actora de los procesos[67].</w:t>
        <w:br/>
        <w:br/>
        <w:t xml:space="preserve">  77. Además de la obligación de  proveer  un  recurso  rápido,  sencillo  y</w:t>
        <w:br/>
        <w:t xml:space="preserve">      eficaz a las presuntas víctimas para garantizar sus derechos, lo  cual</w:t>
        <w:br/>
        <w:t xml:space="preserve">      no ocurrió, la Convención establece que el  derecho  a  la  protección</w:t>
        <w:br/>
        <w:t xml:space="preserve">      judicial  exige  que  el  Estado  garantice  el  cumplimiento  de  las</w:t>
        <w:br/>
        <w:t xml:space="preserve">      decisiones que emitió el Tribunal Constitucional del Perú al respecto.</w:t>
        <w:br/>
        <w:t xml:space="preserve">      En este sentido, el Tribunal observa que, en total,  han  transcurrido</w:t>
        <w:br/>
        <w:t xml:space="preserve">      más de 11 y 8 años desde la emisión de la primera y  última  sentencia</w:t>
        <w:br/>
        <w:t xml:space="preserve">      del Tribunal Constitucional, respectivamente – y casi 15 años desde la</w:t>
        <w:br/>
        <w:t xml:space="preserve">      sentencia de la Primera Sala Civil Especializada de la Corte  Superior</w:t>
        <w:br/>
        <w:t xml:space="preserve">      de Lima –  sin  que  éstas  hayan  sido  efectivamente  cumplidas.  La</w:t>
        <w:br/>
        <w:t xml:space="preserve">      ineficacia  de  dichos  recursos  ha  causado  que  el  derecho  a  la</w:t>
        <w:br/>
        <w:t xml:space="preserve">      protección judicial de las presuntas víctimas haya resultado al  menos</w:t>
        <w:br/>
        <w:t xml:space="preserve">      parcialmente ilusorio, determinando  la  negación  misma  del  derecho</w:t>
        <w:br/>
        <w:t xml:space="preserve">      involucrado.</w:t>
        <w:br/>
        <w:br/>
        <w:t xml:space="preserve">  78. Resulta pertinente recordar que el Tribunal  Constitucional,  mediante</w:t>
        <w:br/>
        <w:t xml:space="preserve">      sentencia de 26 de enero de 2001, señaló que en el proceso interno “se</w:t>
        <w:br/>
        <w:t xml:space="preserve">      han  visto  […]  vulnerados  […]  los  incisos  1)  y  2)  acápite  c)</w:t>
        <w:br/>
        <w:t xml:space="preserve">      pertenecientes al artículo  25  de  la  Convención  Americana  [sobre]</w:t>
        <w:br/>
        <w:t xml:space="preserve">      Derechos Humanos”[68].</w:t>
        <w:br/>
        <w:br/>
        <w:t xml:space="preserve">  79. Por todo lo anteriormente expuesto, la Corte considera que  el  Estado</w:t>
        <w:br/>
        <w:t xml:space="preserve">      violó el derecho a la protección judicial reconocido  en  el  artículo</w:t>
        <w:br/>
        <w:t xml:space="preserve">      25.1 y 25.2.c de la Convención Americana, en relación con el  artículo</w:t>
        <w:br/>
        <w:t xml:space="preserve">      1.1 del mismo tratado, en perjuicio de las doscientas setenta  y  tres</w:t>
        <w:br/>
        <w:t xml:space="preserve">      personas indicadas en el párrafo 113 de la presente Sentencia.</w:t>
        <w:br/>
        <w:br/>
        <w:t xml:space="preserve">                C)  El derecho a la propiedad en relación con</w:t>
        <w:br/>
        <w:t xml:space="preserve">              la violación al derecho a la protección judicial</w:t>
        <w:br/>
        <w:br/>
        <w:t xml:space="preserve">  80. Queda pendiente la determinación, por parte de la Corte,  respecto  de</w:t>
        <w:br/>
        <w:t xml:space="preserve">      si  el  incumplimiento  parcial  de  las   sentencias   del   Tribunal</w:t>
        <w:br/>
        <w:t xml:space="preserve">      Constitucional generó una violación al  derecho  a  la  propiedad  que</w:t>
        <w:br/>
        <w:t xml:space="preserve">      supuestamente tienen las  víctimas  sobre  los  efectos  patrimoniales</w:t>
        <w:br/>
        <w:t xml:space="preserve">      derivados del derecho a la pensión nivelada que adquirieron  según  la</w:t>
        <w:br/>
        <w:t xml:space="preserve">      legislación interna peruana.</w:t>
        <w:br/>
        <w:br/>
        <w:t xml:space="preserve">  81. Al respecto, la Comisión  alegó  que  “una  vez  que  las  [presuntas]</w:t>
        <w:br/>
        <w:t xml:space="preserve">      víctimas dejaron de prestar servicios en la [CGR] y  se  acogieron  al</w:t>
        <w:br/>
        <w:t xml:space="preserve">      régimen  de  jubilaciones  previsto  en  el  Decreto  Ley  Nº   20530,</w:t>
        <w:br/>
        <w:t xml:space="preserve">      adquirieron, de conformidad a lo establecido en la  jurisprudencia  de</w:t>
        <w:br/>
        <w:t xml:space="preserve">      la Corte Interamericana,  […]  ‘un  derecho  de  propiedad  sobre  los</w:t>
        <w:br/>
        <w:t xml:space="preserve">      efectos patrimoniales del derecho a la pensión[,] de  conformidad  con</w:t>
        <w:br/>
        <w:t xml:space="preserve">      [dicho] Decreto […] y los términos del artículo 21  de  la  Convención</w:t>
        <w:br/>
        <w:t xml:space="preserve">      Americana’”. “En consecuencia, la Comisión consider[ó] que el pago  de</w:t>
        <w:br/>
        <w:t xml:space="preserve">      las pensiones devengadas entre abril de 1993 y octubre de 2002  es  un</w:t>
        <w:br/>
        <w:t xml:space="preserve">      bien que se ha incorporado al patrimonio de las víctimas”. Por  tanto,</w:t>
        <w:br/>
        <w:t xml:space="preserve">      para la Comisión,  “la  falta  de  cumplimiento  [de]  las  sentencias</w:t>
        <w:br/>
        <w:t xml:space="preserve">      judiciales emitidas[, ha privado] a los integrantes de  la  Asociación</w:t>
        <w:br/>
        <w:t xml:space="preserve">      […] de derechos legalmente reconocidos, vulnerando  su  derecho  a  la</w:t>
        <w:br/>
        <w:t xml:space="preserve">      propiedad”.</w:t>
        <w:br/>
        <w:br/>
        <w:t xml:space="preserve">  82. De igual manera, el representante alegó que “la falta de  pago  de  la</w:t>
        <w:br/>
        <w:t xml:space="preserve">      pensión nivelada desde abril  de  1993  hasta  octubre  de  2002,  […]</w:t>
        <w:br/>
        <w:t xml:space="preserve">      configura una violación del  contenido  del  derecho  a  la  propiedad</w:t>
        <w:br/>
        <w:t xml:space="preserve">      privada, consagrado en el  artículo  21  de  la  Convención”.  Además,</w:t>
        <w:br/>
        <w:t xml:space="preserve">      señaló “que todo tipo de pensión, siempre y cuando haya  ingresado  al</w:t>
        <w:br/>
        <w:t xml:space="preserve">      patrimonio de una persona al satisfacer los requisitos que el  derecho</w:t>
        <w:br/>
        <w:t xml:space="preserve">      interno establece,  está  protegida  por  el  artículo  21”.   En  ese</w:t>
        <w:br/>
        <w:t xml:space="preserve">      sentido, cuando los integrantes de la Asociación  cumplieron  con  los</w:t>
        <w:br/>
        <w:t xml:space="preserve">      requisitos establecidos en el Decreto Ley No 20530, el  derecho  a  la</w:t>
        <w:br/>
        <w:t xml:space="preserve">      pensión ingresó a su patrimonio, “y éstos adquirieron  un  derecho  de</w:t>
        <w:br/>
        <w:t xml:space="preserve">      propiedad sobre sus  pensiones”,  de  modo  que  “[l]a  violación  del</w:t>
        <w:br/>
        <w:t xml:space="preserve">      derecho a la propiedad se mantiene en la medida en que  dichas  sumas,</w:t>
        <w:br/>
        <w:t xml:space="preserve">      hasta la fecha, no han sido reintegradas [a  su]  patrimonio”.  En  la</w:t>
        <w:br/>
        <w:t xml:space="preserve">      misma  línea,  y  en  remisión  al   derecho   interno   peruano,   el</w:t>
        <w:br/>
        <w:t xml:space="preserve">      representante indicó que “el artículo 886  del  Código  Civil  peruano</w:t>
        <w:br/>
        <w:t xml:space="preserve">      señala que son bienes muebles las rentas  o  ‘pensiones  de  cualquier</w:t>
        <w:br/>
        <w:t xml:space="preserve">      clase’; es decir, las reguladas por regímenes específicos  y  las  que</w:t>
        <w:br/>
        <w:t xml:space="preserve">      no”.</w:t>
        <w:br/>
        <w:br/>
        <w:t xml:space="preserve">  83. Por su parte,  el  Estado  planteó  los  mismos  argumentos  señalados</w:t>
        <w:br/>
        <w:t xml:space="preserve">      anteriormente con relación a  la  violación  del  artículo  25  de  la</w:t>
        <w:br/>
        <w:t xml:space="preserve">      Convención.</w:t>
        <w:br/>
        <w:br/>
        <w:t xml:space="preserve">  84. Este Tribunal ha desarrollado en su jurisprudencia un concepto  amplio</w:t>
        <w:br/>
        <w:t xml:space="preserve">      de propiedad que abarca, entre otros, el uso y  goce  de  los  bienes,</w:t>
        <w:br/>
        <w:t xml:space="preserve">      definidos como cosas materiales apropiables, así como todo derecho que</w:t>
        <w:br/>
        <w:t xml:space="preserve">      pueda formar parte del patrimonio de  una  persona[69].  Asimismo,  la</w:t>
        <w:br/>
        <w:t xml:space="preserve">      Corte ha protegido a través del artículo 21 convencional los  derechos</w:t>
        <w:br/>
        <w:t xml:space="preserve">      adquiridos,  entendidos  como  derechos  que  se  han  incorporado  al</w:t>
        <w:br/>
        <w:t xml:space="preserve">      patrimonio de las personas[70].  Resulta  necesario  reiterar  que  el</w:t>
        <w:br/>
        <w:t xml:space="preserve">      derecho a la propiedad no es absoluto y, en  ese  sentido,  puede  ser</w:t>
        <w:br/>
        <w:t xml:space="preserve">      objeto de restricciones y limitaciones[71], siempre y cuando éstas  se</w:t>
        <w:br/>
        <w:t xml:space="preserve">      realicen por la vía  legal  adecuada[72]  y  de  conformidad  con  los</w:t>
        <w:br/>
        <w:t xml:space="preserve">      parámetros establecidos en dicho artículo 21[73].</w:t>
        <w:br/>
        <w:br/>
        <w:t xml:space="preserve">  85. En un caso similar al presente[74], esta Corte declaró  una  violación</w:t>
        <w:br/>
        <w:t xml:space="preserve">      del derecho a la propiedad por la afectación patrimonial  causada  por</w:t>
        <w:br/>
        <w:t xml:space="preserve">      el incumplimiento de sentencias que pretendían proteger el  derecho  a</w:t>
        <w:br/>
        <w:t xml:space="preserve">      una pensión – derecho que había sido adquirido  por  las  víctimas  en</w:t>
        <w:br/>
        <w:t xml:space="preserve">      aquél caso, de conformidad con la normativa interna. En esa  sentencia</w:t>
        <w:br/>
        <w:t xml:space="preserve">      el Tribunal señaló que, desde el momento en que  un  pensionista  paga</w:t>
        <w:br/>
        <w:t xml:space="preserve">      sus contribuciones a un fondo de pensiones y deja de prestar servicios</w:t>
        <w:br/>
        <w:t xml:space="preserve">      a la institución concernida para acogerse al régimen  de  jubilaciones</w:t>
        <w:br/>
        <w:t xml:space="preserve">      previsto en la ley, adquiere el derecho a que su pensión  se  rija  en</w:t>
        <w:br/>
        <w:t xml:space="preserve">      los términos y condiciones previstas en dicha ley.  Asimismo,  declaró</w:t>
        <w:br/>
        <w:t xml:space="preserve">      que el derecho a la pensión que adquiere dicha persona tiene  “efectos</w:t>
        <w:br/>
        <w:t xml:space="preserve">      patrimoniales”[75], los cuales están protegidos bajo el artículo 21 de</w:t>
        <w:br/>
        <w:t xml:space="preserve">      la Convención.  Consecuentemente, en aquél caso  el  Tribunal  declaró</w:t>
        <w:br/>
        <w:t xml:space="preserve">      que al haber cambiado arbitrariamente el monto de  las  pensiones  que</w:t>
        <w:br/>
        <w:t xml:space="preserve">      venían  percibiendo  las  presuntas  víctimas  y  al  no  haber   dado</w:t>
        <w:br/>
        <w:t xml:space="preserve">      cumplimiento a las sentencias judiciales emitidas con ocasión  de  las</w:t>
        <w:br/>
        <w:t xml:space="preserve">      acciones de garantía  interpuestas  por  éstos,  el  Estado  violó  el</w:t>
        <w:br/>
        <w:t xml:space="preserve">      derecho  a  la  propiedad  reconocido  en  el  artículo   21   de   la</w:t>
        <w:br/>
        <w:t xml:space="preserve">      Convención[76].</w:t>
        <w:br/>
        <w:br/>
        <w:t xml:space="preserve">  86. En este mismo sentido, el Decreto Ley No 20530  materia  del  presente</w:t>
        <w:br/>
        <w:t xml:space="preserve">      caso establecía un régimen de pensiones en el  cual  los  trabajadores</w:t>
        <w:br/>
        <w:t xml:space="preserve">      del sector público nacional “adqui[ría]n [el] derecho a [una] pensión”</w:t>
        <w:br/>
        <w:t xml:space="preserve">      bajo determinados supuestos[77]. Asimismo, el Tribunal  Constitucional</w:t>
        <w:br/>
        <w:t xml:space="preserve">      estableció que  “el  derecho  a  pensión  nivelable  de  la  Seguridad</w:t>
        <w:br/>
        <w:t xml:space="preserve">      Social[,  cuyo  ejercicio  estaba  consagrado  por  la  Constitución,]</w:t>
        <w:br/>
        <w:t xml:space="preserve">      est[aba, en aquel entonces,] garantizado a  los  beneficiarios  de  la</w:t>
        <w:br/>
        <w:t xml:space="preserve">      Administración Pública, [ y era] irrenunciabl[e]”[78].</w:t>
        <w:br/>
        <w:br/>
        <w:t xml:space="preserve">  87. Además, se ha establecido que las  víctimas  satisficieron  todos  los</w:t>
        <w:br/>
        <w:t xml:space="preserve">      supuestos o elementos necesarios para la adquisición del derecho a una</w:t>
        <w:br/>
        <w:t xml:space="preserve">      pensión  nivelada,  regulada  de  conformidad  con  los   términos   y</w:t>
        <w:br/>
        <w:t xml:space="preserve">      condiciones previstos en el Decreto Ley No 20530, y que  al  cesar  su</w:t>
        <w:br/>
        <w:t xml:space="preserve">      servicio en la Contraloría General se acogieron al régimen de  pensión</w:t>
        <w:br/>
        <w:t xml:space="preserve">      nivelable previsto en dicha norma. Posteriormente, a partir  de  abril</w:t>
        <w:br/>
        <w:t xml:space="preserve">      de 1993 y hasta octubre  de  2002,  el  Estado  les  restringió  dicho</w:t>
        <w:br/>
        <w:t xml:space="preserve">      derecho, reduciendo el monto  de  sus  pensiones,  en  aplicación  del</w:t>
        <w:br/>
        <w:t xml:space="preserve">      Decreto Ley No 25597 y el Decreto Supremo No 036-93-EF  que,  conforme</w:t>
        <w:br/>
        <w:t xml:space="preserve">      declaró posteriormente el Tribunal Constitucional del Perú, resultaban</w:t>
        <w:br/>
        <w:t xml:space="preserve">      inconstitucionales e inaplicables a las víctimas (supra  párrs.  45  y</w:t>
        <w:br/>
        <w:t xml:space="preserve">      48).</w:t>
        <w:br/>
        <w:br/>
        <w:t xml:space="preserve">  88. Dicho en otras  palabras,  el  derecho  a  la  pensión  nivelable  que</w:t>
        <w:br/>
        <w:t xml:space="preserve">      adquirieron las víctimas, de  conformidad  con  la  normativa  peruana</w:t>
        <w:br/>
        <w:t xml:space="preserve">      aplicable, generó  un  efecto  en  el  patrimonio  de  éstas,  quienes</w:t>
        <w:br/>
        <w:t xml:space="preserve">      recibían los montos correspondientes cada mes. Tal patrimonio  se  vio</w:t>
        <w:br/>
        <w:t xml:space="preserve">      afectado directamente por la reducción  de  manera  ilegal,  según  lo</w:t>
        <w:br/>
        <w:t xml:space="preserve">      señalado por el Tribunal Constitucional, en el  monto  recibido  entre</w:t>
        <w:br/>
        <w:t xml:space="preserve">      abril de 1993 y octubre 2002. Por  tanto,  las  víctimas  no  pudieron</w:t>
        <w:br/>
        <w:t xml:space="preserve">      gozar integralmente de su derecho a la  propiedad  sobre  los  efectos</w:t>
        <w:br/>
        <w:t xml:space="preserve">      patrimoniales  de  su  pensión   nivelable,   legalmente   reconocida,</w:t>
        <w:br/>
        <w:t xml:space="preserve">      entendiendo aquéllos como los montos dejados de percibir.</w:t>
        <w:br/>
        <w:br/>
        <w:t xml:space="preserve">  89. En la medida en que el Estado a  la  fecha  aún  no  ha  cumplido  con</w:t>
        <w:br/>
        <w:t xml:space="preserve">      reintegrar a las víctimas  los  montos  pensionarios  retenidos  entre</w:t>
        <w:br/>
        <w:t xml:space="preserve">      abril de 1993 y octubre de  2002,  esta  afectación  a  su  patrimonio</w:t>
        <w:br/>
        <w:t xml:space="preserve">      continúa. Lo anterior es una  consecuencia  directa  de  la  falta  de</w:t>
        <w:br/>
        <w:t xml:space="preserve">      cumplimiento integral de lo ordenado en las sentencias emitidas por el</w:t>
        <w:br/>
        <w:t xml:space="preserve">      Tribunal Constitucional, lo cual ha generado que se  continúe  negando</w:t>
        <w:br/>
        <w:t xml:space="preserve">      el derecho que éstas pretendieron proteger (supra párrs. 77 y 79).</w:t>
        <w:br/>
        <w:br/>
        <w:t xml:space="preserve">  90.  En  conclusión,  la  Corte  considera  que,  de   la   prolongada   e</w:t>
        <w:br/>
        <w:t xml:space="preserve">      injustificada  inobservancia  de  las  resoluciones   jurisdiccionales</w:t>
        <w:br/>
        <w:t xml:space="preserve">      internas deriva el quebranto al derecho a la propiedad  reconocido  en</w:t>
        <w:br/>
        <w:t xml:space="preserve">      el artículo 21 de la Convención,  que  no  se  habría  configurado  si</w:t>
        <w:br/>
        <w:t xml:space="preserve">      dichas sentencias hubiesen sido acatadas en forma pronta y completa.</w:t>
        <w:br/>
        <w:br/>
        <w:t xml:space="preserve">  91. Por todo lo anteriormente expuesto, la Corte  reitera  que  el  Estado</w:t>
        <w:br/>
        <w:t xml:space="preserve">      violó el derecho a la protección judicial reconocido  en  el  artículo</w:t>
        <w:br/>
        <w:t xml:space="preserve">      25.1 y 25.2.c de la Convención Americana (supra párr.  79)  y  también</w:t>
        <w:br/>
        <w:t xml:space="preserve">      violó el derecho a la propiedad privada reconocido en el artículo 21.1</w:t>
        <w:br/>
        <w:t xml:space="preserve">      y 21.2 de dicho instrumento, todo ello en relación con el artículo 1.1</w:t>
        <w:br/>
        <w:t xml:space="preserve">      del mismo tratado, en perjuicio  de  las  doscientas  setenta  y  tres</w:t>
        <w:br/>
        <w:t xml:space="preserve">      personas indicadas en el párrafo 113 de la presente Sentencia.</w:t>
        <w:br/>
        <w:t xml:space="preserve">                                 VII</w:t>
        <w:br/>
        <w:br/>
        <w:t xml:space="preserve">  Artículo 26 (DESARROLLO PROGRESIVO DE LOS DERECHOS ECONÓMICOS, SOCIALES Y</w:t>
        <w:br/>
        <w:t xml:space="preserve">                 CULTURALES)[79] de la Convención Americana</w:t>
        <w:br/>
        <w:br/>
        <w:br/>
        <w:t xml:space="preserve">  92. El representante  alegó  que  “la  falta  de  pago  de  las  pensiones</w:t>
        <w:br/>
        <w:t xml:space="preserve">      devengadas desde abril de 1993 hasta octubre  de  2002  […]  configura</w:t>
        <w:br/>
        <w:t xml:space="preserve">      también una violación del derecho a la seguridad social protegido  por</w:t>
        <w:br/>
        <w:t xml:space="preserve">      el artículo 26 de la Convención, que contiene una cláusula de remisión</w:t>
        <w:br/>
        <w:t xml:space="preserve">      a las normas económicas, sociales y sobre educación, ciencia y cultura</w:t>
        <w:br/>
        <w:t xml:space="preserve">      contenidas en la Carta de la OEA”. Así, para  el  representante,  “las</w:t>
        <w:br/>
        <w:t xml:space="preserve">      obligaciones  generales  de  respeto  y  garantía,  así  como  la   de</w:t>
        <w:br/>
        <w:t xml:space="preserve">      adecuación del derecho interno, que se aplican respecto de  todos  los</w:t>
        <w:br/>
        <w:t xml:space="preserve">      derechos civiles y políticos […], también se aplican respecto  de  los</w:t>
        <w:br/>
        <w:t xml:space="preserve">      derechos económicos, sociales y culturales”.</w:t>
        <w:br/>
        <w:br/>
        <w:t xml:space="preserve">  93. En esa misma línea, el representante indicó  que  “el  derecho  [a  la</w:t>
        <w:br/>
        <w:t xml:space="preserve">      pensión  nivelable]  que  adquirieron   [las   víctimas,]   como   las</w:t>
        <w:br/>
        <w:t xml:space="preserve">      condiciones que lo configuran, […] forman parte de  su  derecho  a  la</w:t>
        <w:br/>
        <w:t xml:space="preserve">      seguridad  social”,  el  cual  fue  específicamente  amparado  por  la</w:t>
        <w:br/>
        <w:t xml:space="preserve">      sentencia del Tribunal Constitucional del 21 de octubre de  1997.  Por</w:t>
        <w:br/>
        <w:t xml:space="preserve">      tanto, “[e]l incumplimiento de las  sentencias  judiciales  [en]  este</w:t>
        <w:br/>
        <w:t xml:space="preserve">      caso no  sólo  conlleva  una  vulneración  del  derecho  a  la  tutela</w:t>
        <w:br/>
        <w:t xml:space="preserve">      jurisdiccional efectiva,  sino  que  implica,  además,  una  violación</w:t>
        <w:br/>
        <w:t xml:space="preserve">      directa del derecho a la seguridad social […], plenamente  justiciable</w:t>
        <w:br/>
        <w:t xml:space="preserve">      en esta sede jurisdiccional”.</w:t>
        <w:br/>
        <w:br/>
        <w:t xml:space="preserve">  94. De esta manera, el representante enfatizó que “al  adoptar  y  aplicar</w:t>
        <w:br/>
        <w:t xml:space="preserve">      los [D]ecretos [Nos.] 25597 y 036-93-EF el Estado violó  el  deber  de</w:t>
        <w:br/>
        <w:t xml:space="preserve">      progresividad que le competía en el marco  de  la  implementación  del</w:t>
        <w:br/>
        <w:t xml:space="preserve">      derecho humano a la seguridad social”, de acuerdo con el  artículo  10</w:t>
        <w:br/>
        <w:t xml:space="preserve">      de la Constitución peruana, según el cual  “[e]l  Estado  reconoce  el</w:t>
        <w:br/>
        <w:t xml:space="preserve">      derecho universal y progresivo de toda persona a la seguridad  social,</w:t>
        <w:br/>
        <w:t xml:space="preserve">      para su protección frente a las contingencias que  precise  la  ley  y</w:t>
        <w:br/>
        <w:t xml:space="preserve">      para la elevación de su calidad  de  vida”.  El  representante  además</w:t>
        <w:br/>
        <w:t xml:space="preserve">      señaló que, “a partir de abril de 1993 y hasta octubre  de  2002,  [el</w:t>
        <w:br/>
        <w:t xml:space="preserve">      Estado] regresionó el nivel de  protección  que  dicho  derecho  había</w:t>
        <w:br/>
        <w:t xml:space="preserve">      alcanzado respecto de cada una de las víctimas, a quienes se  confiscó</w:t>
        <w:br/>
        <w:t xml:space="preserve">      el monto de sus pensiones en 9/10 de su valor  mensual,  violando  con</w:t>
        <w:br/>
        <w:t xml:space="preserve">      ello su  derecho  a  la  seguridad  social”.  “[Dicho]  retroceso  fue</w:t>
        <w:br/>
        <w:t xml:space="preserve">      injustificado, en la medida en que el Estado no  alegó  ni  probó,  en</w:t>
        <w:br/>
        <w:t xml:space="preserve">      momento alguno, que implementó la confiscación producida con el objeto</w:t>
        <w:br/>
        <w:t xml:space="preserve">      de preservar el bienestar general dentro de una sociedad democrática”.</w:t>
        <w:br/>
        <w:br/>
        <w:t xml:space="preserve">  95. La  Comisión  no  alegó  el  incumplimiento  del  artículo  26  de  la</w:t>
        <w:br/>
        <w:t xml:space="preserve">      Convención Americana.</w:t>
        <w:br/>
        <w:br/>
        <w:t xml:space="preserve">  96. Por su parte, el Estado presentó su posición al respecto a  través  de</w:t>
        <w:br/>
        <w:t xml:space="preserve">      su excepción preliminar (supra  párr.  12),  precisando  que  si  “los</w:t>
        <w:br/>
        <w:t xml:space="preserve">      derechos  supuestamente  vulnerados  por   el   Estado   peruano   son</w:t>
        <w:br/>
        <w:t xml:space="preserve">      pensionarios, […] [se] estarí[a] en una situación de rebase del ámbito</w:t>
        <w:br/>
        <w:t xml:space="preserve">      de competencia de la […] Corte [Interamericana]”.</w:t>
        <w:br/>
        <w:br/>
        <w:t xml:space="preserve">  97. La Corte considera pertinente reiterar lo señalado en el capítulo  III</w:t>
        <w:br/>
        <w:t xml:space="preserve">      de la presente  Sentencia,  en  el  sentido  de  que  el  Tribunal  es</w:t>
        <w:br/>
        <w:t xml:space="preserve">      plenamente competente para analizar violaciones de todos los  derechos</w:t>
        <w:br/>
        <w:t xml:space="preserve">      reconocidos en la Convención Americana (supra párr. 16).   Además,  si</w:t>
        <w:br/>
        <w:t xml:space="preserve">      bien la Comisión no alegó el incumplimiento  del  artículo  26  de  la</w:t>
        <w:br/>
        <w:t xml:space="preserve">      Convención, la Corte ha  establecido  que  la  presunta  víctima,  sus</w:t>
        <w:br/>
        <w:t xml:space="preserve">      familiares o sus representantes pueden invocar derechos  distintos  de</w:t>
        <w:br/>
        <w:t xml:space="preserve">      los comprendidos en la demanda de la Comisión, sobre la  base  de  los</w:t>
        <w:br/>
        <w:t xml:space="preserve">      hechos presentados por ésta[80].</w:t>
        <w:br/>
        <w:br/>
        <w:t xml:space="preserve">  98. El Tribunal observa que los argumentos del representante  se  enfocan,</w:t>
        <w:br/>
        <w:t xml:space="preserve">      primordialmente, en los siguientes dos puntos: a) la falta de pago  de</w:t>
        <w:br/>
        <w:t xml:space="preserve">      la totalidad de los  montos  devengados  desde  abril  de  1993  hasta</w:t>
        <w:br/>
        <w:t xml:space="preserve">      octubre de 2002 y el incumplimiento de las sentencias  judiciales  que</w:t>
        <w:br/>
        <w:t xml:space="preserve">      ordenaron dicho reintegro  y  b)  la  adopción  y  aplicación  de  los</w:t>
        <w:br/>
        <w:t xml:space="preserve">      Decretos Nos. 25597 y 036-93-EF.</w:t>
        <w:br/>
        <w:br/>
        <w:t xml:space="preserve">  99. Antes de proceder a  analizar  estos  dos  asuntos,  la  Corte  estima</w:t>
        <w:br/>
        <w:t xml:space="preserve">      pertinente realizar algunas consideraciones generales al respecto.  En</w:t>
        <w:br/>
        <w:t xml:space="preserve">      este sentido el Tribunal recuerda que el contenido del artículo 26  de</w:t>
        <w:br/>
        <w:t xml:space="preserve">      la Convención  fue  objeto  de  un  intenso  debate  en  los  trabajos</w:t>
        <w:br/>
        <w:t xml:space="preserve">      preparatorios de ésta, nacido del interés de los Estados por consignar</w:t>
        <w:br/>
        <w:t xml:space="preserve">      una  “mención  directa”  a  los  “derechos”  económicos,  sociales   y</w:t>
        <w:br/>
        <w:t xml:space="preserve">      culturales; “una  disposición  que  establezca  cierta  obligatoriedad</w:t>
        <w:br/>
        <w:t xml:space="preserve">      jurídica […] en su  cumplimiento  y  aplicación”[81];  así  como  “los</w:t>
        <w:br/>
        <w:t xml:space="preserve">      [respectivos] mecanismos [para su] promoción y protección”[82], ya que</w:t>
        <w:br/>
        <w:t xml:space="preserve">      el Anteproyecto de tratado elaborado por  la  Comisión  Interamericana</w:t>
        <w:br/>
        <w:t xml:space="preserve">      hacía referencia a aquellos en  dos  artículos  que,  de  acuerdo  con</w:t>
        <w:br/>
        <w:t xml:space="preserve">      algunos Estados, sólo “recog[ían] en un texto  meramente  declarativo,</w:t>
        <w:br/>
        <w:t xml:space="preserve">      conclusiones establecidas en la Conferencia de Buenos  Aires”[83].  La</w:t>
        <w:br/>
        <w:t xml:space="preserve">      revisión de dichos trabajos preparatorios de la  Convención  demuestra</w:t>
        <w:br/>
        <w:t xml:space="preserve">      también que las principales observaciones sobre la base de las  cuales</w:t>
        <w:br/>
        <w:t xml:space="preserve">      ésta fue aprobada pusieron especial énfasis en  “dar  a  los  derechos</w:t>
        <w:br/>
        <w:t xml:space="preserve">      económicos, sociales y culturales la máxima protección compatible  con</w:t>
        <w:br/>
        <w:t xml:space="preserve">      las  condiciones  peculiares  a  la  gran  mayoría  de   los   Estados</w:t>
        <w:br/>
        <w:t xml:space="preserve">      Americanos”[84].  Así,  como  parte  del  debate   en   los   trabajos</w:t>
        <w:br/>
        <w:t xml:space="preserve">      preparatorios, también se propuso “hac[er] posible [la] ejecución  [de</w:t>
        <w:br/>
        <w:t xml:space="preserve">      dichos derechos] mediante la acción de los tribunales”[85].</w:t>
        <w:br/>
        <w:br/>
        <w:t xml:space="preserve"> 100. Asimismo, resulta pertinente observar que si bien el  artículo  26  se</w:t>
        <w:br/>
        <w:t xml:space="preserve">      encuentra en el capítulo III  de  la  Convención,  titulado  “Derechos</w:t>
        <w:br/>
        <w:t xml:space="preserve">      Económicos, Sociales y Culturales”, se ubica, también, en la  Parte  I</w:t>
        <w:br/>
        <w:t xml:space="preserve">      de dicho instrumento, titulado “Deberes  de  los  Estados  y  Derechos</w:t>
        <w:br/>
        <w:t xml:space="preserve">      Protegidos” y, por ende, está  sujeto  a  las  obligaciones  generales</w:t>
        <w:br/>
        <w:t xml:space="preserve">      contenidas en los artículos  1.1  y  2  señalados  en  el  capítulo  I</w:t>
        <w:br/>
        <w:t xml:space="preserve">      (titulado “Enumeración de Deberes”), así como lo están los artículos 3</w:t>
        <w:br/>
        <w:t xml:space="preserve">      al 25 señalados en  el  capítulo  II  (titulado  “Derechos  Civiles  y</w:t>
        <w:br/>
        <w:t xml:space="preserve">      Políticos”).</w:t>
        <w:br/>
        <w:br/>
        <w:t xml:space="preserve"> 101.  En  este  sentido,  la  Corte  considera   pertinente   recordar   la</w:t>
        <w:br/>
        <w:t xml:space="preserve">      interdependencia existente entre los derechos civiles  y  políticos  y</w:t>
        <w:br/>
        <w:t xml:space="preserve">      los económicos, sociales y culturales, ya  que  deben  ser  entendidos</w:t>
        <w:br/>
        <w:t xml:space="preserve">      integralmente  como  derechos  humanos,  sin  jerarquía  entre  sí   y</w:t>
        <w:br/>
        <w:t xml:space="preserve">      exigibles en todos los casos ante aquellas  autoridades  que  resulten</w:t>
        <w:br/>
        <w:t xml:space="preserve">      competentes  para  ello.  Al  respecto,  resulta  oportuno  citar   la</w:t>
        <w:br/>
        <w:t xml:space="preserve">      jurisprudencia de la Corte Europea de Derechos Humanos que, en el caso</w:t>
        <w:br/>
        <w:t xml:space="preserve">      Airey señaló que:</w:t>
        <w:br/>
        <w:br/>
        <w:t xml:space="preserve">      El Tribunal no ignora que la progresiva realización  de  los  derechos</w:t>
        <w:br/>
        <w:t xml:space="preserve">      sociales y económicos depende de la situación de cada Estado, y  sobre</w:t>
        <w:br/>
        <w:t xml:space="preserve">      todo de su situación económica. Por otro lado, el  Convenio  [Europeo]</w:t>
        <w:br/>
        <w:t xml:space="preserve">      debe interpretarse a la luz de las condiciones del presente […]  y  ha</w:t>
        <w:br/>
        <w:t xml:space="preserve">      sido diseñado para salvaguardar al individuo de manera real y efectiva</w:t>
        <w:br/>
        <w:t xml:space="preserve">      respecto de los derechos protegidos por este Convenio […].  Si bien el</w:t>
        <w:br/>
        <w:t xml:space="preserve">      Convenio recoge derechos esencialmente civiles y políticos, gran parte</w:t>
        <w:br/>
        <w:t xml:space="preserve">      de ellos tienen implicaciones de naturaleza económica  y  social.  Por</w:t>
        <w:br/>
        <w:t xml:space="preserve">      eso el Tribunal estima, como lo hace la Comisión, que el hecho de  que</w:t>
        <w:br/>
        <w:t xml:space="preserve">      una interpretación del Convenio pueda extenderse a la  esfera  de  los</w:t>
        <w:br/>
        <w:t xml:space="preserve">      derechos sociales y económicos no es  factor  decisivo  en  contra  de</w:t>
        <w:br/>
        <w:t xml:space="preserve">      dicha interpretación, ya que no existe una  separación  tajante  entre</w:t>
        <w:br/>
        <w:t xml:space="preserve">      esa esfera y el campo cubierto por el Convenio[86].</w:t>
        <w:br/>
        <w:br/>
        <w:t xml:space="preserve"> 102. El Tribunal observa que  el  desarrollo  progresivo  de  los  derechos</w:t>
        <w:br/>
        <w:t xml:space="preserve">      económicos, sociales y culturales ha sido materia  de  pronunciamiento</w:t>
        <w:br/>
        <w:t xml:space="preserve">      por parte del Comité de Derechos Económicos, Sociales y Culturales  de</w:t>
        <w:br/>
        <w:t xml:space="preserve">      las Naciones Unidas, en el sentido de  que  la  plena  efectividad  de</w:t>
        <w:br/>
        <w:t xml:space="preserve">      aquéllos “no podrá lograrse en un breve período de tiempo” y  que,  en</w:t>
        <w:br/>
        <w:t xml:space="preserve">      esa medida, “requiere un dispositivo  de  flexibilidad  necesaria  que</w:t>
        <w:br/>
        <w:t xml:space="preserve">      refleje las realidades del mundo […] y las  dificultades  que  implica</w:t>
        <w:br/>
        <w:t xml:space="preserve">      para cada país el asegurar [dicha] efectividad”[87]. En  el  marco  de</w:t>
        <w:br/>
        <w:t xml:space="preserve">      dicha flexibilidad en cuanto a plazo y modalidades, el  Estado  tendrá</w:t>
        <w:br/>
        <w:t xml:space="preserve">      esencialmente, aunque no exclusivamente, una obligación de  hacer,  es</w:t>
        <w:br/>
        <w:t xml:space="preserve">      decir, de adoptar  providencias  y  brindar  los  medios  y  elementos</w:t>
        <w:br/>
        <w:t xml:space="preserve">      necesarios para responder a  las  exigencias  de  efectividad  de  los</w:t>
        <w:br/>
        <w:t xml:space="preserve">      derechos involucrados, siempre en la medida de los recursos económicos</w:t>
        <w:br/>
        <w:t xml:space="preserve">      y financieros de que disponga  para  el  cumplimiento  del  respectivo</w:t>
        <w:br/>
        <w:t xml:space="preserve">      compromiso  internacional  adquirido[88].   Así,   la   implementación</w:t>
        <w:br/>
        <w:t xml:space="preserve">      progresiva de dichas medidas podrá ser objeto de rendición de  cuentas</w:t>
        <w:br/>
        <w:t xml:space="preserve">      y, de ser el caso, el cumplimiento del respectivo compromiso adquirido</w:t>
        <w:br/>
        <w:t xml:space="preserve">      por el Estado  podrá  ser  exigido  ante  las  instancias  llamadas  a</w:t>
        <w:br/>
        <w:t xml:space="preserve">      resolver eventuales violaciones a los derechos humanos.</w:t>
        <w:br/>
        <w:br/>
        <w:t xml:space="preserve"> 103. Como correlato de lo  anterior,  se  desprende  un  deber  –  si  bien</w:t>
        <w:br/>
        <w:t xml:space="preserve">      condicionado – de no-regresividad, que no siempre deberá ser entendido</w:t>
        <w:br/>
        <w:t xml:space="preserve">      como una prohibición de medidas que  restrinjan  el  ejercicio  de  un</w:t>
        <w:br/>
        <w:t xml:space="preserve">      derecho. Al respecto, el Comité de  Derechos  Económicos,  Sociales  y</w:t>
        <w:br/>
        <w:t xml:space="preserve">      Culturales de las Naciones Unidas ha  señalado  que  “las  medidas  de</w:t>
        <w:br/>
        <w:t xml:space="preserve">      carácter deliberadamente re[gresivo] en  este  aspecto  requerirán  la</w:t>
        <w:br/>
        <w:t xml:space="preserve">      consideración más cuidadosa  y  deberán  justificarse  plenamente  por</w:t>
        <w:br/>
        <w:t xml:space="preserve">      referencia a la totalidad  de  los  derechos  previstos  en  el  Pacto</w:t>
        <w:br/>
        <w:t xml:space="preserve">      [Internacional de Derechos Económicos, Sociales y Culturales] y en  el</w:t>
        <w:br/>
        <w:t xml:space="preserve">      contexto del aprovechamiento pleno del máximo de los recursos  de  que</w:t>
        <w:br/>
        <w:t xml:space="preserve">      [el  Estado]  disponga”[89].  En   la   misma   línea,   la   Comisión</w:t>
        <w:br/>
        <w:t xml:space="preserve">      Interamericana ha considerado que para evaluar si una medida regresiva</w:t>
        <w:br/>
        <w:t xml:space="preserve">      es compatible con la Convención Americana, se deberá “determinar si se</w:t>
        <w:br/>
        <w:t xml:space="preserve">      encuentra justificada por razones de suficiente peso”[90]. Por todo lo</w:t>
        <w:br/>
        <w:t xml:space="preserve">      expuesto, cabe afirmar que la regresividad resulta justiciable  cuando</w:t>
        <w:br/>
        <w:t xml:space="preserve">      de derechos económicos, sociales y culturales se trate.</w:t>
        <w:br/>
        <w:br/>
        <w:t xml:space="preserve"> A)  El artículo 26 de la Convención en relación con la falta de pago de la</w:t>
        <w:br/>
        <w:t xml:space="preserve">  totalidad de los montos devengados y el incumplimiento de las sentencias</w:t>
        <w:br/>
        <w:t xml:space="preserve">               judiciales que ordenan dicho pago en este caso</w:t>
        <w:br/>
        <w:br/>
        <w:t xml:space="preserve"> 104. Este Tribunal ya consideró en la presente Sentencia (supra párrs. 69 a</w:t>
        <w:br/>
        <w:t xml:space="preserve">      79) que el Estado violó el derecho a la  protección  judicial  de  los</w:t>
        <w:br/>
        <w:t xml:space="preserve">      integrantes de la Asociación con motivo de la falta de efectividad  de</w:t>
        <w:br/>
        <w:t xml:space="preserve">      los recursos planteados y el  incumplimiento  de  las  sentencias  que</w:t>
        <w:br/>
        <w:t xml:space="preserve">      ordenaron el pago de los montos pensionarios dejados de percibir entre</w:t>
        <w:br/>
        <w:t xml:space="preserve">      abril de 1993 y octubre de 2002.  Asimismo, la Corte consideró que  la</w:t>
        <w:br/>
        <w:t xml:space="preserve">      falta de pago de dichos montos continúa  afectando  el  derecho  a  la</w:t>
        <w:br/>
        <w:t xml:space="preserve">      propiedad  de  las  víctimas  en  tanto  éstas  aún  no  pueden  gozar</w:t>
        <w:br/>
        <w:t xml:space="preserve">      integralmente de los efectos patrimoniales que  les  correspondía,  de</w:t>
        <w:br/>
        <w:t xml:space="preserve">      conformidad con el régimen de pensión nivelable al  que  se  acogieron</w:t>
        <w:br/>
        <w:t xml:space="preserve">      (supra párrs. 84 a 91).</w:t>
        <w:br/>
        <w:br/>
        <w:t xml:space="preserve"> 105.  El  incumplimiento  de  las  referidas  sentencias  judiciales  y  el</w:t>
        <w:br/>
        <w:t xml:space="preserve">      consecuente efecto patrimonial que éste ha tenido sobre  las  víctimas</w:t>
        <w:br/>
        <w:t xml:space="preserve">      son situaciones que afectan los derechos a la protección judicial y  a</w:t>
        <w:br/>
        <w:t xml:space="preserve">      la propiedad, reconocidos en los artículos 25 y 21  de  la  Convención</w:t>
        <w:br/>
        <w:t xml:space="preserve">      Americana, respectivamente.   En  cambio,  el  compromiso  exigido  al</w:t>
        <w:br/>
        <w:t xml:space="preserve">      Estado por el artículo 26 de la Convención consiste en la adopción  de</w:t>
        <w:br/>
        <w:t xml:space="preserve">      providencias, especialmente económicas y técnicas – en  la  medida  de</w:t>
        <w:br/>
        <w:t xml:space="preserve">      los recursos disponibles, sea  por  vía  legislativa  u  otros  medios</w:t>
        <w:br/>
        <w:t xml:space="preserve">      apropiados – para  lograr  progresivamente  la  plena  efectividad  de</w:t>
        <w:br/>
        <w:t xml:space="preserve">      ciertos derechos económicos, sociales y culturales. En  este  sentido,</w:t>
        <w:br/>
        <w:t xml:space="preserve">      la  obligación  estatal  que  se  desprende  del  artículo  26  de  la</w:t>
        <w:br/>
        <w:t xml:space="preserve">      Convención es de  naturaleza  diferente,  si  bien  complementaria,  a</w:t>
        <w:br/>
        <w:t xml:space="preserve">      aquella relacionada con los artículos 21 y 25 de dicho instrumento.</w:t>
        <w:br/>
        <w:br/>
        <w:t xml:space="preserve"> 106. Por lo tanto, teniendo en cuenta que lo que está bajo análisis  no  es</w:t>
        <w:br/>
        <w:t xml:space="preserve">      alguna providencia  adoptada  por  el  Estado  que  haya  impedido  el</w:t>
        <w:br/>
        <w:t xml:space="preserve">      desarrollo progresivo del derecho a una  pensión,  sino  más  bien  el</w:t>
        <w:br/>
        <w:t xml:space="preserve">      incumplimiento estatal del pago ordenado por sus  órganos  judiciales,</w:t>
        <w:br/>
        <w:t xml:space="preserve">      el  Tribunal  considera  que  los  derechos  afectados  son   aquellos</w:t>
        <w:br/>
        <w:t xml:space="preserve">      protegidos en los artículos 25 y 21 de la Convención  y  no  encuentra</w:t>
        <w:br/>
        <w:t xml:space="preserve">      motivo para declarar adicionalmente el incumplimiento del artículo  26</w:t>
        <w:br/>
        <w:t xml:space="preserve">      de dicho instrumento. De esta manera,  el  Tribunal  se  remite  a  lo</w:t>
        <w:br/>
        <w:t xml:space="preserve">      decidido anteriormente respecto de las consecuencias jurídicas que  ha</w:t>
        <w:br/>
        <w:t xml:space="preserve">      tenido dicho incumplimiento  y  falta  de  pago  en  relación  con  la</w:t>
        <w:br/>
        <w:t xml:space="preserve">      violación del derecho a la protección judicial (supra párrs. 69 a  79)</w:t>
        <w:br/>
        <w:t xml:space="preserve">      y a la propiedad privada (supra párrs. 84 a 91).</w:t>
        <w:br/>
        <w:br/>
        <w:t xml:space="preserve">       B)  La adopción y aplicación de los Decretos 25597 y 036-93-EF</w:t>
        <w:br/>
        <w:br/>
        <w:t xml:space="preserve"> 107. Por otro lado, el representante alegó el incumplimiento  del  artículo</w:t>
        <w:br/>
        <w:t xml:space="preserve">      26 de la Convención por la creación del Decreto  Ley  Nº  25597  y  el</w:t>
        <w:br/>
        <w:t xml:space="preserve">      Decreto Supremo Nº 036-93-EF como medidas legislativas  de  naturaleza</w:t>
        <w:br/>
        <w:t xml:space="preserve">      regresiva, es decir, opuestas a la realización progresiva del  derecho</w:t>
        <w:br/>
        <w:t xml:space="preserve">      a la seguridad social.  Al  respecto,  la  Corte  reitera  que  en  el</w:t>
        <w:br/>
        <w:t xml:space="preserve">      presente caso no existe controversia entre las  partes  sobre  si  las</w:t>
        <w:br/>
        <w:t xml:space="preserve">      víctimas tenían o no derecho a una pensión nivelada o si  tal  derecho</w:t>
        <w:br/>
        <w:t xml:space="preserve">      se vio afectado por  la  aplicación  injustificada  de  los  referidos</w:t>
        <w:br/>
        <w:t xml:space="preserve">      decretos (supra párr. 52). Efectivamente, conforme quedó  establecido,</w:t>
        <w:br/>
        <w:t xml:space="preserve">      las partes en el presente  caso  están  de  acuerdo  en  que  los  273</w:t>
        <w:br/>
        <w:t xml:space="preserve">      pensionistas de la CGR, al terminar de trabajar en dicha  institución,</w:t>
        <w:br/>
        <w:t xml:space="preserve">      obtuvieron el derecho a la  pensión  nivelable  de  cesantía  bajo  el</w:t>
        <w:br/>
        <w:t xml:space="preserve">      régimen establecido en el Decreto  Ley  Nº  20530  (supra  párr.  43),</w:t>
        <w:br/>
        <w:t xml:space="preserve">      derecho  que  fue  reconocido  posteriormente   por   las   instancias</w:t>
        <w:br/>
        <w:t xml:space="preserve">      judiciales ante la inaplicabilidad al caso de  los  inconstitucionales</w:t>
        <w:br/>
        <w:t xml:space="preserve">      Decreto Ley Nº 25597 y Decreto Supremo Nº 036-93-EF (supra párrs.  45,</w:t>
        <w:br/>
        <w:t xml:space="preserve">      48  y  52).  En  ese  sentido,  al  no  ser  materia  de  la  presente</w:t>
        <w:br/>
        <w:t xml:space="preserve">      controversia, este  Tribunal  no  se  pronunciará  sobre  el  supuesto</w:t>
        <w:br/>
        <w:t xml:space="preserve">      incumplimiento de lo exigido por el artículo 26 de la Convención  como</w:t>
        <w:br/>
        <w:t xml:space="preserve">      consecuencia de la emisión de dichas normas.</w:t>
        <w:br/>
        <w:br/>
        <w:t xml:space="preserve">                                    VIII</w:t>
        <w:br/>
        <w:br/>
        <w:t xml:space="preserve">                                Reparaciones</w:t>
        <w:br/>
        <w:br/>
        <w:t xml:space="preserve">        (Aplicación del artículo 63.1 de la Convención Americana)[91]</w:t>
        <w:br/>
        <w:br/>
        <w:t xml:space="preserve"> 108. Es un principio de Derecho Internacional que  toda  violación  de  una</w:t>
        <w:br/>
        <w:t xml:space="preserve">      obligación internacional que haya producido daño comporta el deber  de</w:t>
        <w:br/>
        <w:t xml:space="preserve">      repararlo adecuadamente[92]. Esa obligación se regula por  el  Derecho</w:t>
        <w:br/>
        <w:t xml:space="preserve">      Internacional[93]. En sus decisiones a este respecto, la Corte  se  ha</w:t>
        <w:br/>
        <w:t xml:space="preserve">      basado en el artículo 63.1 de la Convención Americana.</w:t>
        <w:br/>
        <w:br/>
        <w:t xml:space="preserve"> 109. De acuerdo con las consideraciones sobre el fondo y las violaciones  a</w:t>
        <w:br/>
        <w:t xml:space="preserve">      la Convención declaradas en los capítulos correspondientes, así como a</w:t>
        <w:br/>
        <w:t xml:space="preserve">      la luz de los criterios fijados en la jurisprudencia del  Tribunal  en</w:t>
        <w:br/>
        <w:t xml:space="preserve">      relación con la naturaleza y alcances de la obligación de reparar[94],</w:t>
        <w:br/>
        <w:t xml:space="preserve">      la Corte procederá a analizar tanto las pretensiones  presentadas  por</w:t>
        <w:br/>
        <w:t xml:space="preserve">      la Comisión y por el representante, como los argumentos del Estado  al</w:t>
        <w:br/>
        <w:t xml:space="preserve">      respecto, con el objeto de disponer las medidas tendientes  a  reparar</w:t>
        <w:br/>
        <w:t xml:space="preserve">      dichas violaciones.</w:t>
        <w:br/>
        <w:br/>
        <w:t xml:space="preserve"> 110. Previo a examinar las reparaciones pretendidas, la Corte  observa  que</w:t>
        <w:br/>
        <w:t xml:space="preserve">      el Estado no  presentó  alegatos  específicos  sobre  las  medidas  de</w:t>
        <w:br/>
        <w:t xml:space="preserve">      reparación solicitadas por la Comisión o el  representante,  sino  que</w:t>
        <w:br/>
        <w:t xml:space="preserve">      solamente  estimó  “improcedentes  e   infundados   los   pedidos   de</w:t>
        <w:br/>
        <w:t xml:space="preserve">      reparación” solicitados por aquellos, y pidió  que  sean  desestimados</w:t>
        <w:br/>
        <w:t xml:space="preserve">      por la Corte. No obstante, solicitó que, en  el  supuesto  de  que  la</w:t>
        <w:br/>
        <w:t xml:space="preserve">      Corte declarara la responsabilidad del Estado, “la forma de indemnizar</w:t>
        <w:br/>
        <w:t xml:space="preserve">      [se determinara] con referencia a la jurisdicción nacional peruana”.</w:t>
        <w:br/>
        <w:br/>
        <w:t xml:space="preserve">                             A)  Parte lesionada</w:t>
        <w:br/>
        <w:br/>
        <w:br/>
        <w:t xml:space="preserve"> 111. La Comisión y el representante coincidieron  al  señalar  como  “parte</w:t>
        <w:br/>
        <w:t xml:space="preserve">      lesionada”  a  “los  273  integrantes  de  la  Asociación”.  Sobre  el</w:t>
        <w:br/>
        <w:t xml:space="preserve">      particular, la Comisión agregó  que  “[d]ebe  tomarse  en  cuenta  que</w:t>
        <w:br/>
        <w:t xml:space="preserve">      varias víctimas del presente caso han fallecido, por lo que  el  monto</w:t>
        <w:br/>
        <w:t xml:space="preserve">      que se les adeuda debe ser pagado a sus herederos”.</w:t>
        <w:br/>
        <w:br/>
        <w:t xml:space="preserve"> 112. Al respecto, el Tribunal reitera que se considera  parte  lesionada  a</w:t>
        <w:br/>
        <w:t xml:space="preserve">      aquellas personas que han sido declaradas víctimas de  violaciones  de</w:t>
        <w:br/>
        <w:t xml:space="preserve">      algún  derecho   consagrado   en   la   Convención[95].   Además,   la</w:t>
        <w:br/>
        <w:t xml:space="preserve">      jurisprudencia de esta Corte ha indicado que  las  presuntas  víctimas</w:t>
        <w:br/>
        <w:t xml:space="preserve">      deben estar señaladas en la demanda y en el  informe  de  la  Comisión</w:t>
        <w:br/>
        <w:t xml:space="preserve">      según el artículo 50 de la Convención[96].</w:t>
        <w:br/>
        <w:br/>
        <w:t xml:space="preserve"> 113. Por tanto, este Tribunal considera como “parte lesionada”, conforme al</w:t>
        <w:br/>
        <w:t xml:space="preserve">      artículo 63.1 de la Convención Americana, a los 273 integrantes de  la</w:t>
        <w:br/>
        <w:t xml:space="preserve">      Asociación, señalados en la demanda de la Comisión,  así  como  en  la</w:t>
        <w:br/>
        <w:t xml:space="preserve">      siguiente tabla, quienes en su carácter de víctimas de las violaciones</w:t>
        <w:br/>
        <w:t xml:space="preserve">      declaradas (supra párrs. 79 y 91) serán acreedores de las reparaciones</w:t>
        <w:br/>
        <w:t xml:space="preserve">      que el Tribunal ordene a continuación:</w:t>
        <w:br/>
        <w:br/>
        <w:br/>
        <w:t>|Acevedo Buendía, Alejandro        |López Solórzano Vda. de Sunico,    |</w:t>
        <w:br/>
        <w:t>|                                  |Rosa Judith                        |</w:t>
        <w:br/>
        <w:t>|Acevedo Castro, Apolonio          |López Rubiños, Jorge Percy         |</w:t>
        <w:br/>
        <w:t>|Acevedo León de Dávila, Isabel    |Lora Cortinez, Juan                |</w:t>
        <w:br/>
        <w:t>|Zoila                             |                                   |</w:t>
        <w:br/>
        <w:t>|Acosta Arandia, Asunción Graciela |Lucero Álvarez, Manuel Gerónimo    |</w:t>
        <w:br/>
        <w:t>|Acosta Trujillo, Marcial          |Lucero Palomares, Abraham          |</w:t>
        <w:br/>
        <w:t>|Agüero Ayala, Zósimo              |Luna Heredia De Rodríguez, María   |</w:t>
        <w:br/>
        <w:t>|                                  |Maruja Elvira                      |</w:t>
        <w:br/>
        <w:t>|Aguilar Arévalo, Augusto Marcos   |Macchiavello León Vda. de León,    |</w:t>
        <w:br/>
        <w:t>|                                  |Teresa Yolanda                     |</w:t>
        <w:br/>
        <w:t>|Aguilar Serrano, Miguel Tulio     |Manyari Palacios, Guido Alberto    |</w:t>
        <w:br/>
        <w:t>|Aguirre Calderón, Emilio Fernando |Marin Gil, Juan                    |</w:t>
        <w:br/>
        <w:t>|Alarcón Coronado De Pérez, Nilda  |Martínez Marin, Alicia             |</w:t>
        <w:br/>
        <w:t>|René                              |                                   |</w:t>
        <w:br/>
        <w:t>|Alayo Fajardo, Félix Agustín      |Martínez Estremadoyro, Juan        |</w:t>
        <w:br/>
        <w:t>|                                  |Bautista                           |</w:t>
        <w:br/>
        <w:t>|Alcalá Contreras, Carmen Alejandra|Martínez Hubner, Fernando Marcos   |</w:t>
        <w:br/>
        <w:t>|Alcóser Gutiérrez, Moisés Ernesto |Martínez Torres, Raúl Domingo      |</w:t>
        <w:br/>
        <w:t>|Almenara Valdez De Hemmerde, Luisa|Matos Huanes, Carlos Alberto       |</w:t>
        <w:br/>
        <w:t>|Almeyda Flores, Gerardo           |Medina Morán, Juan José            |</w:t>
        <w:br/>
        <w:t>|Álvarez Postigo, Víctor Augusto   |Mejía Montes, Félix Espimaco       |</w:t>
        <w:br/>
        <w:t>|Alza Ahumada, Carlos Eugenio      |Meléndez Meléndez, Rita            |</w:t>
        <w:br/>
        <w:t>|Amico Ramos Vda. De Errea, Leticia|Meléndez Hidalgo De Bojorquez, Nora|</w:t>
        <w:br/>
        <w:t>|                                  |Angelina                           |</w:t>
        <w:br/>
        <w:t>|Ampuero Pasten, Alejandro Augusto |Meléndez Romani, Jesús             |</w:t>
        <w:br/>
        <w:t>|Anaya Vda. De Faura, María        |Melgar Medina, Jesús M.            |</w:t>
        <w:br/>
        <w:t>|Cristina                          |                                   |</w:t>
        <w:br/>
        <w:t>|Aparicio Sifuentes, José Melchor  |Menéndez Butrón, Judith Damiana    |</w:t>
        <w:br/>
        <w:t>|Aquije Alvarez, Luis Alberto      |Mercado, Luis Fernando             |</w:t>
        <w:br/>
        <w:t>|Arana Pozo, Iraida Eumelia        |Merino Sánchez, Eduardo            |</w:t>
        <w:br/>
        <w:t>|Arancivia De Valdez, Jaqueline    |Mesías Sandoval, Vidal Hernán      |</w:t>
        <w:br/>
        <w:t>|Tania Silvana                     |                                   |</w:t>
        <w:br/>
        <w:t>|Aranda De Los Ríos, María Rosa    |Meza Gamarra, Arturo Higinio       |</w:t>
        <w:br/>
        <w:t>|Arce Meza, Fernando Aníbal        |Meza Ingar, Patricia Edelmira      |</w:t>
        <w:br/>
        <w:t>|Arce Vda. De Hipólito, Carmen     |Miranda Roldán, Rosa Luz           |</w:t>
        <w:br/>
        <w:t>|Julia                             |                                   |</w:t>
        <w:br/>
        <w:t>|Arevalo Dávila Vda. de Pujazón,   |Miyasato Higa Vda. de Kamisato,    |</w:t>
        <w:br/>
        <w:t>|Martha Leticia                    |Victoria Alejandrina               |</w:t>
        <w:br/>
        <w:t>|Arroyo Montes, Carmen Liliana     |Mondragón Roncal, Fernando         |</w:t>
        <w:br/>
        <w:t>|                                  |Eleuterio                          |</w:t>
        <w:br/>
        <w:t>|Arroyo Villa Vda. de Arriola,     |Monsante Ramírez, César            |</w:t>
        <w:br/>
        <w:t>|Hilda Teresa                      |                                   |</w:t>
        <w:br/>
        <w:t>|Asencios Ramírez De Cuneo, María  |Montero Garavito, Guillermina      |</w:t>
        <w:br/>
        <w:t>|Emma                              |                                   |</w:t>
        <w:br/>
        <w:t>|Bacigalupo Hurtado De Salgado,    |Montero Vargas, Edgardo Demetrio   |</w:t>
        <w:br/>
        <w:t>|María Cristina                    |                                   |</w:t>
        <w:br/>
        <w:t>|Balabarca Morales, Rosa Elvira    |Montoya Villalobos, Carlos         |</w:t>
        <w:br/>
        <w:t>|                                  |Alejandro                          |</w:t>
        <w:br/>
        <w:t>|Banda De Palacios, Josefa Eusebia |Morales Chavarría, Samuel Enrique  |</w:t>
        <w:br/>
        <w:t>|Barandiarán Ibáñez, Germán Julio  |Morales Martínez, Ángel            |</w:t>
        <w:br/>
        <w:t>|César                             |                                   |</w:t>
        <w:br/>
        <w:t>|Barreda Espinoza, Gerardo Adán    |Moreno Dorado, Blanca Frida        |</w:t>
        <w:br/>
        <w:t>|Beaumont Callirgos, Fortunata     |Mostajo Colzani, Manuel Fernando   |</w:t>
        <w:br/>
        <w:t>|Raquel                            |                                   |</w:t>
        <w:br/>
        <w:t>|Becerra Quiroz, Delia             |Mueras Orcon, Lucio                |</w:t>
        <w:br/>
        <w:t>|Becerra Quiroz, Julia Auristela   |Muñoz Pardo, Edgardo               |</w:t>
        <w:br/>
        <w:t>|Begazo Mansisidor, Roberto Isidoro|Navarro Quispe De Morales, Julia   |</w:t>
        <w:br/>
        <w:t>|                                  |Ricardina                          |</w:t>
        <w:br/>
        <w:t>|Beltrán Paz De Vega, Ana María    |Negri Cabrera, Otto Alberto        |</w:t>
        <w:br/>
        <w:t>|Vicente                           |                                   |</w:t>
        <w:br/>
        <w:t>|Berríos Berríos, Martha María     |Neyra Castro, Luis Mauro           |</w:t>
        <w:br/>
        <w:t>|Antonieta                         |                                   |</w:t>
        <w:br/>
        <w:t>|Berrocal Soto, Vladimiro Jesús    |Neyra Ríos, Marina                 |</w:t>
        <w:br/>
        <w:t>|Blas Moreno, Carmen               |Niño Garcia, Víctor Raúl           |</w:t>
        <w:br/>
        <w:t>|Blotte Adams, Manuel Edmundo      |Ochoa Ochoa, Pedro                 |</w:t>
        <w:br/>
        <w:t>|Bojorquez Gonzáles, Dalton Jesús  |Odría Bastas, Víctor Manuel        |</w:t>
        <w:br/>
        <w:t>|Borrero Briceño, Julio César      |Odría Torres, Víctor               |</w:t>
        <w:br/>
        <w:t>|Bravo Torres, Enrique             |Ojeda Sánchez, Luis Octavio        |</w:t>
        <w:br/>
        <w:t>|Cabrera Jurado, Leoncio Ruperto   |Olaechea Granda, Luis Adolfo       |</w:t>
        <w:br/>
        <w:t>|Cadenillas Gálvez, Luis Francisco |Ormeño Wilson, Julio Eduardo       |</w:t>
        <w:br/>
        <w:t>|Cahua Bernales, Juan Antonio      |Oropeza Guia, Leonardo             |</w:t>
        <w:br/>
        <w:t>|Calderon Escala, Francisco Armando|Padilla Gonzáles De Gordillo, Irene|</w:t>
        <w:br/>
        <w:t>|Campos Sotelo, Héctor Ciro        |Paredes Tapia, Eugenia Martha      |</w:t>
        <w:br/>
        <w:t>|Candela Vasallo, Héctor Oswaldo   |Peña Ugarte, Juan Manuel           |</w:t>
        <w:br/>
        <w:t>|Cárdenas Abarca, Saúl Edmundo     |Peñaranda Portugal, Percy          |</w:t>
        <w:br/>
        <w:t>|Carmelino Del Carpio Deli, Liliana|Pérez Gallegos, Gabriel            |</w:t>
        <w:br/>
        <w:t>|Carpio Valdivia, Carmen Jacinto   |Pérez Rosales, José Manuel         |</w:t>
        <w:br/>
        <w:t>|Carranza Espinoza, Pedro Víctor   |Pérez Ugarte, Urbana Eugenia       |</w:t>
        <w:br/>
        <w:t>|Carranza Guerra, Jaime Leoncio    |Portugal Vizcarra, José Antonio    |</w:t>
        <w:br/>
        <w:t>|Carrasco Valencia, Reneé Javier   |Pozo Calva, Gabino Ulises          |</w:t>
        <w:br/>
        <w:t>|Carrillo Salinas, Enrique         |Pozo Vega, Luis Daniel             |</w:t>
        <w:br/>
        <w:t>|Carrión Martínez, Pedro Antonio   |Quinde Villacrez, Edgardo          |</w:t>
        <w:br/>
        <w:t>|Castagneto Vélez, Juan Antonio    |Quiroz Arata, Juan                 |</w:t>
        <w:br/>
        <w:t>|Castañeda Acevedo, Manuel Segundo |Ramírez Gandini, César Manuel      |</w:t>
        <w:br/>
        <w:t>|Castilla Meza, Jorge Clímaco      |Reátegui Noriega, Nancy            |</w:t>
        <w:br/>
        <w:t>|Castro Contreras, Jaime Raúl      |Ríos Nash De Reátegui, María Teresa|</w:t>
        <w:br/>
        <w:t>|Castro Zapata, Norberto           |Rivera Dávalos, Julio César        |</w:t>
        <w:br/>
        <w:t>|Cavassa Urquiaga, Juana María     |Robles Freyre Vda. de Kajatt, María|</w:t>
        <w:br/>
        <w:t>|                                  |Victoria                           |</w:t>
        <w:br/>
        <w:t>|Celis Cairo, César Manuel         |Rodríguez Balbuena, Edilberto      |</w:t>
        <w:br/>
        <w:t>|Centurión Marchena De Ramírez,    |Rodríguez Vildosola Vda. de        |</w:t>
        <w:br/>
        <w:t>|Carmen Isabel                     |Cussianovich, María Zulema         |</w:t>
        <w:br/>
        <w:t>|Céspedes Romero, Manuel           |Rodríguez Yépez, Laura Angélica    |</w:t>
        <w:br/>
        <w:t>|Chamorro Díaz De Bezir, María Del |Rodríguez Zarzosa, Pablo Víctor    |</w:t>
        <w:br/>
        <w:t>|Carmen                            |                                   |</w:t>
        <w:br/>
        <w:t>|Chapoñán Prada, Ricardo           |Romero Maceda, Ricardo Héctor      |</w:t>
        <w:br/>
        <w:t>|Chávez Del Carpio, Genaro Remigio |Romero Pacora, Jesús               |</w:t>
        <w:br/>
        <w:t>|Chicoma Mendoza, Juan Vicente     |Romero Vivanco, Judith María Del   |</w:t>
        <w:br/>
        <w:t>|                                  |Rosario                            |</w:t>
        <w:br/>
        <w:t>|Choza Nosiglia, Fernando          |Rosario Chirinos, Marcos           |</w:t>
        <w:br/>
        <w:t>|Chumpitaz Huapaya, José Hugo Félix|Ruiz Botto, José Guillermo         |</w:t>
        <w:br/>
        <w:t>|Chura Quisocala, Germán Amadeo    |Saenz Arana, Luz Aurea             |</w:t>
        <w:br/>
        <w:t>|Collantes Sora, César Daniel      |Salas Luna, Ulderico               |</w:t>
        <w:br/>
        <w:t>|Cortes De Durand, Sofía           |Salazar Souza Ferreyra, César      |</w:t>
        <w:br/>
        <w:t>|                                  |Enrique                            |</w:t>
        <w:br/>
        <w:t>|Cuadros Valdivia, Gregorio        |Salinas De Córdova, Elsa Luisa     |</w:t>
        <w:br/>
        <w:t>|Hipólito                          |                                   |</w:t>
        <w:br/>
        <w:t>|Cubas Castillo, Martha            |San Román Vda. De Riquelme, Luz    |</w:t>
        <w:br/>
        <w:t>|Cuiro Jaimes, Mariano             |Sánchez Canelo, José Edmundo       |</w:t>
        <w:br/>
        <w:t>|Dávila Ramos, Pablo               |Sánchez Huarcaya, Luisa Flora      |</w:t>
        <w:br/>
        <w:t>|Dawson Vásquez, Harry             |Sánchez Quiñónez, Juan Zenobio     |</w:t>
        <w:br/>
        <w:t>|De La Cruz Arteta, José Enrique   |Sanez Gárate, Betty Soledad        |</w:t>
        <w:br/>
        <w:t>|Defilippi Vda. de Queirolo, Adela |Santamaría Vidaurre, César Augusto |</w:t>
        <w:br/>
        <w:t>|Delgado Gorvenia, Frida Eriberta  |Santayana Valdivia, Atilio         |</w:t>
        <w:br/>
        <w:t>|Delgado Vega, Roberto Alfredo     |Seperack G. De Caro, Rosa          |</w:t>
        <w:br/>
        <w:t>|Dextre Dextre, Víctor Manuel      |Serrano Mendieta, Valerio Humberto |</w:t>
        <w:br/>
        <w:t>|Dueñas Aristizábal, Antonio       |Sevilla Aspillaga, Guillermo       |</w:t>
        <w:br/>
        <w:t>|Pelagio                           |Eduardo                            |</w:t>
        <w:br/>
        <w:t>|Egúsquiza Flores, José Wilfredo   |Sifuentes Del Águila, Leoncio      |</w:t>
        <w:br/>
        <w:t>|                                  |Oswaldo                            |</w:t>
        <w:br/>
        <w:t>|Escobar Salas, José Santiago      |Sigarrostegui Bindels De Gonzáles, |</w:t>
        <w:br/>
        <w:t>|                                  |Norma                              |</w:t>
        <w:br/>
        <w:t>|Escudero De Beraun, Nelly         |Solis Romero, Jaime Juan           |</w:t>
        <w:br/>
        <w:t>|Espejo Vivanco, María Luz         |Sosa Castillo, Julio Edmundo       |</w:t>
        <w:br/>
        <w:t>|Espinoza Zazzali, Moisés Ernesto  |Soto Bautista, Emilio Felipe       |</w:t>
        <w:br/>
        <w:t>|Falcón Carbajal, Guillermo        |Taboada Morales, César Hugo        |</w:t>
        <w:br/>
        <w:t>|Falconi Delboy, Mercedes Gabriela |Tapia Campos, Antero Santiago      |</w:t>
        <w:br/>
        <w:t>|Faustino Tataje, Fermín           |Taquia Vila, Víctor                |</w:t>
        <w:br/>
        <w:t>|Ferreccio Alejos, Elsa Mirtha     |Tavara Ocaña De Ruiz, Herminia     |</w:t>
        <w:br/>
        <w:t>|                                  |Beatriz                            |</w:t>
        <w:br/>
        <w:t>|Ferrel Ayma, Claudio              |Terán Suárez, Félix Enrique        |</w:t>
        <w:br/>
        <w:t>|Figueroa Guerrero, Elmer Enrique  |Tolentino Zagal, Rossana           |</w:t>
        <w:br/>
        <w:t>|Figueroa Pozo, Doris María Flora  |Tompson Ortega, Andrés Avelino     |</w:t>
        <w:br/>
        <w:t>|Flores Konja, Julio Vicente       |Torres Rodríguez, Mario Simón      |</w:t>
        <w:br/>
        <w:t>|Flores Ojeda De Pérez, Blanca     |Trujillo Rodríguez, Raquel         |</w:t>
        <w:br/>
        <w:t>|Nélida                            |                                   |</w:t>
        <w:br/>
        <w:t>|Gala Conislla, Roque              |Ubillus Martino, Mario Pastor      |</w:t>
        <w:br/>
        <w:t>|Galvez Martínez De Talledo,       |Ugarte Alarcón, Alberto Walter     |</w:t>
        <w:br/>
        <w:t>|Mirella Teresa                    |                                   |</w:t>
        <w:br/>
        <w:t>|García Flores, Cesar Augusto      |Urrelo Moreno De Cardich, Rosa     |</w:t>
        <w:br/>
        <w:t>|García Mendoza, Rafael Francisco  |Valencia Amador, Elizabeth Milagro |</w:t>
        <w:br/>
        <w:t>|García Salvatecci, Carmen  Rosa   |Valencia Pacheco De Cárdenas,      |</w:t>
        <w:br/>
        <w:t>|                                  |Blanca Concepción                  |</w:t>
        <w:br/>
        <w:t>|García y García De Gómez, Nélida  |Valverde Bernal, Adolfo            |</w:t>
        <w:br/>
        <w:t>|Gómez Córdova, Juan Aníbal        |Vargas Calvo, Alberto              |</w:t>
        <w:br/>
        <w:t>|Gonzáles Miranda, Luis            |Vargas Giles, Juan Augusto         |</w:t>
        <w:br/>
        <w:t>|Gotuzzo Romero, Mario Bartolomé   |Vargas Prieto Vda. de Barcelli,    |</w:t>
        <w:br/>
        <w:t>|                                  |María Esther                       |</w:t>
        <w:br/>
        <w:t>|Gutiérrez García, Darío Alejandro |Vargas Salas, Cosme Marino         |</w:t>
        <w:br/>
        <w:t>|Guzmán Rodríguez, Jorge Segundo   |Vargas Salazar, Enrique Eduardo    |</w:t>
        <w:br/>
        <w:t>|Hernández Cotrina, Amado          |Vargas Salinas, Eileen G.          |</w:t>
        <w:br/>
        <w:t>|Hernández Fernandini, Constanza   |Vásquez Del Castillo, Elena        |</w:t>
        <w:br/>
        <w:t>|Hernando Galvez, José Antonio     |Vega Alarcón, César Augusto        |</w:t>
        <w:br/>
        <w:t>|Herrera Meza, José Santos         |Vela Lazo De Peralta, Consuelo     |</w:t>
        <w:br/>
        <w:t>|                                  |Emperatriz                         |</w:t>
        <w:br/>
        <w:t>|Huamán Effio De Revilla, Mirtha   |Velarde Falcón, Amelia Juana       |</w:t>
        <w:br/>
        <w:t>|Luz                               |                                   |</w:t>
        <w:br/>
        <w:t>|Huamán Huillca, Valerio Francisco |Velásquez Del Carpio, César        |</w:t>
        <w:br/>
        <w:t>|Ibarra Márquez, Juan Amador       |Vicuña Arias De Valdez, Edelmira   |</w:t>
        <w:br/>
        <w:t>|Icochea Arroyo, José Félix        |Villalobos Rodríguez, Marcos       |</w:t>
        <w:br/>
        <w:t>|Ishiyama Cervantes Miguel         |Villanueva Ipanaque, Carmen Isabel |</w:t>
        <w:br/>
        <w:t>|Iturregui Santoyo, Pedro Gonzalo  |Vitkovic Trujiilo, José Baltasar   |</w:t>
        <w:br/>
        <w:t>|Iturrizaga Arredondo, Rafael      |Vizcaya Jáuregui, Nicolás Ramiro   |</w:t>
        <w:br/>
        <w:t>|Jiménez Lumbreras, Mauro Esteban  |Yap Cruz, José Leoncio             |</w:t>
        <w:br/>
        <w:t>|Lam Sánchez De Torres, Consuelo   |Yarasca Montano, Pedro Lucio       |</w:t>
        <w:br/>
        <w:t>|Lamas Vargas, Julia Elvira        |Yong Flores, Raúl                  |</w:t>
        <w:br/>
        <w:t>|Lazarte Terry, Máximo Ernesto     |Zapata Barrientos, Pedro Sigifredo |</w:t>
        <w:br/>
        <w:t>|Lazo Loayza, Dante Eusebio        |Zapata Benites, Alberto            |</w:t>
        <w:br/>
        <w:t>|Lazo Zegarra, Nora Ruth           |Zavala Rivera, Víctor Manuel       |</w:t>
        <w:br/>
        <w:t>|Leau Caballero De Herrera, Betty  |Zavala Torres, Dora Jasmine        |</w:t>
        <w:br/>
        <w:t>|Eudocia                           |                                   |</w:t>
        <w:br/>
        <w:t>|Libaque Villanueva, Manuel Isaac  |Zevallos Alzamora, Olga Cecilia    |</w:t>
        <w:br/>
        <w:t>|Linares Ruiz, María Ilmer         |Zuloeta Camacho, Ángel             |</w:t>
        <w:br/>
        <w:t>|López Rubiños De Rivero, Nelly    |                                   |</w:t>
        <w:br/>
        <w:t>|Esperanza                         |                                   |</w:t>
        <w:br/>
        <w:br/>
        <w:t xml:space="preserve"> 114. Por otro lado, si bien se presentó prueba en el presente caso respecto</w:t>
        <w:br/>
        <w:t xml:space="preserve">      de los presuntos daños sufridos por  algunos  familiares  de  las  273</w:t>
        <w:br/>
        <w:t xml:space="preserve">      víctimas como supuesta consecuencia de las violaciones declaradas,  la</w:t>
        <w:br/>
        <w:t xml:space="preserve">      Corte considera que ni la Comisión ni el  representante  alegaron  que</w:t>
        <w:br/>
        <w:t xml:space="preserve">      dichas personas fueron víctimas  de  alguna  violación  a  un  derecho</w:t>
        <w:br/>
        <w:t xml:space="preserve">      consagrado en la Convención Americana. En  razón  de  lo  anterior,  y</w:t>
        <w:br/>
        <w:t xml:space="preserve">      teniendo en  cuenta  la  jurisprudencia  del  Tribunal,  la  Corte  no</w:t>
        <w:br/>
        <w:t xml:space="preserve">      considera como “parte lesionada” a los familiares de las  víctimas  en</w:t>
        <w:br/>
        <w:t xml:space="preserve">      el presente  caso  y  precisa  que  serán  acreedores  a  reparaciones</w:t>
        <w:br/>
        <w:t xml:space="preserve">      únicamente en calidad de derechohabientes, es decir, cuando la víctima</w:t>
        <w:br/>
        <w:t xml:space="preserve">      haya fallecido, y siempre de conformidad  con  lo  establecido  en  la</w:t>
        <w:br/>
        <w:t xml:space="preserve">      legislación interna.</w:t>
        <w:br/>
        <w:br/>
        <w:br/>
        <w:br/>
        <w:br/>
        <w:t xml:space="preserve">                             B)  Indemnizaciones</w:t>
        <w:br/>
        <w:br/>
        <w:t xml:space="preserve">      i.     Daño material</w:t>
        <w:br/>
        <w:br/>
        <w:t xml:space="preserve"> 115. La Corte ha desarrollado el concepto de daño material y los  supuestos</w:t>
        <w:br/>
        <w:t xml:space="preserve">      en que corresponde indemnizarlo[97].</w:t>
        <w:br/>
        <w:br/>
        <w:t xml:space="preserve"> 116. La Comisión señaló que “corresponde a las víctimas  la  concreción  de</w:t>
        <w:br/>
        <w:t xml:space="preserve">      sus pretensiones” respecto del daño material sufrido, mientras que  el</w:t>
        <w:br/>
        <w:t xml:space="preserve">      representante solicitó a  la  Corte  que  al  fijar  el  monto  de  la</w:t>
        <w:br/>
        <w:t xml:space="preserve">      indemnización compensatoria por concepto de daño material, tuviera  en</w:t>
        <w:br/>
        <w:t xml:space="preserve">      cuenta, “en  particular[,]  la  venta  de  bienes  y  la  adopción  de</w:t>
        <w:br/>
        <w:t xml:space="preserve">      préstamos en que se vieron incursos las víctimas […] para hacer frente</w:t>
        <w:br/>
        <w:t xml:space="preserve">      a  la  abrupta  reducción  de  sus  pensiones”.  De  acuerdo  con   el</w:t>
        <w:br/>
        <w:t xml:space="preserve">      representante, las víctimas se vieron obligadas a incurrir  en  gastos</w:t>
        <w:br/>
        <w:t xml:space="preserve">      para “paliar la drástica reducción de los medios que, hasta el mes  de</w:t>
        <w:br/>
        <w:t xml:space="preserve">      abril de 1993, les permitían  solventar  sus  necesidades  básicas  de</w:t>
        <w:br/>
        <w:t xml:space="preserve">      alimentación y vivienda, así como las de educación de sus  hijos”.  En</w:t>
        <w:br/>
        <w:t xml:space="preserve">      sus  affidávits  y  testimonios,  algunas  de  las  víctimas  hicieron</w:t>
        <w:br/>
        <w:t xml:space="preserve">      referencia a gastos incurridos por el pago de medicinas y  tratamiento</w:t>
        <w:br/>
        <w:t xml:space="preserve">      por enfermedades alegadamente originadas o agravadas  con  ocasión  de</w:t>
        <w:br/>
        <w:t xml:space="preserve">      los hechos del caso[98].</w:t>
        <w:br/>
        <w:br/>
        <w:t xml:space="preserve"> 117. El Tribunal observa que si bien la Comisión, el representante y, en su</w:t>
        <w:br/>
        <w:t xml:space="preserve">      caso, las víctimas hicieron referencia a pérdidas  patrimoniales  como</w:t>
        <w:br/>
        <w:t xml:space="preserve">      consecuencia de la violación de derechos declarada[99], no  realizaron</w:t>
        <w:br/>
        <w:t xml:space="preserve">      alegatos específicos al respecto ni aportaron  prueba  suficiente  que</w:t>
        <w:br/>
        <w:t xml:space="preserve">      permitiera al Tribunal  determinar  el  monto  de  dicha  pérdida,  si</w:t>
        <w:br/>
        <w:t xml:space="preserve">      efectivamente ocurrió y si fue motivada directamente  por  los  hechos</w:t>
        <w:br/>
        <w:t xml:space="preserve">      del caso[100]. En cuanto a los gastos por problemas de  salud  de  las</w:t>
        <w:br/>
        <w:t xml:space="preserve">      víctimas alegadamente causados por los hechos del presente  caso,  por</w:t>
        <w:br/>
        <w:t xml:space="preserve">      ejemplo, la Corte no cuenta, más allá de lo alegado, con elementos que</w:t>
        <w:br/>
        <w:t xml:space="preserve">      permitan acreditar dicha situación, ni el nexo causal con  los  hechos</w:t>
        <w:br/>
        <w:t xml:space="preserve">      del presente caso[101].  Consecuentemente,  este  Tribunal  no  fijará</w:t>
        <w:br/>
        <w:t xml:space="preserve">      indemnización alguna por concepto de daño  material  a  favor  de  las</w:t>
        <w:br/>
        <w:t xml:space="preserve">      víctimas.</w:t>
        <w:br/>
        <w:br/>
        <w:br/>
        <w:br/>
        <w:br/>
        <w:br/>
        <w:t xml:space="preserve">      ii.   Daño inmaterial</w:t>
        <w:br/>
        <w:br/>
        <w:t xml:space="preserve"> 118. La Corte ha desarrollado en su  jurisprudencia  el  concepto  de  daño</w:t>
        <w:br/>
        <w:t xml:space="preserve">      inmaterial y los supuestos en que corresponde indemnizarlo[102].</w:t>
        <w:br/>
        <w:br/>
        <w:t xml:space="preserve"> 119. La Comisión solicitó que la Corte tome en cuenta  “la  naturaleza  del</w:t>
        <w:br/>
        <w:t xml:space="preserve">      impacto  de  la  situación  planteada  en  las  víctimas  […]  y   las</w:t>
        <w:br/>
        <w:t xml:space="preserve">      características de las mismas”. En este sentido, destacó que un número</w:t>
        <w:br/>
        <w:t xml:space="preserve">      “significativo […] de víctimas en el presente  caso  son  personas  de</w:t>
        <w:br/>
        <w:t xml:space="preserve">      edad avanzada, por ende con una menor  expectativa  de  vida[,]  y  el</w:t>
        <w:br/>
        <w:t xml:space="preserve">      impacto de la falta de cumplimiento de la restitución  de  haberes  ya</w:t>
        <w:br/>
        <w:t xml:space="preserve">      ordenada a nivel interno es diferente [al impacto en]  otras  víctimas</w:t>
        <w:br/>
        <w:t xml:space="preserve">      de menor edad”.</w:t>
        <w:br/>
        <w:br/>
        <w:br/>
        <w:t xml:space="preserve"> 120. El representante señaló que  “el  desconocimiento  del  derecho  a  la</w:t>
        <w:br/>
        <w:t xml:space="preserve">      pensión nivelable [y] el incumplimiento de las  sentencias  judiciales</w:t>
        <w:br/>
        <w:t xml:space="preserve">      [del Tribunal Constitucional], ha[n] generado en [las víctimas]  y  en</w:t>
        <w:br/>
        <w:t xml:space="preserve">      sus familias una sensación permanente de angustia, de incertidumbre  y</w:t>
        <w:br/>
        <w:t xml:space="preserve">      de  impotencia,  al  constatar  cotidianamente  que  a  pesar  de   la</w:t>
        <w:br/>
        <w:t xml:space="preserve">      existencia  de  dos  sentencias  judiciales  y  de  las   innumerables</w:t>
        <w:br/>
        <w:t xml:space="preserve">      gestiones realizadas, aún no logran  que  el  Estado  les  cancele  lo</w:t>
        <w:br/>
        <w:t xml:space="preserve">      adeudado”. Además, el representante indicó que los hechos  violatorios</w:t>
        <w:br/>
        <w:t xml:space="preserve">      de  los  derechos  de  las  víctimas  “trunc[aron]  radicalmente   sus</w:t>
        <w:br/>
        <w:t xml:space="preserve">      proyectos de vida”. En ese sentido, solicitó a la Corte que  “fije  en</w:t>
        <w:br/>
        <w:t xml:space="preserve">      equidad el valor de la indemnización  compensatoria  por  concepto  de</w:t>
        <w:br/>
        <w:t xml:space="preserve">      daño inmaterial”.</w:t>
        <w:br/>
        <w:br/>
        <w:t xml:space="preserve"> 121. Corresponde entonces que la Corte determine si, en el  presente  caso,</w:t>
        <w:br/>
        <w:t xml:space="preserve">      el incumplimiento de las sentencias del Tribunal Constitucional  y  la</w:t>
        <w:br/>
        <w:t xml:space="preserve">      consecuente afectación al derecho a la propiedad  privada,  generó  un</w:t>
        <w:br/>
        <w:t xml:space="preserve">      daño inmaterial en perjuicio de las víctimas.</w:t>
        <w:br/>
        <w:br/>
        <w:t xml:space="preserve"> 122. Así, el señor Cosme Marino Vargas Salas manifestó  mediante  affidávit</w:t>
        <w:br/>
        <w:t xml:space="preserve">      que “el recorte de [su] pensión afectó gravemente [su] posibilidad  de</w:t>
        <w:br/>
        <w:t xml:space="preserve">      […] cubrir […] todos los gastos necesarios para [la] subsistencia  [de</w:t>
        <w:br/>
        <w:t xml:space="preserve">      su familia,]” y que, entre otras consecuencias, “[su] hijo […] no pudo</w:t>
        <w:br/>
        <w:t xml:space="preserve">      graduarse de abogado […] y se dedicó a trabajar en una  farmacia  para</w:t>
        <w:br/>
        <w:t xml:space="preserve">      poder ayudar [con dichos] gastos”[103].</w:t>
        <w:br/>
        <w:br/>
        <w:t xml:space="preserve"> 123. En el mismo  sentido,  el  señor  Juan  José  Medina  Morán  manifestó</w:t>
        <w:br/>
        <w:t xml:space="preserve">      mediante affidávit que en el procedimiento  seguido  para  obtener  el</w:t>
        <w:br/>
        <w:t xml:space="preserve">      cumplimiento  de  las  sentencias  del  Tribunal  Constitucional   las</w:t>
        <w:br/>
        <w:t xml:space="preserve">      víctimas  fueron  “objeto  de  desplantes  y  humillaciones  por  [su]</w:t>
        <w:br/>
        <w:t xml:space="preserve">      condición de cesantes y por no considerar[l]os […] personal productivo</w:t>
        <w:br/>
        <w:t xml:space="preserve">      de la administración pública”. Al no poder satisfacer sus  necesidades</w:t>
        <w:br/>
        <w:t xml:space="preserve">      básicas y tener que  “presentar[se]  ante  diferentes  entidades  para</w:t>
        <w:br/>
        <w:t xml:space="preserve">      generar[se] ingresos, [se]  afectó  gravemente  [su]  estado  anímico”</w:t>
        <w:br/>
        <w:t xml:space="preserve">      [104].</w:t>
        <w:br/>
        <w:br/>
        <w:t xml:space="preserve"> 124. Por su parte,  también  mediante  affidávit,  el  señor  César  Daniel</w:t>
        <w:br/>
        <w:t xml:space="preserve">      Collantes Sora declaró que  “[se]  vi[o]  obligado  a  suspender  [su]</w:t>
        <w:br/>
        <w:t xml:space="preserve">      descanso  [como  cesante]  y  comenzar  a  trabajar   para   sustentar</w:t>
        <w:br/>
        <w:t xml:space="preserve">      necesidades  primarias”,  generándole  además  “problemas   de   orden</w:t>
        <w:br/>
        <w:t xml:space="preserve">      psicológico, […] sensación de desánimo y frustración  al  ver  que  en</w:t>
        <w:br/>
        <w:t xml:space="preserve">      [su] país se ignoraron las leyes  que  protegían  a  quienes  había[n]</w:t>
        <w:br/>
        <w:t xml:space="preserve">      brindado los mejores años de [su] vid[a] al  servicio  del  país.  […]</w:t>
        <w:br/>
        <w:t xml:space="preserve">      Esto [le] restó las  posibilidades  de  tener  una  mejor  calidad  de</w:t>
        <w:br/>
        <w:t xml:space="preserve">      vida”[105].</w:t>
        <w:br/>
        <w:br/>
        <w:t xml:space="preserve"> 125. Asimismo, el señor Julio César Borrero Briceño señaló como parte de su</w:t>
        <w:br/>
        <w:t xml:space="preserve">      affidávit  que  el  incumplimiento  de  las  sentencias  del  Tribunal</w:t>
        <w:br/>
        <w:t xml:space="preserve">      Constitucional generó “muchas frustraciones en [su] proyecto de vida”,</w:t>
        <w:br/>
        <w:t xml:space="preserve">      ya que “los estudios universitarios de [sus] dos hijas se  dilataron[,</w:t>
        <w:br/>
        <w:t xml:space="preserve">      sus] hijos menores […] tuvieron que salir de colegios  particulares  y</w:t>
        <w:br/>
        <w:t xml:space="preserve">      estudiar en colegios  nacionales[,y  su  última  hija]  pas[ó]  muchas</w:t>
        <w:br/>
        <w:t xml:space="preserve">      carencias”. El señor Borrero Briceño indicó, además, que sintió  mucha</w:t>
        <w:br/>
        <w:t xml:space="preserve">      “frustración […] al no poder cubrir las necesidades  de  [su]  hogar”,</w:t>
        <w:br/>
        <w:t xml:space="preserve">      por lo que bajó considerablemente de peso y se melló su autoestima  al</w:t>
        <w:br/>
        <w:t xml:space="preserve">      estar, él y su familia, agobiados al extremo[106].</w:t>
        <w:br/>
        <w:br/>
        <w:t xml:space="preserve"> 126. La señora Dicha Laura Arias Laureano, esposa del señor  Gabino  Ulises</w:t>
        <w:br/>
        <w:t xml:space="preserve">      Pozo Calva, víctima en el presente caso, señaló en su affidávit (supra</w:t>
        <w:br/>
        <w:t xml:space="preserve">      párr. 23) que “[su] esposo se afectó  [bastante]  emocionalmente”,  ya</w:t>
        <w:br/>
        <w:t xml:space="preserve">      que a la familia “[n]o  [le]  alcanzaba  para  cubrir  los  gastos  de</w:t>
        <w:br/>
        <w:t xml:space="preserve">      alimentación […] y educación”. Así, “sobrevivi[eron] con el  apoyo  de</w:t>
        <w:br/>
        <w:t xml:space="preserve">      [sus] hijos que dejaron  de  estudiar  para  dedicarse  a  trabajar  y</w:t>
        <w:br/>
        <w:t xml:space="preserve">      aportar a los gastos de la casa”. La señora Arias Laureano indicó  que</w:t>
        <w:br/>
        <w:t xml:space="preserve">      además de la enfermedad física que padecía su esposo,  éste  “cayó  en</w:t>
        <w:br/>
        <w:t xml:space="preserve">      una depresión […] que le iba quitando las ganas de vivir”[107].</w:t>
        <w:br/>
        <w:br/>
        <w:t xml:space="preserve"> 127. En su declaración en la audiencia pública ante la Corte, el señor José</w:t>
        <w:br/>
        <w:t xml:space="preserve">      Luis Guillermo Ruiz Boto manifestó que “casi todos los  compañeros  de</w:t>
        <w:br/>
        <w:t xml:space="preserve">      la Asociación o de la Contraloría han [tenido que] busca[r]  la  forma</w:t>
        <w:br/>
        <w:t xml:space="preserve">      de sobrelleva[r], sobre todo, los gastos familiares que  son  los  más</w:t>
        <w:br/>
        <w:t xml:space="preserve">      difíciles”. Afirmó así que “cono[cía] de muchos  casos  de  [víctimas]</w:t>
        <w:br/>
        <w:t xml:space="preserve">      que por ser mayor[es] de edad, ya no podían trabajar en ningún  sitio,</w:t>
        <w:br/>
        <w:t xml:space="preserve">      [por lo que] han sufrido mucho, inclusive […] muchos  […]  llegaron  a</w:t>
        <w:br/>
        <w:t xml:space="preserve">      fallecer”. El señor Ruiz Boto señaló haber tenido que  retirar  a  sus</w:t>
        <w:br/>
        <w:t xml:space="preserve">      hijos de colegios particulares “y ponerlos  en  colegios  nacionales”.</w:t>
        <w:br/>
        <w:t xml:space="preserve">      Asimismo, tuvo que “dedicar[se]  al  negocio  de  turismo”,  prestando</w:t>
        <w:br/>
        <w:t xml:space="preserve">      servicios de transporte nocturno. Finalmente, agregó que “sient[e] una</w:t>
        <w:br/>
        <w:t xml:space="preserve">      frustración muy grande porque durante la permanencia en la Contraloría</w:t>
        <w:br/>
        <w:t xml:space="preserve">      fu[e]   considerado   un   funcionario   de   nivel    superior    [y,</w:t>
        <w:br/>
        <w:t xml:space="preserve">      posteriormente,] debido a las circunstancias [, realizó] trabajos  […]</w:t>
        <w:br/>
        <w:t xml:space="preserve">      para personas no letradas”[108].</w:t>
        <w:br/>
        <w:br/>
        <w:t xml:space="preserve"> 128. Por su parte, también mediante declaración  en  la  audiencia  pública</w:t>
        <w:br/>
        <w:t xml:space="preserve">      ante la Corte, el señor José Baltasar Vitkovic  Trujillo  resaltó  que</w:t>
        <w:br/>
        <w:t xml:space="preserve">      los efectos del recorte de su pensión íntegra fueron “inmensos” porque</w:t>
        <w:br/>
        <w:t xml:space="preserve">      “[su] idea era darle a [sus] hijos la educación que  […]  merecían”  y</w:t>
        <w:br/>
        <w:t xml:space="preserve">      que las circunstancias no le permitieron hacerlo[109].</w:t>
        <w:br/>
        <w:br/>
        <w:t xml:space="preserve"> 129. Por último, el Tribunal hace notar que el representante  presentó  las</w:t>
        <w:br/>
        <w:t xml:space="preserve">      declaraciones rendidas ante fedatario público por 95 integrantes de la</w:t>
        <w:br/>
        <w:t xml:space="preserve">      Asociación o sus familiares, las que el Estado objetó respecto  de  su</w:t>
        <w:br/>
        <w:t xml:space="preserve">      admisibilidad, mas no en cuanto a su contenido (supra  párr.  34).  Es</w:t>
        <w:br/>
        <w:t xml:space="preserve">      decir, el Estado alegó que las mismas  no  debían  ser  admitidas  por</w:t>
        <w:br/>
        <w:t xml:space="preserve">      considerar que “no esta[ban] vinculadas al núcleo de las  pretensiones</w:t>
        <w:br/>
        <w:t xml:space="preserve">      del presente proceso”, mas no cuestionó la veracidad de lo señalado en</w:t>
        <w:br/>
        <w:t xml:space="preserve">      éstas respecto del daño inmaterial  sufrido  por  tales  personas.  Al</w:t>
        <w:br/>
        <w:t xml:space="preserve">      respecto, la Corte ya declaró dicha prueba admisible  al  considerarla</w:t>
        <w:br/>
        <w:t xml:space="preserve">      pertinente y relevante para analizar el daño  inmaterial  sufrido  por</w:t>
        <w:br/>
        <w:t xml:space="preserve">      las víctimas (supra párr. 34).</w:t>
        <w:br/>
        <w:br/>
        <w:t xml:space="preserve"> 130. De dichas declaraciones se desprende que las víctimas en  el  presente</w:t>
        <w:br/>
        <w:t xml:space="preserve">      caso sufrieron frustraciones y angustias emocionales por el  deterioro</w:t>
        <w:br/>
        <w:t xml:space="preserve">      repentino y drástico de su situación económica.</w:t>
        <w:br/>
        <w:br/>
        <w:t xml:space="preserve"> 131. Así, la Corte considera que una aspiración natural  de  un  trabajador</w:t>
        <w:br/>
        <w:t xml:space="preserve">      cesante o jubilado es disfrutar de  la  libertad  y  el  descanso  que</w:t>
        <w:br/>
        <w:t xml:space="preserve">      supone cumplir con el tiempo de prestación laboral,  contando  con  la</w:t>
        <w:br/>
        <w:t xml:space="preserve">      garantía y seguridad económicas que representa el pago de  la  pensión</w:t>
        <w:br/>
        <w:t xml:space="preserve">      íntegra a la que aquél se hace acreedor a partir de sus  aportaciones.</w:t>
        <w:br/>
        <w:t xml:space="preserve">      A través de sus declaraciones, las víctimas se han referido a su  caso</w:t>
        <w:br/>
        <w:t xml:space="preserve">      particular y al de los 273 miembros de la Asociación en general,  para</w:t>
        <w:br/>
        <w:t xml:space="preserve">      informar sobre la  cancelación  u  obstaculización  del  goce  de  sus</w:t>
        <w:br/>
        <w:t xml:space="preserve">      cesantías y jubilaciones, en la  medida  que  se  vieron  obligados  a</w:t>
        <w:br/>
        <w:t xml:space="preserve">      obtener nuevos trabajos, a  comprometer  su  patrimonio  y  persona  a</w:t>
        <w:br/>
        <w:t xml:space="preserve">      través de préstamos o venta de sus bienes, o a adaptarse a  una  nueva</w:t>
        <w:br/>
        <w:t xml:space="preserve">      realidad socioeconómica precisamente en la etapa de su vida en la  que</w:t>
        <w:br/>
        <w:t xml:space="preserve">      podrían prescindir de un empleo y en la que el derecho  a  la  pensión</w:t>
        <w:br/>
        <w:t xml:space="preserve">      adquirida garantizaría cierta tranquilidad en lo económico. Si bien no</w:t>
        <w:br/>
        <w:t xml:space="preserve">      se  trata  de  un  resultado  seguro,  que   habría   de   presentarse</w:t>
        <w:br/>
        <w:t xml:space="preserve">      necesariamente, sino de una situación probable -no meramente  posible-</w:t>
        <w:br/>
        <w:t xml:space="preserve">      dentro del natural y previsible desenvolvimiento de las  víctimas,  en</w:t>
        <w:br/>
        <w:t xml:space="preserve">      el presente caso es  posible  presumir  que  dicha  situación  resultó</w:t>
        <w:br/>
        <w:t xml:space="preserve">      interrumpida y contrariada por el incumplimiento de las sentencias del</w:t>
        <w:br/>
        <w:t xml:space="preserve">      Tribunal Constitucional.</w:t>
        <w:br/>
        <w:br/>
        <w:t xml:space="preserve"> 132. Por tanto, la Corte observa que la lectura y análisis de las referidas</w:t>
        <w:br/>
        <w:t xml:space="preserve">      declaraciones permite concluir que las 102 víctimas  concernidas  (100</w:t>
        <w:br/>
        <w:t xml:space="preserve">      que presentaron affidávits y 2 que declararon en audiencia pública)  y</w:t>
        <w:br/>
        <w:t xml:space="preserve">      las 171 restantes padecieron una  clara  incertidumbre  e  indefensión</w:t>
        <w:br/>
        <w:t xml:space="preserve">      ante el incumplimiento de las sentencias del Tribunal  Constitucional,</w:t>
        <w:br/>
        <w:t xml:space="preserve">      las que a su vez les motivaron angustia y sufrimiento psicológico  por</w:t>
        <w:br/>
        <w:t xml:space="preserve">      la imposibilidad o limitación para  responder  a  sus  expectativas  y</w:t>
        <w:br/>
        <w:t xml:space="preserve">      responsabilidades con una pensión reducida sustancialmente  de  manera</w:t>
        <w:br/>
        <w:t xml:space="preserve">      repentina. Tales alteraciones en las condiciones de existencia de  las</w:t>
        <w:br/>
        <w:t xml:space="preserve">      víctimas constituyen un daño no pecuniario derivado, no  obstante,  de</w:t>
        <w:br/>
        <w:t xml:space="preserve">      la  falta   de   cumplimiento   de   las   sentencias   del   Tribunal</w:t>
        <w:br/>
        <w:t xml:space="preserve">      Constitucional.</w:t>
        <w:br/>
        <w:br/>
        <w:t xml:space="preserve"> 133. Si bien en reiterada jurisprudencia este Tribunal ha  establecido  que</w:t>
        <w:br/>
        <w:t xml:space="preserve">      una sentencia declaratoria de una violación de derechos constituye per</w:t>
        <w:br/>
        <w:t xml:space="preserve">      se una forma de reparación[110], y así lo reitera en esta ocasión,  en</w:t>
        <w:br/>
        <w:t xml:space="preserve">      el  presente  caso  la   Corte   considera   adicionalmente   que   la</w:t>
        <w:br/>
        <w:t xml:space="preserve">      incertidumbre, angustia y sufrimiento generados  a  las  273  víctimas</w:t>
        <w:br/>
        <w:t xml:space="preserve">      como consecuencia del  incumplimiento  de  las  sentencias  judiciales</w:t>
        <w:br/>
        <w:t xml:space="preserve">      emitidas a su favor, determina la configuración de un daño  inmaterial</w:t>
        <w:br/>
        <w:t xml:space="preserve">      susceptible  de  reparación,  por  vía   sustitutiva,   mediante   una</w:t>
        <w:br/>
        <w:t xml:space="preserve">      indemnización compensatoria, conforme a la equidad.</w:t>
        <w:br/>
        <w:br/>
        <w:t xml:space="preserve"> 134. Por tanto, la Corte fija en equidad, por concepto de daño  inmaterial,</w:t>
        <w:br/>
        <w:t xml:space="preserve">      la cantidad de US$ 2.000,00 (dos mil dólares de los Estados Unidos  de</w:t>
        <w:br/>
        <w:t xml:space="preserve">      América) para cada una de las doscientas setenta y tres  víctimas  que</w:t>
        <w:br/>
        <w:t xml:space="preserve">      figuran en la tabla en el párrafo 113 de esta  Sentencia.   El  Estado</w:t>
        <w:br/>
        <w:t xml:space="preserve">      debe efectuar el pago de este monto directamente a  los  beneficiarios</w:t>
        <w:br/>
        <w:t xml:space="preserve">      dentro del plazo de un año, a partir de la notificación de la presente</w:t>
        <w:br/>
        <w:t xml:space="preserve">      Sentencia.</w:t>
        <w:br/>
        <w:br/>
        <w:br/>
        <w:t xml:space="preserve">         C)    Medidas de satisfacción y garantías de no repetición</w:t>
        <w:br/>
        <w:br/>
        <w:br/>
        <w:t xml:space="preserve"> 135. En este apartado el Tribunal determinará las medidas  de  satisfacción</w:t>
        <w:br/>
        <w:t xml:space="preserve">      que buscan reparar el daño  inmaterial  y  que  no  tienen  naturaleza</w:t>
        <w:br/>
        <w:t xml:space="preserve">      pecuniaria, y dispondrá medidas de alcance o repercusión pública[111].</w:t>
        <w:br/>
        <w:br/>
        <w:br/>
        <w:br/>
        <w:t xml:space="preserve">      i.    Ejecución de las sentencias del Tribunal Constitucional</w:t>
        <w:br/>
        <w:br/>
        <w:t xml:space="preserve"> 136. La Comisión solicitó a la  Corte  que  ordene  al  Estado  tomar  “las</w:t>
        <w:br/>
        <w:t xml:space="preserve">      medidas necesarias para dar cumplimiento en forma eficiente  y  pronta</w:t>
        <w:br/>
        <w:t xml:space="preserve">      al  importante  aspecto  pendiente  de  las  sentencias  del  Tribunal</w:t>
        <w:br/>
        <w:t xml:space="preserve">      Constitucional de[l] Perú emitidas el 21 de octubre de 1997  y  26  de</w:t>
        <w:br/>
        <w:t xml:space="preserve">      enero de 2001, es decir, el pago de la[s] diferencias  por  nivelación</w:t>
        <w:br/>
        <w:t xml:space="preserve">      devengadas entre abril de 1993 y noviembre de 2002”.</w:t>
        <w:br/>
        <w:br/>
        <w:t xml:space="preserve"> 137. El representante también solicitó a la Corte que ordene al  Estado  el</w:t>
        <w:br/>
        <w:t xml:space="preserve">      pago de las remuneraciones, gratificaciones y  bonificaciones  dejadas</w:t>
        <w:br/>
        <w:t xml:space="preserve">      de percibir por las víctimas entre abril de 1993 y  octubre  de  2002.</w:t>
        <w:br/>
        <w:t xml:space="preserve">      Sobre el  particular,  y  como  parte  de  sus  alegatos  finales,  el</w:t>
        <w:br/>
        <w:t xml:space="preserve">      representante informó que el 8 de enero de 2009 la Sexta Sala Civil de</w:t>
        <w:br/>
        <w:t xml:space="preserve">      la Corte Superior de Justicia de Lima resolvió “un recurso  presentado</w:t>
        <w:br/>
        <w:t xml:space="preserve">      durante el [P]roceso  de  [E]jecución  [de  Resoluciones  Judiciales],</w:t>
        <w:br/>
        <w:t xml:space="preserve">      decreta[ndo] que las pensiones devengadas que  deben  abonarse  a  las</w:t>
        <w:br/>
        <w:t xml:space="preserve">      víctimas por concepto de las pensiones que no les fueron  abonadas  en</w:t>
        <w:br/>
        <w:t xml:space="preserve">      su oportunidad, desde 1993, sean gravadas tributariamente mediante  el</w:t>
        <w:br/>
        <w:t xml:space="preserve">      pago de la contribución establecida” por la Ley No.  28046  de  31  de</w:t>
        <w:br/>
        <w:t xml:space="preserve">      julio de 2003. “[D]icha ley impuso un gravamen a las pensiones de  los</w:t>
        <w:br/>
        <w:t xml:space="preserve">      cesantes y jubilados del régimen  previsional  del  Decreto  Ley  [Nº]</w:t>
        <w:br/>
        <w:t xml:space="preserve">      20530 que fueran superiores a dos (2) Unidades Impositivas Tributarias</w:t>
        <w:br/>
        <w:t xml:space="preserve">      (UITs), vigentes a la fecha que correspondiera al pago de la pensión”.</w:t>
        <w:br/>
        <w:t xml:space="preserve">      Así,  de  acuerdo  con  el  representante,  dicha  decisión  de   2009</w:t>
        <w:br/>
        <w:t xml:space="preserve">      determinaría que  “las  víctimas  en  este  caso  pu[diera]n  terminar</w:t>
        <w:br/>
        <w:t xml:space="preserve">      financiando – en un porcentaje probablemente del 30% –  las  pensiones</w:t>
        <w:br/>
        <w:t xml:space="preserve">      que el Estado estaba obligado a abonarles desde 1993”.</w:t>
        <w:br/>
        <w:br/>
        <w:t xml:space="preserve"> 138. Al respecto, la Corte se remite a lo resuelto en el capítulo  referido</w:t>
        <w:br/>
        <w:t xml:space="preserve">      al artículo 25.1 y 25.2.c de la Convención, así como al artículo  21.1</w:t>
        <w:br/>
        <w:t xml:space="preserve">      y 21.2 de la misma, en el cual queda establecido que la  prolongada  e</w:t>
        <w:br/>
        <w:t xml:space="preserve">      injustificada   inobservancia   de   las   sentencias   del   Tribunal</w:t>
        <w:br/>
        <w:t xml:space="preserve">      Constitucional  ha  generado  una  violación  de  los  derechos  a  la</w:t>
        <w:br/>
        <w:t xml:space="preserve">      protección judicial y a la propiedad privada de las 273 víctimas en el</w:t>
        <w:br/>
        <w:t xml:space="preserve">      presente caso (supra párrs. 79 y  91),  situación  que  no  se  habría</w:t>
        <w:br/>
        <w:t xml:space="preserve">      configurado si dichas  sentencias  hubiesen  sido  acatadas  en  forma</w:t>
        <w:br/>
        <w:t xml:space="preserve">      pronta  y  completa.  En  consecuencia,  este   Tribunal   ordena   el</w:t>
        <w:br/>
        <w:t xml:space="preserve">      cumplimiento total de las referidas sentencias, en el entendido de que</w:t>
        <w:br/>
        <w:t xml:space="preserve">      ellas comprenden la obligación estatal de  reintegrar  los  devengados</w:t>
        <w:br/>
        <w:t xml:space="preserve">      dejados de percibir por las víctimas entre abril de 1993 y octubre  de</w:t>
        <w:br/>
        <w:t xml:space="preserve">      2002, en aplicación de la legislación interna referida a la  ejecución</w:t>
        <w:br/>
        <w:t xml:space="preserve">      de resoluciones judiciales y con pleno respeto y garantía del  derecho</w:t>
        <w:br/>
        <w:t xml:space="preserve">      de las víctimas a recibir el pago correspondiente  en  un  período  de</w:t>
        <w:br/>
        <w:t xml:space="preserve">      tiempo  razonable,  habida  cuenta  de  los  más  de  11  y   8   años</w:t>
        <w:br/>
        <w:t xml:space="preserve">      transcurridos desde la emisión de la primera y  última  sentencia  del</w:t>
        <w:br/>
        <w:t xml:space="preserve">      Tribunal Constitucional, respectivamente.</w:t>
        <w:br/>
        <w:br/>
        <w:t xml:space="preserve"> 139. En lo que respecta a la aplicación de la Ley No. 28046 de 31 de  julio</w:t>
        <w:br/>
        <w:t xml:space="preserve">      de 2003, éste Tribunal considera que las cantidades a  asignarse  como</w:t>
        <w:br/>
        <w:t xml:space="preserve">      consecuencia de la ejecución de la presente Sentencia,  incluidos  sus</w:t>
        <w:br/>
        <w:t xml:space="preserve">      intereses, no deberán verse afectadas por ninguna carga fiscal.</w:t>
        <w:br/>
        <w:br/>
        <w:br/>
        <w:br/>
        <w:br/>
        <w:br/>
        <w:br/>
        <w:br/>
        <w:t xml:space="preserve">      ii.   Publicación de la Sentencia de la Corte, reconocimiento  público</w:t>
        <w:br/>
        <w:t xml:space="preserve">      de la responsabilidad internacional del Estado y mecanismo o  política</w:t>
        <w:br/>
        <w:t xml:space="preserve">      pública que asegure el cumplimiento de sentencias</w:t>
        <w:br/>
        <w:br/>
        <w:br/>
        <w:t xml:space="preserve"> 140. Como parte de una “reparación  integral”,  el  representante  solicitó</w:t>
        <w:br/>
        <w:t xml:space="preserve">      adicionalmente: 1) la publicación en el diario oficial “El Peruano”  y</w:t>
        <w:br/>
        <w:t xml:space="preserve">      en otro de amplia circulación nacional de los hechos  establecidos  en</w:t>
        <w:br/>
        <w:t xml:space="preserve">      el caso y los puntos resolutivos de la sentencia que emita  la  Corte;</w:t>
        <w:br/>
        <w:t xml:space="preserve">      2) el reconocimiento público de la responsabilidad  internacional  del</w:t>
        <w:br/>
        <w:t xml:space="preserve">      Estado y el pedido público de disculpas por el incumplimiento  de  las</w:t>
        <w:br/>
        <w:t xml:space="preserve">      sentencias del Tribunal Constitucional, mediante una carta,  documento</w:t>
        <w:br/>
        <w:t xml:space="preserve">      o anuncio público que se difunda en al menos  dos  diarios  de  amplia</w:t>
        <w:br/>
        <w:t xml:space="preserve">      circulación en el Perú y cuyo texto sea previamente  acordado  con  la</w:t>
        <w:br/>
        <w:t xml:space="preserve">      Asociación, y  3)  la  adopción  y  puesta  en  funcionamiento  de  un</w:t>
        <w:br/>
        <w:t xml:space="preserve">      mecanismo  o  política  pública  para  asegurar  el  cumplimiento   de</w:t>
        <w:br/>
        <w:t xml:space="preserve">      sentencias judiciales en el Perú.</w:t>
        <w:br/>
        <w:br/>
        <w:t xml:space="preserve"> 141. Al respecto, como lo ha dispuesto la Corte en otros  casos[112],  como</w:t>
        <w:br/>
        <w:t xml:space="preserve">      medida de satisfacción, el Estado deberá publicar en el Diario Oficial</w:t>
        <w:br/>
        <w:t xml:space="preserve">      y en otro diario de amplia circulación nacional, por una sola vez, los</w:t>
        <w:br/>
        <w:t xml:space="preserve">      párrafos 2 a 5, 17, 19, 52, 53, 61, 65, 69 a 79, 84 a 91, 104 a 107  y</w:t>
        <w:br/>
        <w:t xml:space="preserve">      113 de  la  presente  Sentencia,  sin  las  notas  al  pie  de  página</w:t>
        <w:br/>
        <w:t xml:space="preserve">      correspondientes y con los títulos de los capítulos  respectivos,  así</w:t>
        <w:br/>
        <w:t xml:space="preserve">      como  la  parte  resolutiva  de  la   misma.   Para   realizar   estas</w:t>
        <w:br/>
        <w:t xml:space="preserve">      publicaciones se fija el plazo de seis meses, contado a partir  de  la</w:t>
        <w:br/>
        <w:t xml:space="preserve">      notificación de la presente Sentencia.</w:t>
        <w:br/>
        <w:br/>
        <w:t xml:space="preserve"> 142. En cuanto a las otras dos medidas solicitadas (supra  párr.  140),  el</w:t>
        <w:br/>
        <w:t xml:space="preserve">      Tribunal no estima pertinente ordenarlas para reparar las  violaciones</w:t>
        <w:br/>
        <w:t xml:space="preserve">      constatadas en el presente caso. En ese sentido,  la  Corte  considera</w:t>
        <w:br/>
        <w:t xml:space="preserve">      que la emisión de la presente Sentencia y la orden de  publicación  de</w:t>
        <w:br/>
        <w:t xml:space="preserve">      parte de la misma en el Diario Oficial y  en  otro  diario  de  amplia</w:t>
        <w:br/>
        <w:t xml:space="preserve">      circulación,  resultan  suficientes  para  difundir  públicamente   la</w:t>
        <w:br/>
        <w:t xml:space="preserve">      responsabilidad internacional del Estado en el presente caso[113].</w:t>
        <w:br/>
        <w:br/>
        <w:br/>
        <w:t xml:space="preserve">                            D)    Costas y gastos</w:t>
        <w:br/>
        <w:br/>
        <w:br/>
        <w:t xml:space="preserve"> 143. La Comisión solicitó a la Corte que ordene al Estado “el pago  de  las</w:t>
        <w:br/>
        <w:t xml:space="preserve">      costas y gastos debidamente  probados  por  [el  representante]  y  en</w:t>
        <w:br/>
        <w:t xml:space="preserve">      atención a las características especiales del caso”.</w:t>
        <w:br/>
        <w:br/>
        <w:t xml:space="preserve"> 144. El representante solicitó que la Corte  ordene  el  reembolso  de  las</w:t>
        <w:br/>
        <w:t xml:space="preserve">      costas y gastos en los que han incurrido las víctimas  para  adelantar</w:t>
        <w:br/>
        <w:t xml:space="preserve">      el presente caso a nivel  interno  y  ante  los  órganos  del  Sistema</w:t>
        <w:br/>
        <w:t xml:space="preserve">      Interamericano,  lo  cual  incluye:  (1)  “gastos  de  transporte,  de</w:t>
        <w:br/>
        <w:t xml:space="preserve">      comunicaciones y de papelería, además de tiempo y esfuerzo”;  (2)  los</w:t>
        <w:br/>
        <w:t xml:space="preserve">      servicios jurídicos del Estudio  Carlos  Blancas  Bustamante  Abogados</w:t>
        <w:br/>
        <w:t xml:space="preserve">      E.I.R.L., con el pago de honorarios equivalente al 10%  del  monto  de</w:t>
        <w:br/>
        <w:t xml:space="preserve">      las sumas que se restituyeran a los miembros  de  la  Asociación,  del</w:t>
        <w:br/>
        <w:t xml:space="preserve">      cual se han abonado 300.000,00 (trescientos mil) nuevos soles,  y  (3)</w:t>
        <w:br/>
        <w:t xml:space="preserve">      las “actividades de asesoría y apoyo jurídico” del Centro de  Asesoría</w:t>
        <w:br/>
        <w:t xml:space="preserve">      Laboral  del  Perú  (CEDAL).   En  este  sentido,   el   representante</w:t>
        <w:br/>
        <w:t xml:space="preserve">      proporcionó un desglose de los  gastos  incurridos  por  CEDAL  en  el</w:t>
        <w:br/>
        <w:t xml:space="preserve">      proceso  llevado  ante  el  Sistema  Interamericano,  que  asciende  a</w:t>
        <w:br/>
        <w:t xml:space="preserve">      US$16.956,60 (dieciséis mil novecientos cincuenta  y  seis  dólares  y</w:t>
        <w:br/>
        <w:t xml:space="preserve">      sesenta centavos de los Estados Unidos de América).</w:t>
        <w:br/>
        <w:br/>
        <w:t xml:space="preserve"> 145. El Estado señaló, por su parte, que no “se ha[n] sustentado las  sumas</w:t>
        <w:br/>
        <w:t xml:space="preserve">      abonadas por los peticionarios a razón del  proceso  seguido  a  nivel</w:t>
        <w:br/>
        <w:t xml:space="preserve">      interno”. Respecto del proceso  internacional,  el  Estado  alegó  que</w:t>
        <w:br/>
        <w:t xml:space="preserve">      CEDAL, al ser una organización sin fines de lucro  financiada  por  la</w:t>
        <w:br/>
        <w:t xml:space="preserve">      cooperación  internacional,  “no  representó  ningún  gasto  para  las</w:t>
        <w:br/>
        <w:t xml:space="preserve">      presuntas  víctimas”.  Asimismo,  cuestionó  “en  su   totalidad   los</w:t>
        <w:br/>
        <w:t xml:space="preserve">      conceptos[,] y por consiguiente los montos”, señalados  en  la  prueba</w:t>
        <w:br/>
        <w:t xml:space="preserve">      documental aportada por el representante, puesto  que  no  remitió  un</w:t>
        <w:br/>
        <w:t xml:space="preserve">      informe que sustente cómo dicha prueba está  “ligad[a]  al  desarrollo</w:t>
        <w:br/>
        <w:t xml:space="preserve">      del proceso respecto del caso en particular”. Así, alegó que la prueba</w:t>
        <w:br/>
        <w:t xml:space="preserve">      aportada no está “vinculad[a] estrecha y directamente con las acciones</w:t>
        <w:br/>
        <w:t xml:space="preserve">      desplegadas en el presente caso”. Por último, el Estado señaló que “en</w:t>
        <w:br/>
        <w:t xml:space="preserve">      el Perú los procesos  de  acción  constitucional  o  de  garantía  son</w:t>
        <w:br/>
        <w:t xml:space="preserve">      gratuitos”.</w:t>
        <w:br/>
        <w:br/>
        <w:t xml:space="preserve"> 146. Como ya lo ha señalado  la  Corte  en  oportunidades  anteriores,  las</w:t>
        <w:br/>
        <w:t xml:space="preserve">      costas y gastos están comprendidos dentro del concepto  de  reparación</w:t>
        <w:br/>
        <w:t xml:space="preserve">      consagrado en el artículo 63.1 de la Convención Americana, puesto  que</w:t>
        <w:br/>
        <w:t xml:space="preserve">      la actividad  desplegada  por  las  víctimas,  sus  familiares  o  sus</w:t>
        <w:br/>
        <w:t xml:space="preserve">      representantes con el fin de obtener justicia, tanto a nivel  nacional</w:t>
        <w:br/>
        <w:t xml:space="preserve">      como internacional, implica  erogaciones  que  deben  ser  compensadas</w:t>
        <w:br/>
        <w:t xml:space="preserve">      cuando  la  responsabilidad  internacional  del  Estado  es  declarada</w:t>
        <w:br/>
        <w:t xml:space="preserve">      mediante  una  sentencia  condenatoria.  En  cuanto  a  su  reembolso,</w:t>
        <w:br/>
        <w:t xml:space="preserve">      corresponde al Tribunal apreciar prudentemente  su  alcance,  el  cual</w:t>
        <w:br/>
        <w:t xml:space="preserve">      comprende los gastos generados ante las autoridades de la jurisdicción</w:t>
        <w:br/>
        <w:t xml:space="preserve">      interna, así como los generados  en  el  curso  del  proceso  ante  el</w:t>
        <w:br/>
        <w:t xml:space="preserve">      Sistema Interamericano, teniendo en cuenta las circunstancias del caso</w:t>
        <w:br/>
        <w:t xml:space="preserve">      concreto y la  naturaleza  de  la  jurisdicción  internacional  de  la</w:t>
        <w:br/>
        <w:t xml:space="preserve">      protección  de  los  derechos  humanos.  Esta  apreciación  puede  ser</w:t>
        <w:br/>
        <w:t xml:space="preserve">      realizada con base en el principio de equidad y tomando en cuenta  los</w:t>
        <w:br/>
        <w:t xml:space="preserve">      gastos  señalados  por  las  partes,  siempre  que  su   quantum   sea</w:t>
        <w:br/>
        <w:t xml:space="preserve">      razonable[114].</w:t>
        <w:br/>
        <w:br/>
        <w:t xml:space="preserve"> 147. De esta manera, el Tribunal observa que el contrato celebrado el 29 de</w:t>
        <w:br/>
        <w:t xml:space="preserve">      abril de 1993 entre el  Estudio  Carlos  Blancas  Bustamante  Abogados</w:t>
        <w:br/>
        <w:t xml:space="preserve">      E.I.R.L. y la Asociación de Cesantes y  Jubilados  compromete  a  esta</w:t>
        <w:br/>
        <w:t xml:space="preserve">      última al pago de un “[h]onorario [f]ijo” de  US$  2.400,00  (dos  mil</w:t>
        <w:br/>
        <w:t xml:space="preserve">      cuatrocientos  dólares  de  los  Estados  Unidos  de  América),  y  un</w:t>
        <w:br/>
        <w:t xml:space="preserve">      “[h]onorario de [é]xito” igual al “10% de las sumas que se  reintegren</w:t>
        <w:br/>
        <w:t xml:space="preserve">      a  cada  trabajador  a  consecuencia  de  obtenerse  [una]  resolución</w:t>
        <w:br/>
        <w:t xml:space="preserve">      favorable en cada caso”. Asimismo, compromete a la Asociación a asumir</w:t>
        <w:br/>
        <w:t xml:space="preserve">      los “gastos que demande la tramitación  de  la  acción”.  El  Tribunal</w:t>
        <w:br/>
        <w:t xml:space="preserve">      nota, igualmente, que el  contrato  celebrado  por  el  Estudio  y  la</w:t>
        <w:br/>
        <w:t xml:space="preserve">      Asociación el 21 de mayo de 1999 compromete a la Asociación al pago de</w:t>
        <w:br/>
        <w:t xml:space="preserve">      un “[h]onorario [f]ijo” de US$ 4.000,00 (cuatro  mil  dólares  de  los</w:t>
        <w:br/>
        <w:t xml:space="preserve">      Estados Unidos de América), además de US$ 1.000,00 (mil dólares de los</w:t>
        <w:br/>
        <w:t xml:space="preserve">      Estados  Unidos  de  América)  en  el  caso  de  que  fuera  necesario</w:t>
        <w:br/>
        <w:t xml:space="preserve">      interponer un “recurso extraordinario” ante el Tribunal Constitucional</w:t>
        <w:br/>
        <w:t xml:space="preserve">      del Perú. Al mismo  tiempo,  ratifica  los  compromisos  del  contrato</w:t>
        <w:br/>
        <w:t xml:space="preserve">      celebrado en el año 1993  respecto  al  pago  de  un  “[h]onorario  de</w:t>
        <w:br/>
        <w:t xml:space="preserve">      [é]xito” y los gastos incurridos por la tramitación del caso.</w:t>
        <w:br/>
        <w:br/>
        <w:t xml:space="preserve"> 148. Por otro lado, la Corte resalta que el  representante  proporcionó  un</w:t>
        <w:br/>
        <w:t xml:space="preserve">      desglose de los gastos incurridos por CEDAL a causa de sus actividades</w:t>
        <w:br/>
        <w:t xml:space="preserve">      de asesoría y apoyo jurídico en el proceso  llevado  ante  el  Sistema</w:t>
        <w:br/>
        <w:t xml:space="preserve">      Interamericano, mas no remitió  prueba  que  comprobara  lo  anterior,</w:t>
        <w:br/>
        <w:t xml:space="preserve">      junto con su escrito de solicitudes y  argumentos.  En  este  sentido,</w:t>
        <w:br/>
        <w:t xml:space="preserve">      mediante cartas de la Secretaría del Tribunal de 11 y 30 de marzo,  24</w:t>
        <w:br/>
        <w:t xml:space="preserve">      de abril y 29 de  mayo  de  2009  se  solicitó  al  representante  que</w:t>
        <w:br/>
        <w:t xml:space="preserve">      remitiera los recibos y prueba relacionada con  las  costas  y  gastos</w:t>
        <w:br/>
        <w:t xml:space="preserve">      señalados en el anexo 5 del escrito de solicitudes y argumentos (supra</w:t>
        <w:br/>
        <w:t xml:space="preserve">      párrs. 10 y 11).  El 17 de junio de 2009 el representante  indicó  que</w:t>
        <w:br/>
        <w:t xml:space="preserve">      había enviado una “relación de gastos” mediante correo postal, y el 22</w:t>
        <w:br/>
        <w:t xml:space="preserve">      y 23 de junio de 2009  presentó  vía  correo  electrónico  los  anexos</w:t>
        <w:br/>
        <w:t xml:space="preserve">      señalados en dicha comunicación. Se otorgó al Estado y a  la  Comisión</w:t>
        <w:br/>
        <w:t xml:space="preserve">      un plazo hasta el  29  de  junio  de  2009  para  la  presentación  de</w:t>
        <w:br/>
        <w:t xml:space="preserve">      observaciones al respecto. El 30 de junio de 2009 el  Estado  presentó</w:t>
        <w:br/>
        <w:t xml:space="preserve">      sus  observaciones  respectivas,  en  las  cuales  objetó   el   monto</w:t>
        <w:br/>
        <w:t xml:space="preserve">      solicitado por el representante como reintegro de costas y  gastos.  A</w:t>
        <w:br/>
        <w:t xml:space="preserve">      la fecha de la emisión de la presente Sentencia, las observaciones  de</w:t>
        <w:br/>
        <w:t xml:space="preserve">      la Comisión no habían sido recibidas en este Tribunal.</w:t>
        <w:br/>
        <w:br/>
        <w:t xml:space="preserve"> 149. Al respecto, el Tribunal considera que el desglose y demás  documentos</w:t>
        <w:br/>
        <w:t xml:space="preserve">      de prueba remitidos por el representante no permiten una determinación</w:t>
        <w:br/>
        <w:t xml:space="preserve">      de la relación con el presente  caso  de  algunos  de  los  gastos  de</w:t>
        <w:br/>
        <w:t xml:space="preserve">      hospedaje,   transporte,   y   servicio   telefónico   y   de    envío</w:t>
        <w:br/>
        <w:t xml:space="preserve">      señalados[115]. No  obstante,  el  Tribunal  puede  constatar  que  el</w:t>
        <w:br/>
        <w:t xml:space="preserve">      representante incurrió en gastos relacionados con la  tramitación  del</w:t>
        <w:br/>
        <w:t xml:space="preserve">      presente caso ante el mismo, incluyendo  el  traslado  de  abogados  y</w:t>
        <w:br/>
        <w:t xml:space="preserve">      testigos desde el Perú hasta la sede de la Corte en San José de  Costa</w:t>
        <w:br/>
        <w:t xml:space="preserve">      Rica.</w:t>
        <w:br/>
        <w:br/>
        <w:t xml:space="preserve"> 150. Consecuentemente, el Tribunal ordena,  en  equidad,  el  pago  de  US$</w:t>
        <w:br/>
        <w:t xml:space="preserve">      20.000,00 (veinte mil dólares de los Estados Unidos de América)  a  la</w:t>
        <w:br/>
        <w:t xml:space="preserve">      Asociación de Cesantes y Jubilados, por concepto de  costas  y  gastos</w:t>
        <w:br/>
        <w:t xml:space="preserve">      incurridos durante la tramitación del  presente  caso  ante  el  fuero</w:t>
        <w:br/>
        <w:t xml:space="preserve">      doméstico y los órganos del  Sistema  Interamericano.  Dicha  cantidad</w:t>
        <w:br/>
        <w:t xml:space="preserve">      deberá entregarse directamente a la Asociación dentro del plazo de  un</w:t>
        <w:br/>
        <w:t xml:space="preserve">      año contado a partir de la notificación de la presente Sentencia.  Las</w:t>
        <w:br/>
        <w:t xml:space="preserve">      víctimas entregarán, a su vez, la  cantidad  que  estimen  adecuada  a</w:t>
        <w:br/>
        <w:t xml:space="preserve">      quienes fueron sus representantes en el fuero interno y en el  proceso</w:t>
        <w:br/>
        <w:t xml:space="preserve">      ante el Sistema Interamericano. Los montos ordenados en  este  párrafo</w:t>
        <w:br/>
        <w:t xml:space="preserve">      incluyen los gastos futuros en que  puedan  incurrir  las  víctimas  a</w:t>
        <w:br/>
        <w:t xml:space="preserve">      nivel interno o  durante  la  supervisión  del  cumplimiento  de  esta</w:t>
        <w:br/>
        <w:t xml:space="preserve">      Sentencia.</w:t>
        <w:br/>
        <w:br/>
        <w:br/>
        <w:t xml:space="preserve">           E)    Modalidad de cumplimiento de los pagos ordenados</w:t>
        <w:br/>
        <w:br/>
        <w:br/>
        <w:t xml:space="preserve"> 151. El pago de las indemnizaciones y el reembolso de costas y gastos serán</w:t>
        <w:br/>
        <w:t xml:space="preserve">      hechos directamente a las víctimas. En caso  de  que  alguna  de  esas</w:t>
        <w:br/>
        <w:t xml:space="preserve">      personas hubiera fallecido o fallezca antes de que le sea entregada la</w:t>
        <w:br/>
        <w:t xml:space="preserve">      indemnización respectiva, ésta se entregará  a  sus  derechohabientes,</w:t>
        <w:br/>
        <w:t xml:space="preserve">      conforme al derecho interno aplicable[116].</w:t>
        <w:br/>
        <w:br/>
        <w:t xml:space="preserve"> 152. El Estado debe cumplir sus obligaciones mediante el pago en dólares de</w:t>
        <w:br/>
        <w:t xml:space="preserve">      los Estados Unidos de América o  su  equivalente  en  moneda  nacional</w:t>
        <w:br/>
        <w:t xml:space="preserve">      peruana, utilizando para el cálculo respectivo el tipo de  cambio  que</w:t>
        <w:br/>
        <w:t xml:space="preserve">      se encuentre vigente en el mercado internacional el  día  anterior  al</w:t>
        <w:br/>
        <w:t xml:space="preserve">      pago.</w:t>
        <w:br/>
        <w:br/>
        <w:t xml:space="preserve"> 153. Si por causas atribuibles a los beneficiarios de los  pagos  no  fuese</w:t>
        <w:br/>
        <w:t xml:space="preserve">      posible que éstos los reciban dentro del  plazo  indicado,  el  Estado</w:t>
        <w:br/>
        <w:t xml:space="preserve">      consignará dichos montos a favor de los beneficiarios en una cuenta  o</w:t>
        <w:br/>
        <w:t xml:space="preserve">      certificado de depósito en  una  institución  financiera  peruana,  en</w:t>
        <w:br/>
        <w:t xml:space="preserve">      dólares  estadounidenses  y  en  las   condiciones   financieras   más</w:t>
        <w:br/>
        <w:t xml:space="preserve">      favorables que permitan la legislación y la práctica bancaria.  Si  al</w:t>
        <w:br/>
        <w:t xml:space="preserve">      cabo de 10 años la indemnización no ha sido reclamada, las  cantidades</w:t>
        <w:br/>
        <w:t xml:space="preserve">      serán devueltas al Estado con los intereses devengados.</w:t>
        <w:br/>
        <w:br/>
        <w:t xml:space="preserve"> 154. Las cantidades asignadas en la presente Sentencia como indemnización y</w:t>
        <w:br/>
        <w:t xml:space="preserve">      como reintegro de  costas  y  gastos  deberán  ser  entregadas  a  los</w:t>
        <w:br/>
        <w:t xml:space="preserve">      beneficiarios en forma íntegra  conforme  a  lo  establecido  en  esta</w:t>
        <w:br/>
        <w:t xml:space="preserve">      Sentencia, sin reducciones derivadas de eventuales cargas fiscales.</w:t>
        <w:br/>
        <w:br/>
        <w:t xml:space="preserve"> 155. En caso de que el Estado incurriera en mora, deberá pagar  un  interés</w:t>
        <w:br/>
        <w:t xml:space="preserve">      sobre  la  cantidad  adeudada,  correspondiente  al  interés  bancario</w:t>
        <w:br/>
        <w:t xml:space="preserve">      moratorio en el Perú.</w:t>
        <w:br/>
        <w:br/>
        <w:t xml:space="preserve"> 156. Conforme a su práctica constante, la  Corte  se  reserva  la  facultad</w:t>
        <w:br/>
        <w:t xml:space="preserve">      inherente a sus atribuciones y derivada, asimismo, del artículo 65  de</w:t>
        <w:br/>
        <w:t xml:space="preserve">      la Convención Americana, de supervisar el cumplimiento íntegro  de  la</w:t>
        <w:br/>
        <w:t xml:space="preserve">      presente Sentencia. El caso se dará  por  concluido  una  vez  que  el</w:t>
        <w:br/>
        <w:t xml:space="preserve">      Estado haya dado cabal cumplimiento a  lo  dispuesto  en  el  presente</w:t>
        <w:br/>
        <w:t xml:space="preserve">      Fallo.</w:t>
        <w:br/>
        <w:br/>
        <w:t xml:space="preserve"> 157. Dentro del plazo de un año, contado a partir  de  la  notificación  de</w:t>
        <w:br/>
        <w:t xml:space="preserve">      esta Sentencia, el Estado deberá rendir a la Corte  un  informe  sobre</w:t>
        <w:br/>
        <w:t xml:space="preserve">      las medidas adoptadas para cumplirla.</w:t>
        <w:br/>
        <w:br/>
        <w:t xml:space="preserve">                                     IX</w:t>
        <w:br/>
        <w:t xml:space="preserve">                             PUNTOS RESOLUTIVOS</w:t>
        <w:br/>
        <w:t xml:space="preserve"> 158. Por tanto,</w:t>
        <w:br/>
        <w:br/>
        <w:t>La Corte</w:t>
        <w:br/>
        <w:br/>
        <w:t>DECIDE:</w:t>
        <w:br/>
        <w:br/>
        <w:t>Por unanimidad,</w:t>
        <w:br/>
        <w:br/>
        <w:t>1.    Desestimar la excepción preliminar interpuesta por el Estado,  en  los</w:t>
        <w:br/>
        <w:t>términos de los párrafos 16, 17, 18 y 19 de la presente Sentencia.</w:t>
        <w:br/>
        <w:br/>
        <w:t>DECLARA:</w:t>
        <w:br/>
        <w:br/>
        <w:t>Por unanimidad, que:</w:t>
        <w:br/>
        <w:br/>
        <w:t>2.    El Estado violó el derecho a la protección judicial reconocido  en  el</w:t>
        <w:br/>
        <w:t>artículo 25.1 y 25.2.c de la Convención Americana sobre Derechos  Humanos  y</w:t>
        <w:br/>
        <w:t>el derecho a la propiedad privada reconocido en el artículo 21.1 y  21.2  de</w:t>
        <w:br/>
        <w:t>dicho instrumento, todo ello en relación  con  el  artículo  1.1  del  mismo</w:t>
        <w:br/>
        <w:t>tratado, en los términos de los párrafos 79 y 91 de la  presente  Sentencia,</w:t>
        <w:br/>
        <w:t>en perjuicio de los doscientos setenta y tres integrantes de  la  Asociación</w:t>
        <w:br/>
        <w:t>de Cesantes y Jubilados de la Contraloría General de la República  del  Perú</w:t>
        <w:br/>
        <w:t>indicados en el párrafo 113 del Fallo.</w:t>
        <w:br/>
        <w:br/>
        <w:t>3.    No se ha comprobado en  el  presente  caso  el  incumplimiento  de  la</w:t>
        <w:br/>
        <w:t>obligación reconocida en el artículo 26 de  la  Convención  Americana  sobre</w:t>
        <w:br/>
        <w:t>Derechos Humanos, en los términos del párrafo 106 de la presente Sentencia.</w:t>
        <w:br/>
        <w:br/>
        <w:t>Y DISPONE:</w:t>
        <w:br/>
        <w:br/>
        <w:t>Por unanimidad, que:</w:t>
        <w:br/>
        <w:br/>
        <w:t>4.    Esta Sentencia constituye, per se, una forma de reparación.</w:t>
        <w:br/>
        <w:br/>
        <w:t>5.    El Estado debe realizar los pagos de las  cantidades  establecidas  en</w:t>
        <w:br/>
        <w:t>la presente Sentencia por concepto de daño inmaterial y reintegro de  costas</w:t>
        <w:br/>
        <w:t>y gastos dentro del plazo de un año, contado a  partir  de  la  notificación</w:t>
        <w:br/>
        <w:t>del presente Fallo, en los términos de los  párrafos  134,  150,  151,  152,</w:t>
        <w:br/>
        <w:t>153, 154 y 155  del mismo.</w:t>
        <w:br/>
        <w:br/>
        <w:t>6.    El Estado debe dar cumplimiento total a las  sentencias  del  Tribunal</w:t>
        <w:br/>
        <w:t>Constitucional del Perú de 21 de octubre de 1997 y 26 de enero de  2001,  en</w:t>
        <w:br/>
        <w:t>lo que respecta al reintegro de los devengados dejados de percibir  por  las</w:t>
        <w:br/>
        <w:t>víctimas entre abril  de  1993  y  octubre  de  2002,  dentro  de  un  plazo</w:t>
        <w:br/>
        <w:t>razonable, conforme al párrafo 138 de la presente  Sentencia.   El  pago  de</w:t>
        <w:br/>
        <w:t>los referidos devengados y sus intereses  no  deberán  verse  afectados  por</w:t>
        <w:br/>
        <w:t>ninguna carga fiscal, en los términos del párrafo 139 del presente Fallo.</w:t>
        <w:br/>
        <w:br/>
        <w:t>7.    El Estado debe publicar en el Diario  Oficial  y  en  otro  diario  de</w:t>
        <w:br/>
        <w:t>amplia circulación nacional, por una sola vez, los párrafos 2 a 5,  17,  19,</w:t>
        <w:br/>
        <w:t>52, 53, 61, 65, 69 a 79,  84  a  91,  104  a  107  y  113   de  la  presente</w:t>
        <w:br/>
        <w:t>Sentencia, sin las notas  al  pie  de  página  correspondientes  y  con  los</w:t>
        <w:br/>
        <w:t>títulos de los capítulos respectivos, así como la  parte  resolutiva  de  la</w:t>
        <w:br/>
        <w:t>misma, en el plazo de seis meses, contado a partir de  la  notificación  del</w:t>
        <w:br/>
        <w:t>presente Fallo, en los términos del párrafo 141 del mismo.</w:t>
        <w:br/>
        <w:br/>
        <w:t>8.    Supervisará el cumplimiento íntegro de  esta  Sentencia,  y  dará  por</w:t>
        <w:br/>
        <w:t>concluido el presente caso una vez que el Estado haya  dado  cumplimiento  a</w:t>
        <w:br/>
        <w:t>lo dispuesto en la misma. Dentro del plazo de un año, contado  a  partir  de</w:t>
        <w:br/>
        <w:t>la notificación de esta Sentencia, el Estado deberá rendir  a  la  Corte  un</w:t>
        <w:br/>
        <w:t>informe sobre las medidas adoptadas para darle cumplimiento.</w:t>
        <w:br/>
        <w:br/>
        <w:t>El Juez García Ramírez y el Juez ad hoc García Toma hicieron  conocer  a  la</w:t>
        <w:br/>
        <w:t>Corte  sus  respectivos  Votos  Razonados,  los  cuales  acompañan  a   esta</w:t>
        <w:br/>
        <w:t>Sentencia.</w:t>
        <w:br/>
        <w:br/>
        <w:t>Redactada en español e inglés, haciendo fe del  texto  en  español,  en  San</w:t>
        <w:br/>
        <w:t>José, Costa Rica, el 1 de julio de 2009.</w:t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Sergio García Ramírez                            Manuel E. Ventura Robles</w:t>
        <w:br/>
        <w:br/>
        <w:br/>
        <w:br/>
        <w:br/>
        <w:t>Leonardo A. Franco                                     Margarette May</w:t>
        <w:br/>
        <w:t>Macaulay</w:t>
        <w:br/>
        <w:br/>
        <w:br/>
        <w:br/>
        <w:br/>
        <w:t>Rhadys Abreu Blondet                        Víctor Oscar Shiyín García Toma</w:t>
        <w:br/>
        <w:t xml:space="preserve">                                                   Ad hoc</w:t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VOTO CONCURRENTE DEL JUEZ SERGIO GARCÍA RAMÍREZ</w:t>
        <w:br/>
        <w:t xml:space="preserve">                     EN RELACIÓN CON LA SENTENCIA DE LA</w:t>
        <w:br/>
        <w:t xml:space="preserve">                  CORTE INTERAMERICANA DE DERECHOS HUMANOS</w:t>
        <w:br/>
        <w:t xml:space="preserve">          EN EL CASO ACEVEDO BUENDÍA Y OTROS (“CESANTES Y JUBILADOS</w:t>
        <w:br/>
        <w:t xml:space="preserve">                             DE LA CONTRALORÍA”)</w:t>
        <w:br/>
        <w:t xml:space="preserve">                           DEL 1 DE JULIO DE 2009</w:t>
        <w:br/>
        <w:br/>
        <w:br/>
        <w:t xml:space="preserve">      I.    Pérdida de la oportunidad de realizar actos en el enjuiciamiento</w:t>
        <w:br/>
        <w:br/>
        <w:t>1. Conforme a las normas del procedimiento interamericano de  protección  de</w:t>
        <w:br/>
        <w:t xml:space="preserve">   los derechos  humanos  -normas  de  obligatoria  observancia-  el  Estado</w:t>
        <w:br/>
        <w:t xml:space="preserve">   dispone de oportunidades procesales, claramente establecidas, para aducir</w:t>
        <w:br/>
        <w:t xml:space="preserve">   sus defensas. En algunos casos, el Estado ha omitido la interposición  de</w:t>
        <w:br/>
        <w:t xml:space="preserve">   esas defensas ante la Comisión  y  sólo  las  ha  invocado,  por  vía  de</w:t>
        <w:br/>
        <w:t xml:space="preserve">   excepciones preliminares, cuando la contienda se plantea ante la Corte.</w:t>
        <w:br/>
        <w:br/>
        <w:t>2. En general, este Tribunal consideró tales omisiones bajo el  concepto  de</w:t>
        <w:br/>
        <w:t xml:space="preserve">   renuncia “tácita” a una defensa, que trae  consigo  la  imposibilidad  de</w:t>
        <w:br/>
        <w:t xml:space="preserve">   esgrimirla en el curso del proceso. La calificación hecha por la Corte ha</w:t>
        <w:br/>
        <w:t xml:space="preserve">   suscitado ciertos cuestionamientos: algunos Estados señalan que no existe</w:t>
        <w:br/>
        <w:t xml:space="preserve">   semejante “renuncia”. El acto  de  renuncia  supone  -se  ha  dicho-  una</w:t>
        <w:br/>
        <w:t xml:space="preserve">   decisión del Estado en ese sentido.</w:t>
        <w:br/>
        <w:br/>
        <w:t>3. A este respecto, conviene recordar que los  actos  procesales  se  hallan</w:t>
        <w:br/>
        <w:t xml:space="preserve">   sujetos  a  determinadas  reglas,  de  cuya   observancia   dependen   su</w:t>
        <w:br/>
        <w:t xml:space="preserve">   admisibilidad y eficacia, con todo lo que ello implica para la marcha, la</w:t>
        <w:br/>
        <w:t xml:space="preserve">   modificación, la detención o  la  conclusión  del  enjuiciamiento.  Entre</w:t>
        <w:br/>
        <w:t xml:space="preserve">   aquéllas  figuran  las  correspondientes  al  tiempo  (oportunidad)  para</w:t>
        <w:br/>
        <w:t xml:space="preserve">   realizar los actos. En realidad,  la  Corte  no  tiene  por  qué  estimar</w:t>
        <w:br/>
        <w:t xml:space="preserve">   innecesariamente que hubo “renuncia tácita” a la defensa -estimación  que</w:t>
        <w:br/>
        <w:t xml:space="preserve">   sólo significa una calificación nominal de la omisión, pero no altera  su</w:t>
        <w:br/>
        <w:t xml:space="preserve">   naturaleza y consecuencias-, atribuyendo así a la omisión del  Estado  un</w:t>
        <w:br/>
        <w:t xml:space="preserve">   sentido o un propósito que suscitan dudas u obligaciones. Lo que  importa</w:t>
        <w:br/>
        <w:t xml:space="preserve">   es que el Estado dejó de producir  determinado  acto  en  la  oportunidad</w:t>
        <w:br/>
        <w:t xml:space="preserve">   prevista para ello, y que una vez transcurrida  ésta  se  ha  perdido  la</w:t>
        <w:br/>
        <w:t xml:space="preserve">   posibilidad de realizarlo. Así  ocurre  en  el  muy  explorado  curso  de</w:t>
        <w:br/>
        <w:t xml:space="preserve">   cualquier procedimiento ordinario.</w:t>
        <w:br/>
        <w:br/>
        <w:t>4. Anteriormente he sostenido que la Corte podría modificar las  expresiones</w:t>
        <w:br/>
        <w:t xml:space="preserve">   que  acostumbró  en  esta  materia,  modificación  que  efectivamente  ha</w:t>
        <w:br/>
        <w:t xml:space="preserve">   ocurrido en varias sentencias recientes, a  las  que  se  agrega  la  del</w:t>
        <w:br/>
        <w:t xml:space="preserve">   presente caso.  En éstas ya no se alude a “renuncia tácita”,  sino  a  la</w:t>
        <w:br/>
        <w:t xml:space="preserve">   pérdida o agotamiento de la oportunidad procesal para la presentación  de</w:t>
        <w:br/>
        <w:t xml:space="preserve">   la defensa. Por supuesto, la Corte podría ir más allá en la consideración</w:t>
        <w:br/>
        <w:t xml:space="preserve">   de esta materia y explorar la verdadera naturaleza del tema, que acaso se</w:t>
        <w:br/>
        <w:t xml:space="preserve">   reconocería como un supuesto de preclusión o  de  insatisfacción  de  una</w:t>
        <w:br/>
        <w:t xml:space="preserve">   carga procesal, con las consecuencias inherentes a estos  fenómenos  bien</w:t>
        <w:br/>
        <w:t xml:space="preserve">   conocidos por la disciplina del proceso. No sobra volver la mirada  hacia</w:t>
        <w:br/>
        <w:t xml:space="preserve">   la técnica y la doctrina del proceso,  recogidas  en  la  teoría  general</w:t>
        <w:br/>
        <w:t xml:space="preserve">   respectiva, cuando  se  trata  precisamente  de  una  cuestión  procesal,</w:t>
        <w:br/>
        <w:t xml:space="preserve">   independientemente  de  que  ésta  se   plantee   en   un   procedimiento</w:t>
        <w:br/>
        <w:t xml:space="preserve">   internacional.</w:t>
        <w:br/>
        <w:br/>
        <w:t>5. El establecimiento de estos efectos para la omisión de  defensa  -pérdida</w:t>
        <w:br/>
        <w:t xml:space="preserve">   de la posibilidad de aducirla, una vez transcurrida la  oportunidad  para</w:t>
        <w:br/>
        <w:t xml:space="preserve">   hacerlo- no significa que la Corte Interamericana no  pueda  reconsiderar</w:t>
        <w:br/>
        <w:t xml:space="preserve">   decisiones adoptadas en el procedimiento ante la Comisión en determinados</w:t>
        <w:br/>
        <w:t xml:space="preserve">   supuestos,  de  manera  verdaderamente  excepcional  y  en  los  términos</w:t>
        <w:br/>
        <w:t xml:space="preserve">   examinados  por  la  jurisprudencia  de  la  propia  Corte.  No  pretendo</w:t>
        <w:br/>
        <w:t xml:space="preserve">   reproducir o analizar ahora esta  cuestión,  acerca  de  la  cual  se  ha</w:t>
        <w:br/>
        <w:t xml:space="preserve">   pronunciado el Tribunal en algunas resoluciones.</w:t>
        <w:br/>
        <w:br/>
        <w:t xml:space="preserve">      II.   Expresiones del Estado en procuración de soluciones amistosas</w:t>
        <w:br/>
        <w:br/>
        <w:t>6. Se ha señalado que el Estado puede exponer en el  procedimiento  ante  la</w:t>
        <w:br/>
        <w:t xml:space="preserve">   Comisión  Interamericana  consideraciones  y  sugerencias  conducentes  a</w:t>
        <w:br/>
        <w:t xml:space="preserve">   alcanzar una solución amistosa de la  controversia,  y  que  aquéllas  no</w:t>
        <w:br/>
        <w:t xml:space="preserve">   debieran causarle perjuicio en el caso de que  no  prospere  la  solución</w:t>
        <w:br/>
        <w:t xml:space="preserve">   procurada y se someta el litigio a la Corte. Si se entiende que cualquier</w:t>
        <w:br/>
        <w:t xml:space="preserve">   expresión del Estado, conducente a favorecer  la  composición  entre  las</w:t>
        <w:br/>
        <w:t xml:space="preserve">   partes, necesariamente genera efectos  desfavorables  para  aquél  en  el</w:t>
        <w:br/>
        <w:t xml:space="preserve">   proceso ante la  Corte,  se  desalentaría  la  solución  extrajudicial  o</w:t>
        <w:br/>
        <w:t xml:space="preserve">   litigios.</w:t>
        <w:br/>
        <w:br/>
        <w:t>7. Por supuesto, es  deseable  que  los  litigios  en  materia  de  derechos</w:t>
        <w:br/>
        <w:t xml:space="preserve">   humanos,  como  en  otros  ámbitos,   hallen   solución   a   través   de</w:t>
        <w:br/>
        <w:t xml:space="preserve">   entendimientos entre las partes, cuando esto sea posible  y  adecuado  en</w:t>
        <w:br/>
        <w:t xml:space="preserve">   función de la tutela efectiva de los derechos humanos, tomando en  cuenta</w:t>
        <w:br/>
        <w:t xml:space="preserve">   la naturaleza de las violaciones,  los  remedios  que  se  aportan  y  el</w:t>
        <w:br/>
        <w:t xml:space="preserve">   interés y la voluntad de los litigantes. De aquí  no  se  desprende,  sin</w:t>
        <w:br/>
        <w:t xml:space="preserve">   embargo, que las manifestaciones hechas por el Estado  en  el  curso  del</w:t>
        <w:br/>
        <w:t xml:space="preserve">   procedimiento compositivo ante la Comisión carezcan  de  eficacia  en  el</w:t>
        <w:br/>
        <w:t xml:space="preserve">   proceso ante la Corte. Es  preciso  conciliar  la  necesidad  de  alentar</w:t>
        <w:br/>
        <w:t xml:space="preserve">   soluciones consensuales y  la  pertinencia  de  reconocer  el  valor  que</w:t>
        <w:br/>
        <w:t xml:space="preserve">   tienen, según sus propias  características,  los  actos  de  confesión  o</w:t>
        <w:br/>
        <w:t xml:space="preserve">   reconocimiento de responsabilidad realizados por el Estado.</w:t>
        <w:br/>
        <w:br/>
        <w:t>8. En virtud de lo anterior, es necesario distinguir las diversas  hipótesis</w:t>
        <w:br/>
        <w:t xml:space="preserve">   que se plantean en este  campo,  evitando  calificaciones  generales  que</w:t>
        <w:br/>
        <w:t xml:space="preserve">   pudieran resultar impertinentes. Así lo ha hecho la Corte  Interamericana</w:t>
        <w:br/>
        <w:t xml:space="preserve">   en la sentencia a la que se refiere este voto,  con  el  fin  de  generar</w:t>
        <w:br/>
        <w:t xml:space="preserve">   claridad acerca del valor de los actos realizados por  el  Estado  en  la</w:t>
        <w:br/>
        <w:t xml:space="preserve">   etapa procesal que ahora analizamos, para favorecer la protección de  los</w:t>
        <w:br/>
        <w:t xml:space="preserve">   derechos humanos y la solución razonable de las controversias.</w:t>
        <w:br/>
        <w:br/>
        <w:t>9. La Corte distingue entre los actos que  implican,  por  su  naturaleza  y</w:t>
        <w:br/>
        <w:t xml:space="preserve">   forma,  la  admisión  de  hechos  -que  puede  constituir  una  verdadera</w:t>
        <w:br/>
        <w:t xml:space="preserve">   confesión-, y el reconocimiento de responsabilidades, de  aquellos  otros</w:t>
        <w:br/>
        <w:t xml:space="preserve">   que solamente pretenden facilitar el avenimiento y moderar o eliminar  la</w:t>
        <w:br/>
        <w:t xml:space="preserve">   contienda.  En  este  último  caso,  las  expresiones   del   Estado   no</w:t>
        <w:br/>
        <w:t xml:space="preserve">   perjudicarán a éste si el conflicto llega al conocimiento de la Corte.</w:t>
        <w:br/>
        <w:br/>
        <w:t>10. En cambio, cuando exista un acto que  materialmente  entrañe,  en  forma</w:t>
        <w:br/>
        <w:t xml:space="preserve">   clara y suficiente, la admisión de un hecho ilícito o  el  reconocimiento</w:t>
        <w:br/>
        <w:t xml:space="preserve">   de la responsabilidad que de ahí deriva, el acto surtirá los efectos  que</w:t>
        <w:br/>
        <w:t xml:space="preserve">   naturalmente le corresponden, en perjuicio del Estado.  En  consecuencia,</w:t>
        <w:br/>
        <w:t xml:space="preserve">   éste no podrá argumentar que  carece  de  veracidad  o  eficacia  lo  que</w:t>
        <w:br/>
        <w:t xml:space="preserve">   confesó o reconoció, entendiendo que  tales  confesión  o  reconocimiento</w:t>
        <w:br/>
        <w:t xml:space="preserve">   sólo formaron parte de una “estrategia” destinada a impulsar una solución</w:t>
        <w:br/>
        <w:t xml:space="preserve">   pactada.</w:t>
        <w:br/>
        <w:br/>
        <w:br/>
        <w:br/>
        <w:t xml:space="preserve">      III.  Plazo razonable</w:t>
        <w:br/>
        <w:br/>
        <w:t>11.  El  plazo  razonable  para  el  desarrollo  de  un  procedimiento,   la</w:t>
        <w:br/>
        <w:t xml:space="preserve">   realización  de  un  acto  o  la  emisión  de  una  resolución  es   tema</w:t>
        <w:br/>
        <w:t xml:space="preserve">   frecuentemente abordado por la jurisprudencia de la Corte. El Tribunal ha</w:t>
        <w:br/>
        <w:t xml:space="preserve">   avanzado en el perfil del plazo razonable, acogiendo los datos que provee</w:t>
        <w:br/>
        <w:t xml:space="preserve">   la jurisprudencia europea - complejidad del asunto, conducta procesal del</w:t>
        <w:br/>
        <w:t xml:space="preserve">   interesado  (sin  cargar  en  la  cuenta  de  éste,  por   supuesto,   la</w:t>
        <w:br/>
        <w:t xml:space="preserve">   responsabilidad por las  dilaciones  ni  obstruir  el  empleo  de  medios</w:t>
        <w:br/>
        <w:t xml:space="preserve">   legales  de   defensa)   y   el   comportamiento   de   las   autoridades</w:t>
        <w:br/>
        <w:t xml:space="preserve">   (jurisdiccionales o de otra naturaleza).  A todo ello,  la  Corte  agregó</w:t>
        <w:br/>
        <w:t xml:space="preserve">   una nueva  referencia,  a  la  que  aludí  en  ocasiones  anteriores:  la</w:t>
        <w:br/>
        <w:t xml:space="preserve">   consideración de la forma en que  el  transcurso  del  tiempo  afecta  el</w:t>
        <w:br/>
        <w:t xml:space="preserve">   derecho comprometido.</w:t>
        <w:br/>
        <w:br/>
        <w:t>12. La Corte no ha cifrado el tema  del  plazo  razonable  solamente  en  la</w:t>
        <w:br/>
        <w:t xml:space="preserve">   medida del tiempo transcurrido -tantos días, meses o  años-,  considerada</w:t>
        <w:br/>
        <w:t xml:space="preserve">   aisladamente.  Es  preciso  ponderar  el  hecho   en   función   de   las</w:t>
        <w:br/>
        <w:t xml:space="preserve">   características del asunto sujeto a trámite o decisión.  De  ahí  que  en</w:t>
        <w:br/>
        <w:t xml:space="preserve">   diversos casos, entre ellos el presente, el Tribunal asocie  expresamente</w:t>
        <w:br/>
        <w:t xml:space="preserve">   la  referencia  a  aquella  medida  temporal  con  estas  características</w:t>
        <w:br/>
        <w:t xml:space="preserve">   materiales. Sólo así podrá apreciarse si el plazo corrido  resulta  o  no</w:t>
        <w:br/>
        <w:t xml:space="preserve">   razonable. Evidentemente, en algunos casos puede  advertirse  que  cierto</w:t>
        <w:br/>
        <w:t xml:space="preserve">   tiempo de tramitación es a todas luces excesivo,  sobre  todo  cuando  se</w:t>
        <w:br/>
        <w:t xml:space="preserve">   trata de ponderar un  procedimiento  que  debiera  ser,  por  definición,</w:t>
        <w:br/>
        <w:t xml:space="preserve">   sencillo y expedito, como lo requiere, por ejemplo, el artículo 25 de  la</w:t>
        <w:br/>
        <w:t xml:space="preserve">   Convención Americana. Cuando esto se acredita con llaneza,  la  Corte  lo</w:t>
        <w:br/>
        <w:t xml:space="preserve">   hace notar. En muchos casos se observa la necesidad de  que  los  Estados</w:t>
        <w:br/>
        <w:t xml:space="preserve">   reexaminen la regulación procesal  y  la  aplicación  material  de  estos</w:t>
        <w:br/>
        <w:t xml:space="preserve">   medios  de  defensa  para  que  correspondan,   verdaderamente,   a   las</w:t>
        <w:br/>
        <w:t xml:space="preserve">   disposiciones y a las finalidades del artículo 25.</w:t>
        <w:br/>
        <w:br/>
        <w:t xml:space="preserve">      IV.   Adquisición de derechos</w:t>
        <w:br/>
        <w:br/>
        <w:t>13. Es relevante precisar, para  resolver  acerca  de  ciertas  violaciones,</w:t>
        <w:br/>
        <w:t xml:space="preserve">   cuándo se puede entender  que  una  persona  ha  “adquirido”  determinado</w:t>
        <w:br/>
        <w:t xml:space="preserve">   derecho, que debe ser reconocido, respetado  y  asegurado  por  el  poder</w:t>
        <w:br/>
        <w:t xml:space="preserve">   público. Desde luego, no pretendo reconsiderar aquí la  antigua  doctrina</w:t>
        <w:br/>
        <w:t xml:space="preserve">   de los derechos adquiridos y las simples expectativas  de  derecho,  sino</w:t>
        <w:br/>
        <w:t xml:space="preserve">   sólo definir, sin perder de vista la materia que  ahora  examino,  cuáles</w:t>
        <w:br/>
        <w:t xml:space="preserve">   son los supuestos jurídicos de  los  que  deriva  la  titularidad  de  un</w:t>
        <w:br/>
        <w:t xml:space="preserve">   derecho, que a partir de aquellos puede ser reclamado  por  el  individuo</w:t>
        <w:br/>
        <w:t xml:space="preserve">   que los “adquiere” y debe ser reconocido y atendido por el Estado.</w:t>
        <w:br/>
        <w:br/>
        <w:t>14. Para este efecto hay que considerar -como lo ha hecho la Sentencia a  la</w:t>
        <w:br/>
        <w:t xml:space="preserve">   que acompaño este voto- tanto el ordenamiento legal o  reglamentario  que</w:t>
        <w:br/>
        <w:t xml:space="preserve">   constituye el fundamento del derecho, a través de  normas  generales  que</w:t>
        <w:br/>
        <w:t xml:space="preserve">   determinan supuestos amplios, como el acto particular  de  aplicación  de</w:t>
        <w:br/>
        <w:t xml:space="preserve">   ese ordenamiento que  reconoce  o  atribuye  el  derecho  al  sujeto  que</w:t>
        <w:br/>
        <w:t xml:space="preserve">   satisface las condiciones previstas en la norma. A partir de  esta  doble</w:t>
        <w:br/>
        <w:t xml:space="preserve">   verificación  -que  necesariamente  figura  en  los  hechos  de  un  caso</w:t>
        <w:br/>
        <w:t xml:space="preserve">   contencioso de esta especie- será posible establecer que el sujeto se  ha</w:t>
        <w:br/>
        <w:t xml:space="preserve">   convertido en titular de un derecho -así,  por  ejemplo,  el  derecho  de</w:t>
        <w:br/>
        <w:t xml:space="preserve">   propiedad- cuya violación trae consigo responsabilidad del Estado.</w:t>
        <w:br/>
        <w:br/>
        <w:t xml:space="preserve">      V.    Progresividad de los derechos económicos, sociales y culturales</w:t>
        <w:br/>
        <w:br/>
        <w:t>15. El representante de las víctimas suscitó la consideración  de  la  Corte</w:t>
        <w:br/>
        <w:t xml:space="preserve">   sobre la progresividad de los derechos económicos, sociales y culturales,</w:t>
        <w:br/>
        <w:t xml:space="preserve">   a partir de la variación de  las  percepciones  cubiertas  a  aquéllos  y</w:t>
        <w:br/>
        <w:t xml:space="preserve">   derivadas de servicios prestados  al  Estado.  Aun  cuando  la  Corte  no</w:t>
        <w:br/>
        <w:t xml:space="preserve">   encontró, en la especie, incumplimiento del artículo 26 de la  Convención</w:t>
        <w:br/>
        <w:t xml:space="preserve">   Americana -conclusión que comparto- aquella invocación  determinó  nuevas</w:t>
        <w:br/>
        <w:t xml:space="preserve">   reflexiones del Tribunal en torno a la progresividad de tales derechos  y</w:t>
        <w:br/>
        <w:t xml:space="preserve">   a su propia competencia para examinar esta materia.</w:t>
        <w:br/>
        <w:br/>
        <w:t>16. Reconozco que la jurisprudencia de la Corte ha sido muy limitada,  hasta</w:t>
        <w:br/>
        <w:t xml:space="preserve">   hoy, en la referencia a los derechos de esta naturaleza. Este tratamiento</w:t>
        <w:br/>
        <w:t xml:space="preserve">   no  deriva  solamente  de  una  restringida  justiciabilidad  “explícita”</w:t>
        <w:br/>
        <w:t xml:space="preserve">   conforme al corpus juris interamericano,  que  es  ampliamente  conocida,</w:t>
        <w:br/>
        <w:t xml:space="preserve">   sino de las características de los casos que han llegado al  conocimiento</w:t>
        <w:br/>
        <w:t xml:space="preserve">   de la Corte y que constituyen, como es obvio, el marco dentro del que  se</w:t>
        <w:br/>
        <w:t xml:space="preserve">   mueve el Tribunal para llevar a cabo el examen de  la  Convención  y  del</w:t>
        <w:br/>
        <w:t xml:space="preserve">   Protocolo de San Salvador.</w:t>
        <w:br/>
        <w:br/>
        <w:t>17. La Corte no puede atraer el conocimiento de asuntos cuyo flujo hacia  la</w:t>
        <w:br/>
        <w:t xml:space="preserve">   instancia jurisdiccional se realiza a través de una demanda. Aun así,  el</w:t>
        <w:br/>
        <w:t xml:space="preserve">   Tribunal ha examinado cuestiones que lindan con los derechos sociales,  o</w:t>
        <w:br/>
        <w:t xml:space="preserve">   de plano se identifican con éstos, a través del examen de  violaciones  a</w:t>
        <w:br/>
        <w:t xml:space="preserve">   derechos  recogidos  en  la  Convención  Americana,  particularmente  los</w:t>
        <w:br/>
        <w:t xml:space="preserve">   relacionados con la  propiedad,  la  tutela  de  la  integridad  (que  se</w:t>
        <w:br/>
        <w:t xml:space="preserve">   proyecta en temas de salud) o las medidas especiales de protección a  los</w:t>
        <w:br/>
        <w:t xml:space="preserve">   niños.</w:t>
        <w:br/>
        <w:br/>
        <w:t>18. En el caso que ahora me ocupa, el Tribunal ha avanzado, hasta  donde  lo</w:t>
        <w:br/>
        <w:t xml:space="preserve">   estimó practicable, en consideraciones relativas a los DESC. Desde luego,</w:t>
        <w:br/>
        <w:t xml:space="preserve">   reafirmó  su  competencia  -que  debe  quedar  bien   establecida-   para</w:t>
        <w:br/>
        <w:t xml:space="preserve">   pronunciarse en torno a posibles incumplimientos del  artículo  26.  Esta</w:t>
        <w:br/>
        <w:t xml:space="preserve">   materia se halla en el  ámbito  de  las  cuestiones  concernientes  a  la</w:t>
        <w:br/>
        <w:t xml:space="preserve">   interpretación y aplicación de la Convención Americana, cuyo conocimiento</w:t>
        <w:br/>
        <w:t xml:space="preserve">   y solución incumben a este Tribunal.</w:t>
        <w:br/>
        <w:br/>
        <w:t>19. Al internarse en este espacio, la Corte trajo a cuentas  diversos  pasos</w:t>
        <w:br/>
        <w:t xml:space="preserve">   en la regulación interamericana de  la  materia,  tomando  en  cuenta  el</w:t>
        <w:br/>
        <w:t xml:space="preserve">   proceso normativo que condujo a la formulación del artículo  26  y  a  su</w:t>
        <w:br/>
        <w:t xml:space="preserve">   emplazamiento en el conjunto de la Convención, bajo el rubro de “derechos</w:t>
        <w:br/>
        <w:t xml:space="preserve">   protegidos”. No se trata solamente, pues,  de  expresiones  programáticas</w:t>
        <w:br/>
        <w:t xml:space="preserve">   que  induzcan  políticas  públicas,  sino  de  fórmulas  normativas   que</w:t>
        <w:br/>
        <w:t xml:space="preserve">   determinan  el  sentido  y  el  contenido  de  esas  políticas,  de   las</w:t>
        <w:br/>
        <w:t xml:space="preserve">   disposiciones en las que éstas se expresan y de los actos en que  unas  y</w:t>
        <w:br/>
        <w:t xml:space="preserve">   otras se concretan.</w:t>
        <w:br/>
        <w:br/>
        <w:t>20. La Corte cita, asimismo, el parecer de  la  Comisión  Interamericana  de</w:t>
        <w:br/>
        <w:t xml:space="preserve">   Derechos Humanos, el Tribunal Europeo de Derechos Humanos y el Comité del</w:t>
        <w:br/>
        <w:t xml:space="preserve">   Pacto Internacional de Derechos Económicos, Sociales  y  Culturales,  que</w:t>
        <w:br/>
        <w:t xml:space="preserve">   han explorado la valoración sobre la progresividad  de  los  derechos  de</w:t>
        <w:br/>
        <w:t xml:space="preserve">   este carácter y los indicadores que permitirían  establecer  y  apreciar,</w:t>
        <w:br/>
        <w:t xml:space="preserve">   razonablemente, tanto el progreso como el retroceso.</w:t>
        <w:br/>
        <w:br/>
        <w:t>21. La Corte entiende que  es  reclamable  o  exigible  la  observancia  del</w:t>
        <w:br/>
        <w:t xml:space="preserve">   artículo  26  -norma  imperiosa,  no  solo  sugerencia   política-   ante</w:t>
        <w:br/>
        <w:t xml:space="preserve">   instancias llamadas a pronunciarse sobre ese extremo,  en  el  marco  del</w:t>
        <w:br/>
        <w:t xml:space="preserve">   Derecho interno o  en  el  ámbito  externo,  conforme  a  las  decisiones</w:t>
        <w:br/>
        <w:t xml:space="preserve">   constitucionales y a los compromisos internacionales  adquiridos  por  el</w:t>
        <w:br/>
        <w:t xml:space="preserve">   Estado. La  valoración  tiene  dos  dimensiones:  la  observancia  de  la</w:t>
        <w:br/>
        <w:t xml:space="preserve">   progresividad, atenta al máximo esfuerzo para conseguirla, y la  negación</w:t>
        <w:br/>
        <w:t xml:space="preserve">   de la regresividad, que contraría los postulados y el espíritu del corpus</w:t>
        <w:br/>
        <w:t xml:space="preserve">   juris de los derechos humanos y que también debe  ser  valorada  por  las</w:t>
        <w:br/>
        <w:t xml:space="preserve">   jurisdicciones correspondientes.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            VOTO CONCURRENTE DEL</w:t>
        <w:br/>
        <w:br/>
        <w:br/>
        <w:t xml:space="preserve">                 JUEZ AD HOC VÍCTOR OSCAR SHIYIN GARCÍA TOMA</w:t>
        <w:br/>
        <w:br/>
        <w:br/>
        <w:t>En  el  caso  Acevedo  Buendía  y  otros  (“Cesantes  y  Jubilados   de   la</w:t>
        <w:br/>
        <w:t>Contraloría”) Vs. Perú.</w:t>
        <w:br/>
        <w:br/>
        <w:t>Ratifico mi posición expuesta verbalmente en la sesión de fecha 1  de  julio</w:t>
        <w:br/>
        <w:t>de 2009, en donde se discutió la redacción de la presente Sentencia,  en  lo</w:t>
        <w:br/>
        <w:t>relativo a las consideraciones conceptuales  sobre  la  progresividad  y  no</w:t>
        <w:br/>
        <w:t>regresividad de los Derechos Económicos, Sociales y Culturales.</w:t>
        <w:br/>
        <w:br/>
        <w:t>Estimo que los argumentos introducidos en  los  párrafos  99  a  103  de  la</w:t>
        <w:br/>
        <w:t>Sentencia no guardan  relación  directa  ni  tienen  vínculo  indisoluble  o</w:t>
        <w:br/>
        <w:t>conectivo con el caso materia de controversia.</w:t>
        <w:br/>
        <w:br/>
        <w:t>En ese sentido, dichos argumentos no acreditan viso alguno  de  sustentación</w:t>
        <w:br/>
        <w:t>en las denominadas, razón suficiente  u  obiter  dicta  para  justificar  su</w:t>
        <w:br/>
        <w:t>inclusión.</w:t>
        <w:br/>
        <w:br/>
        <w:t>Considero que toda  concepción  doctrinaria  expuesta  en  una  litis,  debe</w:t>
        <w:br/>
        <w:t>efectuarse necesariamente en consideración a las circunstancias  específicas</w:t>
        <w:br/>
        <w:t>y concretas del caso mismo.</w:t>
        <w:br/>
        <w:br/>
        <w:t>Dicha concepción doctrinaria expuesta  como  una  apostilla  inconexa  puede</w:t>
        <w:br/>
        <w:t>generar interpretaciones de importante impacto en el Sistema  Interamericana</w:t>
        <w:br/>
        <w:t>de Derechos Humanos; lo que  debe  merecer  un  tratamiento  más  prolijo  y</w:t>
        <w:br/>
        <w:t>exhaustivo.</w:t>
        <w:br/>
        <w:br/>
        <w:t>En ese contexto, la introducción de una argumentación de  tal  trascendencia</w:t>
        <w:br/>
        <w:t>en un caso no aparente, me impele a ofrecer un punto de vista no  ligado  al</w:t>
        <w:br/>
        <w:t>caso de autos, a efectos de dejar  expresa  constancia  –en  atención  a  la</w:t>
        <w:br/>
        <w:t>necesaria coherencia exigible a los órganos del  Sistema  Interamericano  de</w:t>
        <w:br/>
        <w:t>Derechos Humanos en su conjunto- que la progresividad no está reñida con  la</w:t>
        <w:br/>
        <w:t>existencia  de  restricciones  legales.   Esta  última  no  es  sinónimo  de</w:t>
        <w:br/>
        <w:t>regresividad en el ámbito de los derechos  humanos.   Por  consiguiente,  su</w:t>
        <w:br/>
        <w:t>aplicación no necesariamente se contrapone a lo dispuesto en el artículo  26</w:t>
        <w:br/>
        <w:t>de la Convención Americana sobre Derechos Humanos.</w:t>
        <w:br/>
        <w:br/>
        <w:t>Así,  toda  restricción  legal  es  compatible  con  lo  estipulado  en   la</w:t>
        <w:br/>
        <w:t>Convención Americana  sobre  Derechos  Humanos  cuando  teleológicamente  se</w:t>
        <w:br/>
        <w:t>establece para resguardar los principios de  equidad  y  bienestar  general.</w:t>
        <w:br/>
        <w:t>En  todo  caso,  ésta  se   sujeta   a   la   satisfacción   del   test   de</w:t>
        <w:br/>
        <w:t>proporcionalidad.</w:t>
        <w:br/>
        <w:t>Conforme  a  dicha  concesión  ya  adoptada  por  un  órgano   del   Sistema</w:t>
        <w:br/>
        <w:t>Interamericano  –la  Comisión  Interamericana  de   Derechos   Humanos-   la</w:t>
        <w:br/>
        <w:t>progresividad del acceso a los Derechos Económicos,  Sociales  y  Culturales</w:t>
        <w:br/>
        <w:t>no es aplicable a las normas de excepción, en  donde  se  conceden  derechos</w:t>
        <w:br/>
        <w:t>sin justificación válida ante la teoría de la naturaleza de  las  cosas;  y,</w:t>
        <w:br/>
        <w:t>por ende, violatorias del principio de igualdad de trato.</w:t>
        <w:br/>
        <w:br/>
        <w:t>Es indubitable que toda  norma  dictada  para  privilegiar  a  un  grupo  de</w:t>
        <w:br/>
        <w:t>personas en desmedro de los derechos del resto de la población puede y  debe</w:t>
        <w:br/>
        <w:t>ser objeto de modificación restrictiva.</w:t>
        <w:br/>
        <w:br/>
        <w:br/>
        <w:br/>
        <w:br/>
        <w:br/>
        <w:t xml:space="preserve">                                             Víctor Oscar Shiyin García Toma</w:t>
        <w:br/>
        <w:t xml:space="preserve">                                                          Juez ad hoc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t>-----------------------</w:t>
        <w:br/>
        <w:t>[1]   Durante el procedimiento de este caso ante la Corte y,  anteriormente,</w:t>
        <w:br/>
        <w:t>durante el procedimiento de la petición ante la Comisión  Interamericana  de</w:t>
        <w:br/>
        <w:t>Derechos Humanos, se ha utilizado el nombre “Integrantes  de  la  Asociación</w:t>
        <w:br/>
        <w:t>de Cesantes y Jubilados de la Contraloría General de la República Vs.  Perú”</w:t>
        <w:br/>
        <w:t>para referirse a este caso.  Sin embargo, en adelante la Corte utilizará  el</w:t>
        <w:br/>
        <w:t>nombre  de  Acevedo  Buendía  y  otros  (“Cesantes   y   Jubilados   de   la</w:t>
        <w:br/>
        <w:t>Contraloría”) Vs. Perú”.</w:t>
        <w:br/>
        <w:br/>
        <w:t>[2]   El Juez Diego García-Sayán, de  nacionalidad  peruana,  se  excusó  de</w:t>
        <w:br/>
        <w:t>conocer el  presente  caso,  de  conformidad  con  los  artículos  19.2  del</w:t>
        <w:br/>
        <w:t>Estatuto y 19 del Reglamento de la Corte, en razón de que, en  su  condición</w:t>
        <w:br/>
        <w:t>de Ministro de Justicia del Perú en el año 2001, en ese entonces recibió  de</w:t>
        <w:br/>
        <w:t>la Asociación  información  general  acerca  de  las  gestiones  que  venían</w:t>
        <w:br/>
        <w:t>efectuando ante el Ministerio de Economía y Finanzas  del  Perú  y  ante  la</w:t>
        <w:br/>
        <w:t>Comisión Interamericana de Derechos Humanos. Si bien el conocimiento de  esa</w:t>
        <w:br/>
        <w:t>información no afecta su  independencia  e  imparcialidad  para  conocer  el</w:t>
        <w:br/>
        <w:t>caso, consideró prudente excusarse.</w:t>
        <w:br/>
        <w:br/>
        <w:t>[3]    Conforme a lo dispuesto en el artículo  72.2  del  Reglamento  de  la</w:t>
        <w:br/>
        <w:t>Corte Interamericana que entró en vigor el  24  de  marzo  de  2009,  “[l]os</w:t>
        <w:br/>
        <w:t>casos en curso se continuarán tramitando conforme a este Reglamento, con  la</w:t>
        <w:br/>
        <w:t>excepción de aquellos casos en que se haya convocado a audiencia al  momento</w:t>
        <w:br/>
        <w:t>de  entrada  en  vigor  del  presente  Reglamento,   los   cuales   seguirán</w:t>
        <w:br/>
        <w:t>tramitándose conforme a las disposiciones del Reglamento anterior”.  De  ese</w:t>
        <w:br/>
        <w:t>modo, el  Reglamento  de  la  Corte  mencionado  en  la  presente  Sentencia</w:t>
        <w:br/>
        <w:t>corresponde al instrumento aprobado por  el  Tribunal  en  su  XLIX  Período</w:t>
        <w:br/>
        <w:t>Ordinario de Sesiones celebrado  del  16  al  25  de  noviembre  de  2000  y</w:t>
        <w:br/>
        <w:t>reformado  parcialmente  por  la  Corte  en  su  LXI  Período  Ordinario  de</w:t>
        <w:br/>
        <w:t>Sesiones, celebrado del 20 de noviembre al 4 de diciembre de 2003.</w:t>
        <w:br/>
        <w:br/>
        <w:t>[4]   En el Informe de fondo la Comisión concluyó que “el Estado peruano  es</w:t>
        <w:br/>
        <w:t>responsable de la violación al derecho a  la  protección  judicial  y  a  la</w:t>
        <w:br/>
        <w:t>propiedad consagrados en los artículos 25 y 21 de la  Convención  Americana,</w:t>
        <w:br/>
        <w:t>en perjuicio de los cesantes y jubilados de la  Contraloría  General  de  la</w:t>
        <w:br/>
        <w:t>República. Lo anterior constituyó además violación por el Estado  peruano  a</w:t>
        <w:br/>
        <w:t>la obligación genérica de respeto y garantía que le impone el artículo  1(1)</w:t>
        <w:br/>
        <w:t>de dicho instrumento internacional”. Finalmente, la  Comisión  recomendó  al</w:t>
        <w:br/>
        <w:t>Estado “[t]omar las  medidas  necesarias  para  dar  cumplimiento  en  forma</w:t>
        <w:br/>
        <w:t>eficiente a las sentencias del Tribunal Constitucional de[l]  Perú  emitidas</w:t>
        <w:br/>
        <w:t>el 21 de octubre de 1997 y [el] 26 de enero de 2001”.</w:t>
        <w:br/>
        <w:br/>
        <w:br/>
        <w:t>[5]   Las 273 presuntas víctimas en el presente caso son:  Acevedo  Buendía,</w:t>
        <w:br/>
        <w:t>Alejandro; Acevedo Castro, Apolonio; Acevedo León de Dávila,  Isabel  Zoila;</w:t>
        <w:br/>
        <w:t>Acosta Arandia, Asunción Graciela; Acosta Trujillo, Marcial;  Agüero  Ayala,</w:t>
        <w:br/>
        <w:t>Zóismo; Aguilar Arévalo, Augusto  Marcos;  Aguilar  Serrano,  Miguel  Tulio;</w:t>
        <w:br/>
        <w:t>Aguirre Calderon, Emilio Fernando; Alarcón Coronado De  Pérez,  Nilda  René;</w:t>
        <w:br/>
        <w:t>Alayo Fajardo, Félix Agustín; Alcalá Contreras,  Carmen  Alejandra;  Alcóser</w:t>
        <w:br/>
        <w:t>Gutiérrez, Moisés Ernesto;  Almenara  Valdez  De  Hemmerde,  Luisa;  Almeyda</w:t>
        <w:br/>
        <w:t>Flores, Gerardo; Álvarez  Postigo,  Víctor  Augusto;  Alza  Ahumada,  Carlos</w:t>
        <w:br/>
        <w:t>Eugenio; Amico Ramos Vda.  de  Errea,  Leticia;  Ampuero  Pasten,  Alejandro</w:t>
        <w:br/>
        <w:t>Augusto; Anaya Vda. De  Faura,  María  Cristina;  Aparicio  Sifuentes,  José</w:t>
        <w:br/>
        <w:t>Melchor;  Aquije  Alvarez,  Luis  Alberto;  Arana  Pozo,   Iraida   Eumelia;</w:t>
        <w:br/>
        <w:t>Arancivia De Valdez, Jaqueline Tania Silvana;  Aranda  De  Los  Ríos,  María</w:t>
        <w:br/>
        <w:t>Rosa; Arce Meza, Fernando Aníbal;  Arce  Vda.  De  Hipólito,  Carmen  Julia;</w:t>
        <w:br/>
        <w:t>Arevalo Dávila Vda.  de  Pujazón,  Martha  Leticia;  Arroyo  Montes,  Carmen</w:t>
        <w:br/>
        <w:t>Liliana; Arroyo Villa Vda. de Arriola, Hilda  Teresa;  Asencios  Ramírez  De</w:t>
        <w:br/>
        <w:t>Cuneo, María Emma; Bacigalupo Hurtado De Salgado, María Cristina;  Balabarca</w:t>
        <w:br/>
        <w:t>Morales,  Rosa  Elvira;  Banda  De  Palacios,  Josefa  Eusebia;  Barandiarán</w:t>
        <w:br/>
        <w:t>Ibáñez,  Germán  Julio  César;  Barreda  Espinoza,  Gerardo  Adán;  Beaumont</w:t>
        <w:br/>
        <w:t>Callirgos, Fortunata Raquel; Becerra Quiroz, Delia;  Becerra  Quiroz,  Julia</w:t>
        <w:br/>
        <w:t>Auristela; Begazo Mansisidor, Roberto Isidoro;  Beltrán  Paz  De  Vega,  Ana</w:t>
        <w:br/>
        <w:t>María Vicente; Berríos  Berríos,  Martha  María  Antonieta;  Berrocal  Soto,</w:t>
        <w:br/>
        <w:t>Vladimiro  Jesús;  Blas  Moreno,  Carmen;  Blotte  Adams,  Manuel   Edmundo;</w:t>
        <w:br/>
        <w:t>Bojorquez Gonzáles,  Dalton  Jesús;  Borrero  Briceño,  Julio  Cesar;  Bravo</w:t>
        <w:br/>
        <w:t>Torres, Enrique; Cabrera Jurado, Leoncio Ruperto;  Cadenillas  Gálvez,  Luis</w:t>
        <w:br/>
        <w:t>Francisco;  Cahua  Bernales,  Juan  Antonio;  Calderón   Escala,   Francisco</w:t>
        <w:br/>
        <w:t>Armando; Campos  Sotelo,  Héctor  Ciro;  Candela  Vasallo,  Héctor  Oswaldo;</w:t>
        <w:br/>
        <w:t>Cárdenas Abarca, Saúl Edmundo; Carmelino Del Carpio  Deli,  Liliana;  Carpio</w:t>
        <w:br/>
        <w:t>Valdivia, Carmen Jacinto; Carranza Espinoza, Pedro Víctor; Carranza  Guerra,</w:t>
        <w:br/>
        <w:t>Jaime Leoncio; Carrasco Valencia, Reneé Javier; Carrillo  Salinas,  Enrique;</w:t>
        <w:br/>
        <w:t>Carrión Martínez, Pedro Antonio; Castagneto Vélez, Juan  Antonio;  Castañeda</w:t>
        <w:br/>
        <w:t>Acevedo, Manuel Segundo; Castilla Meza,  Jorge  Clímaco;  Castro  Contreras,</w:t>
        <w:br/>
        <w:t>Jaime Raúl; Castro Zapata, Norberto; Cavassa Urquiaga,  Juana  María;  Celis</w:t>
        <w:br/>
        <w:t>Cairo, César Manuel; Centurión Marchena De Ramírez, Carmen Isabel;  Céspedes</w:t>
        <w:br/>
        <w:t>Romero, Manuel; Chamorro Díaz De Bezir, María Del  Carmen;  Chapoñán  Prada,</w:t>
        <w:br/>
        <w:t>Ricardo; Chávez Del Carpio, Genaro Remigio; Chicoma Mendoza,  Juan  Vicente;</w:t>
        <w:br/>
        <w:t>Choza  Nosiglia,  Fernando;  Chumpitaz  Huapaya,  José  Hugo  Félix;   Chura</w:t>
        <w:br/>
        <w:t>Quisocala, Germán Amadeo; Collantes Sora, César Daniel;  Cortes  De  Durand,</w:t>
        <w:br/>
        <w:t>Sofía; Cuadros Valdivia, Gregorio Hipólito; Cubas  Castillo,  Martha;  Cuiro</w:t>
        <w:br/>
        <w:t>Jaimes, Mariano; Dávila Ramos, Pablo; Dawson  Vásquez,  Harry;  De  La  Cruz</w:t>
        <w:br/>
        <w:t>Arteta, José Enrique; Defilippi Vda. de Queirolo, Adela;  Delgado  Gorvenia,</w:t>
        <w:br/>
        <w:t>Frida  Eriberta;  Delgado  Vega,  Roberto  Alfredo;  Dextre  Dextre,  Víctor</w:t>
        <w:br/>
        <w:t>Manuel;  Dueñas  Aristizábal,  Antonio  Pelagio;  Egúsquiza   Flores,   José</w:t>
        <w:br/>
        <w:t>Wilfredo; Escobar Salas, José Santiago; Escudero De  Beraun,  Nelly;  Espejo</w:t>
        <w:br/>
        <w:t>Vivanco, María Luz;  Espinoza  Zazzali,  Moisés  Ernesto;  Falcón  Carbajal,</w:t>
        <w:br/>
        <w:t>Guillermo; Falconi  Delboy,  Mercedes  Gabriela;  Faustino  Tataje,  Fermín;</w:t>
        <w:br/>
        <w:t>Ferreccio Alejos, Elsa Mirtha;  Ferrel  Ayma,  Claudio;  Figueroa  Guerrero,</w:t>
        <w:br/>
        <w:t>Elmer Enrique;  Figueroa  Pozo,  Doris  María  Flora;  Flores  Konja,  Julio</w:t>
        <w:br/>
        <w:t>Vicente; Flores Ojeda De Pérez, Blanca Nélida; Gala Conislla, Roque;  Galvez</w:t>
        <w:br/>
        <w:t>Martínez De Talledo, Mirella Teresa; García Flores,  César  Augusto;  García</w:t>
        <w:br/>
        <w:t>Mendoza, Rafael Francisco; García Salvatecci, Carmen Rosa; García  y  García</w:t>
        <w:br/>
        <w:t>De Gómez, Nélida;  Gómez  Córdova,  Juan  Aníbal;  Gonzáles  Miranda,  Luis;</w:t>
        <w:br/>
        <w:t>Gotuzzo Romero, Mario Bartolomé; Gutiérrez García, Darío  Alejandro;  Guzmán</w:t>
        <w:br/>
        <w:t>Rodríguez, Jorge Segundo; Hernández Cotrina,  Amado;  Hernández  Fernandini,</w:t>
        <w:br/>
        <w:t>Constanza; Hernando Galvez, José Antonio; Herrera Meza, José Santos;  Huamán</w:t>
        <w:br/>
        <w:t>Effio De Revilla, Mirtha Luz;  Huamán  Huillca,  Valerio  Francisco;  Ibarra</w:t>
        <w:br/>
        <w:t>Márquez,  Juan  Amador;  Icochea  Arroyo,  José  Félix;  Ishiyama  Cervantes</w:t>
        <w:br/>
        <w:t>Miguel; Iturregui Santoyo,  Pedro  Gonzalo;  Iturrizaga  Arredondo,  Rafael;</w:t>
        <w:br/>
        <w:t>Jiménez Lumbreras, Mauro Esteban; Lam Sánchez  De  Torres,  Consuelo;  Lamas</w:t>
        <w:br/>
        <w:t>Vargas, Julia Elvira; Lazarte Terry,  Máximo  Ernesto;  Lazo  Loayza,  Dante</w:t>
        <w:br/>
        <w:t>Eusebio; Lazo Zegarra, Nora Ruth; Leau Caballero De Herrera, Betty  Eudocia;</w:t>
        <w:br/>
        <w:t>Libaque Villanueva, Manuel Isaac; Linares Ruiz, María Ilmer;  López  Rubiños</w:t>
        <w:br/>
        <w:t>De Rivero, Nelly Esperanza; López Solórzano Vda.  de  Sunico,  Rosa  Judith;</w:t>
        <w:br/>
        <w:t>López Rubiños, Jorge Percy; Lora  Cortinez,  Juan;  Lucero  Álvarez,  Manuel</w:t>
        <w:br/>
        <w:t>Gerónimo; Lucero  Palomares,  Abraham;  Luna  Heredia  De  Rodríguez,  María</w:t>
        <w:br/>
        <w:t>Maruja Elvira; Macchiavello Leon  Vda.  de  León,  Teresa  Yolanda;  Manyari</w:t>
        <w:br/>
        <w:t>Palacios, Guido Alberto; Marin Gil, Juan; Martínez Marin,  Alicia;  Martínez</w:t>
        <w:br/>
        <w:t>Estremadoyro, Juan Bautista;  Martínez  Hubner,  Fernando  Marcos;  Martínez</w:t>
        <w:br/>
        <w:t>Torres, Raúl Domingo; Matos  Huanes,  Carlos  Alberto;  Medina  Morán,  Juan</w:t>
        <w:br/>
        <w:t>José; Mejía  Montes,  Félix  Espimaco;  Meléndez  Meléndez,  Rita;  Meléndez</w:t>
        <w:br/>
        <w:t>Hidalgo De Bojorquez, Nora Angelina; Meléndez Romani, Jesús; Melgar  Medina,</w:t>
        <w:br/>
        <w:t>Jesús M.; Menéndez Butrón, Judith Damiana; Mercado,  Luis  Fernando;  Merino</w:t>
        <w:br/>
        <w:t>Sánchez, Eduardo;  Mesías  Sandoval,  Vidal  Hernán;  Meza  Gamarra,  Arturo</w:t>
        <w:br/>
        <w:t>Higinio; Meza Ingar, Patricia Edelmira; Miranda Roldán, Rosa  Luz;  Miyasato</w:t>
        <w:br/>
        <w:t>Higa Vda. de Kamisato,  Victoria  Alejandrina;  Mondragón  Roncal,  Fernando</w:t>
        <w:br/>
        <w:t>Eleuterio; Monsante Ramírez, César; Montero Garavito,  Guillermina;  Montero</w:t>
        <w:br/>
        <w:t>Vargas, Edgardo Demetrio;  Montoya  Villalobos,  Carlos  Alejandro;  Morales</w:t>
        <w:br/>
        <w:t>Chavarría, Samuel Enrique; Morales Martínez, Ángel;  Moreno  Dorado,  Blanca</w:t>
        <w:br/>
        <w:t>Frida; Mostajo Colzani, Manuel Fernando; Mueras Orcon, Lucio;  Muñoz  Pardo,</w:t>
        <w:br/>
        <w:t>Edgardo; Navarro Quispe De Morales, Julia  Ricardina;  Negri  Cabrera,  Otto</w:t>
        <w:br/>
        <w:t>Alberto; Neyra Castro, Luis Mauro; Neyra Ríos, Marina; Niño  García,  Víctor</w:t>
        <w:br/>
        <w:t>Raúl; Ochoa Ochoa, Pedro; Odría Bastas, Víctor Manuel; Odría Torres  Víctor;</w:t>
        <w:br/>
        <w:t>Ojeda Sánchez, Luis Octavio; Olaechea Granda, Luis  Adolfo;  Ormeño  Wilson,</w:t>
        <w:br/>
        <w:t>Julio Eduardo; Oropeza Guía, Leonardo; Padilla Gonzáles De Gordillo,  Irene;</w:t>
        <w:br/>
        <w:t>Paredes  Tapia,  Eugenia  Martha;  Peña  Ugarte,  Juan   Manuel;   Peñaranda</w:t>
        <w:br/>
        <w:t>Portugal, Percy; Pérez Gallegos, Gabriel; Pérez Rosales, José Manuel;  Pérez</w:t>
        <w:br/>
        <w:t>Ugarte, Urbana Eugenia; Portugal Vizcarra, José Antonio; Pozo Calva,  Gabino</w:t>
        <w:br/>
        <w:t>Ulises; Pozo Vega, Luis Daniel; Quinde  Villacrez,  Edgardo;  Quiroz  Arata,</w:t>
        <w:br/>
        <w:t>Juan; Ramírez Gandini, César Manuel; Reátegui Noriega, Nancy; Ríos  Nash  De</w:t>
        <w:br/>
        <w:t>Reátegui, María Teresa; Rivera Dávalos, Julio César; Robles Freyre  Vda.  de</w:t>
        <w:br/>
        <w:t>Kajatt, María Victoria; Rodríguez Balbuena, Edilberto;  Rodríguez  Vildosola</w:t>
        <w:br/>
        <w:t>Vda.  de  Cussianovich,  María  Zulema;  Rodríguez  Yépez,  Laura  Angélica;</w:t>
        <w:br/>
        <w:t>Rodríguez Zarzosa, Pablo  Víctor;  Romero  Maceda,  Ricardo  Héctor;  Romero</w:t>
        <w:br/>
        <w:t>Pacora, Jesús; Romero Vivanco, Judith María Del Rosario;  Rosario  Chirinos,</w:t>
        <w:br/>
        <w:t>Marcos; Ruiz Botto, José Guillermo; Saenz  Arana,  Luz  Aurea;  Salas  Luna,</w:t>
        <w:br/>
        <w:t>Ulderico; Salazar Souza Ferreyra, César Enrique; Salinas  De  Córdova,  Elsa</w:t>
        <w:br/>
        <w:t>Luisa; San Román Vda.  De  Riquelme,  Luz;  Sánchez  Canelo,  José  Edmundo;</w:t>
        <w:br/>
        <w:t>Sánchez  Huarcaya,  Luisa  Flora;  Sánchez  Quiñónez,  Juan  Zenobio;  Sanez</w:t>
        <w:br/>
        <w:t>Gárate,  Betty  Soledad;  Santamaría  Vidaurre,  César  Augusto;   Santayana</w:t>
        <w:br/>
        <w:t>Valdivia, Atilio; Seperack G.  De  Caro,  Rosa;  Serrano  Mendieta,  Valerio</w:t>
        <w:br/>
        <w:t>Humberto;  Sevilla  Aspillaga,  Guillermo  Eduardo;  Sifuentes  Del  Águila,</w:t>
        <w:br/>
        <w:t>Leoncio Oswaldo; Sigarrostegui Bindels De  Gonzáles,  Norma;  Solis  Romero,</w:t>
        <w:br/>
        <w:t>Jaime Juan; Sosa Castillo, Julio  Edmundo;  Soto  Bautista,  Emilio  Felipe;</w:t>
        <w:br/>
        <w:t>Taboada Morales, César Hugo; Tapia Campos,  Antero  Santiago;  Taquia  Vila,</w:t>
        <w:br/>
        <w:t>Víctor; Tavara  Ocaña  De  Ruiz,  Herminia   Beatriz;  Terán  Suárez,  Félix</w:t>
        <w:br/>
        <w:t>Enrique; Tolentino Zagal, Rossana; Tompson Ortega,  Andrés  Avelino;  Torres</w:t>
        <w:br/>
        <w:t>Rodríguez, Mario Simón; Trujillo Rodríguez, Raquel; Ubillus  Martino,  Mario</w:t>
        <w:br/>
        <w:t>Pastor; Ugarte Alarcón, Alberto Walter;  Urrelo  Moreno  De  Cardich,  Rosa;</w:t>
        <w:br/>
        <w:t>Valencia Amador, Elizabeth Milagro; Valencia  Pacheco  De  Cárdenas,  Blanca</w:t>
        <w:br/>
        <w:t>Concepción; Valverde Bernal, Adolfo; Vargas Calvo,  Alberto;  Vargas  Giles,</w:t>
        <w:br/>
        <w:t>Juan Augusto; Vargas Prieto Vda. de Barcelli, María  Esther;  Vargas  Salas,</w:t>
        <w:br/>
        <w:t>Cosme Marino; Vargas Salazar, Enrique Eduardo; Vargas  Salinas,  Eileen  G.;</w:t>
        <w:br/>
        <w:t>Vásquez Del Castillo, Elena; Vega  Alarcón,  César  Augusto;  Vela  Lazo  De</w:t>
        <w:br/>
        <w:t>Peralta, Consuelo Emperatriz; Velarde Falcón, Amelia  Juana;  Velásquez  Del</w:t>
        <w:br/>
        <w:t>Carpio, César; Vicuña  Arias  De  Valdez,  Edelmira;  Villalobos  Rodríguez,</w:t>
        <w:br/>
        <w:t>Marcos;  Villanueva  Ipanaque,  Carmen  Isabel;  Vitkovic   Trujiilo,   José</w:t>
        <w:br/>
        <w:t>Baltasar; Vizcaya Jáuregui, Nicolás Ramiro; Yap Cruz, José Leoncio;  Yarasca</w:t>
        <w:br/>
        <w:t>Montano,  Pedro  Lucio;  Yong  Flores,  Raúl;   Zapata   Barrientos,   Pedro</w:t>
        <w:br/>
        <w:t>Sigifredo; Zapata Benites, Alberto; Zavala  Rivera,  Víctor  Manuel;  Zavala</w:t>
        <w:br/>
        <w:t>Torres, Dora Jasmine; Zevallos Alzamora, Olga Cecilia,  y  Zuloeta  Camacho,</w:t>
        <w:br/>
        <w:t>Ángel.</w:t>
        <w:br/>
        <w:br/>
        <w:br/>
        <w:t>[6]   Las 22 presuntas víctimas que no otorgaron poder de representación  al</w:t>
        <w:br/>
        <w:t>señor Javier Mujica  Petit  son:  Agüero  Ayala,  Zósimo;  Aguilar  Arévalo,</w:t>
        <w:br/>
        <w:t>Augusto Marcos; Banda De Palacios, Josefa Eusebia; Berríos  Berríos,  Martha</w:t>
        <w:br/>
        <w:t>María  Antonieta;  Blas  Moreno,  Carmen;  Cárdenas  Abarca,  Saúl  Edmundo;</w:t>
        <w:br/>
        <w:t>Chapoñan Prada, Ricardo; Defilippi Vda. de Queirolo, Adela; Falconi  Delboy,</w:t>
        <w:br/>
        <w:t>Mercedes Gabriela; García Mendoza, Rafael Francisco;  Iturrizaga  Arredondo,</w:t>
        <w:br/>
        <w:t>Rafael; Jiménez Lumbreras, Mauro Esteban; Lora Cortínez,  Juan;  Marín  Gil,</w:t>
        <w:br/>
        <w:t>Juan;  Montero  Garabito,  Guillermina;  Morales  Martínez,  Ángel;   Moreno</w:t>
        <w:br/>
        <w:t>Dorado, Blanca Frida; Odría Torres,  Víctor  Manuel;  Ormeño  Wilson,  Julio</w:t>
        <w:br/>
        <w:t>Eduardo; Pérez Ugarte, Urbana Eugenia; Sigarrostegui  Bindels  de  González,</w:t>
        <w:br/>
        <w:t>Norma, y Vargas Prieto Vda. de Barcelli, María Esther.</w:t>
        <w:br/>
        <w:br/>
        <w:br/>
        <w:br/>
        <w:t>[7]   Cuando se notificó la demanda al  Estado,  se  le  informó  que  podía</w:t>
        <w:br/>
        <w:t>designar un juez ad  hoc  para  que  participara  en  la  consideración  del</w:t>
        <w:br/>
        <w:t>presente caso.</w:t>
        <w:br/>
        <w:br/>
        <w:br/>
        <w:t>[8]   Resolución emitida por la Presidenta de la Corte Interamericana  el  5</w:t>
        <w:br/>
        <w:t>de diciembre de 2008.</w:t>
        <w:br/>
        <w:br/>
        <w:br/>
        <w:t>[9]   Las siguientes personas estuvieron presentes en la audiencia  pública:</w:t>
        <w:br/>
        <w:t>a)  por  la  Comisión  Interamericana:  Elizabeth  Abi-Mershed,   Secretaria</w:t>
        <w:br/>
        <w:t>Adjunta; Juan Pablo Albán A., asesor; Lilly Ching Soto, especialista  de  la</w:t>
        <w:br/>
        <w:t>Secretaría Ejecutiva,  y  Silvia  Serrano,  especialista  de  la  Secretaría</w:t>
        <w:br/>
        <w:t>Ejecutiva; b) por las presuntas víctimas y el representante:  Javier  Mujica</w:t>
        <w:br/>
        <w:t>Petit, representante de las presuntas víctimas; Isabel Zoila  Acevedo  León,</w:t>
        <w:br/>
        <w:t>presunta víctima y presidenta  de  la  Asociación  Nacional  de  Cesantes  y</w:t>
        <w:br/>
        <w:t>Jubilados de la Contraloría General de la República;  Luis  Adolfo  Olaechea</w:t>
        <w:br/>
        <w:t>Granda, presunta víctima y  vicepresidente  de  la  Asociación  Nacional  de</w:t>
        <w:br/>
        <w:t>Cesantes y Jubilados de la Contraloría General  de  la  República,  y  María</w:t>
        <w:br/>
        <w:t>Cristina Bacigalupo de Salgado, presunta víctima y Asesora de  la  Directiva</w:t>
        <w:br/>
        <w:t>de la Asociación Nacional de Cesantes y Jubilados de la Contraloría  General</w:t>
        <w:br/>
        <w:t>de la República, y c) por el Estado: Delia Muñoz Muñoz, Procuradora  Pública</w:t>
        <w:br/>
        <w:t>Especializada Supranacional del Sistema  de  Defensa  Jurídica  del  Estado;</w:t>
        <w:br/>
        <w:t>Rosa  María  Silva  Hurtado,  Secretaria  Técnica  del  Consejo  de  Defensa</w:t>
        <w:br/>
        <w:t>Jurídica del Estado; Edgar Alarcón Tejada, Gerente General  del  Consejo  de</w:t>
        <w:br/>
        <w:t>Defensa  Jurídica  del  Estado,  y  Héctor  Maldonado  Montalvo,  Procurador</w:t>
        <w:br/>
        <w:t>Adjunto de la Contraloría General de la República.</w:t>
        <w:br/>
        <w:br/>
        <w:br/>
        <w:br/>
        <w:br/>
        <w:br/>
        <w:t>[10]  Cfr. Caso Ivcher Bronstein Vs. Perú. Competencia. Sentencia de  24  de</w:t>
        <w:br/>
        <w:t>septiembre de 1999. Serie C No. 54, párrs. 32 y 34; Caso Heliodoro  Portugal</w:t>
        <w:br/>
        <w:t>Vs.  Panamá.  Excepciones  Preliminares,  Fondo,  Reparaciones   y   Costas.</w:t>
        <w:br/>
        <w:t>Sentencia de 12 de agosto de 2008. Serie C No. 186, párr. 23, y Caso  García</w:t>
        <w:br/>
        <w:t>Prieto y otros Vs. El Salvador. Excepción Preliminar, Fondo, Reparaciones  y</w:t>
        <w:br/>
        <w:t>Costas. Sentencia de 20 de noviembre de 2007. Serie C No. 168, párr. 38.</w:t>
        <w:br/>
        <w:br/>
        <w:br/>
        <w:t>[11]  Cfr. Caso Velásquez Rodríguez Vs. Honduras. Excepciones  Preliminares.</w:t>
        <w:br/>
        <w:t>Sentencia de 26 de junio de 1987. Serie C No. 1, párr. 29, y Caso de los  19</w:t>
        <w:br/>
        <w:t>Comerciantes Vs. Colombia. Excepción Preliminar. Sentencia de  12  de  junio</w:t>
        <w:br/>
        <w:t>de 2002. Serie C No. 93, párr. 27.</w:t>
        <w:br/>
        <w:br/>
        <w:t>[12]  Cfr. Caso Velásquez Rodríguez, supra nota 11, párr. 88;  Caso  Bayarri</w:t>
        <w:br/>
        <w:t>Vs.  Argentina.  Excepción  Preliminar,  Fondo,   Reparaciones   y   Costas.</w:t>
        <w:br/>
        <w:t>Sentencia de 30 de octubre de 2008. Serie  C  No.  187,  párr.  16,  y  Caso</w:t>
        <w:br/>
        <w:t>Heliodoro Portugal, supra nota 10, párr. 14.</w:t>
        <w:br/>
        <w:br/>
        <w:t>[13]  Cfr. Caso  de  la  “Panel  Blanca”  (Paniagua  Morales  y  otros)  Vs.</w:t>
        <w:br/>
        <w:t>Guatemala. Fondo. Sentencia de 8 de marzo de 1998. Serie  C  No.  37,  párr.</w:t>
        <w:br/>
        <w:t>76; Caso  Kawas  Fernández  Vs.  Honduras.  Fondo,  Reparaciones  y  Costas.</w:t>
        <w:br/>
        <w:t>Sentencia de 3 de abril de 2009. Serie C No. 196, párr. 36, y Caso Perozo  y</w:t>
        <w:br/>
        <w:t>otros  Vs.  Venezuela.  Excepciones  Preliminares,  Fondo,  Reparaciones   y</w:t>
        <w:br/>
        <w:t>Costas. Sentencia de 28 de enero de 2009. Serie C No. 195, párr. 91.</w:t>
        <w:br/>
        <w:br/>
        <w:br/>
        <w:t>[14]  Resolución emitida por la Presidenta de la Corte, supra nota 8.</w:t>
        <w:br/>
        <w:br/>
        <w:br/>
        <w:t>[15]  Cfr. Caso Velásquez Rodríguez Vs. Honduras. Fondo. Sentencia de 29  de</w:t>
        <w:br/>
        <w:t>julio de 1988. Serie C No. 4, párr. 140; Caso Kawas  Fernández,  supra  nota</w:t>
        <w:br/>
        <w:t>13, párr. 39, y Caso Perozo y otros, supra nota 13, párr. 94.</w:t>
        <w:br/>
        <w:br/>
        <w:t>[16]  El  representante  remitió  la  siguiente  prueba:  a)  la  Resolución</w:t>
        <w:br/>
        <w:t>expedida por la Sexta Sala Civil de la Corte Superior de Lima, de  fecha  27</w:t>
        <w:br/>
        <w:t>de noviembre de 2008 y notificada a la Asociación de  Cesantes  y  Jubilados</w:t>
        <w:br/>
        <w:t>el 8 de enero de 2009; b) copia de las Leyes Nos. 28046 y 28047, citadas  en</w:t>
        <w:br/>
        <w:t>la referida resolución de 27 de noviembre de 2008; c) copia  del  Reglamento</w:t>
        <w:br/>
        <w:t>de la Ley No.  28046,  también  relacionado  con  la  resolución  de  27  de</w:t>
        <w:br/>
        <w:t>noviembre de 2008, y d) copia de la sentencia  del  Tribunal  Constitucional</w:t>
        <w:br/>
        <w:t>del Perú de fecha 20 de septiembre de 2004 citada por la  Sexta  Sala  Civil</w:t>
        <w:br/>
        <w:t>de la Corte Superior de Lima en su Resolución de fecha 27  de  noviembre  de</w:t>
        <w:br/>
        <w:t>2008. Por su parte, el Estado remitió la siguiente  prueba:  Resolución  No.</w:t>
        <w:br/>
        <w:t>266, de fecha 1 de julio de 2008 (notificada el 24 de  diciembre  de  2008);</w:t>
        <w:br/>
        <w:t>Resolución No. 291, de fecha 12 de diciembre de 2008;  Resolución  No.  296,</w:t>
        <w:br/>
        <w:t>de fecha 30 de diciembre de 2008; Resolución No. 298, de fecha  9  de  enero</w:t>
        <w:br/>
        <w:t>de 2009; Escrito de fecha 13 de enero de 2009 presentado por la  Procuradora</w:t>
        <w:br/>
        <w:t>Pública de la Contraloría General de la República; Resolución  No.  299,  de</w:t>
        <w:br/>
        <w:t>fecha 14 de enero de 2009, y Resolución No. 300, de fecha  15  de  enero  de</w:t>
        <w:br/>
        <w:t>2009.</w:t>
        <w:br/>
        <w:br/>
        <w:t>[17]  En el Anexo 4, la “Resolución Judicial N° 152 de fecha 19 de julio  de</w:t>
        <w:br/>
        <w:t>2006”; en el Anexo 5, el “Oficio N° 692-2007-JUZ/CNDH-SE” de 26 de abril  de</w:t>
        <w:br/>
        <w:t>2007; en el Anexo 6, el “Oficio N° 247-2006-CG/RH” de 17 de junio  de  2006,</w:t>
        <w:br/>
        <w:t>y en el Anexo 7, una copia de las “declaraciones de  la  Jefa  de  la  SUNAT</w:t>
        <w:br/>
        <w:t>([publicadas en dos] diarios [peruanos,] PERÚ 21 y GESTIÓN del 17  de  enero</w:t>
        <w:br/>
        <w:t>de 2009)”.</w:t>
        <w:br/>
        <w:br/>
        <w:t>[18]  Cfr. Caso Velásquez Rodríguez, supra nota 15, párr.  146;  Caso  Kawas</w:t>
        <w:br/>
        <w:t>Fernández, supra nota 13, párr. 43, y Caso Perozo y otros,  supra  nota  13,</w:t>
        <w:br/>
        <w:t>párr. 101.</w:t>
        <w:br/>
        <w:br/>
        <w:br/>
        <w:t>[19]  El artículo 25.1 de la Convención señala  que  “[t]oda  persona  tiene</w:t>
        <w:br/>
        <w:t>derecho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 sus  funciones  oficiales”.  Por  su  parte,  el</w:t>
        <w:br/>
        <w:t>artículo 25.2.c  establece  que  “Los  Estados  se  comprometen:  […]  c)  a</w:t>
        <w:br/>
        <w:t>garantizar  el  cumplimiento,  por  las  autoridades  competentes,  de  toda</w:t>
        <w:br/>
        <w:t>decisión en que se haya estimado procedente el recurso.”</w:t>
        <w:br/>
        <w:br/>
        <w:br/>
        <w:t>[20]  El artículo 21.1 y  21.2  (Derecho  a  la  Propiedad  Privada)  de  la</w:t>
        <w:br/>
        <w:t>Convención estipula que:</w:t>
        <w:br/>
        <w:br/>
        <w:br/>
        <w:t xml:space="preserve">      […] Toda persona tiene derecho al uso y goce de sus  bienes.   La  ley</w:t>
        <w:br/>
        <w:t xml:space="preserve">      puede subordinar tal uso y goce al interés social.</w:t>
        <w:br/>
        <w:br/>
        <w:br/>
        <w:t xml:space="preserve">      […] Ninguna persona puede ser privada de sus bienes, excepto  mediante</w:t>
        <w:br/>
        <w:t xml:space="preserve">      el pago de indemnización justa, por razones de utilidad pública  o  de</w:t>
        <w:br/>
        <w:t xml:space="preserve">      interés social y en los casos y según las formas establecidas  por  la</w:t>
        <w:br/>
        <w:t xml:space="preserve">      ley.</w:t>
        <w:br/>
        <w:br/>
        <w:br/>
        <w:t xml:space="preserve">      […]</w:t>
        <w:br/>
        <w:br/>
        <w:br/>
        <w:t>[21]   El  artículo  1.1  (Obligación  de  Respetar  los  Derechos)  de   la</w:t>
        <w:br/>
        <w:t>Convención dispone: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 […]</w:t>
        <w:br/>
        <w:br/>
        <w:br/>
        <w:t>[22]  El Decreto Ley 19990 precisa que el monto de la  Pensión  Mínima  para</w:t>
        <w:br/>
        <w:t>el Régimen de este Decreto Ley recae sobre las pensiones percibidas  con  un</w:t>
        <w:br/>
        <w:t>mínimo de 20 años de aportación al Sistema Nacional de Pensiones.</w:t>
        <w:br/>
        <w:br/>
        <w:br/>
        <w:t>[23]  Sentencia de 9 de julio de  1993  del  Sexto  Juzgado  Civil  de  Lima</w:t>
        <w:br/>
        <w:t>(Expediente de anexos a la demanda, Anexo 4.1, tomo 6, folios 1651-1656).</w:t>
        <w:br/>
        <w:br/>
        <w:br/>
        <w:t>[24]  El artículo 37 de la Ley de Habeas Corpus y Amparo de 8  de  diciembre</w:t>
        <w:br/>
        <w:t>de 1982 establece que “[e]l ejercicio de la acción de Amparo  caduca  a  los</w:t>
        <w:br/>
        <w:t>sesenta días hábiles de producida la afectación, siempre que el  interesado,</w:t>
        <w:br/>
        <w:t>en aquella fecha, se hubiese hallado en  la  posibilidad  de  interponer  la</w:t>
        <w:br/>
        <w:t>acción. Si en dicha  fecha  esto  no  hubiese  sido  posible,  el  plazo  se</w:t>
        <w:br/>
        <w:t>computará desde el momento de la remoción del impedimento”.</w:t>
        <w:br/>
        <w:br/>
        <w:br/>
        <w:t>[25]  Sentencia de 14  de  diciembre  de  1993  de  la  Primera  Sala  Civil</w:t>
        <w:br/>
        <w:t>Especializada de la Corte  Superior  de  Justicia  de  Lima  (Expediente  de</w:t>
        <w:br/>
        <w:t>anexos a la demanda, Anexo 4.2, tomo 6, folio 1660).</w:t>
        <w:br/>
        <w:br/>
        <w:br/>
        <w:t>[26]  Sentencia de 14  de  diciembre  de  1993  de  la  Primera  Sala  Civil</w:t>
        <w:br/>
        <w:t>Especializada de la Corte Superior  de  Justicia  de  Lima,  supra  nota  25</w:t>
        <w:br/>
        <w:t>(folio 1659).</w:t>
        <w:br/>
        <w:br/>
        <w:br/>
        <w:t>[27]  Sentencia de 21 de octubre de 1997  del  Tribunal  Constitucional  del</w:t>
        <w:br/>
        <w:t>Perú (Expediente de anexos a la demanda, Anexo  4.3,  tomo  6,  folio  1663,</w:t>
        <w:br/>
        <w:t>fundamento No. 4).</w:t>
        <w:br/>
        <w:br/>
        <w:br/>
        <w:t>[28]  Sentencia de 21 de octubre de 1997  del  Tribunal  Constitucional  del</w:t>
        <w:br/>
        <w:t>Perú, supra nota 27 (folio 1663, fundamento No. 5).</w:t>
        <w:br/>
        <w:br/>
        <w:br/>
        <w:t>[29]  Resoluciones de 17 de junio, 15 de julio y 14  de  diciembre  de  1998</w:t>
        <w:br/>
        <w:t>del Primer Juzgado Corporativo Transitorio Especializado de Derecho  Público</w:t>
        <w:br/>
        <w:t>de la Corte Superior  de  Justicia  de  Lima  (Expediente  de  anexos  a  la</w:t>
        <w:br/>
        <w:t>demanda, Anexo 4.4, tomo 6, folios 1678-1679 y 1720).</w:t>
        <w:br/>
        <w:br/>
        <w:br/>
        <w:t>[30]   Resolución  de  12  de  febrero  de  1999  de  la  Sala   Corporativa</w:t>
        <w:br/>
        <w:t>Transitoria Especializada  en  Derecho  Público  de  la  Corte  Superior  de</w:t>
        <w:br/>
        <w:t>Justicia de Lima (Expediente de anexos a la  demanda,  Anexo  4.5,  tomo  6,</w:t>
        <w:br/>
        <w:t>folios 1681-1682).</w:t>
        <w:br/>
        <w:br/>
        <w:br/>
        <w:t>[31]  Demanda de Acción de Amparo  presentada  por  las  presuntas  víctimas</w:t>
        <w:br/>
        <w:t>ante el Presidente de  la  Sala  Corporativa  Transitoria  Especializada  de</w:t>
        <w:br/>
        <w:t>Derecho Público (Expediente de anexos a la demanda, Anexo No. 4.6,  tomo  6,</w:t>
        <w:br/>
        <w:t>folios 1685-1715).</w:t>
        <w:br/>
        <w:br/>
        <w:br/>
        <w:t>[32]  Sentencia de 26 de enero de 2001 del Tribunal Constitucional del  Perú</w:t>
        <w:br/>
        <w:t>(Expediente de anexos a la demanda, Anexo No.  4.7,  tomo  6,  folios  1719-</w:t>
        <w:br/>
        <w:t>1722).</w:t>
        <w:br/>
        <w:br/>
        <w:br/>
        <w:t>[33]  Resolución de Administración No. 022-2001-CG/190 de  29  de  marzo  de</w:t>
        <w:br/>
        <w:t>2001 (Expediente de anexos a la demanda, Anexo No. 4.8, tomo 6, folios 1724-</w:t>
        <w:br/>
        <w:t>1729).</w:t>
        <w:br/>
        <w:br/>
        <w:t>[34]  Cfr. Informe Nº 237-2004-EF/76.14, Ministerio de Economía y  Finanzas,</w:t>
        <w:br/>
        <w:t>Dirección  Nacional  del  Presupuesto  Público,  21  de  octubre   de   2004</w:t>
        <w:br/>
        <w:t>(Expediente de anexos a la demanda, Anexo 1.24, Tomo 2, folio 412).</w:t>
        <w:br/>
        <w:br/>
        <w:t>[35]  Cfr. Ley N( 28389, publicada en el Diario Oficial “El Peruano”  el  17</w:t>
        <w:br/>
        <w:t>de noviembre de 2004, y Ley N( 28449, publicada el 30 de diciembre  de  2004</w:t>
        <w:br/>
        <w:t>(Expediente de anexos a la demanda, Anexo 2.8, Tomo 2, folios 598 a 601).</w:t>
        <w:br/>
        <w:br/>
        <w:t>[36]        El Artículo 42º  “Ejecución  de  obligaciones  de  dar  suma  de</w:t>
        <w:br/>
        <w:t>dinero”  de  la  Ley  Nº  27584  (Ley  que  regula  el  proceso  contencioso</w:t>
        <w:br/>
        <w:t>administrativo) fue modificado por el Artículo 1º de la Ley  N°  27684  (Ley</w:t>
        <w:br/>
        <w:t>que modifica artículos de la Ley N°  27584  y  crea  una  comisión  especial</w:t>
        <w:br/>
        <w:t>encargada  de  evaluar  la  atención  de   las   deudas   de   los   pliegos</w:t>
        <w:br/>
        <w:t>presupuestales), que dispone lo siguiente:</w:t>
        <w:br/>
        <w:t xml:space="preserve">      Sustitúyese el Artículo 42º de la Ley Nº 27584, promulgada  el  22  de</w:t>
        <w:br/>
        <w:t xml:space="preserve">      noviembre de 2001, a cuya vigencia, su texto será el siguiente:</w:t>
        <w:br/>
        <w:t xml:space="preserve">      “Artículo 42º. – Ejecución de obligaciones de dar suma de dinero</w:t>
        <w:br/>
        <w:t xml:space="preserve">      Las sentencias en calidad de cosa juzgada que ordenen el pago de  suma</w:t>
        <w:br/>
        <w:t xml:space="preserve">      de dinero, serán  atendidas  única  y  exclusivamente  por  el  Pliego</w:t>
        <w:br/>
        <w:t xml:space="preserve">      Presupuestario en donde se generó la deuda, bajo  responsabilidad  del</w:t>
        <w:br/>
        <w:t xml:space="preserve">      Titular del Pliego, y  su  cumplimiento  se  hará  de  acuerdo  a  los</w:t>
        <w:br/>
        <w:t xml:space="preserve">      procedimientos que a continuación se señalan:</w:t>
        <w:br/>
        <w:t xml:space="preserve">      42.1  La Oficina General de Administración o la que haga sus veces del</w:t>
        <w:br/>
        <w:t xml:space="preserve">           Pliego Presupuestario  requerido  deberá  proceder  conforme  al</w:t>
        <w:br/>
        <w:t xml:space="preserve">           mandato judicial y dentro del marco  de  las  leyes  anuales  de</w:t>
        <w:br/>
        <w:t xml:space="preserve">           presupuesto.</w:t>
        <w:br/>
        <w:t xml:space="preserve">      42.2  En el caso de que  para  el  cumplimiento  de  la  sentencia  el</w:t>
        <w:br/>
        <w:t xml:space="preserve">           financiamiento  ordenado  en   el   numeral   anterior   resulte</w:t>
        <w:br/>
        <w:t xml:space="preserve">           insuficiente,  el  Titular  del  Pliego  Presupuestario,  previa</w:t>
        <w:br/>
        <w:t xml:space="preserve">           evaluación y priorización de las  metas  presupuestarias,  podrá</w:t>
        <w:br/>
        <w:t xml:space="preserve">           realizar las modificaciones presupuestarias dentro de los quince</w:t>
        <w:br/>
        <w:t xml:space="preserve">           días de notificada, hecho que deberá ser  comunicado  al  órgano</w:t>
        <w:br/>
        <w:t xml:space="preserve">           jurisdiccional correspondiente.</w:t>
        <w:br/>
        <w:t xml:space="preserve">      42.3  De existir  requerimientos  que  superen  las  posibilidades  de</w:t>
        <w:br/>
        <w:t xml:space="preserve">           financiamiento expresadas  en  los  numerales  precedentes,  los</w:t>
        <w:br/>
        <w:t xml:space="preserve">           pliegos presupuestarios, bajo responsabilidad  del  Titular  del</w:t>
        <w:br/>
        <w:t xml:space="preserve">           Pliego, mediante comunicación escrita de la Oficina  General  de</w:t>
        <w:br/>
        <w:t xml:space="preserve">           Administración, harán de conocimiento de la  autoridad  judicial</w:t>
        <w:br/>
        <w:t xml:space="preserve">           su compromiso  de  atender  tales  sentencias  en  el  ejercicio</w:t>
        <w:br/>
        <w:t xml:space="preserve">           presupuestario siguiente, para lo  cual  se  obliga  a  destinar</w:t>
        <w:br/>
        <w:t xml:space="preserve">           hasta el tres por ciento (3%) de la asignación presupuestal  que</w:t>
        <w:br/>
        <w:t xml:space="preserve">           le corresponda al pliego por la fuente de  recursos  ordinarios.</w:t>
        <w:br/>
        <w:t xml:space="preserve">           El  Ministerio  de  Economía  y  Finanzas  y   la   Oficina   de</w:t>
        <w:br/>
        <w:t xml:space="preserve">           Normalización Previsional, según sea el caso, calcularán el tres</w:t>
        <w:br/>
        <w:t xml:space="preserve">           por ciento (3%) referido en el párrafo precedente deduciendo  el</w:t>
        <w:br/>
        <w:t xml:space="preserve">           valor correspondiente a la asignación para el pago del  servicio</w:t>
        <w:br/>
        <w:t xml:space="preserve">           de  la  deuda  pública,  la  reserva  de  contingencia   y   las</w:t>
        <w:br/>
        <w:t xml:space="preserve">           obligaciones previsionales.</w:t>
        <w:br/>
        <w:t xml:space="preserve">      42.4  Transcurridos seis meses de la notificación judicial sin haberse</w:t>
        <w:br/>
        <w:t xml:space="preserve">           iniciado el pago u obligado al mismo de acuerdo a alguno de  los</w:t>
        <w:br/>
        <w:t xml:space="preserve">           procedimientos establecidos en los numerales 42.1, 42.2  y  42.3</w:t>
        <w:br/>
        <w:t xml:space="preserve">           precedentes, se podrá dar inicio  al  proceso  de  ejecución  de</w:t>
        <w:br/>
        <w:t xml:space="preserve">           resoluciones  judiciales  previsto  en  el   Artículo   713º   y</w:t>
        <w:br/>
        <w:t xml:space="preserve">           siguientes del Código Procesal Civil. No podrán ser  materia  de</w:t>
        <w:br/>
        <w:t xml:space="preserve">           ejecución los bienes de dominio público conforme al Artículo 73º</w:t>
        <w:br/>
        <w:t xml:space="preserve">           de la Constitución Política del Perú”.</w:t>
        <w:br/>
        <w:br/>
        <w:t>[37]  Resolución No. 244 del 23 de julio de 2007 emitida por el 66º  Juzgado</w:t>
        <w:br/>
        <w:t>Especializado en lo Civil de Lima (Expediente de anexos a la demanda,  Anexo</w:t>
        <w:br/>
        <w:t>No. 4.9, tomo 6, folios 1732-1740).</w:t>
        <w:br/>
        <w:br/>
        <w:br/>
        <w:t>[38]  Informe Pericial No. 090-2006-PJ-JC, aclarado con el Informe  Pericial</w:t>
        <w:br/>
        <w:t>No. 113-2007-PJ-JC, aclarado, a su vez, con el  Informe  Pericial  No.  128-</w:t>
        <w:br/>
        <w:t>2007-PJ-JC (Expediente de anexos a  la  demanda,  Anexo  No.  4.9,  tomo  6,</w:t>
        <w:br/>
        <w:t>folios 1732-1740).</w:t>
        <w:br/>
        <w:br/>
        <w:t>[39]  El 4º Juzgado Especializado en  lo  Civil  de  la  Corte  Superior  de</w:t>
        <w:br/>
        <w:t>Justicia de Lima resolvió: “[d]ando  cuenta  en  la  fecha  del  oficio  que</w:t>
        <w:br/>
        <w:t>antecede proveniente de  la  Sexta  Sala  Civil  de  la  Corte  Superior  de</w:t>
        <w:br/>
        <w:t>Justicia de Lima, con la resolución de fecha primero de [j]ulio del dos  mil</w:t>
        <w:br/>
        <w:t>ocho, mediante  la  cual  RESUELVEN:  DECLARAR  NULA  la  resolución  número</w:t>
        <w:br/>
        <w:t>Doscientos  Cuarenta  y  Cuatro,  que   declara   Fundada   en   parte   las</w:t>
        <w:br/>
        <w:t>observaciones formuladas por la parte demandada, en  consecuencia,  cúmplase</w:t>
        <w:br/>
        <w:t>lo ejecutoriado, y estése a lo  resuelto  mediante  resoluciones  Doscientos</w:t>
        <w:br/>
        <w:t>Ochenta y Siete, Doscientos Ochenta y ocho, Doscientos Noventa y  Doscientos</w:t>
        <w:br/>
        <w:t>Noventa y  uno”  (Expediente  de  anexos  al  escrito  de  alegatos  finales</w:t>
        <w:br/>
        <w:t>presentado por el Estado, Anexo 5, folio 2721).  La Resolución No.  291  del</w:t>
        <w:br/>
        <w:t>4º Juzgado dispone “REMITIR los autos  al  Equipo  Técnico  Pericial  de  la</w:t>
        <w:br/>
        <w:t>Corte Superior de Justicia de Lima, a efectos que el Perito Judicial  Javier</w:t>
        <w:br/>
        <w:t>Cabanillas  Reyes,  cumpla  con  practicar  una  nueva  liquidación  de  las</w:t>
        <w:br/>
        <w:t>pensiones devengadas en el presente proceso de acuerdo a lo ordenado  en  la</w:t>
        <w:br/>
        <w:t>sentencia y de acuerdo a los términos de la Resolución doscientos ochenta  y</w:t>
        <w:br/>
        <w:t>ocho, doscientos noventa, y la presente resolución”  (Expediente  de  anexos</w:t>
        <w:br/>
        <w:t>al escrito de alegatos finales presentado por  el  Estado,  Anexo  5,  folio</w:t>
        <w:br/>
        <w:t>2720).</w:t>
        <w:br/>
        <w:br/>
        <w:t>[40]  Los pedidos de prórroga solicitados por el Estado peruano han  seguido</w:t>
        <w:br/>
        <w:t>el  siguiente  itinerario:  mediante  Notas  Nos.  7-5-M/081  y   7-5-M/082,</w:t>
        <w:br/>
        <w:t>recibidas por la Comisión el 22 de febrero de 2007, el Estado  solicitó  una</w:t>
        <w:br/>
        <w:t>prórroga para “continuar con el exhaustivo análisis de un tema complejo  por</w:t>
        <w:br/>
        <w:t>sus consecuencias financieras y jurídicas dentro del marco legal  vigente  y</w:t>
        <w:br/>
        <w:t>poder  presentar  una  adecuada  propuesta  de  pago  [a]  los  trabajadores</w:t>
        <w:br/>
        <w:t>cesa[ntes] y jubilados de  la  [CGR],  en  atención  a  las  recomendaciones</w:t>
        <w:br/>
        <w:t>establecidas [por la Comisión en su] informe de fondo” del artículo  50.  La</w:t>
        <w:br/>
        <w:t>Comisión le concedió una prórroga de 2 meses. Mediante Nota  No.  7-5-M/196,</w:t>
        <w:br/>
        <w:t>presentada el 27  de  abril  de  2007,  el  Estado  solicitó  “una  prórroga</w:t>
        <w:br/>
        <w:t>adicional  de  60  días  [para  presentar  una]  propuesta  de  cumplimiento</w:t>
        <w:br/>
        <w:t>respecto a las recomendaciones formuladas” por la  Comisión  en  su  informe</w:t>
        <w:br/>
        <w:t>del artículo 50. La CIDH le concedió una  prórroga  adicional  de  2  meses.</w:t>
        <w:br/>
        <w:t>Mediante Nota No. 7-5-M/274, presentada el 25 de junio de  2007,  el  Estado</w:t>
        <w:br/>
        <w:t>solicitó una prórroga de 90 días, la cual fue  concedida  por  la  Comisión.</w:t>
        <w:br/>
        <w:t>Asimismo, mediante Nota No. 7-5-M/379 de  fecha  4  de  septiembre  de  2007</w:t>
        <w:br/>
        <w:t>solicitó otra prórroga, y la  Comisión  otorgó  un  plazo  hasta  el  11  de</w:t>
        <w:br/>
        <w:t>septiembre  de  2007.  Mediante  la  Nota  No.  7-5-M/425  de  fecha  26  de</w:t>
        <w:br/>
        <w:t>septiembre de 2007 el Estado nuevamente demandó una  prórroga  para  cumplir</w:t>
        <w:br/>
        <w:t>con las  recomendaciones  de  la  Comisión  y  ésta  le  concedió  un  plazo</w:t>
        <w:br/>
        <w:t>adicional de 3 meses. Finalmente, mediante Nota  No.  7-5-M/608,  presentada</w:t>
        <w:br/>
        <w:t>el 26 de diciembre de 2007, el Estado solicitó, y la Comisión  concedió,  un</w:t>
        <w:br/>
        <w:t>plazo adicional de 3 meses.</w:t>
        <w:br/>
        <w:br/>
        <w:br/>
        <w:t>[41]   Cfr.  Territorial  Dispute  (Libyan  Arab  Jamahiriya/Chad),   I.C.J.</w:t>
        <w:br/>
        <w:t>Reports 1994, sentencia de 3 febrero de  1994, paras. 56,  68,  75;  Nuclear</w:t>
        <w:br/>
        <w:t>Tests (Australia v.  France),  I.C.J.  Reports  1974,  sentencia  de  20  de</w:t>
        <w:br/>
        <w:t>diciembre de 1974, paras. 42-46, y  Temple  of  Preah  Vihear  (Cambodia  v.</w:t>
        <w:br/>
        <w:t>Thailand), I.C.J. Reports 1962, sentencia de 15 de junio de 1962, para.  32.</w:t>
        <w:br/>
        <w:br/>
        <w:br/>
        <w:br/>
        <w:t>[42]  Cfr. Caso Neira Alegría y otros Vs.  Perú.  Excepciones  Preliminares.</w:t>
        <w:br/>
        <w:t>Sentencia de 11 de diciembre de 1991. Serie C No. 13, párr. 29; Caso  de  la</w:t>
        <w:br/>
        <w:t>Masacre de la Rochela Vs. Colombia. Fondo, Reparaciones y Costas.  Sentencia</w:t>
        <w:br/>
        <w:t>de 11 de de mayo de 2007. Serie C No. 163, párr.  46,  y  Caso  Trabajadores</w:t>
        <w:br/>
        <w:t>Cesados  del  Congreso  (Aguado  Alfaro  y  otros)  Vs.  Perú.   Excepciones</w:t>
        <w:br/>
        <w:t>Preliminares, Fondo, Reparaciones y Costas. Sentencia de 24 de Noviembre  de</w:t>
        <w:br/>
        <w:t>2006. Serie C No. 158, párr. 60.</w:t>
        <w:br/>
        <w:br/>
        <w:br/>
        <w:t>[43]  La Corte Europea de Derechos Humanos también ha aplicado el  principio</w:t>
        <w:br/>
        <w:t>de estoppel respecto de objeciones de jurisdicción y admisibilidad  que  son</w:t>
        <w:br/>
        <w:t>planteadas por los Estados tardíamente. Cfr. ECHR, Case of Mizzi  v.  Malta,</w:t>
        <w:br/>
        <w:t>Judgment of 12 January 2006, no. 26111/02,  para  43-48;  Case  of  Tuquabo-</w:t>
        <w:br/>
        <w:t>tekle and others v. The  Netherlands,  Judgment  of  1  December  2005,  no.</w:t>
        <w:br/>
        <w:t>60665/00, para. 26-32; Case of Artico v. Italy, Judgment  of  13  May  1980,</w:t>
        <w:br/>
        <w:t>Serie A no. 37, para. 25-28,  y  Case  of  De  Wilde,  Ooms  and  Versyp  v.</w:t>
        <w:br/>
        <w:t>Belgium, Judgment of 18 June 1971, Serie A no. 12, para. 58-59..</w:t>
        <w:br/>
        <w:br/>
        <w:br/>
        <w:t>[44]   Cfr.  Caso  Del  Caracazo  Vs.  Venezuela.  Reparaciones  y   Costas.</w:t>
        <w:br/>
        <w:t>Sentencia de 29 de agosto de 2002. Serie C No. 95, párr.  52;   Caso  de  la</w:t>
        <w:br/>
        <w:t>Masacre de la Rochela, supra nota  42,  párrs.  46  y  48,  y  Caso  Montero</w:t>
        <w:br/>
        <w:t>Aranguren y otros (Retén de  Catia)  Vs.  Venezuela.  Excepción  Preliminar,</w:t>
        <w:br/>
        <w:t>Fondo, Reparaciones y Costas. Sentencia de 5 de julio de 2006. Serie  C  No.</w:t>
        <w:br/>
        <w:t>150, párr. 49.</w:t>
        <w:br/>
        <w:br/>
        <w:br/>
        <w:t>[45]   Cfr.  Caso  Acevedo  Jaramillo  y   otros   Vs.   Perú.   Excepciones</w:t>
        <w:br/>
        <w:t>Preliminares, Fondo, Reparaciones y Costas. Sentencia de  7  de  febrero  de</w:t>
        <w:br/>
        <w:t>2006. Serie C No. 144, párr. 177.</w:t>
        <w:br/>
        <w:br/>
        <w:br/>
        <w:t>[46]  Cfr., asimismo, el Informe  No.  34-JUS/CNDH-SE,  presentado  ante  la</w:t>
        <w:br/>
        <w:t>Comisión el 2 de mayo de 2001 por  la  Representación  Permanente  del  Perú</w:t>
        <w:br/>
        <w:t>ante la Organización de los  Estados  Americanos  (en  adelante,  “la  OEA”)</w:t>
        <w:br/>
        <w:t>mediante nota 7-5-M/39 de 27 de abril de 2001, concluyó que  “[s]i  bien  la</w:t>
        <w:br/>
        <w:t>Contraloría General realizó diversas acciones[,] aún no  había  cumplido  el</w:t>
        <w:br/>
        <w:t>fallo del Tribunal Constitucional”  (Expediente  de  anexos  a  la  demanda,</w:t>
        <w:br/>
        <w:t>Anexo 1.7, tomo 1, folios 181-185); el Oficio N°  247-2006-CG/RH  de  17  de</w:t>
        <w:br/>
        <w:t>junio de 2006, presentado por la Contraloría General de  la  República  ante</w:t>
        <w:br/>
        <w:t>la Asociación, señaló que estaba adoptando las medidas necesarias “a fin  de</w:t>
        <w:br/>
        <w:t>dar  cumplimiento  al  mandato  contenido  en  la  sentencia  del   Tribunal</w:t>
        <w:br/>
        <w:t>Constitucional de  1997”  (Expediente  de  anexos  al  escrito  de  alegatos</w:t>
        <w:br/>
        <w:t>finales presentado por el representante, Anexo 6, folio  2685);  el  Informe</w:t>
        <w:br/>
        <w:t>No. 08-2008-JUS/CNDH-SE-CESAPI, presentado ante la Comisión el 16  de  enero</w:t>
        <w:br/>
        <w:t>de 2008 por la Representación Permanente del Perú ante la OEA mediante  nota</w:t>
        <w:br/>
        <w:t>7-5-M/21 de 15 de enero de 2007 (sic), concluyó que, “con  la  finalidad  de</w:t>
        <w:br/>
        <w:t>cumplir con las recomendaciones de la [Comisión], se  ha[bía]  formulado  un</w:t>
        <w:br/>
        <w:t>proyecto  de  norma  que  permit[iría]  un  primer  pago  a  favor  de   los</w:t>
        <w:br/>
        <w:t>peticionarios y por [el] cual se autoriza[ba] a la  Contraloría  General  de</w:t>
        <w:br/>
        <w:t>la República a superar los  límites  establecidos  por  la  Ley  General  de</w:t>
        <w:br/>
        <w:t>Presupuesto” (Expediente de anexos a la demanda,  Anexo  1.61,  tomo  folios</w:t>
        <w:br/>
        <w:t>1403-1406), y el Dictamen de la Comisión de Presupuesto y Cuenta General  de</w:t>
        <w:br/>
        <w:t>la República de 16 de diciembre  de  2008,  elaborado  en  relación  con  el</w:t>
        <w:br/>
        <w:t>Proyecto de Ley N° 2029/2007-PE, “plante[ó la] emi[sión de]  una  norma  con</w:t>
        <w:br/>
        <w:t>rango de Ley para constituir un depósito de hasta S/. 4 millones  a  fin  de</w:t>
        <w:br/>
        <w:t>respaldar  las  obligaciones  de  pago  producto  de  sentencias  del  Poder</w:t>
        <w:br/>
        <w:t>Judicial [a favor de  los]  270  cesantes  y  jubilados  de  la  Contraloría</w:t>
        <w:br/>
        <w:t>General de la República”  (Expediente  de  anexos  al  escrito  de  alegatos</w:t>
        <w:br/>
        <w:t>finales presentado por el representante, Anexo 2, folios 2657-2669).</w:t>
        <w:br/>
        <w:br/>
        <w:t>[47]  Oficio No. 0957-2003-CG/DC de 30 de mayo  de  2003,  dirigido  por  el</w:t>
        <w:br/>
        <w:t>Contralor General de la República al Consejo Nacional  de  Derechos  Humanos</w:t>
        <w:br/>
        <w:t>(Expediente de anexos a la demanda, Anexo 1.20, folios 303-304).</w:t>
        <w:br/>
        <w:br/>
        <w:t>[48]  Resolución No. 63 del 24 de enero de 2005 emitida por  el  4º  Juzgado</w:t>
        <w:br/>
        <w:t>Especializado en  lo  Civil  de  la  Corte  Superior  de  Justicia  de  Lima</w:t>
        <w:br/>
        <w:t>(Expediente de anexos al escrito  de  alegatos  finales  presentado  por  el</w:t>
        <w:br/>
        <w:t>Estado, folios 2716 y 2717).</w:t>
        <w:br/>
        <w:br/>
        <w:br/>
        <w:t>[49]  Cfr. Caso Velásquez Rodríguez, supra nota 11,  párr.  91;  Caso  Kawas</w:t>
        <w:br/>
        <w:t>Fernández, supra nota 13, párr. 110, y Caso  Castañeda  Gutman  Vs.  México.</w:t>
        <w:br/>
        <w:t>Excepciones Preliminares, Fondo, Reparaciones y Costas. Sentencia  de  6  de</w:t>
        <w:br/>
        <w:t>agosto de 2008. Serie C No. 184, párr. 34.</w:t>
        <w:br/>
        <w:br/>
        <w:br/>
        <w:t>[50]  De conformidad con el artículo 139.2 de la Constitución  Política  del</w:t>
        <w:br/>
        <w:t>Perú, “[n]inguna autoridad puede […] dejar sin efecto resoluciones  que  han</w:t>
        <w:br/>
        <w:t>pasado en autoridad de cosa juzgada, ni cortar  procedimientos  en  trámite,</w:t>
        <w:br/>
        <w:t>ni modificar sentencias ni retardar su ejecución”.</w:t>
        <w:br/>
        <w:br/>
        <w:br/>
        <w:t>[51]  Cfr. Caso Tribunal Constitucional  Vs.  Perú.  Fondo,  Reparaciones  y</w:t>
        <w:br/>
        <w:t>Costas. Sentencia de 31 de enero de 2001. Serie C No.  71,  párr.  90;  Caso</w:t>
        <w:br/>
        <w:t>Bayarri, supra nota 12, párr. 102, y Caso Castañeda Gutman, supra  nota  49,</w:t>
        <w:br/>
        <w:t>párr. 78. Véase también,  Garantías  Judiciales  en  Estados  de  Emergencia</w:t>
        <w:br/>
        <w:t>(arts. 27.2, 25 y 8 Convención Americana sobre  Derechos  Humanos).  Opinión</w:t>
        <w:br/>
        <w:t>Consultiva OC-9/87 del 6 de octubre de 1987. Serie A No. 9, párr. 23.</w:t>
        <w:br/>
        <w:br/>
        <w:br/>
        <w:t>[52]  Cfr. Caso Ivcher Bronstein Vs. Perú.  Fondo,  Reparaciones  y  Costas.</w:t>
        <w:br/>
        <w:t>Sentencia de 6 de febrero de 2001. Serie C No. 74, párr. 137;  Caso  Acevedo</w:t>
        <w:br/>
        <w:t>Jaramillo y otros, supra nota 45, párr. 213,  y  Caso  19  Comerciantes  Vs.</w:t>
        <w:br/>
        <w:t>Colombia. Fondo, Reparaciones y Costas. Sentencia de 5  de  julio  de  2004.</w:t>
        <w:br/>
        <w:t>Serie C No. 109, párr. 192.</w:t>
        <w:br/>
        <w:br/>
        <w:br/>
        <w:t>[53]  Cfr. Caso Acevedo Jaramillo y otros, supra nota 45, párr. 217, y  Caso</w:t>
        <w:br/>
        <w:t>Baena Ricardo y otros Vs. Panamá. Competencia. Sentencia de 28 de  noviembre</w:t>
        <w:br/>
        <w:t>de 2003. Serie C No. 104, párr. 73.</w:t>
        <w:br/>
        <w:br/>
        <w:br/>
        <w:t>[54]   Cfr.  Caso  "Instituto  de  Reeducación  del  Menor"  Vs.   Paraguay.</w:t>
        <w:br/>
        <w:t>Excepciones Preliminares, Fondo, Reparaciones y Costas. Sentencia  de  2  de</w:t>
        <w:br/>
        <w:t>septiembre de 2004. Serie C No. 112, párr. 248, y  Caso  Comunidad  Indígena</w:t>
        <w:br/>
        <w:t>Sawhoyamaxa Vs. Paraguay. Fondo, Reparaciones y Costas. Sentencia de  29  de</w:t>
        <w:br/>
        <w:t>marzo de 2006. Serie C No. 146, párr. 92.</w:t>
        <w:br/>
        <w:br/>
        <w:t>[55]  El artículo 6.1  del  Convenio  Europeo  para  la  Protección  de  los</w:t>
        <w:br/>
        <w:t>Derechos Humanos y de las Libertades Fundamentales  (Derecho  a  un  proceso</w:t>
        <w:br/>
        <w:t>equitativo) señala que:</w:t>
        <w:br/>
        <w:br/>
        <w:br/>
        <w:t xml:space="preserve">      1.     Toda persona tiene derecho a que su causa sea oída  equitativa,</w:t>
        <w:br/>
        <w:t xml:space="preserve">      públicamente  y  dentro  de  un  plazo  razonable,  por  un   tribunal</w:t>
        <w:br/>
        <w:t xml:space="preserve">      independiente e imparcial, establecido por la ley,  que  decidirá  los</w:t>
        <w:br/>
        <w:t xml:space="preserve">      litigios sobre sus derechos y obligaciones de carácter civil  o  sobre</w:t>
        <w:br/>
        <w:t xml:space="preserve">      el fundamento de cualquier acusación en materia penal dirigida  contra</w:t>
        <w:br/>
        <w:t xml:space="preserve">      ella. La sentencia debe ser pronunciada públicamente, pero el acceso a</w:t>
        <w:br/>
        <w:t xml:space="preserve">      la sala de audiencia puede ser prohibido a  la  prensa  y  al  público</w:t>
        <w:br/>
        <w:t xml:space="preserve">      durante la totalidad o parte del proceso en interés de  la  moralidad,</w:t>
        <w:br/>
        <w:t xml:space="preserve">      del  orden  público  o  de  la  seguridad  nacional  en  una  sociedad</w:t>
        <w:br/>
        <w:t xml:space="preserve">      democrática, cuando los intereses de los menores o la protección de la</w:t>
        <w:br/>
        <w:t xml:space="preserve">      vida privada de las partes en el proceso así lo exijan o en la  medida</w:t>
        <w:br/>
        <w:t xml:space="preserve">      en que será  considerado  estrictamente  necesario  por  el  tribunal,</w:t>
        <w:br/>
        <w:t xml:space="preserve">      cuando  en  circunstancias  especiales  la  publicidad   pudiera   ser</w:t>
        <w:br/>
        <w:t xml:space="preserve">      perjudicial para los intereses de la justicia.</w:t>
        <w:br/>
        <w:br/>
        <w:t xml:space="preserve">      […]</w:t>
        <w:br/>
        <w:br/>
        <w:t>[56]  Cfr. ECHR, Case of Hornsby v.Greece, Judgment of 19 March 1997,  para.</w:t>
        <w:br/>
        <w:t>40; Case of Popov v. Moldova, Judgment of 18  January  2005,  no.  74153/01,</w:t>
        <w:br/>
        <w:t>para. 40; Case of Assanidze v.  Georgia,  Judgment  of  8  April  2004,  no.</w:t>
        <w:br/>
        <w:t>71503/01, para. 182; Case of Jasiúniene v. Lithuania, Judgment  of  6  March</w:t>
        <w:br/>
        <w:t>2003, no. 41510/98, para. 27, y Case of Burdov v. Russia, Judgment of 7  May</w:t>
        <w:br/>
        <w:t>2002, no. 59498/00, para. 34.</w:t>
        <w:br/>
        <w:br/>
        <w:t>[57]  Cfr. Caso Suárez  Rosero  Vs.  Ecuador.  Fondo.  Sentencia  de  12  de</w:t>
        <w:br/>
        <w:t>noviembre de 1997. Serie C No. 35, párr. 65; Caso Claude Reyes y  otros  Vs.</w:t>
        <w:br/>
        <w:t>Chile. Fondo, Reparaciones y Costas. Sentencia de 19 de septiembre de  2006.</w:t>
        <w:br/>
        <w:t>Serie C No. 151, párr. 130, y Caso Acevedo Jaramillo  y  otros,  supra  nota</w:t>
        <w:br/>
        <w:t>45, párr. 216.</w:t>
        <w:br/>
        <w:br/>
        <w:br/>
        <w:t>[58]  Cfr. Caso Baena Ricardo y otros, supra  nota  53,  párr.  82,  y  Caso</w:t>
        <w:br/>
        <w:t>Acevedo Jaramillo y otros, supra nota 45, párrs. 216 y 220.</w:t>
        <w:br/>
        <w:br/>
        <w:br/>
        <w:t>[59]  Cfr. Caso Acevedo Jaramillo y otros, supra nota 45, párr. 167.</w:t>
        <w:br/>
        <w:br/>
        <w:br/>
        <w:t>[60]  Cfr. Caso Baena Ricardo y otros, supra nota 53, párr. 82, y Caso</w:t>
        <w:br/>
        <w:t>Acevedo Jaramillo y otros, supra nota 45, párr. 220.</w:t>
        <w:br/>
        <w:br/>
        <w:br/>
        <w:t>[61]  Cfr. Caso “Cinco Pensionistas” Vs. Perú. Sentencia de  28  de  febrero</w:t>
        <w:br/>
        <w:t>de 2003. Serie C No. 98, párrs. 138 y 141.</w:t>
        <w:br/>
        <w:br/>
        <w:br/>
        <w:t>[62]   Cfr.  Caso  Cesti  Hurtado  Vs.  Perú.  Fondo.  Sentencia  de  29  de</w:t>
        <w:br/>
        <w:t>septiembre de 1999. Serie C No. 56, párr. 133.</w:t>
        <w:br/>
        <w:br/>
        <w:br/>
        <w:t>[63]  Cfr. Caso Acevedo Jaramillo y otros, supra nota  45,  párr.  219.  Ver</w:t>
        <w:br/>
        <w:t>también ECHR, Case of Antoneeto v. Italy, Judgment  of  20  July  2000,  no.</w:t>
        <w:br/>
        <w:t>15918/89, para. 27; Case of Immobiliare Saffi v. Italy [GC], Judgment of  28</w:t>
        <w:br/>
        <w:t>July 1999, no. 22774/93, para. 63, y Case of Hornsby v. Greece,  supra  nota</w:t>
        <w:br/>
        <w:t>56, para. 40.</w:t>
        <w:br/>
        <w:br/>
        <w:t>[64]  Cfr. Caso Apitz Barbera y otros  (“Corte  Primera  de  lo  Contencioso</w:t>
        <w:br/>
        <w:t>Administrativo”) Vs. Venezuela. Excepción Preliminar, Fondo, Reparaciones  y</w:t>
        <w:br/>
        <w:t>Costas. Sentencia de 5 de agosto de 2008. Serie C  No.  182,  párrs.  156  y</w:t>
        <w:br/>
        <w:t>170.</w:t>
        <w:br/>
        <w:br/>
        <w:t>[65]  Cfr. Caso Acevedo Jaramillo y otros, supra nota  45,  párr.  219.  Ver</w:t>
        <w:br/>
        <w:t>también ECHR, Case of “Amat-G” LTD and Mebaghishvili  v.  Georgia,  Judgment</w:t>
        <w:br/>
        <w:t>of 27 September 2005, no. 2507/03, para.  48;  Case  of  Popov  v.  Maldova,</w:t>
        <w:br/>
        <w:t>Judgment of 18 January 2005, no. 74153/01, para. 54, y Case  of  Shmalko  v.</w:t>
        <w:br/>
        <w:t>Ukraine, Judgment of 20 July 2004, no. 60750/00, para. 44.</w:t>
        <w:br/>
        <w:br/>
        <w:br/>
        <w:t>[66]  Cfr. Caso Acevedo Jaramillo y otros, supra nota 45, párr. 269.</w:t>
        <w:br/>
        <w:br/>
        <w:br/>
        <w:t>[67]  Cfr. Caso Salvador  Chiriboga  Vs.  Ecuador.  Excepción  Preliminar  y</w:t>
        <w:br/>
        <w:t>Fondo. Sentencia de 6 de mayo de 2008. Serie C No. 179, párr. 83.</w:t>
        <w:br/>
        <w:br/>
        <w:br/>
        <w:t>[68]  Sentencia de 26 de enero  de  2001  del  Tribunal  Constitucional  del</w:t>
        <w:br/>
        <w:t>Perú, supra nota 32 (folio 1721).</w:t>
        <w:br/>
        <w:br/>
        <w:br/>
        <w:t>[69]  Cfr. Caso Ivcher  Bronstein,  supra  nota  52,  párrs.  120-122;  Caso</w:t>
        <w:br/>
        <w:t>Salvador Chiriboga, supra nota 67, párr. 55, y Caso Chaparro Álvarez y  Lapo</w:t>
        <w:br/>
        <w:t>Íñiguez  Vs.  Ecuador.  Excepciones  Preliminares,  Fondo,  Reparaciones   y</w:t>
        <w:br/>
        <w:t>Costas. Sentencia de 21 de noviembre de 2007. Serie C No. 170, párr. 174.</w:t>
        <w:br/>
        <w:br/>
        <w:br/>
        <w:t>[70]  Cfr. Caso Salvador Chiriboga, supra nota 67, párr. 55, y  Caso  "Cinco</w:t>
        <w:br/>
        <w:t>Pensionistas", supra nota 61, párr. 102.</w:t>
        <w:br/>
        <w:br/>
        <w:br/>
        <w:t>[71]  Cfr. Caso Ivcher Bronstein, supra nota 52, párr. 128;  Caso  Perozo  y</w:t>
        <w:br/>
        <w:t>otros, supra nota 13, párr. 399, y Caso Salvador Chiriboga, supra  nota  67,</w:t>
        <w:br/>
        <w:t>párrs. 60 y 61.</w:t>
        <w:br/>
        <w:br/>
        <w:br/>
        <w:t>[72]  En igual sentido, y a manera de  ejemplo,  la  Corte  observa  que  el</w:t>
        <w:br/>
        <w:t>artículo 5 del Protocolo Adicional a la Convención Americana en  materia  de</w:t>
        <w:br/>
        <w:t>Derechos Económicos, Sociales  y  Culturales  sólo  permite  a  los  Estados</w:t>
        <w:br/>
        <w:t>establecer limitaciones y restricciones al goce y ejercicio de los  derechos</w:t>
        <w:br/>
        <w:t>económicos, sociales  y  culturales,  “mediante  leyes  promulgadas  con  el</w:t>
        <w:br/>
        <w:t>objeto  de  preservar  el  bienestar  general   dentro   de   una   sociedad</w:t>
        <w:br/>
        <w:t>democrática, en la medida que no contradigan el propósito  y  razón  de  los</w:t>
        <w:br/>
        <w:t>mismos”.</w:t>
        <w:br/>
        <w:br/>
        <w:br/>
        <w:t>[73]  Cfr. Caso Salvador Chiriboga, supra nota 67, párr. 54.</w:t>
        <w:br/>
        <w:br/>
        <w:br/>
        <w:t>[74]  Cfr. Caso "Cinco Pensionistas", supra nota 61.</w:t>
        <w:br/>
        <w:br/>
        <w:br/>
        <w:t>[75]  Cfr. Caso "Cinco Pensionistas", supra nota 61, párr. 103.</w:t>
        <w:br/>
        <w:br/>
        <w:br/>
        <w:t>[76]  Cfr. Caso "Cinco Pensionistas", supra nota 61, párrs. 115 y 121.</w:t>
        <w:br/>
        <w:br/>
        <w:t>[77]  Artículos 1 y 4 del Decreto Ley  No  20530,  Régimen  de  Pensiones  y</w:t>
        <w:br/>
        <w:t>Compensaciones por Servicios Civiles Prestados al Estado no comprendidos  en</w:t>
        <w:br/>
        <w:t>el Decreto-Ley 19990 (Expediente de anexos a la demanda, Anexo 3.1, Tomo  6,</w:t>
        <w:br/>
        <w:t>folio 1523).</w:t>
        <w:br/>
        <w:br/>
        <w:t>[78]  Sentencia de 21 de octubre de 1997  del  Tribunal  Constitucional  del</w:t>
        <w:br/>
        <w:t>Perú, supra nota 27 (folio 1663, fundamento No. 4).</w:t>
        <w:br/>
        <w:br/>
        <w:br/>
        <w:t>[79]  El artículo 26 de  la  Convención  (Desarrollo  Progresivo)  establece</w:t>
        <w:br/>
        <w:t>que: “Los Estados Partes se comprometen  a  adoptar  providencias,  tanto  a</w:t>
        <w:br/>
        <w:t>nivel interno como  mediante  la  cooperación  internacional,  especialmente</w:t>
        <w:br/>
        <w:t>económica y técnica, para lograr progresivamente  la  plena  efectividad  de</w:t>
        <w:br/>
        <w:t>los derechos que se derivan de  las  normas  económicas,  sociales  y  sobre</w:t>
        <w:br/>
        <w:t>educación, ciencia y cultura, contenidas en la Carta de la  Organización  de</w:t>
        <w:br/>
        <w:t>los Estados Americanos, reformada por el Protocolo de Buenos  Aires,  en  la</w:t>
        <w:br/>
        <w:t>medida de los recursos disponibles,  por  vía  legislativa  u  otros  medios</w:t>
        <w:br/>
        <w:t>apropiados.”</w:t>
        <w:br/>
        <w:br/>
        <w:br/>
        <w:t>[80]  Cfr. Caso “Cinco Pensionistas”, supra nota 61, párr. 155;  Caso  Kawas</w:t>
        <w:br/>
        <w:t>Fernández, supra nota 13, párr. 127, y Caso Perozo y otros, supra  nota  13,</w:t>
        <w:br/>
        <w:t>párr. 32.</w:t>
        <w:br/>
        <w:br/>
        <w:br/>
        <w:t>[81]  Conferencia Especializada Interamericana sobre Derechos  Humanos  (San</w:t>
        <w:br/>
        <w:t>José,  Costa  Rica,  7-22  de  noviembre  de  1969).  Actas  y   Documentos.</w:t>
        <w:br/>
        <w:t>Observaciones  del   gobierno   de   Chile   al   Proyecto   de   Convención</w:t>
        <w:br/>
        <w:t>Interamericana sobre Derechos Humanos, pp. 42-43.</w:t>
        <w:br/>
        <w:br/>
        <w:t>[82]   Conferencia  Especializada  Interamericana  sobre  Derechos  Humanos,</w:t>
        <w:br/>
        <w:t>supra nota 81, Intervención del Delegado del gobierno de Chile en el  debate</w:t>
        <w:br/>
        <w:t>sobre el Proyecto de Convención Interamericana sobre  Derechos  Humanos,  en</w:t>
        <w:br/>
        <w:t>la Decimocuarta Sesión de la Comisión “I”, p. 268.</w:t>
        <w:br/>
        <w:br/>
        <w:t>[83]   Conferencia  Especializada  Interamericana  sobre  Derechos  Humanos,</w:t>
        <w:br/>
        <w:t>supra nota 81,  Observaciones  del  gobierno  del  Uruguay  al  Proyecto  de</w:t>
        <w:br/>
        <w:t>Convención Interamericana sobre Derechos Humanos, p. 37.</w:t>
        <w:br/>
        <w:br/>
        <w:t>[84]   Conferencia  Especializada  Interamericana  sobre  Derechos  Humanos,</w:t>
        <w:br/>
        <w:t>supra nota 81, Observaciones y Enmiendas del gobierno de Brasil al  Proyecto</w:t>
        <w:br/>
        <w:t>de Convención Interamericana sobre Derechos Humanos, p. 125.</w:t>
        <w:br/>
        <w:br/>
        <w:t>[85]   Conferencia  Especializada  Interamericana  sobre  Derechos  Humanos,</w:t>
        <w:br/>
        <w:t>supra nota 81, Intervención del Delegado del gobierno  de  Guatemala  en  el</w:t>
        <w:br/>
        <w:t>debate  sobre  el  Proyecto  de  Convención  Interamericana  sobre  Derechos</w:t>
        <w:br/>
        <w:t>Humanos, en la Decimocuarta Sesión de la Comisión “I”, pp. 268-269.</w:t>
        <w:br/>
        <w:br/>
        <w:t>[86]  ECHR, Case of Airey v. Ireland, Judgment of 9 October 1979,  Serie  A,</w:t>
        <w:br/>
        <w:t>no. 32, para. 26.</w:t>
        <w:br/>
        <w:br/>
        <w:br/>
        <w:t>[87]   Naciones  Unidas,  Comité  de   Derechos   Económicos,   Sociales   y</w:t>
        <w:br/>
        <w:t>Culturales, Observación General No. 3: La índole de las obligaciones de  los</w:t>
        <w:br/>
        <w:t>Estados Partes (párrafo 1 del artículo 2 del Pacto),  U.N.  Doc.  E/1991/23,</w:t>
        <w:br/>
        <w:t>Quinto Período de Sesiones (1990), párr. 9.</w:t>
        <w:br/>
        <w:br/>
        <w:t>[88]  El Comité de Derechos Económicos, Sociales y  Culturales  de  Naciones</w:t>
        <w:br/>
        <w:t>Unidas ha señalado que “[c]uando estudie una comunicación en que  se  afirme</w:t>
        <w:br/>
        <w:t>que un Estado Parte no ha adoptado medidas hasta el máximo de  los  recursos</w:t>
        <w:br/>
        <w:t>de que disponga, […] examinará las medidas, legislativas o de  otra  índole,</w:t>
        <w:br/>
        <w:t>que el Estado Parte haya adoptado efectivamente.  Para  determinar  si  esas</w:t>
        <w:br/>
        <w:t>medidas son ‘adecuadas’ o  razonables , el Comité  podrá  tener  en  cuenta,</w:t>
        <w:br/>
        <w:t>entre otras, las  consideraciones  siguientes:  a)  [h]asta  qué  punto  las</w:t>
        <w:br/>
        <w:t>medidas adoptadas fueron deliberadas, concretas y orientadas al disfrute  de</w:t>
        <w:br/>
        <w:t>los derechos económicos, sociales o ‘razonables’, el Comité podrá  tener  en</w:t>
        <w:br/>
        <w:t>cuenta, entre otras, las consideraciones siguientes: a)  [h]asta  qué  punto</w:t>
        <w:br/>
        <w:t>las  medidas  adoptadas  fueron  deliberadas,  concretas  y  orientadas   al</w:t>
        <w:br/>
        <w:t>disfrute de los derechos económicos,  sociales  y  culturales;  b)  [s]i  el</w:t>
        <w:br/>
        <w:t>Estado  Parte  ejerció  sus   facultades   discrecionales   de   manera   no</w:t>
        <w:br/>
        <w:t>discriminatoria y no arbitraria; c) [s]i la decisión del Estado Parte de  no</w:t>
        <w:br/>
        <w:t>asignar recursos disponibles se  ajustó  a  las  normas  internacionales  de</w:t>
        <w:br/>
        <w:t>derechos humanos; d) [e]n caso de que existan varias opciones en materia  de</w:t>
        <w:br/>
        <w:t>normas, si el Estado Parte se inclinó por la opción que menos  limitaba  los</w:t>
        <w:br/>
        <w:t>derechos reconocidos en el Pacto;  e)  [e]l  marco  cronológico  en  que  se</w:t>
        <w:br/>
        <w:t>adoptaron las medidas[, y] f) [s]i las  medidas  se  adoptaron  teniendo  en</w:t>
        <w:br/>
        <w:t>cuenta la precaria situación de las personas y los grupos  desfavorecidos  y</w:t>
        <w:br/>
        <w:t>marginados, si las medidas fueron no discriminatorias y si se dio  prioridad</w:t>
        <w:br/>
        <w:t>a las situaciones graves o de riesgo”. Naciones Unidas, Comité  de  Derechos</w:t>
        <w:br/>
        <w:t>Económicos, Sociales y Culturales, Declaración sobre la  “Evaluación  de  la</w:t>
        <w:br/>
        <w:t>obligación de adoptar medidas hasta  el  ‘máximo  de  los  recursos  de  que</w:t>
        <w:br/>
        <w:t>disponga’  de  conformidad  con  un  protocolo   facultativo   del   Pacto”,</w:t>
        <w:br/>
        <w:t>E/C.12/2007/1, 38º Período de Sesiones, 21 de septiembre de 2007, párr. 8.</w:t>
        <w:br/>
        <w:br/>
        <w:t>[89]   Naciones  Unidas,  Comité  de   Derechos   Económicos,   Sociales   y</w:t>
        <w:br/>
        <w:t>Culturales, Observación General No. 3, supra nota  87.  De  acuerdo  con  el</w:t>
        <w:br/>
        <w:t>Comité de Derechos Económicos, Sociales y Culturales, “[e]n caso de  que  un</w:t>
        <w:br/>
        <w:t>Estado Parte aduzca  ‘limitaciones  de  recursos’  para  explicar  cualquier</w:t>
        <w:br/>
        <w:t>medida regresiva  que  haya  adoptado,  […]  examinará  esa  información  en</w:t>
        <w:br/>
        <w:t>función de las circunstancias concretas del país  de  que  se  trate  y  con</w:t>
        <w:br/>
        <w:t>arreglo a los siguientes criterios objetivos: a) [e]l  nivel  de  desarrollo</w:t>
        <w:br/>
        <w:t>del  país;  b)  [l]a  gravedad   de   la   presunta   infracción,   teniendo</w:t>
        <w:br/>
        <w:t>particularmente en  cuenta  si  la  situación  afecta  al  disfrute  de  los</w:t>
        <w:br/>
        <w:t>derechos básicos enunciados en el Pacto; c)  [l]a  situación  económica  del</w:t>
        <w:br/>
        <w:t>país  en  ese  momento,  teniendo  particularmente  en  cuenta  si  el  país</w:t>
        <w:br/>
        <w:t>atraviesa un período de recesión económica;  d)  [l]a  existencia  de  otras</w:t>
        <w:br/>
        <w:t>necesidades  importantes  que  el  Estado  Parte  deba  satisfacer  con  los</w:t>
        <w:br/>
        <w:t>recursos limitados de  que  dispone;  por  ejemplo,  debido  a  un  reciente</w:t>
        <w:br/>
        <w:t>desastre natural o a un reciente conflicto armado interno  o  internacional;</w:t>
        <w:br/>
        <w:t>e) [s]i el Estado Parte trató de encontrar opciones de bajo  costo[,]  y  f)</w:t>
        <w:br/>
        <w:t>[s]i el Estado  Parte  recabó  cooperación  y  asistencia  de  la  comunidad</w:t>
        <w:br/>
        <w:t>internacional o rechazó sin motivos suficientes los recursos  ofrecidos  por</w:t>
        <w:br/>
        <w:t>la comunidad internacional para la aplicación de lo dispuesto en el  Pacto”.</w:t>
        <w:br/>
        <w:t>Naciones Unidas, Comité  de  Derechos  Económicos,  Sociales  y  Culturales,</w:t>
        <w:br/>
        <w:t>Declaración sobre la “Evaluación de la obligación de adoptar  medidas  hasta</w:t>
        <w:br/>
        <w:t>el ‘máximo de los recursos de que disponga’ de conformidad con un  protocolo</w:t>
        <w:br/>
        <w:t>facultativo del Pacto”,  E/C.12/2007/1,  38º  Período  de  Sesiones,  21  de</w:t>
        <w:br/>
        <w:t>septiembre de 2007, párr. 10.</w:t>
        <w:br/>
        <w:br/>
        <w:br/>
        <w:t>[90]  Informe de Admisibilidad y Fondo No. 38/09,  Caso  12.670,  Asociación</w:t>
        <w:br/>
        <w:t>Nacional de Ex Servidores del Instituto Peruano de Seguridad Social y  Otras</w:t>
        <w:br/>
        <w:t>Vs. Perú, emitido por la Comisión Interamericana de Derechos Humanos  el  27</w:t>
        <w:br/>
        <w:t>de marzo de 2009, párrs. 140 a 147.</w:t>
        <w:br/>
        <w:br/>
        <w:t>[91]  El artículo 63.1 de la Convención dispone que:</w:t>
        <w:br/>
        <w:br/>
        <w:br/>
        <w:t xml:space="preserve">      Cuando [la Corte] decida que hubo violación de un derecho  o  libertad</w:t>
        <w:br/>
        <w:t xml:space="preserve">      protegidos en [la] Convención,  […]  dispondrá  que  se 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br/>
        <w:t>[92]  Cfr. Caso Velásquez Rodríguez Vs.  Honduras.  Reparaciones  y  Costas.</w:t>
        <w:br/>
        <w:t>Sentencia de 21 de julio de 1989. Serie  C  No.  7,  párr.  25;  Caso  Kawas</w:t>
        <w:br/>
        <w:t>Fernández, supra nota 13, párr. 156, y Caso Perozo y otros, supra  nota  13,</w:t>
        <w:br/>
        <w:t>párr. 404.</w:t>
        <w:br/>
        <w:br/>
        <w:br/>
        <w:t>[93]  Cfr. Caso Aloeboetoe y otros Vs. Surinam. Fondo.  Sentencia  de  4  de</w:t>
        <w:br/>
        <w:t>diciembre de 1991. Serie C No. 11, párr. 44;  Caso  Perozo  y  otros,  supra</w:t>
        <w:br/>
        <w:t>nota 13,  párr.  404,  y  Caso  Ríos  y  otros  Vs.  Venezuela.  Excepciones</w:t>
        <w:br/>
        <w:t>Preliminares, Fondo, Reparaciones y Costas. Sentencia  de  28  de  enero  de</w:t>
        <w:br/>
        <w:t>2009. Serie C No. 194, párr. 395.</w:t>
        <w:br/>
        <w:br/>
        <w:br/>
        <w:t>[94]  Cfr. Caso Velásquez Rodríguez, supra nota 92, párrs.  25  a  27;  Caso</w:t>
        <w:br/>
        <w:t>Perozo y otros, supra nota 13, párr. 406, y Caso Ríos y  otros,  supra  nota</w:t>
        <w:br/>
        <w:t>93, párr. 397.</w:t>
        <w:br/>
        <w:br/>
        <w:br/>
        <w:t>[95]  Cfr. Caso  de  la  “Panel  Blanca"  (Paniagua  Morales  y  otros)  Vs.</w:t>
        <w:br/>
        <w:t>Guatemala. Reparaciones y Costas. Sentencia de 25 de mayo de 2001.  Serie  C</w:t>
        <w:br/>
        <w:t>No. 76, párr. 82; Caso Kawas Fernández, supra nota 13,  párr.  160,  y  Caso</w:t>
        <w:br/>
        <w:t>Tristán Donoso Vs.  Panamá.  Excepción  Preliminar,  Fondo,  Reparaciones  y</w:t>
        <w:br/>
        <w:t>Costas. Sentencia de 27 de enero de 2009 Serie C No. 193, párr. 180.</w:t>
        <w:br/>
        <w:br/>
        <w:br/>
        <w:t>[96]   Cfr.  Caso  de  las  Masacres  de  Ituango  Vs.  Colombia.  Excepción</w:t>
        <w:br/>
        <w:t>Preliminar, Fondo, Reparaciones y Costas. Sentencia de 1 de julio  de  2006.</w:t>
        <w:br/>
        <w:t>Serie C No. 148, párr. 98; Caso Kawas Fernández, supra nota 13, párr. 27,  y</w:t>
        <w:br/>
        <w:t>Caso Perozo y otros, supra nota 13, párr. 50.</w:t>
        <w:br/>
        <w:br/>
        <w:br/>
        <w:t>[97] 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 causal  con  los  hechos  del  caso”.  Caso  Bámaca  Velásquez  Vs.</w:t>
        <w:br/>
        <w:t>Guatemala. Reparaciones y Costas. Sentencia de 22 de febrero de 2002.  Serie</w:t>
        <w:br/>
        <w:t>C No. 91, párr. 43; Caso Kawas Fernández, supra nota 13, párr. 162,  y  Caso</w:t>
        <w:br/>
        <w:t>Perozo y otros, supra nota 13, párr. 405.</w:t>
        <w:br/>
        <w:br/>
        <w:br/>
        <w:t>[98]   Cfr.,  inter  alia,  declaración  rendida  ante   fedatario   público</w:t>
        <w:br/>
        <w:t>(affidávit) por Cosme Marino Vargas Salas (expediente de  affidávits  y  sus</w:t>
        <w:br/>
        <w:t>observaciones, folio  2557);  declaración  rendida  ante  fedatario  público</w:t>
        <w:br/>
        <w:t>(affidávit) por Juan José Medina  Morán  (expediente  de  affidávits  y  sus</w:t>
        <w:br/>
        <w:t>observaciones,  folios  2559-2560);  declaración  rendida   ante   fedatario</w:t>
        <w:br/>
        <w:t>público  (affidávit)  por  César  Daniel  Collantes  Sora   (expediente   de</w:t>
        <w:br/>
        <w:t>affidávits y sus observaciones, folios 2561-2562); declaración rendida  ante</w:t>
        <w:br/>
        <w:t>fedatario público (affidávit) por Julio César  Borrero  Briceño  (expediente</w:t>
        <w:br/>
        <w:t>de affidávits y sus observaciones, folios 2563-2564), y declaración  rendida</w:t>
        <w:br/>
        <w:t>ante  fedatario  público  (affidávit)  por  Dicha   Laura   Arias   Laureano</w:t>
        <w:br/>
        <w:t>(expediente de affidávits y sus observaciones, folio 2570).</w:t>
        <w:br/>
        <w:br/>
        <w:br/>
        <w:t>[99]  Cfr. declaración rendida ante fedatario público (affidávit) por  Cosme</w:t>
        <w:br/>
        <w:t>Marino Vargas Salas, supra nota 98 (folio 2557);  declaración  rendida  ante</w:t>
        <w:br/>
        <w:t>fedatario público (affidávit) por Julio César Borrero, supra nota 98  (folio</w:t>
        <w:br/>
        <w:t>2563); declaración de José Luis Guillermo Ruiz Boto rendida  ante  la  Corte</w:t>
        <w:br/>
        <w:t>Interamericana en audiencia pública celebrada el 21  de  enero  de  2009,  y</w:t>
        <w:br/>
        <w:t>declaración de  José  Baltasar  Vitkovic  Trujillo  rendida  ante  la  Corte</w:t>
        <w:br/>
        <w:t>Interamericana en audiencia pública celebrada el 21 de enero de 2009.</w:t>
        <w:br/>
        <w:br/>
        <w:br/>
        <w:t>[100]       Cfr. Caso Tristán Donoso, supra nota 95, párr. 184.</w:t>
        <w:br/>
        <w:br/>
        <w:br/>
        <w:t>[101]       Cfr. Caso Tristán Donoso, supra nota 95, párr. 184.</w:t>
        <w:br/>
        <w:br/>
        <w:br/>
        <w:t>[102]       Este Tribunal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Costas. Sentencia de 26 de mayo de 2001. Serie C  No.  77,  párr.  84;  Caso</w:t>
        <w:br/>
        <w:t>Kawas Fernández, supra nota 13, párr. 179, y  Caso  Perozo  y  otros,  supra</w:t>
        <w:br/>
        <w:t>nota 13, párr. 405.</w:t>
        <w:br/>
        <w:br/>
        <w:br/>
        <w:t>[103]       Declaración  rendida  ante  fedatario  público  (affidávit)  por</w:t>
        <w:br/>
        <w:t>Cosme Marino Vargas Salas, supra nota 98 (folio 2557).</w:t>
        <w:br/>
        <w:br/>
        <w:br/>
        <w:t>[104]       Declaración rendida ante fedatario público (affidávit) por  Juan</w:t>
        <w:br/>
        <w:t>José Medina Morán, supra nota 98 (folios 2559-2560).</w:t>
        <w:br/>
        <w:br/>
        <w:br/>
        <w:t>[105]       Declaración  rendida  ante  fedatario  público  (affidávit)  por</w:t>
        <w:br/>
        <w:t>César Daniel Collantes, supra nota 98 (folios 2561-2562).</w:t>
        <w:br/>
        <w:br/>
        <w:br/>
        <w:t>[106]       Declaración  rendida  ante  fedatario  público  (affidávit)  por</w:t>
        <w:br/>
        <w:t>Julio César Borrero, supra nota 98 (folios 2563-2564).</w:t>
        <w:br/>
        <w:br/>
        <w:br/>
        <w:t>[107]       Declaración  rendida  ante  fedatario  público  (affidávit)  por</w:t>
        <w:br/>
        <w:t>Dicha Laura Arias Laureano de Pozo, supra nota 98 (folio 2570).</w:t>
        <w:br/>
        <w:br/>
        <w:br/>
        <w:t>[108]       Cfr. declaración de José Luis Guillermo Ruiz  Boto,  supra  nota</w:t>
        <w:br/>
        <w:t>99.</w:t>
        <w:br/>
        <w:br/>
        <w:br/>
        <w:t>[109]       Cfr. declaración de José Baltasar Vitkovic Trujillo, supra  nota</w:t>
        <w:br/>
        <w:t>99.</w:t>
        <w:br/>
        <w:br/>
        <w:br/>
        <w:t>[110]       Cfr. Caso  Neira  Alegría  y  otros  Vs.  Perú.  Reparaciones  y</w:t>
        <w:br/>
        <w:t>Costas. Sentencia de 19 de septiembre de 1996. Serie C  No.  29,  párr.  56;</w:t>
        <w:br/>
        <w:t>Caso Kawas Fernández, supra nota 13, párr.  184,  y  Caso  Perozo  y  otros,</w:t>
        <w:br/>
        <w:t>supra nota 13, párr. 413.</w:t>
        <w:br/>
        <w:br/>
        <w:br/>
        <w:t>[111]       Cfr. Caso de los  “Niños  de  la  Calle”  (Villagrán  Morales  y</w:t>
        <w:br/>
        <w:t>otros), supra nota 102, párr. 84; Caso Kawas Fernández, supra nota 13,  nota</w:t>
        <w:br/>
        <w:t>221, y Caso Perozo y otros, supra nota 13, nota 362.</w:t>
        <w:br/>
        <w:br/>
        <w:br/>
        <w:t>[112]       Cfr.  Caso  Barrios  Altos  Vs.  Perú.  Reparaciones  y  Costas.</w:t>
        <w:br/>
        <w:t>Sentencia de 30 de noviembre de 2001. Serie C No.  87,  Punto  Resolutivo  5</w:t>
        <w:br/>
        <w:t>d); Caso Kawas Fernández, supra nota 13, párr. 199, y Caso Perozo  y  otros,</w:t>
        <w:br/>
        <w:t>supra nota 13, párr. 415.</w:t>
        <w:br/>
        <w:br/>
        <w:br/>
        <w:t>[113]        Cfr.  Caso  Apitz  Barbera  y  otros  (“Corte  Primera  de   lo</w:t>
        <w:br/>
        <w:t>Contencioso Administrativo”), supra nota 64, párr. 250.</w:t>
        <w:br/>
        <w:br/>
        <w:br/>
        <w:t>[114]       Cfr. Caso Garrido y  Baigorria  Vs.  Argentina.  Reparaciones  y</w:t>
        <w:br/>
        <w:t>Costas. Sentencia de 27 de agosto de 1998. Serie C No. 39,  párr.  82;  Caso</w:t>
        <w:br/>
        <w:t>Valle  Jaramillo  y  otros  Vs.  Colombia.  Fondo,  Reparaciones  y  Costas.</w:t>
        <w:br/>
        <w:t>Sentencia de 27 de noviembre de 2008. Serie C No. 192,  párr.  243,  y  Caso</w:t>
        <w:br/>
        <w:t>Ticona Estrada y otros Vs. Bolivia. Fondo, Reparaciones y Costas.  Sentencia</w:t>
        <w:br/>
        <w:t>de 27 de noviembre de 2008. Serie C No. 191, párr. 179.</w:t>
        <w:br/>
        <w:br/>
        <w:br/>
        <w:t>[115] Cfr. Caso Garrido y Baigorria, supra nota 114, párr.  80;  Caso  Kawas</w:t>
        <w:br/>
        <w:t>Fernández, supra nota 13, nota 219, y Caso Perozo y otros,  supra  nota  13,</w:t>
        <w:br/>
        <w:t>párr. 419.</w:t>
        <w:br/>
        <w:br/>
        <w:br/>
        <w:t>[116]       Cfr. Caso Garrido y Baigorria, supra nota 114,  párr.  86;  Caso</w:t>
        <w:br/>
        <w:t>Kawas Fernández, supra nota 13, párr. 221, y Caso Valle Jaramillo  y  otros,</w:t>
        <w:br/>
        <w:t>supra nota 114, párr. 245.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