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Caso El Amparo Vs.  Venezuela</w:t>
        <w:br/>
        <w:br/>
        <w:br/>
        <w:t xml:space="preserve">                      Sentencia de 18 de enero de 1995</w:t>
        <w:br/>
        <w:t xml:space="preserve">                                   (Fondo)</w:t>
        <w:br/>
        <w:br/>
        <w:br/>
        <w:t>En el caso El Amparo,</w:t>
        <w:br/>
        <w:br/>
        <w:t>la Corte Interamericana de Derechos Humanos, integrada  por  los  siguientes</w:t>
        <w:br/>
        <w:t>jueces(* ):</w:t>
        <w:br/>
        <w:br/>
        <w:t xml:space="preserve">      Héctor Fix-Zamudio, Presidente</w:t>
        <w:br/>
        <w:t xml:space="preserve">      Hernán Salgado Pesantes, Vicepresidente</w:t>
        <w:br/>
        <w:t xml:space="preserve">      Alejandro Montiel Argüello, Juez</w:t>
        <w:br/>
        <w:t xml:space="preserve">      Máximo Pacheco Gómez, Juez</w:t>
        <w:br/>
        <w:t xml:space="preserve">      Antônio A. Cançado Trindade, Juez;</w:t>
        <w:br/>
        <w:br/>
        <w:t>presentes, además,</w:t>
        <w:br/>
        <w:br/>
        <w:t xml:space="preserve">      Manuel E. Ventura Robles, Secretario y</w:t>
        <w:br/>
        <w:t xml:space="preserve">      Ana María Reina, Secretaria adjunta</w:t>
        <w:br/>
        <w:br/>
        <w:t>de  acuerdo  con  los  artículos  45  y  46  del  Reglamento  de  la   Corte</w:t>
        <w:br/>
        <w:t>Interamericana de Derechos Humanos (en adelante “el  Reglamento”)  dicta  la</w:t>
        <w:br/>
        <w:t>siguiente sentencia sobre el  presente  caso  introducido  por  la  Comisión</w:t>
        <w:br/>
        <w:t>Interamericana  de  Derechos  Humanos  (en  adelante  “la  Comisión”  o  “la</w:t>
        <w:br/>
        <w:t>Comisión Interamericana”) contra la República de Venezuela (en adelante  “el</w:t>
        <w:br/>
        <w:t>Gobierno” o “Venezuela”).</w:t>
        <w:br/>
        <w:br/>
        <w:br/>
        <w:t xml:space="preserve">                                      I</w:t>
        <w:br/>
        <w:br/>
        <w:t>1.    Este caso fue sometido a la Corte Interamericana de  Derechos  Humanos</w:t>
        <w:br/>
        <w:t>(en adelante “la  Corte”  o  “la  Corte  Interamericana”)  por  la  Comisión</w:t>
        <w:br/>
        <w:t>Interamericana mediante nota del 14 de enero de 1994, a la que  acompañó  el</w:t>
        <w:br/>
        <w:t>informe Nº 29/93 del 12 de octubre de 1993. Se originó en una  denuncia  (Nº</w:t>
        <w:br/>
        <w:t>10.602) contra Venezuela recibida en la Secretaría de la Comisión el  10  de</w:t>
        <w:br/>
        <w:t>agosto de 1990.</w:t>
        <w:br/>
        <w:br/>
        <w:t>2.    La Comisión sometió este caso para que  la  Corte  decidiera  si  hubo</w:t>
        <w:br/>
        <w:t>violación, por parte  del  Gobierno,  de  los  siguientes  artículos  de  la</w:t>
        <w:br/>
        <w:t>Convención Americana sobre Derechos Humanos (en adelante “la  Convención”  o</w:t>
        <w:br/>
        <w:t>“la Convención Americana”): 2 (Deber de  Adoptar  Disposiciones  de  Derecho</w:t>
        <w:br/>
        <w:t>Interno), 4 (Derecho a la Vida), 5 (Derecho a la Integridad  Personal),  8.1</w:t>
        <w:br/>
        <w:t>(Garantías  Judiciales),  24  (Igualdad  ante  la  Ley)  y  25   (Protección</w:t>
        <w:br/>
        <w:t>Judicial), todos ellos en concordancia con el artículo  1.1  (Obligación  de</w:t>
        <w:br/>
        <w:t>Respetar los Derechos) de la misma Convención, por la muerte de</w:t>
        <w:br/>
        <w:br/>
        <w:t xml:space="preserve">      José R. Araujo, Luis  A. Berríos, Moisés A. Blanco, Julio P. Ceballos,</w:t>
        <w:br/>
        <w:t xml:space="preserve">      Antonio Eregua, Rafael M. Moreno, José  Indalecio  Guerrero,  Arín  O.</w:t>
        <w:br/>
        <w:t xml:space="preserve">      Maldonado,  Justo  Mercado,  Pedro  Mosquera,  José   Puerta,   Marino</w:t>
        <w:br/>
        <w:t xml:space="preserve">      Torrealba, José Torrealba  y  Marino  Rivas,  [debido  a  los]  hechos</w:t>
        <w:br/>
        <w:t xml:space="preserve">      ocurridos el 29 de  octubre  de  1988,  en  el  Canal  “La  Colorada”,</w:t>
        <w:br/>
        <w:t xml:space="preserve">      Distrito Páez, Estado Apure, Venezuela.</w:t>
        <w:br/>
        <w:br/>
        <w:t>3.     También  solicitó  a  la  Corte  que  decidiera  que   Venezuela   es</w:t>
        <w:br/>
        <w:t>responsable  por  “la  violación  del  derecho  a  la  integridad  personal,</w:t>
        <w:br/>
        <w:t>garantías judiciales, igualdad ante la ley y protección judicial de  Wollmer</w:t>
        <w:br/>
        <w:t>Gregorio Pinilla y José Augusto Arias (Artículos 5,  8.1,  24  y  25  de  la</w:t>
        <w:br/>
        <w:t>Convención), sobrevivientes de los hechos ocurridos  el  29  de  octubre  de</w:t>
        <w:br/>
        <w:t>1988, en el Canal ‘La Colorada’ ”.</w:t>
        <w:br/>
        <w:br/>
        <w:t>4.    Además, la Comisión pidió a la Corte:</w:t>
        <w:br/>
        <w:br/>
        <w:t xml:space="preserve">      3.    Que declare, en base al principio pacta sunt  servanda,  que  el</w:t>
        <w:br/>
        <w:t xml:space="preserve">      Estado de Venezuela ha violado  el  artículo  51.2  de  la  Convención</w:t>
        <w:br/>
        <w:t xml:space="preserve">      Americana,  al  incumplir  las  recomendaciones  formuladas   por   la</w:t>
        <w:br/>
        <w:t xml:space="preserve">      Comisión.</w:t>
        <w:br/>
        <w:br/>
        <w:br/>
        <w:t xml:space="preserve">      4.    Que requiera al Estado de Venezuela  para  que  en  base  a  las</w:t>
        <w:br/>
        <w:t xml:space="preserve">      investigaciones realizadas,  identifique  y  sancione  a  los  autores</w:t>
        <w:br/>
        <w:t xml:space="preserve">      intelectuales y encubridores, evitándose de esta manera la consumación</w:t>
        <w:br/>
        <w:t xml:space="preserve">      de hechos  de  grave  impunidad  que  lesionan  las  bases  del  orden</w:t>
        <w:br/>
        <w:t xml:space="preserve">      jurídico.</w:t>
        <w:br/>
        <w:br/>
        <w:br/>
        <w:t xml:space="preserve">      5.    Que declare que la vigencia del artículo 54, incisos 2 y  3  del</w:t>
        <w:br/>
        <w:t xml:space="preserve">      Código  de  Justicia  Militar  analizados  en  el  curso  del  Informe</w:t>
        <w:br/>
        <w:t xml:space="preserve">      reservado No. 29/93, es  incompatible  con  el  objeto  y  fin  de  la</w:t>
        <w:br/>
        <w:t xml:space="preserve">      Convención Americana sobre Derechos Humanos, y que debe ser adecuado a</w:t>
        <w:br/>
        <w:t xml:space="preserve">      ella de conformidad con las  obligaciones  contraídas  en  virtud  del</w:t>
        <w:br/>
        <w:t xml:space="preserve">      artículo 2 de la misma.</w:t>
        <w:br/>
        <w:br/>
        <w:br/>
        <w:t xml:space="preserve">      6.    Que declare que el Estado de Venezuela debe reparar e indemnizar</w:t>
        <w:br/>
        <w:t xml:space="preserve">      a los familiares directos de las víctimas por los hechos cometidos por</w:t>
        <w:br/>
        <w:t xml:space="preserve">      los  agentes  del  Estado,  que  se  detallan  en  esta  demanda,   de</w:t>
        <w:br/>
        <w:t xml:space="preserve">      conformidad con el artículo 63.1 de la Convención.</w:t>
        <w:br/>
        <w:br/>
        <w:br/>
        <w:t xml:space="preserve">      7.    Que se condene al Estado de Venezuela a pagar las costas de este</w:t>
        <w:br/>
        <w:t xml:space="preserve">      proceso.</w:t>
        <w:br/>
        <w:br/>
        <w:t>5.    La Comisión, al presentar el caso ante  la  Corte,  designó  como  sus</w:t>
        <w:br/>
        <w:t>delegados a Oscar Luján Fappiano y Michael  Reisman   y  como  asistentes  a</w:t>
        <w:br/>
        <w:t>David J. Padilla, Secretario ejecutivo adjunto y  Milton  Castillo,  abogado</w:t>
        <w:br/>
        <w:t>de la Secretaría. Por nota del 2 de febrero de 1994 la  Comisión  informó  a</w:t>
        <w:br/>
        <w:t>la Corte que Claudio Grossman reemplazaría a Michael Reisman como delegado.</w:t>
        <w:br/>
        <w:br/>
        <w:t>6.    El 3 de mayo de 1994 la Comisión designó también  como  asistentes  en</w:t>
        <w:br/>
        <w:t>este caso  a  Pedro  Nikken  (Programa  Venezolano  de  Educación-Acción  en</w:t>
        <w:br/>
        <w:t>Derechos  Humanos,  PROVEA),  Juan  Méndez  (Americas  Watch),  José  Miguel</w:t>
        <w:br/>
        <w:t>Vivanco (Centro para la Justicia y el Derecho Internacional, CEJIL) y  Ligia</w:t>
        <w:br/>
        <w:t>Bolívar (PROVEA). Esas mismas personas fueron designadas por los  familiares</w:t>
        <w:br/>
        <w:t>de las víctimas como sus representantes, de  conformidad  con  lo  dispuesto</w:t>
        <w:br/>
        <w:t>por el artículo 22.2 del Reglamento.</w:t>
        <w:br/>
        <w:br/>
        <w:t>7.    El 17 de febrero de 1994 la Secretaría de la Corte  (en  adelante  “la</w:t>
        <w:br/>
        <w:t>Secretaría”), notificó la demanda al Gobierno, después  de  haber  realizado</w:t>
        <w:br/>
        <w:t>el  Presidente  de  la  Corte  (en  adelante  “el  Presidente”)  su   examen</w:t>
        <w:br/>
        <w:t>preliminar, y le informó que  disponía  de  un  plazo  de  tres  meses  para</w:t>
        <w:br/>
        <w:t>responderla por escrito (art. 29.1 del Reglamento)  y  de  un  plazo  de  30</w:t>
        <w:br/>
        <w:t>días, siguientes a la notificación de la demanda,  para  oponer  excepciones</w:t>
        <w:br/>
        <w:t>preliminares (art. 31.1 del Reglamento).</w:t>
        <w:br/>
        <w:br/>
        <w:t>8.    Por medio de nota del 28 de febrero de 1994 el Gobierno comunicó a  la</w:t>
        <w:br/>
        <w:t>Corte la designación de Ildegar Pérez Segnini,  Embajador  de  Venezuela  en</w:t>
        <w:br/>
        <w:t>Costa Rica, como agente y Luis Herrera Marcano, como  abogado  para  atender</w:t>
        <w:br/>
        <w:t>el caso en su representación. Mediante comunicación del 16 de mayo de  1994,</w:t>
        <w:br/>
        <w:t>el Gobierno nombró  a  Rodolfo  Enrique  Piza  Rocafort  como  su  consejero</w:t>
        <w:br/>
        <w:t>jurídico para este caso.</w:t>
        <w:br/>
        <w:br/>
        <w:t>9.    El 20 de mayo de 1994 Venezuela solicitó al  Presidente  una  prórroga</w:t>
        <w:br/>
        <w:t>de tres meses para contestar la demanda. Además, le informó que decidió  “no</w:t>
        <w:br/>
        <w:t>oponer la excepción de falta  de  agotamiento  de  los  recursos  internos”.</w:t>
        <w:br/>
        <w:t>Mediante comunicación de la misma fecha, la Secretaría informó  al  Gobierno</w:t>
        <w:br/>
        <w:t>la decisión del Presidente de otorgar un plazo adicional  de  30  días  para</w:t>
        <w:br/>
        <w:t>que contestara la demanda. Por nota del 13 de  junio  de  1994  el  Gobierno</w:t>
        <w:br/>
        <w:t>solicitó al Presidente que  reconsiderara  la  prórroga  de  30  días  y  le</w:t>
        <w:br/>
        <w:t>concediera la originalmente solicitada.  Mediante  comunicación  del  16  de</w:t>
        <w:br/>
        <w:t>junio de 1994 el Presidente extendió el  plazo  para  contestar  la  demanda</w:t>
        <w:br/>
        <w:t>hasta el 1 de agosto de 1994. En esa fecha se recibió en  la  Secretaría  la</w:t>
        <w:br/>
        <w:t>contestación de la demanda.</w:t>
        <w:br/>
        <w:br/>
        <w:br/>
        <w:t xml:space="preserve">                                     II</w:t>
        <w:br/>
        <w:br/>
        <w:t>10.    Según  la  demanda,  los  hechos  ocurrieron  cuando  “16  pescadores</w:t>
        <w:br/>
        <w:t>residentes del pueblo ‘El Amparo’ se dirigían con  dirección  al  Canal  ‘La</w:t>
        <w:br/>
        <w:t>Colorada’ a través del río Arauca, ubicado en el Distrito  Páez  del  Estado</w:t>
        <w:br/>
        <w:t>Apure, a participar en un paseo de pesca... a  bordo  de  [una]  embarcación</w:t>
        <w:br/>
        <w:t>conducida por José Indalecio Guerrero”. La demanda indica que a las</w:t>
        <w:br/>
        <w:br/>
        <w:t xml:space="preserve">      11:20  a.m.  aproximadamente,  se   detuvieron   y   fue   en   dichas</w:t>
        <w:br/>
        <w:t xml:space="preserve">      circunstancias —cuando algunos pescadores bajaban de  la  embarcación—</w:t>
        <w:br/>
        <w:t xml:space="preserve">      que los efectivos militares y policiales del “Comando Específico  José</w:t>
        <w:br/>
        <w:t xml:space="preserve">      Antonio  Páez”  [en  adelante  “CEJAP”]  —quienes  en  esos   momentos</w:t>
        <w:br/>
        <w:t xml:space="preserve">      realizaban un  operativo  militar  denominado  “Anguila  III”—  dieron</w:t>
        <w:br/>
        <w:t xml:space="preserve">      muerte a 14 de los 16 pescadores que se encontraban en el lugar de los</w:t>
        <w:br/>
        <w:t xml:space="preserve">      hechos.</w:t>
        <w:br/>
        <w:br/>
        <w:t>11.   La Comisión Interamericana expresó que  “Wollmer  Gregorio  Pinilla  y</w:t>
        <w:br/>
        <w:t>José Augusto Arias, quienes aún se encontraban  dentro  de  la  embarcación,</w:t>
        <w:br/>
        <w:t>lograron escapar lanzándose al agua  y  atravesando  a  nado  el  Canal  ‘La</w:t>
        <w:br/>
        <w:t>Colorada’... Los sobrevivientes se refugiaron  en  la  finca  ‘Buena  Vista’</w:t>
        <w:br/>
        <w:t>situada a 15 Km. del lugar de los hechos” y al día siguiente  se  entregaron</w:t>
        <w:br/>
        <w:t>al Comandante de la Policía de “El Amparo”,  Adán  de  Jesús  Tovar  Araque,</w:t>
        <w:br/>
        <w:t>“quien  inmediatamente  les  brindó  protección  conjuntamente   con   otros</w:t>
        <w:br/>
        <w:t>funcionarios policiales de la zona”. Agrega la demanda  que  “Tovar  recibió</w:t>
        <w:br/>
        <w:t>presiones de funcionarios policiales y militares de  San  Cristóbal,  Estado</w:t>
        <w:br/>
        <w:t>Táchira, a fin de entregar a los sobrevivientes al  Ejército,  produciéndose</w:t>
        <w:br/>
        <w:t>un intento de sacar por la fuerza a los mismos... el cual  fue  evitado  por</w:t>
        <w:br/>
        <w:t>la presencia de numerosas  personas  que  se  instalaron  frente  al  puesto</w:t>
        <w:br/>
        <w:t>policial”.</w:t>
        <w:br/>
        <w:br/>
        <w:t>12.   De acuerdo con la demanda, Celso José Rincón Fuentes,  Inspector  Jefe</w:t>
        <w:br/>
        <w:t>de la DISIP (Dirección de  los  Servicios  de  Inteligencia  y  Prevención),</w:t>
        <w:br/>
        <w:t>visitó a Tovar en la tarde del 29 de octubre  “y  le  inform[ó]  que  habían</w:t>
        <w:br/>
        <w:t>matado a 14  guerrilleros  y  se  les  habían  escapado  dos”.  La  Comisión</w:t>
        <w:br/>
        <w:t>manifestó que</w:t>
        <w:br/>
        <w:br/>
        <w:t xml:space="preserve">     [e]sa misma tarde y a primeras horas  del  día  siguiente,  Tovar  fue</w:t>
        <w:br/>
        <w:t xml:space="preserve">     abordado por familiares de varios pescadores que le preguntaban por el</w:t>
        <w:br/>
        <w:t xml:space="preserve">     paradero de quienes habían salido a pescar el día 29, pues  no  habían</w:t>
        <w:br/>
        <w:t xml:space="preserve">     regresado, mientras los medios de comunicación comenzaban a transmitir</w:t>
        <w:br/>
        <w:t xml:space="preserve">     noticias sobre un enfrentamiento armado con irregulares colombianos.</w:t>
        <w:br/>
        <w:br/>
        <w:t>13.   Según la Comisión, los siguientes agentes  del  Gobierno  participaron</w:t>
        <w:br/>
        <w:t>el 29 de  octubre  de  1988  como  los  efectivos  militares  y  policiales,</w:t>
        <w:br/>
        <w:t>miembros del CEJAP, en la operación militar “Anguila III”:</w:t>
        <w:br/>
        <w:br/>
        <w:t xml:space="preserve">      Capitán de Corbeta, Alí Coromoto González; Maestro Técnico de  Primera</w:t>
        <w:br/>
        <w:t xml:space="preserve">      (Ej), Ernesto Morales Gómez; Sargento Técnico de  Primera  (Ej),  Omar</w:t>
        <w:br/>
        <w:t xml:space="preserve">      Antonio Pérez Hudson; Sargento Mayor de Segunda (Ej),  Salvador  Ortiz</w:t>
        <w:br/>
        <w:t xml:space="preserve">      Hernández;  Comisario  Jefe  (DISIP),  Andrés  Alberto  Román  Romero;</w:t>
        <w:br/>
        <w:t xml:space="preserve">      Comisario (DISIP), Maximiliano José Monsalve Planchart; Inspector Jefe</w:t>
        <w:br/>
        <w:t xml:space="preserve">      (DISIP), Celso José Rincón Fuentes;  Inspector  Jefe  (DISIP),  Carlos</w:t>
        <w:br/>
        <w:t xml:space="preserve">      Alberto Durán Tolosa; Inspector  (DISIP),  José  Ramón  Zerpa  Poveda;</w:t>
        <w:br/>
        <w:t xml:space="preserve">      Inspector (DISIP), Luis Alberto  Villamizar;  Sub  Inspector  (DISIP),</w:t>
        <w:br/>
        <w:t xml:space="preserve">      Franklin  Gómez  Rodríguez;  Sub  Inspector  (DISIP),  Omar   Gregorio</w:t>
        <w:br/>
        <w:t xml:space="preserve">      Márquez; Detective (DISIP), Tony Richard Urbina Sojo; Sumariador  Jefe</w:t>
        <w:br/>
        <w:t xml:space="preserve">      III  (PTJ)  [Policía  Técnica  Judicial],  Gerardo   Rugeles   Molina;</w:t>
        <w:br/>
        <w:t xml:space="preserve">      Inspector Jefe (PTJ), Edgar Arturo Mendoza  Guanaguey;  Sub  Comisario</w:t>
        <w:br/>
        <w:t xml:space="preserve">      (PTJ), Florentino Javier López;  Sub  Inspector  (PTJ),  Alfredo  José</w:t>
        <w:br/>
        <w:t xml:space="preserve">      Montero; Agente Principal (PTJ), Daniel  Virgilio  Gómez;  Funcionario</w:t>
        <w:br/>
        <w:t xml:space="preserve">      Policial  (PTJ),  Rafael  Rodríguez  Salazar;  y  Huber  Bayona   Ríos</w:t>
        <w:br/>
        <w:t xml:space="preserve">      (ciudadano colombiano,  que  prestaba  servicios  de  inteligencia  al</w:t>
        <w:br/>
        <w:t xml:space="preserve">      CEJAP).</w:t>
        <w:br/>
        <w:br/>
        <w:t>14.   El 10 de agosto de 1990 la Comisión abrió el caso Nº 10.602,  el  cual</w:t>
        <w:br/>
        <w:t>tramitó hasta el 12 de octubre de 1993, fecha en  que  adoptó,  conforme  al</w:t>
        <w:br/>
        <w:t>artículo 50 de la Convención Americana, el  informe  Nº  29/93,  en  el  que</w:t>
        <w:br/>
        <w:t>resolvió:</w:t>
        <w:br/>
        <w:br/>
        <w:t xml:space="preserve">      7.1   Se recomienda al Gobierno de Venezuela sancionar a  los  autores</w:t>
        <w:br/>
        <w:t xml:space="preserve">      intelectuales y encubridores del delito de homicidio en  perjuicio  de</w:t>
        <w:br/>
        <w:t xml:space="preserve">      las víctimas de “El Amparo”.</w:t>
        <w:br/>
        <w:br/>
        <w:br/>
        <w:t xml:space="preserve">      7.2   Se recomienda al Gobierno  de  Venezuela  que  pague  una  justa</w:t>
        <w:br/>
        <w:t xml:space="preserve">      indemnización compensatoria a los familiares directos de las víctimas.</w:t>
        <w:br/>
        <w:br/>
        <w:br/>
        <w:t xml:space="preserve">      7.3   Se recomienda al Gobierno de Venezuela adoptar las disposiciones</w:t>
        <w:br/>
        <w:t xml:space="preserve">      de derecho interno, con arreglo a sus procedimientos  constitucionales</w:t>
        <w:br/>
        <w:t xml:space="preserve">      y legales, a fin de revisar y modificar el Código de Justicia Militar,</w:t>
        <w:br/>
        <w:t xml:space="preserve">      en lo concerniente a los artículos analizados en el presente informe.</w:t>
        <w:br/>
        <w:br/>
        <w:br/>
        <w:t xml:space="preserve">      7.4   Se solicita al Gobierno de Venezuela que informe a  la  Comisión</w:t>
        <w:br/>
        <w:t xml:space="preserve">      Interamericana de Derechos Humanos dentro del  plazo  de  tres  meses,</w:t>
        <w:br/>
        <w:t xml:space="preserve">      respecto de las medidas que adopte en el presente caso, de acuerdo con</w:t>
        <w:br/>
        <w:t xml:space="preserve">      las recomendaciones formuladas en los numerales 7.1, 7.2 y 7.3.</w:t>
        <w:br/>
        <w:br/>
        <w:t>15.   El 11 de enero de 1994 el Gobierno  solicitó  la  reconsideración  del</w:t>
        <w:br/>
        <w:t>informe anterior y la fijación de una audiencia para exponer  nuevos  hechos</w:t>
        <w:br/>
        <w:t>y consideraciones de derecho. La Comisión, por  nota  del  12  de  enero  de</w:t>
        <w:br/>
        <w:t>1994, le respondió que examinaría dicha solicitud  durante  su  85º  período</w:t>
        <w:br/>
        <w:t>ordinario de sesiones y que oportunamente señalaría audiencia  para  recibir</w:t>
        <w:br/>
        <w:t>a los representantes del Gobierno. En esa misma fecha  el  Gobierno  remitió</w:t>
        <w:br/>
        <w:t>dos documentos que contenían sus alegatos sobre el informe Nº 29/93.  El  14</w:t>
        <w:br/>
        <w:t>de enero de 1994, la Comisión desestimó  la  solicitud  de  reconsideración,</w:t>
        <w:br/>
        <w:t>decidió  confirmar  el  informe  29/93  y  remitir  el  caso  a   la   Corte</w:t>
        <w:br/>
        <w:t>Interamericana.</w:t>
        <w:br/>
        <w:br/>
        <w:br/>
        <w:t xml:space="preserve">                                     III</w:t>
        <w:br/>
        <w:br/>
        <w:t>16.   La Corte es competente para conocer el  presente  caso.  Venezuela  es</w:t>
        <w:br/>
        <w:t>Estado Parte de la Convención desde el 9 de  agosto  de  1977  y  aceptó  la</w:t>
        <w:br/>
        <w:t>competencia contenciosa de la Corte el 24 de julio de 1981.</w:t>
        <w:br/>
        <w:br/>
        <w:br/>
        <w:t xml:space="preserve">                                     IV</w:t>
        <w:br/>
        <w:br/>
        <w:t>17.   En su contestación, Venezuela señaló en cuanto a “los Hechos que  hace</w:t>
        <w:br/>
        <w:t>referencia la Demanda... [que] no los contiende  ni  expresa  objeciones  de</w:t>
        <w:br/>
        <w:t>fondo, en virtud de que esos mismos hechos están  siendo  juzgados  por  los</w:t>
        <w:br/>
        <w:t>tribunales competentes de la República (en  estos  momentos,  por  la  Corte</w:t>
        <w:br/>
        <w:t>Marcial Ad Hoc)”. Agregó que</w:t>
        <w:br/>
        <w:br/>
        <w:br/>
        <w:t xml:space="preserve">      [s]i bien la República  de  Venezuela  no  contiende  ni  objeta  este</w:t>
        <w:br/>
        <w:t xml:space="preserve">      proceso y la responsabilidad objetiva que pudiera  corresponderle,  en</w:t>
        <w:br/>
        <w:t xml:space="preserve">      virtud de las circunstancias anormales que  rodearon  el  caso  en  el</w:t>
        <w:br/>
        <w:t xml:space="preserve">      orden interno y en  la  Comisión  Interamericana,  la  responsabilidad</w:t>
        <w:br/>
        <w:t xml:space="preserve">      moral  y  política  del  mismo,  no  corresponde  al  Gobierno  de  la</w:t>
        <w:br/>
        <w:t xml:space="preserve">      República, ni mucho menos a  las  autoridades  superiores  del  Estado</w:t>
        <w:br/>
        <w:t xml:space="preserve">      venezolano.</w:t>
        <w:br/>
        <w:br/>
        <w:t>18.   El 28 de octubre de 1994 la Secretaría recibió copia de  la  sentencia</w:t>
        <w:br/>
        <w:t>de la Corte Marcial Ad Hoc sobre el caso “El Amparo”, de fecha 12  de  junio</w:t>
        <w:br/>
        <w:t>de  1994.   Esta   sentencia   concluyó   que   quedaron   “corregidas   las</w:t>
        <w:br/>
        <w:t>irregularidades anotadas por la Sala de Casación Penal de la  Corte  Suprema</w:t>
        <w:br/>
        <w:t>de  Justicia,  en  sentencia  de  fecha  nueve  (9)  de  noviembre  de   mil</w:t>
        <w:br/>
        <w:t>novecientos noventa y tres,  que  ANULO  el  fallo...  [y  en  consecuencia]</w:t>
        <w:br/>
        <w:t>absolvió [a los]  procesado[s]”.</w:t>
        <w:br/>
        <w:br/>
        <w:t>19.   Por medio de nota del 11 de enero de 1995,  el  Gobierno  comunicó  al</w:t>
        <w:br/>
        <w:t>Presidente que Venezuela “no contiende los hechos referidos en la demanda  y</w:t>
        <w:br/>
        <w:t>acepta la responsabilidad internacional del Estado”, y solicitó a  la  Corte</w:t>
        <w:br/>
        <w:t>que pidiera a la Comisión “avenirse a  un  procedimiento  no  contencioso  a</w:t>
        <w:br/>
        <w:t>objeto de determinar  amigablemente  -bajo  supervisión  de  la  Corte-  las</w:t>
        <w:br/>
        <w:t>reparaciones a que haya lugar, todo de conformidad  con  lo  establecido  en</w:t>
        <w:br/>
        <w:t>los  artículos  43  y  48  del  Reglamento  de  la   Corte”.   La   Comisión</w:t>
        <w:br/>
        <w:t>Interamericana fue informada por la Secretaría de esta comunicación y  acusó</w:t>
        <w:br/>
        <w:t>recibo de la misma el 13 de enero de 1995.</w:t>
        <w:br/>
        <w:br/>
        <w:br/>
        <w:t xml:space="preserve">                                      V</w:t>
        <w:br/>
        <w:br/>
        <w:t>20.    En  virtud  de  lo  anterior  la  Corte  considera   que,   dado   el</w:t>
        <w:br/>
        <w:t>reconocimiento de responsabilidad efectuado por   Venezuela,  ha  cesado  la</w:t>
        <w:br/>
        <w:t>controversia en cuanto a los hechos que dieron origen al presente caso.  Por</w:t>
        <w:br/>
        <w:t>lo tanto, corresponde que éste pase a la etapa de reparaciones y costas.</w:t>
        <w:br/>
        <w:br/>
        <w:t>21.   La Corte, en el ejercicio de  su  competencia  contenciosa,  considera</w:t>
        <w:br/>
        <w:t>apropiado que la determinación del monto de las  reparaciones  y  costas  se</w:t>
        <w:br/>
        <w:t>haga de común acuerdo entre el Estado demandado y la Comisión,  teniendo  en</w:t>
        <w:br/>
        <w:t>cuenta la disposición  del  Gobierno  y  los  intereses  superiores  de  las</w:t>
        <w:br/>
        <w:t>víctimas. En caso de que no se llegue a un acuerdo, la Corte determinará  el</w:t>
        <w:br/>
        <w:t>alcance de las reparaciones y el monto de las indemnizaciones y costas.</w:t>
        <w:br/>
        <w:br/>
        <w:br/>
        <w:t xml:space="preserve">                                     VI</w:t>
        <w:br/>
        <w:br/>
        <w:t>Por tanto,</w:t>
        <w:br/>
        <w:br/>
        <w:br/>
        <w:t>LA CORTE</w:t>
        <w:br/>
        <w:br/>
        <w:br/>
        <w:br/>
        <w:t>por unanimidad,</w:t>
        <w:br/>
        <w:br/>
        <w:br/>
        <w:t>1.    Toma nota del  reconocimiento  de  responsabilidad  efectuado  por  la</w:t>
        <w:br/>
        <w:t>República de Venezuela y decide que ha cesado la controversia acerca de  los</w:t>
        <w:br/>
        <w:t>hechos que dieron origen al presente caso.</w:t>
        <w:br/>
        <w:br/>
        <w:t>2.    Decide que la República de  Venezuela  está  obligada  a  reparar  los</w:t>
        <w:br/>
        <w:t>daños y pagar una justa indemnización a las víctimas  sobrevivientes  y  los</w:t>
        <w:br/>
        <w:t>familiares de los fallecidos.</w:t>
        <w:br/>
        <w:br/>
        <w:br/>
        <w:br/>
        <w:t>3.    Decide que las reparaciones y la forma y cuantía de  la  indemnización</w:t>
        <w:br/>
        <w:t>serán fijadas por la República de Venezuela y  la  Comisión   Interamericana</w:t>
        <w:br/>
        <w:t>de Derechos Humanos, de común acuerdo, dentro de  un  plazo  de  seis  meses</w:t>
        <w:br/>
        <w:t>contados a partir de la notificación de esta sentencia.</w:t>
        <w:br/>
        <w:br/>
        <w:t>4.    Se reserva la facultad de revisar y aprobar el acuerdo y, en  caso  de</w:t>
        <w:br/>
        <w:t>no llegar a él, la Corte determinará el alcance de  las  reparaciones  y  el</w:t>
        <w:br/>
        <w:t>monto de las  indemnizaciones  y  costas,  para  lo  cual  deja  abierto  el</w:t>
        <w:br/>
        <w:t>procedimiento.</w:t>
        <w:br/>
        <w:t>El  Juez  Cançado  Trindade  hizo  conocer  a  la  Corte  su  voto  razonado</w:t>
        <w:br/>
        <w:t>concordante, el cual acompañará a esta sentencia.</w:t>
        <w:br/>
        <w:br/>
        <w:t>Redactada en castellano y en inglés, haciendo fe el texto en castellano,  en</w:t>
        <w:br/>
        <w:t>San José, Costa Rica, el día 18 de enero de 1995.</w:t>
        <w:br/>
        <w:br/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br/>
        <w:br/>
        <w:t xml:space="preserve">      Hernán Salgado Pesantes     Alejandro Montiel Argüello</w:t>
        <w:br/>
        <w:br/>
        <w:br/>
        <w:br/>
        <w:br/>
        <w:t xml:space="preserve">      Máximo Pacheco Gómez  Antônio A. Cançado Trindade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br/>
        <w:t>Leída en sesión pública en la sede de la Corte en San José, Costa  Rica,  el</w:t>
        <w:br/>
        <w:t>día 20 de enero de 1995.</w:t>
        <w:br/>
        <w:br/>
        <w:br/>
        <w:br/>
        <w:t>Comuníquese y ejecútese,</w:t>
        <w:br/>
        <w:br/>
        <w:t xml:space="preserve">      Héctor Fix-Zamudio</w:t>
        <w:br/>
        <w:t xml:space="preserve">            Presidente</w:t>
        <w:br/>
        <w:br/>
        <w:br/>
        <w:t xml:space="preserve">      Manuel E. Ventura Robles</w:t>
        <w:br/>
        <w:t xml:space="preserve">      Secretario</w:t>
        <w:br/>
        <w:br/>
        <w:br/>
        <w:t xml:space="preserve">                VOTO RAZONADO DEL JUEZ A. A. CANÇADO TRINDADE</w:t>
        <w:br/>
        <w:br/>
        <w:br/>
        <w:br/>
        <w:br/>
        <w:t>Concuerdo con la decisión de la Corte. Entiendo  que  en  esta  etapa  debía</w:t>
        <w:br/>
        <w:t>haberse agregado una aclaración expresa en el sentido  de  que  la  facultad</w:t>
        <w:br/>
        <w:t>que la Corte se reservó, en el  punto  resolutivo  4  de  la  sentencia,  se</w:t>
        <w:br/>
        <w:t>extiende también a examinar y  decidir  sobre  la  solicitud  hecha  por  la</w:t>
        <w:br/>
        <w:t>Comisión Interamericana  de  Derechos  Humanos  (numeral  5)  acerca  de  la</w:t>
        <w:br/>
        <w:t>incompatibilidad o no de la vigencia de los incisos 2 y 3  del  artículo  54</w:t>
        <w:br/>
        <w:t>del Código de Justicia Militar de Venezuela  con  el  objeto  y  fin  de  la</w:t>
        <w:br/>
        <w:t>Convención Americana sobre Derechos Humanos.</w:t>
        <w:br/>
        <w:br/>
        <w:br/>
        <w:br/>
        <w:br/>
        <w:t xml:space="preserve">                                                 Antonio A. Cançado Trindade</w:t>
        <w:br/>
        <w:t xml:space="preserve">                       Juez</w:t>
        <w:br/>
        <w:br/>
        <w:br/>
        <w:br/>
        <w:br/>
        <w:t xml:space="preserve">      Manuel E. Ventura Robles</w:t>
        <w:br/>
        <w:t xml:space="preserve">            Secretario</w:t>
        <w:br/>
        <w:br/>
        <w:br/>
        <w:t xml:space="preserve">      (*) El Juez Oliver Jackman se abstuvo de conocer este caso por haber</w:t>
        <w:br/>
        <w:t>participado en varias etapas del mismo durante su trámite ante la Comisión</w:t>
        <w:br/>
        <w:t>Interamericana de Derechos Humanos.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