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Caso González y otras (“Campo Algodonero”) vs. México</w:t>
        <w:br/>
        <w:br/>
        <w:br/>
        <w:br/>
        <w:br/>
        <w:br/>
        <w:br/>
        <w:br/>
        <w:br/>
        <w:t xml:space="preserve">                    SENTENCIA DE 16 DE NOVIEMBRE DE 2009</w:t>
        <w:br/>
        <w:br/>
        <w:br/>
        <w:t xml:space="preserve">            (EXCEPCIÓN PRELIMINAR, FONDO, REPARACIONES Y COSTAS)</w:t>
        <w:br/>
        <w:br/>
        <w:br/>
        <w:br/>
        <w:br/>
        <w:br/>
        <w:t>En el caso González y otras (“Campo Algodonero”),</w:t>
        <w:br/>
        <w:br/>
        <w:br/>
        <w:t>la Corte Interamericana de Derechos Humanos (en adelante “la Corte</w:t>
        <w:br/>
        <w:t>Interamericana”, “la Corte” o “el Tribunal”), integrada por los siguientes</w:t>
        <w:br/>
        <w:t>jueces[1]:</w:t>
        <w:br/>
        <w:br/>
        <w:t xml:space="preserve">      Cecilia Medina Quiroga, Presidenta;</w:t>
        <w:br/>
        <w:t xml:space="preserve">      Diego García-Sayán,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Jueza, y</w:t>
        <w:br/>
        <w:t xml:space="preserve">      Rosa María Álvarez González, Jueza ad hoc;</w:t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37.6, 56 y 58 del Reglamento  de  la</w:t>
        <w:br/>
        <w:t>Corte[2] (en adelante “el Reglamento”), dicta la presente Sentencia.</w:t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t>1. El 4 de noviembre de 2007 la Comisión Interamericana de Derechos  Humanos</w:t>
        <w:br/>
        <w:t xml:space="preserve">   (en adelante “la Comisión” o “la Comisión Interamericana”)  presentó,  de</w:t>
        <w:br/>
        <w:t xml:space="preserve">   conformidad con los artículos 51 y  61  de  la  Convención,  una  demanda</w:t>
        <w:br/>
        <w:t xml:space="preserve">   contra los Estados Unidos Mexicanos (en adelante “el Estado” o “México”),</w:t>
        <w:br/>
        <w:t xml:space="preserve">   a partir de la cual se inició el presente caso. La petición  inicial  fue</w:t>
        <w:br/>
        <w:t xml:space="preserve">   presentada ante la Comisión el 6 de marzo de 2002. El 24  de  febrero  de</w:t>
        <w:br/>
        <w:t xml:space="preserve">   2005 la Comisión aprobó los Informes No. 16/05, 17/05 y  18/05,  mediante</w:t>
        <w:br/>
        <w:t xml:space="preserve">   los cuales declaró admisibles las respectivas peticiones. El 30 de  enero</w:t>
        <w:br/>
        <w:t xml:space="preserve">   de 2007 la Comisión notificó a las partes su  decisión  de  acumular  los</w:t>
        <w:br/>
        <w:t xml:space="preserve">   tres casos. Posteriormente, el 9 de marzo de 2007 aprobó  el  Informe  de</w:t>
        <w:br/>
        <w:t xml:space="preserve">   fondo No. 28/07, en los términos del artículo 50  de  la  Convención,  el</w:t>
        <w:br/>
        <w:t xml:space="preserve">   cual contenía determinadas recomendaciones para el Estado.  Este  informe</w:t>
        <w:br/>
        <w:t xml:space="preserve">   fue notificado al Estado el 4 de  abril  de  2007.  Tras  considerar  que</w:t>
        <w:br/>
        <w:t xml:space="preserve">   México no había adoptado sus recomendaciones, la Comisión decidió someter</w:t>
        <w:br/>
        <w:t xml:space="preserve">   el presente caso a la jurisdicción de la Corte. La Comisión designó  como</w:t>
        <w:br/>
        <w:t xml:space="preserve">   delegados a los señores  Florentín  Meléndez,  Comisionado,  Santiago  A.</w:t>
        <w:br/>
        <w:t xml:space="preserve">   Canton, Secretario Ejecutivo, y como asesores legales  a  Elizabeth  Abi-</w:t>
        <w:br/>
        <w:t xml:space="preserve">   Mershed, Secretaria  Ejecutiva  Adjunta,  y  Juan  Pablo  Albán,  Marisol</w:t>
        <w:br/>
        <w:t xml:space="preserve">   Blanchard, Rosa Celorio y Fiorella Melzi, especialistas de la  Secretaría</w:t>
        <w:br/>
        <w:t xml:space="preserve">   Ejecutiva.</w:t>
        <w:br/>
        <w:br/>
        <w:br/>
        <w:t>2. La demanda se relaciona con  la  supuesta  responsabilidad  internacional</w:t>
        <w:br/>
        <w:t xml:space="preserve">   del Estado por “la desaparición y ulterior muerte” de las jóvenes Claudia</w:t>
        <w:br/>
        <w:t xml:space="preserve">   Ivette  González,  Esmeralda  Herrera  Monreal  y  Laura  Berenice  Ramos</w:t>
        <w:br/>
        <w:t xml:space="preserve">   Monárrez (en adelante “las jóvenes González,  Herrera  y  Ramos”),  cuyos</w:t>
        <w:br/>
        <w:t xml:space="preserve">   cuerpos fueron encontrados en un campo algodonero de Ciudad Juárez el día</w:t>
        <w:br/>
        <w:t xml:space="preserve">   6 de noviembre de 2001. Se responsabiliza al  Estado  por  “la  falta  de</w:t>
        <w:br/>
        <w:t xml:space="preserve">   medidas de protección a las víctimas, dos de las cuales eran  menores  de</w:t>
        <w:br/>
        <w:t xml:space="preserve">   edad;  la  falta  de  prevención  de  estos  crímenes,  pese   al   pleno</w:t>
        <w:br/>
        <w:t xml:space="preserve">   conocimiento de la existencia de un patrón de  violencia  de  género  que</w:t>
        <w:br/>
        <w:t xml:space="preserve">   había dejado centenares de  mujeres  y  niñas  asesinadas;  la  falta  de</w:t>
        <w:br/>
        <w:t xml:space="preserve">   respuesta de las autoridades frente a la desaparición […];  la  falta  de</w:t>
        <w:br/>
        <w:t xml:space="preserve">   debida diligencia en la investigación de los asesinatos […], así como  la</w:t>
        <w:br/>
        <w:t xml:space="preserve">   denegación de justicia y la falta de reparación adecuada”.</w:t>
        <w:br/>
        <w:br/>
        <w:br/>
        <w:t>3. La Comisión solicitó a la Corte que declare al Estado responsable por  la</w:t>
        <w:br/>
        <w:t xml:space="preserve">   violación de los derechos consagrados en los artículos 4  (Derecho  a  la</w:t>
        <w:br/>
        <w:t xml:space="preserve">   Vida), 5 (Derecho a la Integridad Personal), 8 (Garantías Judiciales), 19</w:t>
        <w:br/>
        <w:t xml:space="preserve">   (Derechos del Niño) y 25  (Protección  Judicial)  de  la  Convención,  en</w:t>
        <w:br/>
        <w:t xml:space="preserve">   relación  con  las  obligaciones  establecidas  en  los   artículos   1.1</w:t>
        <w:br/>
        <w:t xml:space="preserve">   (Obligación de Respetar los Derechos) y 2 (Deber de Adoptar Disposiciones</w:t>
        <w:br/>
        <w:t xml:space="preserve">   de Derecho Interno) de la misma, y el incumplimiento de las  obligaciones</w:t>
        <w:br/>
        <w:t xml:space="preserve">   que derivan del artículo 7 de la Convención para  Prevenir,  Sancionar  y</w:t>
        <w:br/>
        <w:t xml:space="preserve">   Erradicar la Violencia contra la Mujer (en adelante “Convención Belém  do</w:t>
        <w:br/>
        <w:t xml:space="preserve">   Pará”). La demanda fue notificada al Estado el 21 de diciembre de 2007  y</w:t>
        <w:br/>
        <w:t xml:space="preserve">   a los representantes el 2 de enero de 2008.</w:t>
        <w:br/>
        <w:br/>
        <w:br/>
        <w:t>4. El 23 de febrero  de  2008  las  organizaciones  Asociación  Nacional  de</w:t>
        <w:br/>
        <w:t xml:space="preserve">   Abogados Democráticos A. C., Comité de América Latina y el Caribe para la</w:t>
        <w:br/>
        <w:t xml:space="preserve">   Defensa de los Derechos de la Mujer, Red Ciudadana de No Violencia y  por</w:t>
        <w:br/>
        <w:t xml:space="preserve">   la Dignidad Humana y Centro para el Desarrollo Integral de  la  Mujer  A.</w:t>
        <w:br/>
        <w:t xml:space="preserve">   C.,  representantes  de  las  presuntas  víctimas[3]  (en  adelante  “los</w:t>
        <w:br/>
        <w:t xml:space="preserve">   representantes”), presentaron su escrito  de  solicitudes,  argumentos  y</w:t>
        <w:br/>
        <w:t xml:space="preserve">   pruebas (en adelante “escrito de solicitudes y  argumentos”).  Además  de</w:t>
        <w:br/>
        <w:t xml:space="preserve">   los alegatos presentados por la Comisión, los representantes  solicitaron</w:t>
        <w:br/>
        <w:t xml:space="preserve">   ampliar el número de víctimas a once mujeres y que la Corte se  pronuncie</w:t>
        <w:br/>
        <w:t xml:space="preserve">   sobre la supuesta detención arbitraria, tortura y violaciones  al  debido</w:t>
        <w:br/>
        <w:t xml:space="preserve">   proceso de tres personas más. Adicionalmente a  los  artículos  invocados</w:t>
        <w:br/>
        <w:t xml:space="preserve">   por la Comisión, los representantes solicitaron a la  Corte  que  declare</w:t>
        <w:br/>
        <w:t xml:space="preserve">   que el Estado es responsable por la violación de los derechos consagrados</w:t>
        <w:br/>
        <w:t xml:space="preserve">   en los artículos 7 (Derecho a la Libertad Personal) y 11  (Derecho  a  la</w:t>
        <w:br/>
        <w:t xml:space="preserve">   Dignidad y a la Honra) de la Convención, todos ellos en relación con  las</w:t>
        <w:br/>
        <w:t xml:space="preserve">   obligaciones generales que se derivan de los artículos  1.1  y  2  de  la</w:t>
        <w:br/>
        <w:t xml:space="preserve">   misma, así como el artículo 7 de la Convención Belém do Pará, en conexión</w:t>
        <w:br/>
        <w:t xml:space="preserve">   con los artículos 8 y 9 del mismo  instrumento.  Además,  solicitaron  la</w:t>
        <w:br/>
        <w:t xml:space="preserve">   violación del derecho consagrado  en  el  artículo  5  de  la  Convención</w:t>
        <w:br/>
        <w:t xml:space="preserve">   Americana, en perjuicio de las tres presuntas víctimas identificadas  por</w:t>
        <w:br/>
        <w:t xml:space="preserve">   la Comisión.</w:t>
        <w:br/>
        <w:br/>
        <w:br/>
        <w:t>5. El 26 de mayo de 2008 el Estado presentó su escrito  de  contestación  de</w:t>
        <w:br/>
        <w:t xml:space="preserve">   la demanda y observaciones al escrito de  solicitudes  y  argumentos  (en</w:t>
        <w:br/>
        <w:t xml:space="preserve">   adelante “contestación  de  la  demanda”).  Dicho  escrito  cuestionó  la</w:t>
        <w:br/>
        <w:t xml:space="preserve">   competencia de la Corte para conocer sobre las presuntas violaciones a la</w:t>
        <w:br/>
        <w:t xml:space="preserve">   Convención Belém do Pará. Adicionalmente, objetó  la  ampliación  de  las</w:t>
        <w:br/>
        <w:t xml:space="preserve">   víctimas propuesta por los representantes, y  reconoció  parcialmente  su</w:t>
        <w:br/>
        <w:t xml:space="preserve">   responsabilidad internacional. El Estado designó  al  señor  Juan  Manuel</w:t>
        <w:br/>
        <w:t xml:space="preserve">   Gómez-Robledo Verduzco como Agente y a Patricia González Rodríguez,  Joel</w:t>
        <w:br/>
        <w:t xml:space="preserve">   Antonio Hernández García, María  Carmen  Oñate  Muñoz,  Alejandro  Negrín</w:t>
        <w:br/>
        <w:t xml:space="preserve">   Muñoz y Armando Vivanco Castellanos como Agentes Alternos.</w:t>
        <w:br/>
        <w:br/>
        <w:br/>
        <w:t>6. El 16 de julio de 2008  la  Presidenta  de  la  Corte  (en  adelante  “la</w:t>
        <w:br/>
        <w:t xml:space="preserve">   Presidenta”), luego de la revisión de  la  contestación  de  la  demanda,</w:t>
        <w:br/>
        <w:t xml:space="preserve">   informó al Estado que los alegatos referidos a  la  Convención  Belém  do</w:t>
        <w:br/>
        <w:t xml:space="preserve">   Pará  constituían  una  excepción  preliminar.  En  razón  de  ello,   de</w:t>
        <w:br/>
        <w:t xml:space="preserve">   conformidad con el artículo 37.4 del Reglamento, otorgó a la Comisión y a</w:t>
        <w:br/>
        <w:t xml:space="preserve">   los representantes un plazo de 30 días para presentar alegatos  escritos.</w:t>
        <w:br/>
        <w:t xml:space="preserve">   Dichos alegatos fueron presentados el 20 de agosto de  2008  y  el  6  de</w:t>
        <w:br/>
        <w:t xml:space="preserve">   septiembre de 2008, respectivamente.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br/>
        <w:t>7. El 21 de agosto de 2008 los representantes manifestaron su  intención  de</w:t>
        <w:br/>
        <w:t xml:space="preserve">   pronunciarse sobre “información relevante" contenida en los anexos  a  la</w:t>
        <w:br/>
        <w:t xml:space="preserve">   contestación de la demanda y  de  informar  sobre  el  acontecimiento  de</w:t>
        <w:br/>
        <w:t xml:space="preserve">   “hechos supervinientes". El 26 de agosto de 2008 la  Presidenta  negó  la</w:t>
        <w:br/>
        <w:t xml:space="preserve">   solicitud de los representantes de pronunciarse  en  esa  etapa  procesal</w:t>
        <w:br/>
        <w:t xml:space="preserve">   sobre  los  anexos  a  la  contestación  a  la  demanda,  puesto  que  no</w:t>
        <w:br/>
        <w:t xml:space="preserve">   argumentaron los motivos por los que debería aplicarse el artículo 39 del</w:t>
        <w:br/>
        <w:t xml:space="preserve">   Reglamento. En todo caso, la Presidenta informó a los representantes  que</w:t>
        <w:br/>
        <w:t xml:space="preserve">   podrían  hacer  las  alegaciones  que   estimaran   pertinentes   en   el</w:t>
        <w:br/>
        <w:t xml:space="preserve">   procedimiento oral o en sus alegatos finales escritos.</w:t>
        <w:br/>
        <w:br/>
        <w:br/>
        <w:t>8. El 6 de septiembre de 2008 los representantes presentaron un  escrito  en</w:t>
        <w:br/>
        <w:t xml:space="preserve">   el que, inter alia, realizaron "algunas  consideraciones  respecto  a  lo</w:t>
        <w:br/>
        <w:t xml:space="preserve">   señalado por el Estado mexicano en su contestación a la demanda". El 9 de</w:t>
        <w:br/>
        <w:t xml:space="preserve">   septiembre de 2008 la Presidenta consideró que dicha sección del  escrito</w:t>
        <w:br/>
        <w:t xml:space="preserve">   no sería tomada en cuenta, puesto que su presentación no estaba  prevista</w:t>
        <w:br/>
        <w:t xml:space="preserve">   en el Reglamento y no fue requerida. En todo caso la Presidenta informó a</w:t>
        <w:br/>
        <w:t xml:space="preserve">   los representantes que podrían presentar las  alegaciones  que  estimaran</w:t>
        <w:br/>
        <w:t xml:space="preserve">   pertinentes en el procedimiento oral o en sus alegatos finales escritos.</w:t>
        <w:br/>
        <w:br/>
        <w:br/>
        <w:t>9. El 19 de enero de 2009 la Corte negó mediante Resolución la solicitud  de</w:t>
        <w:br/>
        <w:t xml:space="preserve">   ampliación de presuntas víctimas y determinó que las  presuntas  víctimas</w:t>
        <w:br/>
        <w:t xml:space="preserve">   del presente caso serían Esmeralda Herrera Monreal y sus familiares: Irma</w:t>
        <w:br/>
        <w:t xml:space="preserve">   Monreal Jaime (madre), Benigno Herrera Monreal (hermano), Adrián  Herrera</w:t>
        <w:br/>
        <w:t xml:space="preserve">   Monreal  (hermano),  Juan  Antonio  Herrera  Monreal  (hermano),  Cecilia</w:t>
        <w:br/>
        <w:t xml:space="preserve">   Herrera  Monreal  (hermana),  Zulema  Montijo  Monreal  (hermana),  Erick</w:t>
        <w:br/>
        <w:t xml:space="preserve">   Montijo Monreal (hermano), Juana Ballín Castro (cuñada);  Claudia  Ivette</w:t>
        <w:br/>
        <w:t xml:space="preserve">   González y sus familiares:  Irma  Josefina  González  Rodríguez  (madre),</w:t>
        <w:br/>
        <w:t xml:space="preserve">   Mayela Banda González (hermana),  Gema  Iris  González  (hermana),  Karla</w:t>
        <w:br/>
        <w:t xml:space="preserve">   Arizbeth  Hernández  Banda  (sobrina),  Jacqueline  Hernández  (sobrina),</w:t>
        <w:br/>
        <w:t xml:space="preserve">   Carlos Hernández Llamas (cuñado); y Laura Berenice Ramos Monárrez  y  sus</w:t>
        <w:br/>
        <w:t xml:space="preserve">   familiares:  Benita  Monárrez  Salgado  (madre),  Claudia  Ivonne   Ramos</w:t>
        <w:br/>
        <w:t xml:space="preserve">   Monárrez (hermana), Daniel Ramos Monárrez (hermano), Ramón Antonio Aragón</w:t>
        <w:br/>
        <w:t xml:space="preserve">   Monárrez (hermano), Claudia Dayana Bermúdez Ramos (sobrina), Itzel  Arely</w:t>
        <w:br/>
        <w:t xml:space="preserve">   Bermúdez Ramos  (sobrina),  Paola  Alexandra  Bermúdez  Ramos  (sobrina),</w:t>
        <w:br/>
        <w:t xml:space="preserve">   Atziri Geraldine Bermúdez Ramos (sobrina)[4]. Además, en dicha resolución</w:t>
        <w:br/>
        <w:t xml:space="preserve">   se  analizó  la  negativa  del  Estado  de  remitir  determinada   prueba</w:t>
        <w:br/>
        <w:t xml:space="preserve">   solicitada por el Tribunal. La Corte resolvió que  los  hechos  que  sean</w:t>
        <w:br/>
        <w:t xml:space="preserve">   demostrables únicamente a través de prueba que  el  Estado  se  niegue  a</w:t>
        <w:br/>
        <w:t xml:space="preserve">   remitir, el Tribunal los podrá tener por establecidos[5].</w:t>
        <w:br/>
        <w:br/>
        <w:br/>
        <w:t>10. Mediante Resolución de 18 de marzo de 2009[6] la  Presidenta  ordenó  la</w:t>
        <w:br/>
        <w:t xml:space="preserve">   recepción, a través de  declaraciones  rendidas  ante  fedatario  público</w:t>
        <w:br/>
        <w:t xml:space="preserve">   (affidávit),  de  algunos  de  los  testimonios  y  peritajes   ofrecidos</w:t>
        <w:br/>
        <w:t xml:space="preserve">   oportunamente por las partes. Adicionalmente, se convocó a las  partes  a</w:t>
        <w:br/>
        <w:t xml:space="preserve">   una audiencia privada  para  escuchar  el  testimonio,  ofrecido  por  el</w:t>
        <w:br/>
        <w:t xml:space="preserve">   Estado, de Patricia González Rodríguez, siempre y cuando ésta  renunciara</w:t>
        <w:br/>
        <w:t xml:space="preserve">   a su condición de Agente Alterna.  Igualmente,  se  convocó  a  audiencia</w:t>
        <w:br/>
        <w:t xml:space="preserve">   pública para escuchar las declaraciones propuestas, según el caso, por la</w:t>
        <w:br/>
        <w:t xml:space="preserve">   Comisión, el Estado y los representantes, así como los  alegatos  finales</w:t>
        <w:br/>
        <w:t xml:space="preserve">   orales sobre la excepción preliminar y los eventuales fondo, reparaciones</w:t>
        <w:br/>
        <w:t xml:space="preserve">   y costas. Finalmente, la Presidenta fijó plazo hasta el  1  de  junio  de</w:t>
        <w:br/>
        <w:t xml:space="preserve">   2009 para que las partes presentaran sus respectivos escritos de alegatos</w:t>
        <w:br/>
        <w:t xml:space="preserve">   finales.</w:t>
        <w:br/>
        <w:br/>
        <w:br/>
        <w:t>11. Mediante Resolución de 3 de abril de 2009 la Corte resolvió  aceptar  la</w:t>
        <w:br/>
        <w:t xml:space="preserve">   confirmación de la señora Patricia González Rodríguez como Agente Alterna</w:t>
        <w:br/>
        <w:t xml:space="preserve">   del Estado y, por ende, el desistimiento estatal del ofrecimiento  de  su</w:t>
        <w:br/>
        <w:t xml:space="preserve">   declaración a título informativo en una audiencia privada[7] (supra párr.</w:t>
        <w:br/>
        <w:t xml:space="preserve">   10).</w:t>
        <w:br/>
        <w:br/>
        <w:br/>
        <w:t>12. La audiencia pública fue llevada a cabo el 28 y 29  de  abril  de  2009,</w:t>
        <w:br/>
        <w:t xml:space="preserve">   durante el XXXIX Período  Extraordinario  de  Sesiones  celebrado  en  la</w:t>
        <w:br/>
        <w:t xml:space="preserve">   ciudad de Santiago, República de Chile[8].</w:t>
        <w:br/>
        <w:br/>
        <w:br/>
        <w:t>13. El 12 de junio de 2009 la Comisión y el Estado remitieron  sus  escritos</w:t>
        <w:br/>
        <w:t xml:space="preserve">   de alegatos finales. El 16 de junio de 2009 los representantes remitieron</w:t>
        <w:br/>
        <w:t xml:space="preserve">   su escrito respectivo.</w:t>
        <w:br/>
        <w:br/>
        <w:br/>
        <w:t>14. El Tribunal  recibió  escritos  en  calidad  de  amicus  curiae  de  las</w:t>
        <w:br/>
        <w:t xml:space="preserve">   siguientes  personas,  instituciones  y   organizaciones:   International</w:t>
        <w:br/>
        <w:t xml:space="preserve">   Reproductive and Sexual Health Law Program de la Facultad de  Derecho  de</w:t>
        <w:br/>
        <w:t xml:space="preserve">   la Universidad de Toronto (IRSHL Programme) y el Centro por la Justicia y</w:t>
        <w:br/>
        <w:t xml:space="preserve">   el Derecho Internacional (CEJIL)[9]; TRIAL- Track Impunity  Always  y  la</w:t>
        <w:br/>
        <w:t xml:space="preserve">   Organización Mundial contra la Tortura[10];  un  grupo  de  becarios  del</w:t>
        <w:br/>
        <w:t xml:space="preserve">   Instituto  de  Investigaciones  Jurídicas  de  la  Universidad   Nacional</w:t>
        <w:br/>
        <w:t xml:space="preserve">   Autónoma de México (en adelante “la  UNAM”)[11];  un  Grupo  de  Derechos</w:t>
        <w:br/>
        <w:t xml:space="preserve">   Humanos  de  la  División  de  Posgrado  de  la  UNAM[12];  Women’s  Link</w:t>
        <w:br/>
        <w:t xml:space="preserve">   Worldwide[13]; Red de Mujeres  de  Ciudad  Juárez  A.C[14];  Programa  de</w:t>
        <w:br/>
        <w:t xml:space="preserve">   Justicia Global y Derechos Humanos de la Universidad  de  los  Andes[15];</w:t>
        <w:br/>
        <w:t xml:space="preserve">   Programa de Derechos Humanos y la Maestría  en  Derechos  Humanos  de  la</w:t>
        <w:br/>
        <w:t xml:space="preserve">   Universidad Iberoamericana de México[16]; Human Rights Watch[17]; Horvitz</w:t>
        <w:br/>
        <w:t xml:space="preserve">   &amp;  Levy  LLP[18];  Comisión  Internacional  de   Juristas[19];   Amnistía</w:t>
        <w:br/>
        <w:t xml:space="preserve">   Internacional[20]; Centro de Derechos Humanos y la Escuela de Derecho  de</w:t>
        <w:br/>
        <w:t xml:space="preserve">   la Universidad  de  Essex,  el  Centro  Internacional  para  la  Justicia</w:t>
        <w:br/>
        <w:t xml:space="preserve">   Transicional y Redress[21].</w:t>
        <w:br/>
        <w:br/>
        <w:br/>
        <w:t>15. El 22 de septiembre de 2009 los representantes  presentaron  un  escrito</w:t>
        <w:br/>
        <w:t xml:space="preserve">   en el que informaron al Tribunal sobre “hechos supervinientes”, relativos</w:t>
        <w:br/>
        <w:t xml:space="preserve">   al  nombramiento  del  señor  Arturo  Chávez  Chávez  para  encabezar  la</w:t>
        <w:br/>
        <w:t xml:space="preserve">   Procuraduría General de la República.</w:t>
        <w:br/>
        <w:br/>
        <w:br/>
        <w:t>16. La Secretaría, siguiendo instrucciones de la Presidenta, concedió  plazo</w:t>
        <w:br/>
        <w:t xml:space="preserve">   a la Comisión y al Estado  para  que  presentaran  sus  observaciones  al</w:t>
        <w:br/>
        <w:t xml:space="preserve">   escrito de los representantes indicado en el párrafo anterior. El  15  de</w:t>
        <w:br/>
        <w:t xml:space="preserve">   octubre de 2009  la  Comisión  señaló  que  no  tenía  observaciones  que</w:t>
        <w:br/>
        <w:t xml:space="preserve">   formular. El 16 de octubre de 2009 el  Estado  expresó  que  “los  hechos</w:t>
        <w:br/>
        <w:t xml:space="preserve">   expuestos por los representantes […] de ninguna manera  guardan  relación</w:t>
        <w:br/>
        <w:t xml:space="preserve">   alguna con la litis del asunto ni aportan elemento alguno que [la]  Corte</w:t>
        <w:br/>
        <w:t xml:space="preserve">   pueda tomar en consideración para mejor resolver”. Agregó que los  hechos</w:t>
        <w:br/>
        <w:t xml:space="preserve">   narrados  por  los  representantes  no   poseían   “un   mínimo   vínculo</w:t>
        <w:br/>
        <w:t xml:space="preserve">   fenomenológico con los hechos del proceso y, por el contrario,  pretenden</w:t>
        <w:br/>
        <w:t xml:space="preserve">   introducir a la litis hechos distintos  a  los  que  conforman  su  marco</w:t>
        <w:br/>
        <w:t xml:space="preserve">   fáctico”. Finalmente, hizo notar que los representantes  no  referían  la</w:t>
        <w:br/>
        <w:t xml:space="preserve">   forma en que la designación del actual Procurador General de la República</w:t>
        <w:br/>
        <w:t xml:space="preserve">   incidía o se encuentra relacionada con algún hecho materia  del  presente</w:t>
        <w:br/>
        <w:t xml:space="preserve">   asunto.</w:t>
        <w:br/>
        <w:br/>
        <w:br/>
        <w:t>17. Al respecto, el Tribunal reitera que si bien los  hechos  supervinientes</w:t>
        <w:br/>
        <w:t xml:space="preserve">   pueden ser planteados por las partes en  cualquier  estado  del  proceso,</w:t>
        <w:br/>
        <w:t xml:space="preserve">   antes de la sentencia, “esto no quiere decir que  cualquier  situación  o</w:t>
        <w:br/>
        <w:t xml:space="preserve">   acontecimiento constituya un hecho superviniente  para  los  efectos  del</w:t>
        <w:br/>
        <w:t xml:space="preserve">   proceso.   Un   hecho   de   esa   índole   tiene   que   estar    ligado</w:t>
        <w:br/>
        <w:t xml:space="preserve">   fenomenológicamente a los hechos del proceso, por lo  que  no  basta  que</w:t>
        <w:br/>
        <w:t xml:space="preserve">   determinada situación o hecho tenga relación con el objeto del caso  para</w:t>
        <w:br/>
        <w:t xml:space="preserve">   que este Tribunal pueda pronunciarse al respecto”[22].</w:t>
        <w:br/>
        <w:br/>
        <w:br/>
        <w:t>18. De otra parte, la Corte resalta que en el presente caso  su  función  es</w:t>
        <w:br/>
        <w:t xml:space="preserve">   determinar, en ejercicio de  su  competencia  contenciosa  como  tribunal</w:t>
        <w:br/>
        <w:t xml:space="preserve">   internacional de derechos humanos, la responsabilidad del Estado por  las</w:t>
        <w:br/>
        <w:t xml:space="preserve">   violaciones alegadas, y no la responsabilidad personal del  señor  Chávez</w:t>
        <w:br/>
        <w:t xml:space="preserve">   Chávez u otros funcionarios públicos. Esa tarea es exclusiva del  Estado,</w:t>
        <w:br/>
        <w:t xml:space="preserve">   sin perjuicio de que este Tribunal pueda verificar si aquél ha cumplido o</w:t>
        <w:br/>
        <w:t xml:space="preserve">   no con las obligaciones que al  respecto  se  derivan  de  la  Convención</w:t>
        <w:br/>
        <w:t xml:space="preserve">   Americana.</w:t>
        <w:br/>
        <w:br/>
        <w:br/>
        <w:t>19. En razón de lo anterior,  el  Tribunal  no  admite  el  escrito  de  los</w:t>
        <w:br/>
        <w:t xml:space="preserve">   representantes señalado en el párrafo 15 supra y se limitará  a  analizar</w:t>
        <w:br/>
        <w:t xml:space="preserve">   los alegatos de  las  partes  relativos  a  la  supuesta  responsabilidad</w:t>
        <w:br/>
        <w:t xml:space="preserve">   internacional del Estado.</w:t>
        <w:br/>
        <w:br/>
        <w:br/>
        <w:br/>
        <w:br/>
        <w:br/>
        <w:t xml:space="preserve">                                     III</w:t>
        <w:br/>
        <w:br/>
        <w:br/>
        <w:t xml:space="preserve">           RECONOCIMIENTO PARCIAL DE RESPONSABILIDAD INTERNACIONAL</w:t>
        <w:br/>
        <w:br/>
        <w:br/>
        <w:br/>
        <w:t>20.  El  Estado  realizó  un  reconocimiento  parcial   de   responsabilidad</w:t>
        <w:br/>
        <w:t xml:space="preserve">   internacional en los siguientes términos:</w:t>
        <w:br/>
        <w:br/>
        <w:br/>
        <w:t xml:space="preserve">      El Estado reconoce que en la primera  etapa  de  las  investigaciones,</w:t>
        <w:br/>
        <w:t xml:space="preserve">      entre el 2001 y el 2003, se presentaron irregularidades. […]</w:t>
        <w:br/>
        <w:br/>
        <w:br/>
        <w:t xml:space="preserve">      [En] la segunda etapa de las investigaciones de estos  tres  casos,  a</w:t>
        <w:br/>
        <w:t xml:space="preserve">      partir del año 2004, […] se subsanaron plenamente las irregularidades,</w:t>
        <w:br/>
        <w:t xml:space="preserve">      se reintegraron los expedientes y se reiniciaron  las  investigaciones</w:t>
        <w:br/>
        <w:t xml:space="preserve">      con  un  sustento  científico,  incluso  con  componentes   de   apoyo</w:t>
        <w:br/>
        <w:t xml:space="preserve">      internacional.</w:t>
        <w:br/>
        <w:br/>
        <w:br/>
        <w:t xml:space="preserve">      […]</w:t>
        <w:br/>
        <w:br/>
        <w:br/>
        <w:t xml:space="preserve">      El  Estado  reconoce  que,  derivado  de  las  irregularidades   antes</w:t>
        <w:br/>
        <w:t xml:space="preserve">      referidas,  se  afectó  la  integridad  psíquica  y  dignidad  de  los</w:t>
        <w:br/>
        <w:t xml:space="preserve">      familiares de Claudia Ivette González,  Esmeralda  Herrera  Monreal  y</w:t>
        <w:br/>
        <w:t xml:space="preserve">      Laura Berenice Ramos Monárrez. No obstante, se  exponen  con  amplitud</w:t>
        <w:br/>
        <w:t xml:space="preserve">      los apoyos con recursos económicos, asistencia médica y psicológica  y</w:t>
        <w:br/>
        <w:t xml:space="preserve">      asesoría jurídica que se ha venido prestando a los familiares de  cada</w:t>
        <w:br/>
        <w:t xml:space="preserve">      una de  las  tres  víctimas,  constituyendo  una  reparación  al  daño</w:t>
        <w:br/>
        <w:t xml:space="preserve">      causado.</w:t>
        <w:br/>
        <w:br/>
        <w:br/>
        <w:t xml:space="preserve">      Sin embargo, el Estado  estima  que  en  estos  tres  casos  no  puede</w:t>
        <w:br/>
        <w:t xml:space="preserve">      alegarse en modo alguno la configuración de violación al derecho a  la</w:t>
        <w:br/>
        <w:t xml:space="preserve">      vida, a la integridad personal, a la dignidad y a la libertad personal</w:t>
        <w:br/>
        <w:t xml:space="preserve">      de Esmeralda Herrera Monreal, Claudia Ivette González y Laura Berenice</w:t>
        <w:br/>
        <w:t xml:space="preserve">      Ramos Monárrez. Por  un  lado,  en  ninguno  de  los  tres  homicidios</w:t>
        <w:br/>
        <w:t xml:space="preserve">      participaron agentes del Estado. Por otro  lado,  se  presenta  amplia</w:t>
        <w:br/>
        <w:t xml:space="preserve">      información que demuestra el pleno cumplimiento de  la  obligación  de</w:t>
        <w:br/>
        <w:t xml:space="preserve">      medio  del  Estado  a  este  respecto  incluso,  con  los   resultados</w:t>
        <w:br/>
        <w:t xml:space="preserve">      contundentes de las investigaciones y casos  resueltos  entre  1993  y</w:t>
        <w:br/>
        <w:t xml:space="preserve">      esta fecha.</w:t>
        <w:br/>
        <w:br/>
        <w:br/>
        <w:t xml:space="preserve">      En el mismo sentido,  el  Estado  ha  emprendido  acciones  plenamente</w:t>
        <w:br/>
        <w:t xml:space="preserve">      demostradas para proteger y promover los derechos de los niños, por lo</w:t>
        <w:br/>
        <w:t xml:space="preserve">      que no se puede declarar violación al artículo  19  de  la  Convención</w:t>
        <w:br/>
        <w:t xml:space="preserve">      Americana en perjuicio de las víctimas. En suma, el  Estado  no  puede</w:t>
        <w:br/>
        <w:t xml:space="preserve">      ser declarado responsable directa ni indirectamente de  haber  violado</w:t>
        <w:br/>
        <w:t xml:space="preserve">      el derecho a la vida, integridad personal y libertad  personal  en  el</w:t>
        <w:br/>
        <w:t xml:space="preserve">      caso sub judice.</w:t>
        <w:br/>
        <w:br/>
        <w:br/>
        <w:t>21. En tal sentido, el Estado solicitó a la Corte que:</w:t>
        <w:br/>
        <w:br/>
        <w:br/>
        <w:t xml:space="preserve">      valore el reconocimiento parcial de responsabilidad del Estado por  el</w:t>
        <w:br/>
        <w:t xml:space="preserve">      incumplimiento de las obligaciones contenidas en los artículos  8.1  y</w:t>
        <w:br/>
        <w:t xml:space="preserve">      25.1 de la Convención Americana [sobre] Derechos Humanos, y  5  de  la</w:t>
        <w:br/>
        <w:t xml:space="preserve">      misma Convención respecto de los familiares de  Laura  Berenice  Ramos</w:t>
        <w:br/>
        <w:t xml:space="preserve">      Monárrez, Claudia Ivette González y Esmeralda Herrera Monreal.</w:t>
        <w:br/>
        <w:br/>
        <w:br/>
        <w:t xml:space="preserve">      Declare la inexistencia de violaciones por parte del Estado mexicano a</w:t>
        <w:br/>
        <w:t xml:space="preserve">      los artículos 4.1, 5.1, 7, 11 y 19 de la Convención Americana  [sobre]</w:t>
        <w:br/>
        <w:t xml:space="preserve">      Derechos Humanos por lo que se  refiere  a  Claudia  Ivette  González,</w:t>
        <w:br/>
        <w:t xml:space="preserve">      Esmeralda Herrera Monreal y Laura Berenice Ramos Monárrez.</w:t>
        <w:br/>
        <w:br/>
        <w:br/>
        <w:t xml:space="preserve">      Declare que el Estado ha cumplido con las obligaciones de  prevención,</w:t>
        <w:br/>
        <w:t xml:space="preserve">      investigación y reparación, contenidas en los artículos 4.1 y  5.1  en</w:t>
        <w:br/>
        <w:t xml:space="preserve">      relación con el artículo 1.1 de la  Convención  Americana  [sobre]  de</w:t>
        <w:br/>
        <w:t xml:space="preserve">      Derechos Humanos.</w:t>
        <w:br/>
        <w:br/>
        <w:br/>
        <w:t xml:space="preserve">      En el  evento  de  que  fuese  declarado  algún  tipo  de  reparación,</w:t>
        <w:br/>
        <w:t xml:space="preserve">      [solicitó] que esta se fije atendiendo a los límites y consideraciones</w:t>
        <w:br/>
        <w:t xml:space="preserve">      hechos valer por el  Estado  […],  así  como  que  se  reconozcan  los</w:t>
        <w:br/>
        <w:t xml:space="preserve">      esfuerzos realizados  por  el  Estado  mexicano  para  reparar  a  los</w:t>
        <w:br/>
        <w:t xml:space="preserve">      familiares de las víctimas, incluso desde antes de que  dicho  proceso</w:t>
        <w:br/>
        <w:t xml:space="preserve">      iniciara, y los múltiples acercamientos con los  mismos  para  acordar</w:t>
        <w:br/>
        <w:t xml:space="preserve">      una reparación adicional.</w:t>
        <w:br/>
        <w:br/>
        <w:br/>
        <w:t>22.  La  Comisión  valoró  el  reconocimiento  parcial  de   responsabilidad</w:t>
        <w:br/>
        <w:t xml:space="preserve">   internacional efectuado por México, pues consideró que éste era “un  paso</w:t>
        <w:br/>
        <w:t xml:space="preserve">   positivo hacia el cumplimiento con sus obligaciones internacionales”.  No</w:t>
        <w:br/>
        <w:t xml:space="preserve">   obstante,  sin  desestimar  el  valor  y  la   trascendencia   de   dicho</w:t>
        <w:br/>
        <w:t xml:space="preserve">   reconocimiento,  la  Comisión  notó  que  el   mismo   “deriva   de   una</w:t>
        <w:br/>
        <w:t xml:space="preserve">   interpretación de los hechos diversa a la planteada en la demanda y en el</w:t>
        <w:br/>
        <w:t xml:space="preserve">   escrito de solicitudes, argumentos y pruebas”. Agregó que “varios de  los</w:t>
        <w:br/>
        <w:t xml:space="preserve">   argumentos expuestos por el Estado en el propio escrito de contestación a</w:t>
        <w:br/>
        <w:t xml:space="preserve">   la demanda controvierten los hechos supuestamente reconocidos”. Asimismo,</w:t>
        <w:br/>
        <w:t xml:space="preserve">   observó  que  por  los  términos  del  reconocimiento  en  cuestión  “las</w:t>
        <w:br/>
        <w:t xml:space="preserve">   implicaciones jurídicas en relación con los hechos no han sido totalmente</w:t>
        <w:br/>
        <w:t xml:space="preserve">   asumidas por el Estado, y tampoco  la  pertinencia  de  las  reparaciones</w:t>
        <w:br/>
        <w:t xml:space="preserve">   solicitadas por las partes”. En consecuencia, la Comisión  consideró  que</w:t>
        <w:br/>
        <w:t xml:space="preserve">   era “indispensable que el Tribunal resuelva en sentencia  las  cuestiones</w:t>
        <w:br/>
        <w:t xml:space="preserve">   que permanecen en contención”.</w:t>
        <w:br/>
        <w:br/>
        <w:br/>
        <w:t>23.  Los  representantes  solicitaron  “que  se  tome  en  consideración  el</w:t>
        <w:br/>
        <w:t xml:space="preserve">   reconocimiento de responsabilidad hecho por el Estado  […]  en  su  justa</w:t>
        <w:br/>
        <w:t xml:space="preserve">   dimensión” y que la Corte “se  pronuncie  sobre  las  violaciones  a  los</w:t>
        <w:br/>
        <w:t xml:space="preserve">   derechos  humanos  de  las  víctimas  ocurridas  desde  el  día   de   su</w:t>
        <w:br/>
        <w:t xml:space="preserve">   desaparición hasta la fecha”.</w:t>
        <w:br/>
        <w:br/>
        <w:br/>
        <w:t>24. De conformidad con  los  artículos  53.2  y  55  del  Reglamento,  y  en</w:t>
        <w:br/>
        <w:t xml:space="preserve">   ejercicio de sus poderes de tutela judicial internacional de los derechos</w:t>
        <w:br/>
        <w:t xml:space="preserve">   humanos,  la   Corte   puede   determinar   si   un   reconocimiento   de</w:t>
        <w:br/>
        <w:t xml:space="preserve">   responsabilidad internacional efectuado por un  Estado  demandado  ofrece</w:t>
        <w:br/>
        <w:t xml:space="preserve">   base suficiente, en los términos de  la  Convención,  para  continuar  el</w:t>
        <w:br/>
        <w:t xml:space="preserve">   conocimiento  del  fondo  y  determinar  las  eventuales  reparaciones  y</w:t>
        <w:br/>
        <w:t xml:space="preserve">   costas[23].</w:t>
        <w:br/>
        <w:br/>
        <w:br/>
        <w:t>25. En ese sentido, la Corte  observa  que  la  frase  “la  procedencia  del</w:t>
        <w:br/>
        <w:t xml:space="preserve">   allanamiento”, así como el texto íntegro del artículo 55 del  Reglamento,</w:t>
        <w:br/>
        <w:t xml:space="preserve">   indican que estos actos no  son,  por  sí  mismos,  vinculantes  para  el</w:t>
        <w:br/>
        <w:t xml:space="preserve">   Tribunal. Dado que los procesos ante esta Corte se refieren a  la  tutela</w:t>
        <w:br/>
        <w:t xml:space="preserve">   de los derechos humanos, cuestión  de  orden  público  internacional  que</w:t>
        <w:br/>
        <w:t xml:space="preserve">   trasciende la voluntad de las partes, la Corte debe  velar  porque  tales</w:t>
        <w:br/>
        <w:t xml:space="preserve">   actos resulten aceptables para los fines que  busca  cumplir  el  sistema</w:t>
        <w:br/>
        <w:t xml:space="preserve">   interamericano. En esta tarea el  Tribunal  no  se  limita  únicamente  a</w:t>
        <w:br/>
        <w:t xml:space="preserve">   verificar las condiciones formales de los mencionados actos, sino que los</w:t>
        <w:br/>
        <w:t xml:space="preserve">   debe confrontar con la naturaleza y gravedad de las violaciones alegadas,</w:t>
        <w:br/>
        <w:t xml:space="preserve">   las exigencias e interés de la justicia, las circunstancias  particulares</w:t>
        <w:br/>
        <w:t xml:space="preserve">   del caso concreto y la actitud y posición de las partes[24].</w:t>
        <w:br/>
        <w:br/>
        <w:br/>
        <w:t>26. En el presente caso, la Corte considera que  el  reconocimiento  parcial</w:t>
        <w:br/>
        <w:t xml:space="preserve">   de responsabilidad efectuado por el Estado  constituye  una  contribución</w:t>
        <w:br/>
        <w:t xml:space="preserve">   positiva  al  desarrollo  de  este  proceso,  al  buen  despacho  de   la</w:t>
        <w:br/>
        <w:t xml:space="preserve">   jurisdicción interamericana sobre derechos humanos, a la vigencia de  los</w:t>
        <w:br/>
        <w:t xml:space="preserve">   principios que inspiran la Convención Americana y a la conducta a la  que</w:t>
        <w:br/>
        <w:t xml:space="preserve">   están obligados los  Estados  en  esta  materia[25],  en  virtud  de  los</w:t>
        <w:br/>
        <w:t xml:space="preserve">   compromisos que asumen como partes en  los  instrumentos  internacionales</w:t>
        <w:br/>
        <w:t xml:space="preserve">   sobre derechos humanos[26].</w:t>
        <w:br/>
        <w:br/>
        <w:br/>
        <w:t>27. En lo que se refiere a los  hechos,  la  Corte  observa  que  el  Estado</w:t>
        <w:br/>
        <w:t xml:space="preserve">   admitió, en términos generales, los hechos de  contexto  relativos  a  la</w:t>
        <w:br/>
        <w:t xml:space="preserve">   violencia contra  las  mujeres  en  Ciudad  Juárez,  particularmente  los</w:t>
        <w:br/>
        <w:t xml:space="preserve">   homicidios que se han registrado desde el inicio de los años 90, así como</w:t>
        <w:br/>
        <w:t xml:space="preserve">   los hechos referentes a lo que el Estado denomina “primera etapa” de  las</w:t>
        <w:br/>
        <w:t xml:space="preserve">   investigaciones de  los  crímenes  perpetrados  en  contra  de  las  tres</w:t>
        <w:br/>
        <w:t xml:space="preserve">   víctimas, que abarca el período 2001 a 2003. Además,  México  aceptó  los</w:t>
        <w:br/>
        <w:t xml:space="preserve">   hechos relativos a la afectación de la integridad psíquica y dignidad  de</w:t>
        <w:br/>
        <w:t xml:space="preserve">   los familiares de las tres víctimas.</w:t>
        <w:br/>
        <w:br/>
        <w:br/>
        <w:t>28. Sin perjuicio de lo anterior, el Tribunal nota que  si  bien  el  Estado</w:t>
        <w:br/>
        <w:t xml:space="preserve">   aceptó en términos generales dichos hechos, en su argumentación posterior</w:t>
        <w:br/>
        <w:t xml:space="preserve">   relativa al fondo del asunto controvirtió hechos específicos de  contexto</w:t>
        <w:br/>
        <w:t xml:space="preserve">   o de la “primera etapa”  de  las  investigaciones.  Por  ello,  la  Corte</w:t>
        <w:br/>
        <w:t xml:space="preserve">   determinará en los siguientes capítulos todo el  marco  fáctico  de  este</w:t>
        <w:br/>
        <w:t xml:space="preserve">   caso y hará las especificaciones correspondientes cuando un hecho se toma</w:t>
        <w:br/>
        <w:t xml:space="preserve">   como establecido, con base en la aceptación del Estado, o  como  probado,</w:t>
        <w:br/>
        <w:t xml:space="preserve">   de acuerdo a la evidencia aportada por las partes.</w:t>
        <w:br/>
        <w:br/>
        <w:br/>
        <w:t>29. En lo que se refiere a las pretensiones de derecho, el Tribunal  declara</w:t>
        <w:br/>
        <w:t xml:space="preserve">   que ha cesado la controversia sobre la violación de  los  artículos  5.1,</w:t>
        <w:br/>
        <w:t xml:space="preserve">   8.1, 25.1 de la Convención Americana, en perjuicio de los  familiares  de</w:t>
        <w:br/>
        <w:t xml:space="preserve">   las víctimas identificados supra párr 9, por  las  violaciones  aceptadas</w:t>
        <w:br/>
        <w:t xml:space="preserve">   por el Estado en la “primera  etapa”  de  las  investigaciones.  De  otra</w:t>
        <w:br/>
        <w:t xml:space="preserve">   parte, declara que subsiste la  controversia  en  torno  a  las  alegadas</w:t>
        <w:br/>
        <w:t xml:space="preserve">   violaciones de los artículos 4, 5, 7, 11 y 19 de la Convención Americana,</w:t>
        <w:br/>
        <w:t xml:space="preserve">   en relación con los artículos 1.1 y 2 de la misma y el artículo 7  de  la</w:t>
        <w:br/>
        <w:t xml:space="preserve">   Convención Belém do Pará. También subsiste la controversia en torno a  la</w:t>
        <w:br/>
        <w:t xml:space="preserve">   alegada violación del artículo 5 de la Convención  Americana  por  hechos</w:t>
        <w:br/>
        <w:t xml:space="preserve">   distintos a los reconocidos por el Estado, respecto a los  familiares  de</w:t>
        <w:br/>
        <w:t xml:space="preserve">   las víctimas, así como la controversia relativa a la alegada violación de</w:t>
        <w:br/>
        <w:t xml:space="preserve">   los artículos 8.1 y 25.1 de la Convención, en relación con los  artículos</w:t>
        <w:br/>
        <w:t xml:space="preserve">   1.1  y  2  de  la  misma,  respecto  a  la   “segunda   etapa”   de   las</w:t>
        <w:br/>
        <w:t xml:space="preserve">   investigaciones.</w:t>
        <w:br/>
        <w:br/>
        <w:br/>
        <w:t>30. Finalmente, en cuanto a las  pretensiones  de  reparaciones,  el  Estado</w:t>
        <w:br/>
        <w:t xml:space="preserve">   aceptó que tiene el deber de reparar las violaciones por él  aceptadas  e</w:t>
        <w:br/>
        <w:t xml:space="preserve">   indicó una serie de medidas reparatorias que ha realizado  o  que  ofrece</w:t>
        <w:br/>
        <w:t xml:space="preserve">   realizar, lo cual será valorado en el  capítulo  IX  de  esta  Sentencia,</w:t>
        <w:br/>
        <w:t xml:space="preserve">   conforme a los argumentos y prueba presentados por las partes.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EXCEPCIÓN PRELIMINAR</w:t>
        <w:br/>
        <w:br/>
        <w:br/>
        <w:t xml:space="preserve">                (INCOMPETENCIA RATIONE MATERIAE DE LA CORTE)</w:t>
        <w:br/>
        <w:br/>
        <w:br/>
        <w:br/>
        <w:br/>
        <w:br/>
        <w:t>31.  El  Estado  alegó  la  incompetencia  de  la  Corte  para   “determinar</w:t>
        <w:br/>
        <w:t xml:space="preserve">   violaciones” a la Convención Belém do Pará. Ello  fue  rechazado  por  la</w:t>
        <w:br/>
        <w:t xml:space="preserve">   Comisión y los representantes, quienes  alegaron  la  competencia  de  la</w:t>
        <w:br/>
        <w:t xml:space="preserve">   Corte respecto al artículo 7  de  dicha  Convención.  Los  representantes</w:t>
        <w:br/>
        <w:t xml:space="preserve">   alegaron que,  además,  la  Corte  tiene  competencia  para  “conocer  de</w:t>
        <w:br/>
        <w:t xml:space="preserve">   violaciones” al artículo 9 y “aplicar el artículo 8” de dicha Convención.</w:t>
        <w:br/>
        <w:br/>
        <w:br/>
        <w:t>32. Para resolver controversias sobre la interpretación de normas, la  Corte</w:t>
        <w:br/>
        <w:t xml:space="preserve">   ha invocado[27] la Convención de Viena sobre el Derecho de los  Tratados.</w:t>
        <w:br/>
        <w:t xml:space="preserve">   En lo pertinente, esta Convención señala:</w:t>
        <w:br/>
        <w:br/>
        <w:br/>
        <w:t xml:space="preserve">      Artículo 31. Regla general de interpretación.  1.  Un  tratado  deberá</w:t>
        <w:br/>
        <w:t xml:space="preserve">      interpretarse de buena fe conforme al sentido corriente  que  haya  de</w:t>
        <w:br/>
        <w:t xml:space="preserve">      atribuirse a los términos del  tratado  en  el  contexto  de  estos  y</w:t>
        <w:br/>
        <w:t xml:space="preserve">      teniendo en cuenta su objeto y fin.</w:t>
        <w:br/>
        <w:br/>
        <w:br/>
        <w:t xml:space="preserve">      […]</w:t>
        <w:br/>
        <w:br/>
        <w:br/>
        <w:t xml:space="preserve">      Artículo 32.  Medios  de  interpretación  complementarios.  Se  podrán</w:t>
        <w:br/>
        <w:t xml:space="preserve">      acudir a medios de interpretación complementarios, en particular a los</w:t>
        <w:br/>
        <w:t xml:space="preserve">      trabajos preparatorios del  tratado  y  a  las  circunstancias  de  su</w:t>
        <w:br/>
        <w:t xml:space="preserve">      celebración, para confirmar el sentido resultante de la aplicación del</w:t>
        <w:br/>
        <w:t xml:space="preserve">      artículo 31, o para determinar el  sentido  cuando  la  interpretación</w:t>
        <w:br/>
        <w:t xml:space="preserve">      dada de conformidad con el artículo 31:</w:t>
        <w:br/>
        <w:br/>
        <w:br/>
        <w:t xml:space="preserve">      a) deje ambiguo u oscuro el sentido; o</w:t>
        <w:br/>
        <w:br/>
        <w:br/>
        <w:t xml:space="preserve">      b) conduzca a un resultado manifiestamente absurdo o irrazonable.</w:t>
        <w:br/>
        <w:br/>
        <w:br/>
        <w:t>33. La Convención de Viena contiene una regla que  debe  interpretarse  como</w:t>
        <w:br/>
        <w:t xml:space="preserve">   un todo. El sentido corriente de los términos, la buena fe, el  objeto  y</w:t>
        <w:br/>
        <w:t xml:space="preserve">   fin del tratado y los demás criterios  confluyen  de  manera  unida  para</w:t>
        <w:br/>
        <w:t xml:space="preserve">   desentrañar el significado de una determinada norma. Por otra  parte,  la</w:t>
        <w:br/>
        <w:t xml:space="preserve">   Corte recalca que el Derecho Internacional de  los  Derechos  Humanos  se</w:t>
        <w:br/>
        <w:t xml:space="preserve">   compone tanto  de  un  conjunto  de  reglas  (las  convenciones,  pactos,</w:t>
        <w:br/>
        <w:t xml:space="preserve">   tratados y demás  documentos  internacionales),  como  de  una  serie  de</w:t>
        <w:br/>
        <w:t xml:space="preserve">   valores que dichas reglas pretenden desarrollar. La interpretación de las</w:t>
        <w:br/>
        <w:t xml:space="preserve">   normas se debe desarrollar entonces también a partir de un modelo  basado</w:t>
        <w:br/>
        <w:t xml:space="preserve">   en valores que el Sistema Interamericano pretende  resguardar,  desde  el</w:t>
        <w:br/>
        <w:t xml:space="preserve">   “mejor ángulo” para la protección de la  persona.  En  este  sentido,  el</w:t>
        <w:br/>
        <w:t xml:space="preserve">   Tribunal, al enfrentar un caso como el presente, debe determinar cuál  es</w:t>
        <w:br/>
        <w:t xml:space="preserve">   la interpretación que se adecua de mejor manera al conjunto de las reglas</w:t>
        <w:br/>
        <w:t xml:space="preserve">   y valores que componen el Derecho Internacional de los Derechos  Humanos.</w:t>
        <w:br/>
        <w:t xml:space="preserve">   Concretamente, en este caso, el Tribunal debe establecer  los  valores  y</w:t>
        <w:br/>
        <w:t xml:space="preserve">   objetivos perseguidos por la Convención Belém  do  Pará  y  realizar  una</w:t>
        <w:br/>
        <w:t xml:space="preserve">   interpretación que los desarrolle en  la  mayor  medida.  Ello  exige  la</w:t>
        <w:br/>
        <w:t xml:space="preserve">   utilización en conjunto de los elementos de la  norma  de  interpretación</w:t>
        <w:br/>
        <w:t xml:space="preserve">   del artículo 31 citado (supra párr. 32).</w:t>
        <w:br/>
        <w:br/>
        <w:br/>
        <w:t>34. Teniendo en cuenta lo anterior, en primer lugar  el  Tribunal  analizará</w:t>
        <w:br/>
        <w:t xml:space="preserve">   su competencia respecto al artículo 7 de la  Convención  Belém  do  Pará,</w:t>
        <w:br/>
        <w:t xml:space="preserve">   para luego dirimir lo pertinente en torno a los artículos 8 y 9 del mismo</w:t>
        <w:br/>
        <w:t xml:space="preserve">   tratado.</w:t>
        <w:br/>
        <w:br/>
        <w:br/>
        <w:br/>
        <w:br/>
        <w:br/>
        <w:t>1 Competencia  contenciosa  del  Tribunal  respecto  al  artículo  7  de  la</w:t>
        <w:br/>
        <w:t xml:space="preserve">           Convención Belém do Pará</w:t>
        <w:br/>
        <w:br/>
        <w:br/>
        <w:br/>
        <w:br/>
        <w:br/>
        <w:t xml:space="preserve">      1.1.  La regla general de competencia expresa y el criterio literal de</w:t>
        <w:br/>
        <w:t xml:space="preserve">           interpretación</w:t>
        <w:br/>
        <w:br/>
        <w:br/>
        <w:t>35. El Estado alegó que  la  Corte  sólo  puede  interpretar  y  aplicar  la</w:t>
        <w:br/>
        <w:t xml:space="preserve">   Convención Americana y los  instrumentos  que  expresamente  le  otorguen</w:t>
        <w:br/>
        <w:t xml:space="preserve">   competencia.  Además,  señaló  que  la  Corte,  “ejerciendo  su  facultad</w:t>
        <w:br/>
        <w:t xml:space="preserve">   consultiva”  puede  “conocer  e  interpretar  tratados  distintos”  a  la</w:t>
        <w:br/>
        <w:t xml:space="preserve">   Convención Americana, pero “la facultad de sancionar otros tratados no es</w:t>
        <w:br/>
        <w:t xml:space="preserve">   extensiva cuando la misma ejerce su jurisdicción contenciosa”,  toda  vez</w:t>
        <w:br/>
        <w:t xml:space="preserve">   que “el principio fundamental que rige la competencia  jurisdiccional  de</w:t>
        <w:br/>
        <w:t xml:space="preserve">   la misma es la voluntad [o aceptación expresa] del Estado de someterse  a</w:t>
        <w:br/>
        <w:t xml:space="preserve">   ella”. Agregó que el principio de seguridad jurídica “garantiza  no  sólo</w:t>
        <w:br/>
        <w:t xml:space="preserve">   la estabilidad del  sistema  interamericano”  sino  “la  certeza  en  las</w:t>
        <w:br/>
        <w:t xml:space="preserve">   obligaciones que derivan para el  Estado  por  someterse  a  los  órganos</w:t>
        <w:br/>
        <w:t xml:space="preserve">   internacionales de protección a los derechos humanos”.</w:t>
        <w:br/>
        <w:br/>
        <w:br/>
        <w:t>36. El Tribunal considera que el  Estado  tiene  razón  respecto  a  que  la</w:t>
        <w:br/>
        <w:t xml:space="preserve">   Convención Americana establece en su artículo 62 una regla de competencia</w:t>
        <w:br/>
        <w:t xml:space="preserve">   expresa, según la cual la competencia de la Corte  debe  ser  establecida</w:t>
        <w:br/>
        <w:t xml:space="preserve">   por “declaración especial” o por “convención especial”.</w:t>
        <w:br/>
        <w:br/>
        <w:br/>
        <w:t>37. México alega que cada tratado interamericano  requiere  una  declaración</w:t>
        <w:br/>
        <w:t xml:space="preserve">   específica de otorgamiento de competencia a la  Corte.  Al  respecto,  el</w:t>
        <w:br/>
        <w:t xml:space="preserve">   Tribunal resalta que en el caso Las Palmeras  Vs.  Colombia  ratificó  la</w:t>
        <w:br/>
        <w:t xml:space="preserve">   posibilidad de  ejercer  su  competencia  contenciosa  respecto  a  otros</w:t>
        <w:br/>
        <w:t xml:space="preserve">   instrumentos interamericanos distintos a la Convención Americana,  en  el</w:t>
        <w:br/>
        <w:t xml:space="preserve">   contexto de instrumentos que establezcan un sistema de peticiones  objeto</w:t>
        <w:br/>
        <w:t xml:space="preserve">   de supervisión internacional en el ámbito regional[28]. En este  sentido,</w:t>
        <w:br/>
        <w:t xml:space="preserve">   la declaración especial para aceptar la  competencia  contenciosa  de  la</w:t>
        <w:br/>
        <w:t xml:space="preserve">   Corte según la Convención Americana, teniendo en cuenta el artículo 62 de</w:t>
        <w:br/>
        <w:t xml:space="preserve">   la misma, permite que el Tribunal  conozca  tanto  de  violaciones  a  la</w:t>
        <w:br/>
        <w:t xml:space="preserve">   Convención como de otros instrumentos  interamericanos  que  le  otorguen</w:t>
        <w:br/>
        <w:t xml:space="preserve">   competencia.</w:t>
        <w:br/>
        <w:br/>
        <w:br/>
        <w:t>38. Corresponde entonces analizar cómo se establece la competencia  para  el</w:t>
        <w:br/>
        <w:t xml:space="preserve">   trámite de peticiones en la  Convención  Belém  do  Pará.  Los  artículos</w:t>
        <w:br/>
        <w:t xml:space="preserve">   pertinentes de dicho instrumento señalan lo siguiente:</w:t>
        <w:br/>
        <w:br/>
        <w:br/>
        <w:t xml:space="preserve">      CAPÍTULO IV. MECANISMOS INTERAMERICANOS DE PROTECCIÓN</w:t>
        <w:br/>
        <w:br/>
        <w:br/>
        <w:t xml:space="preserve">      Artículo 10. Con el propósito de proteger el derecho de la mujer a una</w:t>
        <w:br/>
        <w:t xml:space="preserve">      vida libre de violencia, en los  informes  nacionales  a  la  Comisión</w:t>
        <w:br/>
        <w:t xml:space="preserve">      Interamericana  de  Mujeres,  los  Estados  Partes   deberán   incluir</w:t>
        <w:br/>
        <w:t xml:space="preserve">      información sobre las medidas adoptadas para prevenir y  erradicar  la</w:t>
        <w:br/>
        <w:t xml:space="preserve">      violencia contra la mujer, para asistir a la  mujer  afectada  por  la</w:t>
        <w:br/>
        <w:t xml:space="preserve">      violencia,  así  como  sobre  las  dificultades  que  observen  en  la</w:t>
        <w:br/>
        <w:t xml:space="preserve">      aplicación de las mismas y los factores que contribuyan a la violencia</w:t>
        <w:br/>
        <w:t xml:space="preserve">      contra la mujer.</w:t>
        <w:br/>
        <w:br/>
        <w:br/>
        <w:t xml:space="preserve">      Artículo 11. Los Estados Partes  en  esta  Convención  y  la  Comisión</w:t>
        <w:br/>
        <w:t xml:space="preserve">      Interamericana de Mujeres, podrán requerir a la  Corte  Interamericana</w:t>
        <w:br/>
        <w:t xml:space="preserve">      de Derechos Humanos opinión consultiva sobre la interpretación de esta</w:t>
        <w:br/>
        <w:t xml:space="preserve">      Convención.</w:t>
        <w:br/>
        <w:br/>
        <w:br/>
        <w:t xml:space="preserve">      Artículo 12. Cualquier persona o  grupo  de  personas,  o  entidad  no</w:t>
        <w:br/>
        <w:t xml:space="preserve">      gubernamental legalmente reconocida en uno o más Estados  miembros  de</w:t>
        <w:br/>
        <w:t xml:space="preserve">      la Organización, puede  presentar  a  la  Comisión  Interamericana  de</w:t>
        <w:br/>
        <w:t xml:space="preserve">      Derechos Humanos  peticiones  que  contengan  denuncias  o  quejas  de</w:t>
        <w:br/>
        <w:t xml:space="preserve">      violación del artículo 7 de  la  presente  Convención  por  un  Estado</w:t>
        <w:br/>
        <w:t xml:space="preserve">      Parte, y la Comisión las considerará de acuerdo con las normas  y  los</w:t>
        <w:br/>
        <w:t xml:space="preserve">      requisitos de procedimiento para la presentación  y  consideración  de</w:t>
        <w:br/>
        <w:t xml:space="preserve">      peticiones estipulados  en  la  Convención  Americana  sobre  Derechos</w:t>
        <w:br/>
        <w:t xml:space="preserve">      Humanos y en el Estatuto y el Reglamento de la Comisión Interamericana</w:t>
        <w:br/>
        <w:t xml:space="preserve">      de Derechos Humanos (subrayados fuera del texto).</w:t>
        <w:br/>
        <w:br/>
        <w:br/>
        <w:t>39. El  Estado  señaló  que  el  citado  artículo  12  “menciona  expresa  y</w:t>
        <w:br/>
        <w:t xml:space="preserve">   exclusivamente a la Comisión Interamericana como el órgano  encargado  de</w:t>
        <w:br/>
        <w:t xml:space="preserve">   la protección de la Convención, mediante el procedimiento  de  peticiones</w:t>
        <w:br/>
        <w:t xml:space="preserve">   individuales”, lo cual “no deja lugar a dudas” y lleva a la conclusión de</w:t>
        <w:br/>
        <w:t xml:space="preserve">   que la Corte “es  incompetente”  para  conocer  de  violaciones  a  dicho</w:t>
        <w:br/>
        <w:t xml:space="preserve">   instrumento. Explicó que “[s]i la intención de los  Estados  […]  hubiera</w:t>
        <w:br/>
        <w:t xml:space="preserve">   sido la de otorgarle competencia a [la] Corte, no sólo se habría señalado</w:t>
        <w:br/>
        <w:t xml:space="preserve">   [expresamente], sino que a la par de la Convención Americana, el Estatuto</w:t>
        <w:br/>
        <w:t xml:space="preserve">   y del Reglamento de la  Comisión,  necesariamente  se  hubieran  incluido</w:t>
        <w:br/>
        <w:t xml:space="preserve">   también el Estatuto y el Reglamento de la Corte”.</w:t>
        <w:br/>
        <w:br/>
        <w:br/>
        <w:t>40. El Tribunal considera errados los alegatos  del  Estado.  La  Convención</w:t>
        <w:br/>
        <w:t xml:space="preserve">   Bélem do Pará  establece  que  la  Comisión  considerará  las  peticiones</w:t>
        <w:br/>
        <w:t xml:space="preserve">   respecto de su artículo 7 “de acuerdo con las normas y los requisitos  de</w:t>
        <w:br/>
        <w:t xml:space="preserve">   procedimiento  para  la  presentación  y  consideración   de   peticiones</w:t>
        <w:br/>
        <w:t xml:space="preserve">   estipulados en la  Convención  Americana  […]  y  en  el  Estatuto  y  el</w:t>
        <w:br/>
        <w:t xml:space="preserve">   Reglamento de la  Comisión”.  Esta  formulación  no  se  excluye  ninguna</w:t>
        <w:br/>
        <w:t xml:space="preserve">   disposición de la Convención Americana, por lo que habrá que concluir que</w:t>
        <w:br/>
        <w:t xml:space="preserve">   la Comisión  actuará  en  las  peticiones  sobre  el  artículo  7  de  la</w:t>
        <w:br/>
        <w:t xml:space="preserve">   Convención Bélem  do  Pará  “de  conformidad  con  lo  dispuesto  en  los</w:t>
        <w:br/>
        <w:t xml:space="preserve">   artículos 44 al 51 de [la Convención  Americana]”,  como  lo  dispone  el</w:t>
        <w:br/>
        <w:t xml:space="preserve">   artículo 41 de la misma Convención. El artículo 51 de la Convención y  el</w:t>
        <w:br/>
        <w:t xml:space="preserve">   artículo 44 del Reglamento de la Comisión  se  refieren  expresamente  al</w:t>
        <w:br/>
        <w:t xml:space="preserve">   sometimiento de casos ante la Corte cuando ocurre incumplimiento  de  las</w:t>
        <w:br/>
        <w:t xml:space="preserve">   recomendaciones del informe de fondo al que se refiere el artículo 50  de</w:t>
        <w:br/>
        <w:t xml:space="preserve">   la Convención Americana. Asimismo, el artículo 19.b del  Estatuto  de  la</w:t>
        <w:br/>
        <w:t xml:space="preserve">   Comisión establece que entre las atribuciones de la Comisión está  la  de</w:t>
        <w:br/>
        <w:t xml:space="preserve">   “comparecer ante la Corte Interamericana de Derechos Humanos en los casos</w:t>
        <w:br/>
        <w:t xml:space="preserve">   previstos en la Convención”.</w:t>
        <w:br/>
        <w:br/>
        <w:br/>
        <w:t>41. En suma, parece claro que  el  tenor  literal  del  artículo  12  de  la</w:t>
        <w:br/>
        <w:t xml:space="preserve">   Convención Belém do Pará concede competencia a la Corte, al no  exceptuar</w:t>
        <w:br/>
        <w:t xml:space="preserve">   de su aplicación ninguna de las normas y requisitos de procedimiento para</w:t>
        <w:br/>
        <w:t xml:space="preserve">   las comunicaciones individuales.</w:t>
        <w:br/>
        <w:br/>
        <w:br/>
        <w:t>42. Ahora bien, aunque el texto parezca  literalmente  claro,  es  necesario</w:t>
        <w:br/>
        <w:t xml:space="preserve">   analizarlo aplicando  todos  los  elementos  que  componen  la  regla  de</w:t>
        <w:br/>
        <w:t xml:space="preserve">   interpretación del artículo 31 de la Convención  de  Viena  (supra  párr.</w:t>
        <w:br/>
        <w:t xml:space="preserve">   32). También lo ha  dicho  este  Tribunal  al  señalar  que  el  “sentido</w:t>
        <w:br/>
        <w:t xml:space="preserve">   corriente” de los términos no puede ser una regla por sí misma  sino  que</w:t>
        <w:br/>
        <w:t xml:space="preserve">   debe involucrarse dentro del contexto y, en especial, dentro del objeto y</w:t>
        <w:br/>
        <w:t xml:space="preserve">   fin del tratado, de manera tal  que  la  interpretación  no  conduzca  de</w:t>
        <w:br/>
        <w:t xml:space="preserve">   manera alguna a debilitar el  sistema  de  protección  consagrado  en  la</w:t>
        <w:br/>
        <w:t xml:space="preserve">   Convención[29].</w:t>
        <w:br/>
        <w:br/>
        <w:br/>
        <w:br/>
        <w:br/>
        <w:br/>
        <w:t xml:space="preserve">      1.2.  Interpretación sistemática</w:t>
        <w:br/>
        <w:br/>
        <w:br/>
        <w:t>43. La Corte resalta que, según el argumento sistemático, las  normas  deben</w:t>
        <w:br/>
        <w:t xml:space="preserve">   ser interpretadas como parte de un todo cuyo significado y alcance  deben</w:t>
        <w:br/>
        <w:t xml:space="preserve">   fijarse en función del sistema jurídico al cual pertenecen.</w:t>
        <w:br/>
        <w:br/>
        <w:br/>
        <w:t>44.  El  Estado  alegó  que  “acept[ó]  la   jurisdicción”   de   la   Corte</w:t>
        <w:br/>
        <w:t xml:space="preserve">   “exclusivamente  para  casos  que  versen  sobre  la   interpretación   o</w:t>
        <w:br/>
        <w:t xml:space="preserve">   aplicación  de  la  Convención  Americana  y  no  así  sobre  tratado   o</w:t>
        <w:br/>
        <w:t xml:space="preserve">   instrumento internacional distinto”. De otra parte, México argumentó  que</w:t>
        <w:br/>
        <w:t xml:space="preserve">   es posible la no judicialización del sistema de peticiones incluido en la</w:t>
        <w:br/>
        <w:t xml:space="preserve">   Convención Belém do Pará, teniendo en cuenta instrumentos internacionales</w:t>
        <w:br/>
        <w:t xml:space="preserve">   de derechos humanos que “no  establecen  mecanismos  ipso  jure  para  el</w:t>
        <w:br/>
        <w:t xml:space="preserve">   sometimiento de peticiones a tribunales internacionales”, que incluso han</w:t>
        <w:br/>
        <w:t xml:space="preserve">   establecido “Protocolos” que  incluyen  “comités  ad  hoc  para  analizar</w:t>
        <w:br/>
        <w:t xml:space="preserve">   peticiones individuales”. Destacó que “no debe olvidarse que estos no son</w:t>
        <w:br/>
        <w:t xml:space="preserve">   órganos jurisdiccionales sino que mantienen estructuras, procedimientos y</w:t>
        <w:br/>
        <w:t xml:space="preserve">   facultades similares a las de la Comisión Interamericana”.</w:t>
        <w:br/>
        <w:br/>
        <w:br/>
        <w:t>45. En el sistema interamericano existen tratados  que  no  establecen  como</w:t>
        <w:br/>
        <w:t xml:space="preserve">   mecanismo de protección  ninguna  referencia  al  trámite  de  peticiones</w:t>
        <w:br/>
        <w:t xml:space="preserve">   individuales, tratados  que  permiten  trámite  de  peticiones,  pero  la</w:t>
        <w:br/>
        <w:t xml:space="preserve">   restringen para ciertos derechos  y  tratados  que  permiten  trámite  de</w:t>
        <w:br/>
        <w:t xml:space="preserve">   peticiones en términos generales.</w:t>
        <w:br/>
        <w:br/>
        <w:br/>
        <w:t>46. En el primer supuesto se encuentra la Convención Interamericana para  la</w:t>
        <w:br/>
        <w:t xml:space="preserve">   Eliminación de Todas las Formas de Discriminación contra las Personas con</w:t>
        <w:br/>
        <w:t xml:space="preserve">   Discapacidad (en adelante la “CIETFDPD”), cuyo artículo VI establece  que</w:t>
        <w:br/>
        <w:t xml:space="preserve">   un Comité para la Eliminación  de  todas  las  Formas  de  Discriminación</w:t>
        <w:br/>
        <w:t xml:space="preserve">   contra las Personas con Discapacidad  “será  el  foro  para  examinar  el</w:t>
        <w:br/>
        <w:t xml:space="preserve">   progreso registrado” en la aplicación de la Convención. En  este  tratado</w:t>
        <w:br/>
        <w:t xml:space="preserve">   no se hace mención al trámite de peticiones individuales que denuncien la</w:t>
        <w:br/>
        <w:t xml:space="preserve">   violación de dicha Convención.</w:t>
        <w:br/>
        <w:br/>
        <w:br/>
        <w:t>47. Un segundo supuesto se encuentra en  tratados  que  otorgan  competencia</w:t>
        <w:br/>
        <w:t xml:space="preserve">   para el trámite de peticiones pero  las  restringen  ratione  materiae  a</w:t>
        <w:br/>
        <w:t xml:space="preserve">   ciertos derechos. Así,  por  ejemplo,  el  artículo  19.6  del  Protocolo</w:t>
        <w:br/>
        <w:t xml:space="preserve">   Adicional a la Convención Americana en materia  de  Derechos  Económicos,</w:t>
        <w:br/>
        <w:t xml:space="preserve">   Sociales  y  Culturales,  “Protocolo  de  San   Salvador”,   permite   la</w:t>
        <w:br/>
        <w:t xml:space="preserve">   presentación de denuncias sólo respecto al derecho a la educación  y  los</w:t>
        <w:br/>
        <w:t xml:space="preserve">   derechos sindicales.</w:t>
        <w:br/>
        <w:br/>
        <w:br/>
        <w:t>48. En el tercer supuesto se encuentran la  Convención  Interamericana  para</w:t>
        <w:br/>
        <w:t xml:space="preserve">   Prevenir y Sancionar la Tortura (en adelante la “CIPST”),  la  Convención</w:t>
        <w:br/>
        <w:t xml:space="preserve">   Interamericana  sobre  Desaparición  Forzada  de  Personas  (en  adelante</w:t>
        <w:br/>
        <w:t xml:space="preserve">   “CIDFP”) y la Convención Belém do Pará. Estos tratados  contienen  normas</w:t>
        <w:br/>
        <w:t xml:space="preserve">   de jurisdicción diferentes a las de la Convención Americana, tal como  se</w:t>
        <w:br/>
        <w:t xml:space="preserve">   explica a continuación.</w:t>
        <w:br/>
        <w:br/>
        <w:br/>
        <w:t>49. El Estado alegó la “inaplicabilidad” de los criterios utilizados por  la</w:t>
        <w:br/>
        <w:t xml:space="preserve">   Corte respecto a la “aplicación” de la CIPST  y  la  CIDFP,  teniendo  en</w:t>
        <w:br/>
        <w:t xml:space="preserve">   cuenta que éstas “contienen cláusulas distintas” al  artículo  12  de  la</w:t>
        <w:br/>
        <w:t xml:space="preserve">   Convención Belém do Pará, mientras  que  éste  restringe  la  posibilidad</w:t>
        <w:br/>
        <w:t xml:space="preserve">   únicamente a la Comisión Interamericana, razón por la cual se  aplica  el</w:t>
        <w:br/>
        <w:t xml:space="preserve">   criterio interpretativo conforme al  cual  “la  mención  expresa  de  una</w:t>
        <w:br/>
        <w:t xml:space="preserve">   circunstancia excluye a las demás” y “la expresión especial  impide  toda</w:t>
        <w:br/>
        <w:t xml:space="preserve">   interpretación extensiva”.</w:t>
        <w:br/>
        <w:br/>
        <w:br/>
        <w:t>50. El Tribunal constata que la CIDFP, en su artículo XIII, señala  que  las</w:t>
        <w:br/>
        <w:t xml:space="preserve">   peticiones estarán sujetas a las normas de procedimiento de la Comisión y</w:t>
        <w:br/>
        <w:t xml:space="preserve">   de la Corte, razón por la cual se ha declarado su  violación  en  algunos</w:t>
        <w:br/>
        <w:t xml:space="preserve">   casos[30].</w:t>
        <w:br/>
        <w:br/>
        <w:br/>
        <w:t>51. De otro  lado,  el  artículo  8  de  la  CIPST  autoriza  el  acceso  "a</w:t>
        <w:br/>
        <w:t xml:space="preserve">   instancias internacionales cuya competencia haya sido aceptada  por  [el]</w:t>
        <w:br/>
        <w:t xml:space="preserve">   Estado"  al  que  se  atribuye  la  violación  de  dicho  tratado.  Dicha</w:t>
        <w:br/>
        <w:t xml:space="preserve">   Convención no menciona a  la  Corte  Interamericana  en  ninguno  de  sus</w:t>
        <w:br/>
        <w:t xml:space="preserve">   artículos. Sin embargo, la Corte ha  declarado  la  violación  de  dichos</w:t>
        <w:br/>
        <w:t xml:space="preserve">   tratados  en  diversos  casos  utilizando  un  medio  de   interpretación</w:t>
        <w:br/>
        <w:t xml:space="preserve">   complementario (los trabajos preparatorios) ante la posible ambigüedad de</w:t>
        <w:br/>
        <w:t xml:space="preserve">   la disposición[31].</w:t>
        <w:br/>
        <w:br/>
        <w:br/>
        <w:t>52. La Corte considera que,  a  diferencia  de  lo  que  señala  México,  la</w:t>
        <w:br/>
        <w:t xml:space="preserve">   Convención Bélem do Pará hace mención aun más explícita que la CIPST a la</w:t>
        <w:br/>
        <w:t xml:space="preserve">   jurisdicción  de  la  Corte,  puesto  que  alude   expresamente   a   las</w:t>
        <w:br/>
        <w:t xml:space="preserve">   disposiciones que permiten a la Comisión enviar dichos casos a la Corte.</w:t>
        <w:br/>
        <w:br/>
        <w:br/>
        <w:t>53. De otra parte, el Estado alegó que si bien la Convención Belém  do  Pará</w:t>
        <w:br/>
        <w:t xml:space="preserve">   señala que la Comisión deberá conocer de las  peticiones  de  conformidad</w:t>
        <w:br/>
        <w:t xml:space="preserve">   con las normas y procedimientos establecidos en la Convención  Americana,</w:t>
        <w:br/>
        <w:t xml:space="preserve">   “ello sólo puede significar que deberá acogerse a lo  establecido  en  la</w:t>
        <w:br/>
        <w:t xml:space="preserve">   Sección 4 del Capítulo VII de la  Convención  Americana”,  pues  “es  ahí</w:t>
        <w:br/>
        <w:t xml:space="preserve">   donde se establecen  las  reglas  que  norman  el  procedimiento  de  una</w:t>
        <w:br/>
        <w:t xml:space="preserve">   petición individual”. México alegó que el hecho de que la Comisión  pueda</w:t>
        <w:br/>
        <w:t xml:space="preserve">   someter un caso a la Corte “no debe confundirse” con el procedimiento  de</w:t>
        <w:br/>
        <w:t xml:space="preserve">   peticiones individuales. Por el contrario, señaló el Estado, “el artículo</w:t>
        <w:br/>
        <w:t xml:space="preserve">   12 de la Convención de Belém do Pará es  aquel  en  el  que  la  Comisión</w:t>
        <w:br/>
        <w:t xml:space="preserve">   ejerce sus funciones cuasijurisdiccionales”, y que “el hecho  de  que  el</w:t>
        <w:br/>
        <w:t xml:space="preserve">   trámite de una petición ante la Comisión Interamericana  pudiera  derivar</w:t>
        <w:br/>
        <w:t xml:space="preserve">   en un caso ante la Corte […] no implica  que  el  procedimiento  ante  la</w:t>
        <w:br/>
        <w:t xml:space="preserve">   Comisión dependa del proceso ante la Corte”,  lo  cual  “es  evidente  en</w:t>
        <w:br/>
        <w:t xml:space="preserve">   tanto que la conclusión de una petición no siempre es una sentencia de la</w:t>
        <w:br/>
        <w:t xml:space="preserve">   Corte”.</w:t>
        <w:br/>
        <w:br/>
        <w:br/>
        <w:t>54. A partir de una interpretación  sistemática,  nada  en  el  artículo  12</w:t>
        <w:br/>
        <w:t xml:space="preserve">   apunta hacia la posibilidad de que la Comisión Interamericana aplique  el</w:t>
        <w:br/>
        <w:t xml:space="preserve">   artículo 51 de la Convención Americana de manera fragmentada.  Es  cierto</w:t>
        <w:br/>
        <w:t xml:space="preserve">   que la Comisión Interamericana puede decidir  no  enviar  un  caso  a  la</w:t>
        <w:br/>
        <w:t xml:space="preserve">   Corte, pero ninguna norma de la Convención Americana ni el artículo 12 de</w:t>
        <w:br/>
        <w:t xml:space="preserve">   la Convención Belém do Pará prohíben  que  un  caso  sea  transmitido  al</w:t>
        <w:br/>
        <w:t xml:space="preserve">   Tribunal, si la Comisión así lo decide. El artículo 51 es claro  en  este</w:t>
        <w:br/>
        <w:t xml:space="preserve">   punto.</w:t>
        <w:br/>
        <w:br/>
        <w:br/>
        <w:t>55.  La  Corte  reitera  su  jurisprudencia  en  torno  a   la   “integridad</w:t>
        <w:br/>
        <w:t xml:space="preserve">   institucional del sistema  de  protección  consagrado  en  la  Convención</w:t>
        <w:br/>
        <w:t xml:space="preserve">   Americana”. Ello significa, por un lado, que el sometimiento de  un  caso</w:t>
        <w:br/>
        <w:t xml:space="preserve">   contencioso ante la Corte respecto a un Estado Parte que haya  reconocido</w:t>
        <w:br/>
        <w:t xml:space="preserve">   la competencia contenciosa del Tribunal requiere  del  desarrollo  previo</w:t>
        <w:br/>
        <w:t xml:space="preserve">   del procedimiento ante la Comisión[32]. De  otra  parte,  la  competencia</w:t>
        <w:br/>
        <w:t xml:space="preserve">   asignada a la Comisión por el  inciso  f  del  artículo  41  convencional</w:t>
        <w:br/>
        <w:t xml:space="preserve">   abarca los diversos actos que culminan en la presentación de una  demanda</w:t>
        <w:br/>
        <w:t xml:space="preserve">   ante la Corte para recabar de ésta una  resolución  jurisdiccional.  Este</w:t>
        <w:br/>
        <w:t xml:space="preserve">   artículo se refiere a un ámbito en el que se actualizan las  atribuciones</w:t>
        <w:br/>
        <w:t xml:space="preserve">   tanto de la Comisión como de la Corte, en sus respectivos momentos.  Cabe</w:t>
        <w:br/>
        <w:t xml:space="preserve">   recordar que la Corte es el único órgano judicial en estas materias[33].</w:t>
        <w:br/>
        <w:br/>
        <w:br/>
        <w:t>56. Lo anterior no quiere decir que un Estado Parte que no  haya  reconocido</w:t>
        <w:br/>
        <w:t xml:space="preserve">   la jurisdicción contenciosa de la Corte según la Convención  Americana  y</w:t>
        <w:br/>
        <w:t xml:space="preserve">   haya ratificado, por ejemplo, la Convención  Belém  do  Pará,  pueda  ser</w:t>
        <w:br/>
        <w:t xml:space="preserve">   objeto de la jurisdicción contenciosa de este Tribunal. En ese  caso,  la</w:t>
        <w:br/>
        <w:t xml:space="preserve">   aplicación del artículo 51 se hace imposible, puesto  que  para  que  ese</w:t>
        <w:br/>
        <w:t xml:space="preserve">   componente del artículo 51 opere,  se  requiere  haber  cumplido  con  lo</w:t>
        <w:br/>
        <w:t xml:space="preserve">   dispuesto por el artículo 62 de la Convención Americana.</w:t>
        <w:br/>
        <w:br/>
        <w:br/>
        <w:t>57. Asimismo, el Tribunal reitera  que  haber  conferido  competencia  a  la</w:t>
        <w:br/>
        <w:t xml:space="preserve">   Corte según la Convención Americana es garantizar que en los  eventos  en</w:t>
        <w:br/>
        <w:t xml:space="preserve">   los que se establezca un sistema de peticiones,  de  ser  pertinente,  se</w:t>
        <w:br/>
        <w:t xml:space="preserve">   garantice el control judicial de la Corte en la materia.  Distinto  sería</w:t>
        <w:br/>
        <w:t xml:space="preserve">   en aquellos instrumentos en  los  que  no  se  establece  un  sistema  de</w:t>
        <w:br/>
        <w:t xml:space="preserve">   peticiones como mecanismo de protección, tal como ocurre con la CIETFDPD.</w:t>
        <w:br/>
        <w:br/>
        <w:br/>
        <w:t>58. En conclusión, una interpretación sistemática de las  normas  relevantes</w:t>
        <w:br/>
        <w:t xml:space="preserve">   para resolver esta controversia permite respaldar aún más la  competencia</w:t>
        <w:br/>
        <w:t xml:space="preserve">   contenciosa de la Corte respecto al artículo 7 de la Convención Belém  do</w:t>
        <w:br/>
        <w:t xml:space="preserve">   Pará.</w:t>
        <w:br/>
        <w:br/>
        <w:br/>
        <w:br/>
        <w:br/>
        <w:br/>
        <w:t xml:space="preserve">      1.3.  Interpretación teleológica y principio del efecto útil</w:t>
        <w:br/>
        <w:br/>
        <w:br/>
        <w:t>59. En una interpretación teleológica se analiza el propósito de las  normas</w:t>
        <w:br/>
        <w:t xml:space="preserve">   involucradas, para lo cual es pertinente analizar el  objeto  y  fin  del</w:t>
        <w:br/>
        <w:t xml:space="preserve">   tratado mismo y, de ser pertinente, analizar los propósitos  del  sistema</w:t>
        <w:br/>
        <w:t xml:space="preserve">   regional  de  protección.  En  este  sentido,  tanto  la   interpretación</w:t>
        <w:br/>
        <w:t xml:space="preserve">   sistemática como la teleológica están directamente relacionadas.</w:t>
        <w:br/>
        <w:br/>
        <w:br/>
        <w:t>60. El Estado indicó que si bien “el objeto y fin de la Convención de  Belém</w:t>
        <w:br/>
        <w:t xml:space="preserve">   do Pará es la eliminación total de la violencia  contra  la  mujer”,  “no</w:t>
        <w:br/>
        <w:t xml:space="preserve">   puede confundirse ese fin último […] con la judicialización  del  sistema</w:t>
        <w:br/>
        <w:t xml:space="preserve">   de derechos y obligaciones que rige al instrumento”.</w:t>
        <w:br/>
        <w:br/>
        <w:br/>
        <w:t>61. El fin del sistema de peticiones consagrado en  el  artículo  12  de  la</w:t>
        <w:br/>
        <w:t xml:space="preserve">   Convención Belém do Pará es el  de  fortalecer  el  derecho  de  petición</w:t>
        <w:br/>
        <w:t xml:space="preserve">   individual internacional  a  partir  de  ciertas  precisiones  sobre  los</w:t>
        <w:br/>
        <w:t xml:space="preserve">   alcances del enfoque de género. La adopción de  esta  Convención  refleja</w:t>
        <w:br/>
        <w:t xml:space="preserve">   una preocupación uniforme en todo el hemisferio  sobre  la  gravedad  del</w:t>
        <w:br/>
        <w:t xml:space="preserve">   problema  de  la  violencia  contra  la  mujer,  su   relación   con   la</w:t>
        <w:br/>
        <w:t xml:space="preserve">   discriminación  históricamente  sufrida  y  la   necesidad   de   adoptar</w:t>
        <w:br/>
        <w:t xml:space="preserve">   estrategias integrales para prevenirla, sancionarla y erradicarla[34]. En</w:t>
        <w:br/>
        <w:t xml:space="preserve">   consecuencia, la existencia de  un  sistema  de  peticiones  individuales</w:t>
        <w:br/>
        <w:t xml:space="preserve">   dentro de una convención de tal tipo, tiene  como  objetivo  alcanzar  la</w:t>
        <w:br/>
        <w:t xml:space="preserve">   mayor protección judicial posible, respecto a aquellos  Estados  que  han</w:t>
        <w:br/>
        <w:t xml:space="preserve">   admitido el control judicial por parte de la Corte.</w:t>
        <w:br/>
        <w:br/>
        <w:br/>
        <w:t>62. En este punto es fundamental tener  presente  la  especificidad  de  los</w:t>
        <w:br/>
        <w:t xml:space="preserve">   tratados de derechos humanos y  los  efectos  que  ello  tiene  sobre  su</w:t>
        <w:br/>
        <w:t xml:space="preserve">   interpretación y aplicación. Por  una  parte,  el  objeto  y  fin  es  la</w:t>
        <w:br/>
        <w:t xml:space="preserve">   protección de los derechos  humanos  de  los  individuos;  por  la  otra,</w:t>
        <w:br/>
        <w:t xml:space="preserve">   significa la creación de un orden legal en el  cual  los  Estados  asumen</w:t>
        <w:br/>
        <w:t xml:space="preserve">   obligaciones no en relación con otros Estados, sino hacia los  individuos</w:t>
        <w:br/>
        <w:t xml:space="preserve">   bajo  su  jurisdicción[35].  Además,  estos  tratados   se   aplican   de</w:t>
        <w:br/>
        <w:t xml:space="preserve">   conformidad con la noción de garantía colectiva[36].</w:t>
        <w:br/>
        <w:br/>
        <w:br/>
        <w:t>63.  En el presente caso el Estado señaló que la interpretación  teleológica</w:t>
        <w:br/>
        <w:t xml:space="preserve">   deriva de que, mientras el artículo 12 es omiso en señalar  a  la  Corte,</w:t>
        <w:br/>
        <w:t xml:space="preserve">   “el artículo 11 sí le otorga competencia exclusiva para emitir  opiniones</w:t>
        <w:br/>
        <w:t xml:space="preserve">   consultivas”, lo cual indica que  “la  intención  de  las  partes  en  el</w:t>
        <w:br/>
        <w:t xml:space="preserve">   tratado era precisamente delimitar  las  facultades  de  la  Corte  a  su</w:t>
        <w:br/>
        <w:t xml:space="preserve">   función consultiva”. Por su  parte,  la  Comisión  y  los  representantes</w:t>
        <w:br/>
        <w:t xml:space="preserve">   señalaron que la Corte no puede dejar de asumir competencia para  conocer</w:t>
        <w:br/>
        <w:t xml:space="preserve">   de violaciones a la Convención Belém do Pará, pues ello  desconocería  el</w:t>
        <w:br/>
        <w:t xml:space="preserve">   “principio del efecto útil”. Sobre esto último, el Estado señaló que  “el</w:t>
        <w:br/>
        <w:t xml:space="preserve">   efecto útil se encuentra ya garantizado en la Convención y la  aplicación</w:t>
        <w:br/>
        <w:t xml:space="preserve">   del mismo no implica que la Corte ejerza su jurisdicción sobre la misma”;</w:t>
        <w:br/>
        <w:t xml:space="preserve">   toda vez que ello sería “desconocer y  descalificar”  las  funciones  que</w:t>
        <w:br/>
        <w:t xml:space="preserve">   desempeñan  la  Comisión  Interamericana  de  Mujeres   y   la   Comisión</w:t>
        <w:br/>
        <w:t xml:space="preserve">   Interamericana de Derechos Humanos en  el  marco  de  los  mecanismos  de</w:t>
        <w:br/>
        <w:t xml:space="preserve">   protección establecidos por la Convención Belém do Pará.</w:t>
        <w:br/>
        <w:br/>
        <w:br/>
        <w:t>64. La alegación que el Estado hace  en  el  sentido  de  que  la  Corte  no</w:t>
        <w:br/>
        <w:t xml:space="preserve">   tendría competencia contenciosa porque el artículo 11  de  la  Convención</w:t>
        <w:br/>
        <w:t xml:space="preserve">   Bélem do Pará sólo se refiere a la jurisdicción consultiva de  la  Corte,</w:t>
        <w:br/>
        <w:t xml:space="preserve">   no apoya esta posición, sino que, por el  contrario,  la  contradice.  En</w:t>
        <w:br/>
        <w:t xml:space="preserve">   efecto, la competencia consultiva no está incluida en los artículos 44  a</w:t>
        <w:br/>
        <w:t xml:space="preserve">   51 de la Convención Americana, por lo  cual  era  necesario  establecerla</w:t>
        <w:br/>
        <w:t xml:space="preserve">   expresamente en otra disposición.</w:t>
        <w:br/>
        <w:br/>
        <w:br/>
        <w:t>65. Con respecto al efecto útil, la Corte reitera lo señalado en  su  primer</w:t>
        <w:br/>
        <w:t xml:space="preserve">   fallo contencioso, en el sentido de que una finalidad  inherente  a  todo</w:t>
        <w:br/>
        <w:t xml:space="preserve">   tratado es la de alcanzar este efecto[37]. Ello es aplicable a las normas</w:t>
        <w:br/>
        <w:t xml:space="preserve">   de la Convención Americana relacionadas con la facultad de la Comisión de</w:t>
        <w:br/>
        <w:t xml:space="preserve">   someter casos a la Corte. Y es ésta una de las normas a la que remite  la</w:t>
        <w:br/>
        <w:t xml:space="preserve">   Convención Belém do Pará.</w:t>
        <w:br/>
        <w:br/>
        <w:br/>
        <w:br/>
        <w:br/>
        <w:br/>
        <w:t xml:space="preserve">      1.4.   Criterio  complementario  de   interpretación:   los   trabajos</w:t>
        <w:br/>
        <w:t xml:space="preserve">           preparatorios de la Convención Belém do Pará</w:t>
        <w:br/>
        <w:br/>
        <w:br/>
        <w:t>66. El Estado manifestó que “los representantes de los  Estados  discutieron</w:t>
        <w:br/>
        <w:t xml:space="preserve">   ampliamente la forma en la  que  se  podrían  reclamar  violaciones  […],</w:t>
        <w:br/>
        <w:t xml:space="preserve">   concluyendo que la Comisión sería el único órgano competente para conocer</w:t>
        <w:br/>
        <w:t xml:space="preserve">   de estas quejas”, manifestando su “inconformidad  de  otorgar  facultades</w:t>
        <w:br/>
        <w:t xml:space="preserve">   jurisprudenciales  a  la  Corte  Interamericana  para  revisar   posibles</w:t>
        <w:br/>
        <w:t xml:space="preserve">   violaciones” de dicha Convención. Además, según el  Estado,  el  artículo</w:t>
        <w:br/>
        <w:t xml:space="preserve">   incluido en el anteproyecto de dicha  Convención  que  facultaba  a  esta</w:t>
        <w:br/>
        <w:t xml:space="preserve">   Corte para conocer violaciones  a  la  misma,  “no  fue  incluido  en  el</w:t>
        <w:br/>
        <w:t xml:space="preserve">   proyecto final de la [C]onvención”. Asimismo, indicó que “la facultad  de</w:t>
        <w:br/>
        <w:t xml:space="preserve">   aceptar la competencia obligatoria de un tribunal es un acto soberano  de</w:t>
        <w:br/>
        <w:t xml:space="preserve">   cada Estado que no encuentra  más  límites  que  la  voluntad  misma  del</w:t>
        <w:br/>
        <w:t xml:space="preserve">   Estado”. Concluyó que “es evidente que fue la intención  de  los  Estados</w:t>
        <w:br/>
        <w:t xml:space="preserve">   signatarios delimitar  la  competencia  exclusiva  de  la  Comisión  para</w:t>
        <w:br/>
        <w:t xml:space="preserve">   conocer sobre peticiones individuales referentes a presuntas  violaciones</w:t>
        <w:br/>
        <w:t xml:space="preserve">   a [dicha] Convención”.</w:t>
        <w:br/>
        <w:br/>
        <w:br/>
        <w:t>67. La Comisión refutó los argumentos del Estado  relativos  a  los  travaux</w:t>
        <w:br/>
        <w:t xml:space="preserve">   préparatoires de la Convención Belém do Pará y consideró que  “en  ningún</w:t>
        <w:br/>
        <w:t xml:space="preserve">   momento  los  Estados  discutieron  […]  la  posibilidad  de  excluir  la</w:t>
        <w:br/>
        <w:t xml:space="preserve">   competencia material de la Corte […] para conocer sobre el incumplimiento</w:t>
        <w:br/>
        <w:t xml:space="preserve">   de las obligaciones emanadas de [dicha] Convención”.  Los  representantes</w:t>
        <w:br/>
        <w:t xml:space="preserve">   no ofrecieron alegatos en este punto.</w:t>
        <w:br/>
        <w:br/>
        <w:br/>
        <w:t>68. La Corte observa que la Convención de Viena exige acudir a los  trabajos</w:t>
        <w:br/>
        <w:t xml:space="preserve">   preparatorios solo en forma subsidiaria. En el presente  caso,  no  sería</w:t>
        <w:br/>
        <w:t xml:space="preserve">   necesario hacerlo teniendo en cuenta lo analizado hasta el  momento.  Sin</w:t>
        <w:br/>
        <w:t xml:space="preserve">   perjuicio de ello, el Tribunal estudiará los trabajos preparatorios  para</w:t>
        <w:br/>
        <w:t xml:space="preserve">   responder a los alegatos presentados por el Estado.</w:t>
        <w:br/>
        <w:br/>
        <w:br/>
        <w:t>69. El “Texto aprobado por mayoría” en  la  “Reunión  Intergubernamental  de</w:t>
        <w:br/>
        <w:t xml:space="preserve">   Expertos” convocada en octubre  de  1993  para  revisar  el  proyecto  de</w:t>
        <w:br/>
        <w:t xml:space="preserve">   Convención  Interamericana  para  Prevenir,  Sancionar  y  Erradicar   la</w:t>
        <w:br/>
        <w:t xml:space="preserve">   Violencia contra la Mujer, señalaba lo siguiente:</w:t>
        <w:br/>
        <w:br/>
        <w:br/>
        <w:t xml:space="preserve">      Artículo 15. Todo Estado  Parte  puede,  en  cualquier  momento  y  de</w:t>
        <w:br/>
        <w:t xml:space="preserve">      acuerdo  con  las  normas  y  los  procedimientos  estipulados  en  la</w:t>
        <w:br/>
        <w:t xml:space="preserve">      Convención Americana sobre Derechos  Humanos,  declarar  que  reconoce</w:t>
        <w:br/>
        <w:t xml:space="preserve">      como obligatoria de  pleno  derecho  y  sin  convención  especial,  la</w:t>
        <w:br/>
        <w:t xml:space="preserve">      competencia de la Corte Interamericana de Derechos Humanos sobre todos</w:t>
        <w:br/>
        <w:t xml:space="preserve">      los casos relativos a la interpretación o aplicación  de  la  presente</w:t>
        <w:br/>
        <w:t xml:space="preserve">      Convención[38].</w:t>
        <w:br/>
        <w:br/>
        <w:br/>
        <w:t>70. El 26 de octubre de 1993 la delegación de México presentó una  propuesta</w:t>
        <w:br/>
        <w:t xml:space="preserve">   relacionada  con  las  competencias  de  la  Comisión  Interamericana  de</w:t>
        <w:br/>
        <w:t xml:space="preserve">   Derechos Humanos y la Comisión Interamericana  de  Mujeres  (en  adelante</w:t>
        <w:br/>
        <w:t xml:space="preserve">   “CIM”)[39]. En particular, la propuesta de México se  dirigía  a  que  se</w:t>
        <w:br/>
        <w:t xml:space="preserve">   creara un Comité sobre la Eliminación de la Violencia contra la Mujer que</w:t>
        <w:br/>
        <w:t xml:space="preserve">   auxiliara a la CIM en el examen de informes  nacionales  y  que  revisara</w:t>
        <w:br/>
        <w:t xml:space="preserve">   denuncias o quejas relativas a la Convención,  presentando  “un  dictamen</w:t>
        <w:br/>
        <w:t xml:space="preserve">   sobre [dichas denuncias] a la [CIM], con vistas a la presentación  del  o</w:t>
        <w:br/>
        <w:t xml:space="preserve">   los casos ante la Comisión Interamericana de Derechos  Humanos”[40].  Por</w:t>
        <w:br/>
        <w:t xml:space="preserve">   su parte, la delegación de Brasil informó que “reserva[ba]  su  posición”</w:t>
        <w:br/>
        <w:t xml:space="preserve">   frente a dicho artículo 15 del anteproyecto[41].</w:t>
        <w:br/>
        <w:br/>
        <w:br/>
        <w:t>71. De otra parte, uno de  los  documentos  analizados  en  la  VI  Asamblea</w:t>
        <w:br/>
        <w:t xml:space="preserve">   Extraordinaria de Delegadas que durante 1994 analizó el  anteproyecto  de</w:t>
        <w:br/>
        <w:t xml:space="preserve">   Convención,  incluye  los  comentarios  de  algunos  Gobiernos  a   dicho</w:t>
        <w:br/>
        <w:t xml:space="preserve">   documento[42]. Trinidad y Tobago apoyó la propuesta de  México,  mientras</w:t>
        <w:br/>
        <w:t xml:space="preserve">   que Antigua  y  Barbuda,  Bahamas,  Colombia,  Costa  Rica,  Ecuador,  El</w:t>
        <w:br/>
        <w:t xml:space="preserve">   Salvador, Guatemala, Paraguay, Santa Lucía, Uruguay y Venezuela señalaron</w:t>
        <w:br/>
        <w:t xml:space="preserve">   su acuerdo con el anteproyecto. Chile presentó observaciones  que  no  se</w:t>
        <w:br/>
        <w:t xml:space="preserve">   relacionaban con los mecanismos de  protección.  St.  Kitts  y  Nevis  se</w:t>
        <w:br/>
        <w:t xml:space="preserve">   “reserv[ó] el derecho de tomar una decisión sobre los Artículos 13  a  15</w:t>
        <w:br/>
        <w:t xml:space="preserve">   del Proyecto de Convención, y  sobre  las  modificaciones  propuestas  al</w:t>
        <w:br/>
        <w:t xml:space="preserve">   mismo”. Barbados y Dominica manifestaron que se entendía que  el  trámite</w:t>
        <w:br/>
        <w:t xml:space="preserve">   de peticiones individuales estaba regulado por la  Convención  Americana.</w:t>
        <w:br/>
        <w:t xml:space="preserve">   Por su parte, Perú consideraba pertinente un “proyecto  de  procedimiento</w:t>
        <w:br/>
        <w:t xml:space="preserve">   que debiera seguirse ante la CIDH” o “el establecimiento de una relatoría</w:t>
        <w:br/>
        <w:t xml:space="preserve">   ad-hoc para el caso específico de las denuncias”.</w:t>
        <w:br/>
        <w:br/>
        <w:br/>
        <w:t>72. El 19 de abril de 1994 se reunieron las delegadas de la CIM  a  discutir</w:t>
        <w:br/>
        <w:t xml:space="preserve">   el proyecto de Convención y procedieron a una  votación  nominal  de  los</w:t>
        <w:br/>
        <w:t xml:space="preserve">   diversos artículos. Participaron 22 países miembros de la  OEA.  Respecto</w:t>
        <w:br/>
        <w:t xml:space="preserve">   al artículo 15 del Proyecto, la votación tuvo como resultado: “16 votos a</w:t>
        <w:br/>
        <w:t xml:space="preserve">   favor, uno en contra y cuatro abstenciones”[43]. En un “acta resumida” de</w:t>
        <w:br/>
        <w:t xml:space="preserve">   dicha votación, se indicó que el artículo “no  fue  aprobado”  porque  se</w:t>
        <w:br/>
        <w:t xml:space="preserve">   “requer[ían] 18 votos a favor para aprobar una moción”. La Corte  observa</w:t>
        <w:br/>
        <w:t xml:space="preserve">   que no es correcto sostener que  no  hubo  una  mayoría  a  favor  de  la</w:t>
        <w:br/>
        <w:t xml:space="preserve">   aprobación de dicho artículo, sino sólo que no se obtuvo la  cantidad  de</w:t>
        <w:br/>
        <w:t xml:space="preserve">   votos suficientes.</w:t>
        <w:br/>
        <w:br/>
        <w:br/>
        <w:t>73. Los trabajos preparatorios, por ende, en  tanto  se  relacionan  con  un</w:t>
        <w:br/>
        <w:t xml:space="preserve">   método subsidiario de  interpretación,  son  completamente  insuficientes</w:t>
        <w:br/>
        <w:t xml:space="preserve">   como fundamento sólido para  desechar  la  interpretación  realizada  del</w:t>
        <w:br/>
        <w:t xml:space="preserve">   artículo 12 de la Convención Bélem do Pará.  Por  tal  motivo,  la  Corte</w:t>
        <w:br/>
        <w:t xml:space="preserve">   acudió a todos los elementos primarios de interpretación de la Convención</w:t>
        <w:br/>
        <w:t xml:space="preserve">   de Viena.</w:t>
        <w:br/>
        <w:br/>
        <w:br/>
        <w:br/>
        <w:br/>
        <w:br/>
        <w:br/>
        <w:t xml:space="preserve">      1.5.  Efectos del precedente establecido  en  la  sentencia  del  caso</w:t>
        <w:br/>
        <w:t xml:space="preserve">           Penal Miguel Castro Castro</w:t>
        <w:br/>
        <w:br/>
        <w:br/>
        <w:t>74. El Estado señaló que en el caso Penal Miguel Castro Castro Vs.  Perú  la</w:t>
        <w:br/>
        <w:t xml:space="preserve">   Corte “no analizó su competencia para conocer de la Convención  de  Belém</w:t>
        <w:br/>
        <w:t xml:space="preserve">   do Pará”, razón por la cual “no existe evidencia de los motivos  por  los</w:t>
        <w:br/>
        <w:t xml:space="preserve">   que ejerció su competencia”. Además, alegó que el hecho de que  en  dicho</w:t>
        <w:br/>
        <w:t xml:space="preserve">   caso “no [se] haya objetado la competencia de es[t]a  Corte  y  que  ésta</w:t>
        <w:br/>
        <w:t xml:space="preserve">   tampoco la analizara, no debe ser obstáculo para que la Corte atienda  la</w:t>
        <w:br/>
        <w:t xml:space="preserve">   objeción del Estado” en este caso y “declare su incompetencia”.</w:t>
        <w:br/>
        <w:br/>
        <w:br/>
        <w:t>75. En el caso del Penal Miguel Castro Castro el  Tribunal  declaró  violada</w:t>
        <w:br/>
        <w:t xml:space="preserve">   la Convención Belém  do  Pará,  lo  que  es  equivalente  a  declarar  su</w:t>
        <w:br/>
        <w:t xml:space="preserve">   competencia sobre ella. Asimismo, la Corte resalta que no sólo  en  dicho</w:t>
        <w:br/>
        <w:t xml:space="preserve">   caso ha establecido su competencia en la materia. En efecto, en los casos</w:t>
        <w:br/>
        <w:t xml:space="preserve">   Ríos y otros Vs. Venezuela y Perozo y otros Vs.  Venezuela,  si  bien  la</w:t>
        <w:br/>
        <w:t xml:space="preserve">   Corte declaró que “no  correspond[ía]  analizar  los  hechos  de  [dichos</w:t>
        <w:br/>
        <w:t xml:space="preserve">   casos] bajo las […] disposiciones de la Convención de Belém do  Pará”[44]</w:t>
        <w:br/>
        <w:t xml:space="preserve">   porque  no  se  demostró  que  las   agresiones   fueron   “especialmente</w:t>
        <w:br/>
        <w:t xml:space="preserve">   dirigid[as] contra las mujeres” ni  que  “éstas  se  hayan  debido  a  su</w:t>
        <w:br/>
        <w:t xml:space="preserve">   condición [de mujer]”[45], esta conclusión de no violación fue posible  a</w:t>
        <w:br/>
        <w:t xml:space="preserve">   partir del análisis de dicha Convención. En ello se proyectó entonces  la</w:t>
        <w:br/>
        <w:t xml:space="preserve">   competencia del Tribunal sobre la misma.</w:t>
        <w:br/>
        <w:br/>
        <w:br/>
        <w:t>76. En consecuencia, si bien es cierto que  en  el  caso  del  Penal  Miguel</w:t>
        <w:br/>
        <w:t xml:space="preserve">   Castro Castro Vs. Perú  no  se  realizó  un  análisis  exhaustivo  de  la</w:t>
        <w:br/>
        <w:t xml:space="preserve">   competencia del Tribunal para conocer de violaciones al artículo 7 de  la</w:t>
        <w:br/>
        <w:t xml:space="preserve">   Convención Belém do Pará, que en su momento se consideró innecesario ante</w:t>
        <w:br/>
        <w:t xml:space="preserve">   la falta de controversia de las partes, en el presente caso,  en  el  que</w:t>
        <w:br/>
        <w:t xml:space="preserve">   México ha cuestionado dicha competencia, la Corte ha expuesto los motivos</w:t>
        <w:br/>
        <w:t xml:space="preserve">   que le llevan a reafirmar su jurisprudencia en la materia.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77.  Todo  lo  anterior  permite  concluir  que  la  conjunción  entre   las</w:t>
        <w:br/>
        <w:t xml:space="preserve">   interpretaciones sistemática y teleológica, la aplicación  del  principio</w:t>
        <w:br/>
        <w:t xml:space="preserve">   del efecto útil, sumadas a la suficiencia  del  criterio  literal  en  el</w:t>
        <w:br/>
        <w:t xml:space="preserve">   presente caso, permiten ratificar la competencia contenciosa de la  Corte</w:t>
        <w:br/>
        <w:t xml:space="preserve">   respecto a conocer de violaciones del artículo 7 de la  Convención  Belém</w:t>
        <w:br/>
        <w:t xml:space="preserve">   do Pará.</w:t>
        <w:br/>
        <w:br/>
        <w:br/>
        <w:br/>
        <w:br/>
        <w:br/>
        <w:t xml:space="preserve">      2.    Incompetencia del Tribunal respecto a los artículos 8 y 9 de  la</w:t>
        <w:br/>
        <w:t xml:space="preserve">           Convención Belém do Pará</w:t>
        <w:br/>
        <w:br/>
        <w:br/>
        <w:t>78. La Comisión Interamericana no alegó la  competencia  contenciosa  de  la</w:t>
        <w:br/>
        <w:t xml:space="preserve">   Corte respecto a los artículos 8 y 9 de la Convención Belém do Pará.  Por</w:t>
        <w:br/>
        <w:t xml:space="preserve">   su parte, los representantes aludieron a dicha competencia,  teniendo  en</w:t>
        <w:br/>
        <w:t xml:space="preserve">   cuenta la “relación directa” del artículo 9 con el artículo  7  de  dicha</w:t>
        <w:br/>
        <w:t xml:space="preserve">   Convención, en razón de una “interpretación pro personae” del artículo 12</w:t>
        <w:br/>
        <w:t xml:space="preserve">   y del principio del efecto útil. Agregaron que la Corte debe  “asumir  en</w:t>
        <w:br/>
        <w:t xml:space="preserve">   conjunto ambos artículos para conocer de las violaciones alegadas”.</w:t>
        <w:br/>
        <w:br/>
        <w:br/>
        <w:t>79. La Corte considera que los criterios  sistemáticos  y  teleológicos  son</w:t>
        <w:br/>
        <w:t xml:space="preserve">   insuficientes para superponerse a  lo  que  indica  claramente  el  tenor</w:t>
        <w:br/>
        <w:t xml:space="preserve">   literal del artículo 12 de la Convención Belém do Pará, donde  se  señala</w:t>
        <w:br/>
        <w:t xml:space="preserve">   que el sistema de peticiones se concentrará exclusivamente en la  posible</w:t>
        <w:br/>
        <w:t xml:space="preserve">   violación del artículo 7 de  dicha  Convención.  Al  respecto,  la  Corte</w:t>
        <w:br/>
        <w:t xml:space="preserve">   resalta que a partir del principio de interpretación más favorable no  se</w:t>
        <w:br/>
        <w:t xml:space="preserve">   puede derivar un  enunciado  normativo  inexistente,  en  este  caso,  la</w:t>
        <w:br/>
        <w:t xml:space="preserve">   integración de los artículos 8 y 9 al tenor literal del artículo 12. Ello</w:t>
        <w:br/>
        <w:t xml:space="preserve">   no obsta a que los diversos artículos de la Convención Belém do Pará sean</w:t>
        <w:br/>
        <w:t xml:space="preserve">   utilizados para la interpretación de la misma  y  de  otros  instrumentos</w:t>
        <w:br/>
        <w:t xml:space="preserve">   interamericanos pertinentes.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80. Por  todo  lo  expuesto  el  Tribunal  decide  aceptar  parcialmente  la</w:t>
        <w:br/>
        <w:t xml:space="preserve">   excepción preliminar interpuesta por el Estado y, por ende, declarar que:</w:t>
        <w:br/>
        <w:t xml:space="preserve">   a) tiene competencia contenciosa en razón de la materia para  conocer  de</w:t>
        <w:br/>
        <w:t xml:space="preserve">   alegadas violaciones al artículo 7 de la Convención Belém do Pará,  y  b)</w:t>
        <w:br/>
        <w:t xml:space="preserve">   no tiene competencia contenciosa en razón de la materia para  conocer  de</w:t>
        <w:br/>
        <w:t xml:space="preserve">   supuestas violaciones  a  los  artículos  8  y  9  de  dicho  instrumento</w:t>
        <w:br/>
        <w:t xml:space="preserve">   internacional.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COMPETENCIA</w:t>
        <w:br/>
        <w:br/>
        <w:br/>
        <w:t>81. La Corte Interamericana es competente,  en  los  términos  del  artículo</w:t>
        <w:br/>
        <w:t xml:space="preserve">   62.3 de la Convención, para conocer el presente caso,  en  razón  de  que</w:t>
        <w:br/>
        <w:t xml:space="preserve">   México es Estado Parte en la Convención Americana desde el 24 de marzo de</w:t>
        <w:br/>
        <w:t xml:space="preserve">   1981 y reconoció  la  competencia  contenciosa  del  Tribunal  el  16  de</w:t>
        <w:br/>
        <w:t xml:space="preserve">   diciembre de 1998. Asimismo, el Estado ratificó la  Convención  Belém  do</w:t>
        <w:br/>
        <w:t xml:space="preserve">   Pará el 12 de noviembre de 1998.</w:t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         PRUEBA</w:t>
        <w:br/>
        <w:br/>
        <w:br/>
        <w:t>82. Con base en lo establecido en los artículos 44 y 45 del Reglamento,  así</w:t>
        <w:br/>
        <w:t xml:space="preserve">   como en su jurisprudencia respecto de la prueba y su apreciación[46],  la</w:t>
        <w:br/>
        <w:t xml:space="preserve">   Corte  examinará  y  valorará  los  elementos  probatorios   documentales</w:t>
        <w:br/>
        <w:t xml:space="preserve">   remitidos por las partes en diversas oportunidades procesales,  así  como</w:t>
        <w:br/>
        <w:t xml:space="preserve">   las declaraciones rendidas mediante affidávit  y  en  audiencia  pública.</w:t>
        <w:br/>
        <w:t xml:space="preserve">   Para ello, el Tribunal se atendrá a los principios de  la  sana  crítica,</w:t>
        <w:br/>
        <w:t xml:space="preserve">   dentro del marco legal correspondiente[47].</w:t>
        <w:br/>
        <w:br/>
        <w:br/>
        <w:br/>
        <w:br/>
        <w:br/>
        <w:t xml:space="preserve">      1.    Prueba testimonial y pericial</w:t>
        <w:br/>
        <w:br/>
        <w:br/>
        <w:t>83. Fueron recibidas las declaraciones escritas de los  siguientes  testigos</w:t>
        <w:br/>
        <w:t xml:space="preserve">   y peritos:</w:t>
        <w:br/>
        <w:br/>
        <w:br/>
        <w:t xml:space="preserve">        a) Luis Alberto Bosio. Testigo propuesto por la Comisión.  Declaró,</w:t>
        <w:br/>
        <w:t xml:space="preserve">           inter  alia,  sobre  “los  reconocimientos  médico  forenses   y</w:t>
        <w:br/>
        <w:t xml:space="preserve">           dictámenes médico óseos en antropología forense que practicó  en</w:t>
        <w:br/>
        <w:t xml:space="preserve">           relación con varios de los restos encontrados en  el  denominado</w:t>
        <w:br/>
        <w:t xml:space="preserve">           ‘Campo Algodonero’ entre el 6 y 7  de  noviembre  de  2001;  las</w:t>
        <w:br/>
        <w:t xml:space="preserve">           conclusiones a las  que  arribó,  y  la  compatibilidad  de  los</w:t>
        <w:br/>
        <w:t xml:space="preserve">           exámenes realizados con anterioridad,  respecto  de  los  mismos</w:t>
        <w:br/>
        <w:t xml:space="preserve">           restos, con los  estándares  internacionales  aplicables  en  la</w:t>
        <w:br/>
        <w:t xml:space="preserve">           materia”.</w:t>
        <w:br/>
        <w:br/>
        <w:br/>
        <w:t xml:space="preserve">        b) Mercedes Doretti. Testigo propuesta por  la  Comisión.  Declaró,</w:t>
        <w:br/>
        <w:t xml:space="preserve">           inter alia, sobre “las investigaciones desarrolladas por el EAAF</w:t>
        <w:br/>
        <w:t xml:space="preserve">           [Equipo Argentino de Antropología Forense] en relación  con  los</w:t>
        <w:br/>
        <w:t xml:space="preserve">           homicidios  de  mujeres  y  niñas  cometidos  en  el  Estado  de</w:t>
        <w:br/>
        <w:t xml:space="preserve">           Chihuahua, México; el proceso de identificación de las  víctimas</w:t>
        <w:br/>
        <w:t xml:space="preserve">           de tales crímenes; la conducta y niveles de colaboración de  las</w:t>
        <w:br/>
        <w:t xml:space="preserve">           autoridades frente a tales investigaciones, y las conclusiones a</w:t>
        <w:br/>
        <w:t xml:space="preserve">           las que ha arribado el EAAF a partir de sus investigaciones”.</w:t>
        <w:br/>
        <w:br/>
        <w:br/>
        <w:t xml:space="preserve">        c) Carlos Castresana Fernández. “[M]iembro del equipo de la Oficina</w:t>
        <w:br/>
        <w:t xml:space="preserve">           de Naciones Unidas contra la  Droga  y  el  Delito  (ONUDD)  que</w:t>
        <w:br/>
        <w:t xml:space="preserve">           fiscalizó en el  2003  las  investigaciones  adelantadas  en  el</w:t>
        <w:br/>
        <w:t xml:space="preserve">           ámbito interno en relación con los homicidios de mujeres y niñas</w:t>
        <w:br/>
        <w:t xml:space="preserve">           en Ciudad Juárez, incluidos  los  casos  de  Campo  Algodonero”.</w:t>
        <w:br/>
        <w:t xml:space="preserve">           Perito propuesto por la Comisión. Declaró, inter alia, sobre “la</w:t>
        <w:br/>
        <w:t xml:space="preserve">           debida diligencia en los procesos de investigación  de  crímenes</w:t>
        <w:br/>
        <w:t xml:space="preserve">           de esta naturaleza; y la conducción de  las  investigaciones  en</w:t>
        <w:br/>
        <w:t xml:space="preserve">           los Casos del Campo  Algodonero  a  la  luz  de  los  estándares</w:t>
        <w:br/>
        <w:t xml:space="preserve">           internacionales aplicables a la materia”.</w:t>
        <w:br/>
        <w:br/>
        <w:br/>
        <w:t xml:space="preserve">        d) Servando Pineda Jaimes. “Director de  la  Facultad  de  Ciencias</w:t>
        <w:br/>
        <w:t xml:space="preserve">           Sociales de la Universidad Autónoma de  Ciudad  Juárez”.  Perito</w:t>
        <w:br/>
        <w:t xml:space="preserve">           propuesto por la  Comisión.  Declaró,  inter  alia,  sobre  “las</w:t>
        <w:br/>
        <w:t xml:space="preserve">           causas y consecuencias del  fenómeno  de  las  desapariciones  y</w:t>
        <w:br/>
        <w:t xml:space="preserve">           homicidios de mujeres y niñas en el Estado de Chihuahua;  y  los</w:t>
        <w:br/>
        <w:t xml:space="preserve">           patrones  socioculturales  que   condicionan   las   actuaciones</w:t>
        <w:br/>
        <w:t xml:space="preserve">           judiciales y de la policía respecto de este tipo de casos”.</w:t>
        <w:br/>
        <w:br/>
        <w:br/>
        <w:t xml:space="preserve">        e) Clyde Snow.  “Antropólogo  forense”.  Perito  propuesto  por  la</w:t>
        <w:br/>
        <w:t xml:space="preserve">           Comisión.   Declaró,   inter   alia,   sobre   “los   estándares</w:t>
        <w:br/>
        <w:t xml:space="preserve">           internacionales aplicables a la identificación de los restos  de</w:t>
        <w:br/>
        <w:t xml:space="preserve">           víctimas de crímenes  violentos;  la  preservación  correcta  de</w:t>
        <w:br/>
        <w:t xml:space="preserve">           evidencia esencial en este tipo de  casos;  [y]  el  proceso  de</w:t>
        <w:br/>
        <w:t xml:space="preserve">           identificación genética de restos humanos”.</w:t>
        <w:br/>
        <w:br/>
        <w:br/>
        <w:t xml:space="preserve">        f) Oscar Máynez Grijalva. Testigo propuesto por los representantes.</w:t>
        <w:br/>
        <w:t xml:space="preserve">           Declaró, inter alia, sobre “el proceso de levantamiento  de  los</w:t>
        <w:br/>
        <w:t xml:space="preserve">           cuerpos, el manejo institucional del caso durante el  tiempo  en</w:t>
        <w:br/>
        <w:t xml:space="preserve">           que él se  desempeñó  como  servidor  público,  las  [supuestas]</w:t>
        <w:br/>
        <w:t xml:space="preserve">           presiones de las autoridades para dar una respuesta pronta;  las</w:t>
        <w:br/>
        <w:t xml:space="preserve">           [alegadas] anomalías e irregularidades que le constan; el motivo</w:t>
        <w:br/>
        <w:t xml:space="preserve">           de su renuncia; [y] las [presuntas] presiones por parte  de  las</w:t>
        <w:br/>
        <w:t xml:space="preserve">           autoridades”.</w:t>
        <w:br/>
        <w:br/>
        <w:br/>
        <w:t xml:space="preserve">        g)  Ana  Lorena  Delgadillo  Pérez.  Testigo  propuesta   por   los</w:t>
        <w:br/>
        <w:t xml:space="preserve">           representantes.  Declaró,  inter  alia,  sobre   “el   desempeño</w:t>
        <w:br/>
        <w:t xml:space="preserve">           institucional  de  las   autoridades   (federales   y   locales)</w:t>
        <w:br/>
        <w:t xml:space="preserve">           involucradas en la investigación  y  juzgamiento  del  caso;  la</w:t>
        <w:br/>
        <w:t xml:space="preserve">           forma de atención y trato a los familiares de las  víctimas  por</w:t>
        <w:br/>
        <w:t xml:space="preserve">           parte de las diversas instancias de gobierno  que  intervinieron</w:t>
        <w:br/>
        <w:t xml:space="preserve">           en el caso; las [alegadas] dificultades de  las  familias  [para</w:t>
        <w:br/>
        <w:t xml:space="preserve">           lograr] acceso a la justicia; la colaboración  de  las  diversas</w:t>
        <w:br/>
        <w:t xml:space="preserve">           autoridades  entre  s[í];  [y]  la   necesidad   de   mecanismos</w:t>
        <w:br/>
        <w:t xml:space="preserve">           nacionales   eficientes   para   la    búsqueda    de    mujeres</w:t>
        <w:br/>
        <w:t xml:space="preserve">           desaparecidas”.</w:t>
        <w:br/>
        <w:br/>
        <w:br/>
        <w:t xml:space="preserve">        h) Abraham  Hinojos.  Testigo  propuesto  por  los  representantes.</w:t>
        <w:br/>
        <w:t xml:space="preserve">           Declaró, inter alia, sobre “elementos  [supuestamente]  valiosos</w:t>
        <w:br/>
        <w:t xml:space="preserve">           sobre todos [los] elementos que  integran  la  impunidad  en  el</w:t>
        <w:br/>
        <w:t xml:space="preserve">           caso: víctimas y fabricación de culpables”.</w:t>
        <w:br/>
        <w:br/>
        <w:br/>
        <w:t xml:space="preserve">        i)  Rosa  Isela   Pérez   Torres.   Testigo   propuesta   por   los</w:t>
        <w:br/>
        <w:t xml:space="preserve">           representantes. Declaró, inter alia,  sobre  “[su  documentación</w:t>
        <w:br/>
        <w:t xml:space="preserve">           de] la violencia contra las  mujeres  en  Ciudad  Juárez  y  las</w:t>
        <w:br/>
        <w:t xml:space="preserve">           [supuestas] actuaciones irregulares de las autoridades locales y</w:t>
        <w:br/>
        <w:t xml:space="preserve">           federales” y “la [presunta] influencia del gobierno  del  Estado</w:t>
        <w:br/>
        <w:t xml:space="preserve">           en el manejo de la información en  los  medios  de  comunicación</w:t>
        <w:br/>
        <w:t xml:space="preserve">           sobre la violencia contra las mujeres,  en  especial  sobre  los</w:t>
        <w:br/>
        <w:t xml:space="preserve">           homicidios de mujeres registrados desde 1993”.</w:t>
        <w:br/>
        <w:br/>
        <w:br/>
        <w:t xml:space="preserve">        j) Elizabeth  Lira  Kornfeld.  “[E]xperta  en  psicología  social”.</w:t>
        <w:br/>
        <w:t xml:space="preserve">           Perita propuesta por los representantes.  Declaró,  inter  alia,</w:t>
        <w:br/>
        <w:t xml:space="preserve">           sobre “los criterios y mecanismos para reparar  el  daño  a  las</w:t>
        <w:br/>
        <w:t xml:space="preserve">           víctimas de violencia contra las mujeres,  especialmente  a  las</w:t>
        <w:br/>
        <w:t xml:space="preserve">           familias de mujeres víctimas de homicidio” y sobre “lineamientos</w:t>
        <w:br/>
        <w:t xml:space="preserve">           para mitigar las secuelas  de  la  tortura  psicológica  en  las</w:t>
        <w:br/>
        <w:t xml:space="preserve">           familias víctimas desde criterios de salud mental comunitaria  y</w:t>
        <w:br/>
        <w:t xml:space="preserve">           derechos humanos”.</w:t>
        <w:br/>
        <w:br/>
        <w:br/>
        <w:t xml:space="preserve">        k) Jorge de la Peña Martínez. “[P]siquiatra”. Perito propuesto  por</w:t>
        <w:br/>
        <w:t xml:space="preserve">           los representantes. Declaró, inter  alia,  sobre  el  “[alegado]</w:t>
        <w:br/>
        <w:t xml:space="preserve">           daño psicológico ocasionado a la[s s]eñoras Josefina González  y</w:t>
        <w:br/>
        <w:t xml:space="preserve">           Benita Monárrez y sus  familias  con  motivo  de  la  [presunta]</w:t>
        <w:br/>
        <w:t xml:space="preserve">           desaparición  y  homicidio  [de]  sus  hijas,  ligado   con   la</w:t>
        <w:br/>
        <w:t xml:space="preserve">           [supuesta] violencia institucional de que fueron parte”.</w:t>
        <w:br/>
        <w:br/>
        <w:br/>
        <w:t xml:space="preserve">        l) Fernando Coronado Franco. “[E]xperto en derecho penal mexicano y</w:t>
        <w:br/>
        <w:t xml:space="preserve">           derecho internacional de los derechos humanos”. Perito propuesto</w:t>
        <w:br/>
        <w:t xml:space="preserve">           por los representantes. Declaró, inter alia, “sobre el  papel  y</w:t>
        <w:br/>
        <w:t xml:space="preserve">           la actuación del [M]inisterio [P]úblico y el [P]oder  [J]udicial</w:t>
        <w:br/>
        <w:t xml:space="preserve">           en el caso de ‘campo algodonero’;  los  [supuestos]  principales</w:t>
        <w:br/>
        <w:t xml:space="preserve">           obstáculos para el acceso a la justicia y el  desarrollo  de  un</w:t>
        <w:br/>
        <w:t xml:space="preserve">           derecho   penal   democrático   a   raíz   de    las    reformas</w:t>
        <w:br/>
        <w:t xml:space="preserve">           constitucionales; la [supuesta] repercusión de  dichas  reformas</w:t>
        <w:br/>
        <w:t xml:space="preserve">           en las legislaturas de los estados, entre ellos,  el  estado  de</w:t>
        <w:br/>
        <w:t xml:space="preserve">           Chihuahua;  las  repercusiones  de  no  contar  con  un  sistema</w:t>
        <w:br/>
        <w:t xml:space="preserve">           acusatorio  y  la  [alegada]  ausencia  de  controles  para   la</w:t>
        <w:br/>
        <w:t xml:space="preserve">           actuación  del  [M]inisterio  [P]úblico  en  el  caso  de  Campo</w:t>
        <w:br/>
        <w:t xml:space="preserve">           Algodonero;   los   poderes   fácticos    que    [supuestamente]</w:t>
        <w:br/>
        <w:t xml:space="preserve">           imposibilitaron  un  resultado  para  la   resolución   de   las</w:t>
        <w:br/>
        <w:t xml:space="preserve">           investigaciones llevadas a cabo en el caso del Campo Algodonero;</w:t>
        <w:br/>
        <w:t xml:space="preserve">           la [presunta] ausencia de mecanismos eficaces en la protección y</w:t>
        <w:br/>
        <w:t xml:space="preserve">           promoción de los derechos humanos en el Estado  [m]exicano[,]  y</w:t>
        <w:br/>
        <w:t xml:space="preserve">           la [alegada] repercusión de esto tanto en las víctimas  como  en</w:t>
        <w:br/>
        <w:t xml:space="preserve">           los probables responsables”.</w:t>
        <w:br/>
        <w:br/>
        <w:br/>
        <w:t xml:space="preserve">        m) Elena Azaola Garrido. “[E]xperta en psicología,  perspectiva  de</w:t>
        <w:br/>
        <w:t xml:space="preserve">           género, derechos de  la  niñez  y  procesos  de  victimización”.</w:t>
        <w:br/>
        <w:t xml:space="preserve">           Perita propuesta por los representantes.  Declaró,  inter  alia,</w:t>
        <w:br/>
        <w:t xml:space="preserve">           sobre “el [supuesto] proceso de victimización de los  familiares</w:t>
        <w:br/>
        <w:t xml:space="preserve">           de las víctimas de homicidio y desaparición relacionados con  el</w:t>
        <w:br/>
        <w:t xml:space="preserve">           caso de Campo Algodonero, la [alegada] repercusión en sus  vidas</w:t>
        <w:br/>
        <w:t xml:space="preserve">           y los [presuntos] daños causados” y  sobre  “el  [alegado]  daño</w:t>
        <w:br/>
        <w:t xml:space="preserve">           psicológico ocasionado a la [s]eñora Irma  Monreal  Jaime  y  su</w:t>
        <w:br/>
        <w:t xml:space="preserve">           familia con motivo de la [presunta] desaparición y homicidio  de</w:t>
        <w:br/>
        <w:t xml:space="preserve">           Esmeralda Herrera Monreal, ligado con  la  [supuesta]  violencia</w:t>
        <w:br/>
        <w:t xml:space="preserve">           institucional de que fue parte”.</w:t>
        <w:br/>
        <w:br/>
        <w:br/>
        <w:t xml:space="preserve">        n) Marcela Patricia María Huaita Alegre. “[E]xperta sobre violencia</w:t>
        <w:br/>
        <w:t xml:space="preserve">           de género y el derecho de las mujeres de acceso a la  justicia”.</w:t>
        <w:br/>
        <w:t xml:space="preserve">           Perita propuesta por los representantes.  Declaró,  inter  alia,</w:t>
        <w:br/>
        <w:t xml:space="preserve">           sobre “el [alegado] problema de las familias relacionadas con el</w:t>
        <w:br/>
        <w:t xml:space="preserve">           caso de ‘campo  algodonero’  para  acceder  a  la  justicia,  la</w:t>
        <w:br/>
        <w:t xml:space="preserve">           [supuesta] conducta  discriminatoria  de  las  autoridades  para</w:t>
        <w:br/>
        <w:t xml:space="preserve">           resolver casos de violencia contra las  mujeres,  la  [presunta]</w:t>
        <w:br/>
        <w:t xml:space="preserve">           ausencia  de  políticas  de   género   en   la   procuración   y</w:t>
        <w:br/>
        <w:t xml:space="preserve">           administración  de   justicia,   la   [supuesta]   ausencia   de</w:t>
        <w:br/>
        <w:t xml:space="preserve">           presupuestos  con  perspectiva  de  género;  [y]  la   [alegada]</w:t>
        <w:br/>
        <w:t xml:space="preserve">           ausencia de estrategias estatales y nacionales  para  investigar</w:t>
        <w:br/>
        <w:t xml:space="preserve">           casos paradigmáticos de violencia contra las mujeres que  pueden</w:t>
        <w:br/>
        <w:t xml:space="preserve">           estar vinculadas con trata o explotación sexual”.</w:t>
        <w:br/>
        <w:br/>
        <w:br/>
        <w:t xml:space="preserve">        o) Marcela Lagarde y de los Ríos. “[E]xperta en derechos humanos de</w:t>
        <w:br/>
        <w:t xml:space="preserve">           las mujeres, perspectiva de género y políticas públicas”. Perita</w:t>
        <w:br/>
        <w:t xml:space="preserve">           propuesta por los representantes. Declaró, inter alia, sobre “la</w:t>
        <w:br/>
        <w:t xml:space="preserve">           [alegada] ausencia de política de  género  en  Ciudad  Juárez  y</w:t>
        <w:br/>
        <w:t xml:space="preserve">           Chihuahua, así como en  el  resto  del  [E]stado  mexicano;  las</w:t>
        <w:br/>
        <w:t xml:space="preserve">           [supuestas] dificultades de  las  mujeres  para  acceder  a  los</w:t>
        <w:br/>
        <w:t xml:space="preserve">           servicios que presta el [E]stado, las políticas  [supuestamente]</w:t>
        <w:br/>
        <w:t xml:space="preserve">           discriminatorias por el hecho de ser mujer; la [presunta]  falta</w:t>
        <w:br/>
        <w:t xml:space="preserve">           de prevención de la violencia de  género;  el  papel  del  poder</w:t>
        <w:br/>
        <w:t xml:space="preserve">           legislativo en la creación de políticas de género; el papel  del</w:t>
        <w:br/>
        <w:t xml:space="preserve">           poder legislativo como órgano supervisor en la actuación de  las</w:t>
        <w:br/>
        <w:t xml:space="preserve">           instituciones; [y] la especificación de los diferentes  tipos  y</w:t>
        <w:br/>
        <w:t xml:space="preserve">           modos de violencia que han  enfrentado  las  mujeres  en  Ciudad</w:t>
        <w:br/>
        <w:t xml:space="preserve">           Juárez, en concreto las [presuntas]  víctimas  de  desaparición,</w:t>
        <w:br/>
        <w:t xml:space="preserve">           homicidio y sus familiares”.</w:t>
        <w:br/>
        <w:br/>
        <w:br/>
        <w:t xml:space="preserve">        p) Clara  Jusidman  Rapoport.  “Experta  en  políticas  públicas  y</w:t>
        <w:br/>
        <w:t xml:space="preserve">           género”. Perita propuesta por los representantes. Declaró, inter</w:t>
        <w:br/>
        <w:t xml:space="preserve">           alia, sobre “la evaluación […] que llevó a cabo en Ciudad Juárez</w:t>
        <w:br/>
        <w:t xml:space="preserve">           y  Chihuahua,   señalando   los   principales   obstáculos   que</w:t>
        <w:br/>
        <w:t xml:space="preserve">           [presuntamente] enfrenta la  administración  pública  de  Ciudad</w:t>
        <w:br/>
        <w:t xml:space="preserve">           Juárez como resultado de la  [supuesta]  ausencia  de  políticas</w:t>
        <w:br/>
        <w:t xml:space="preserve">           públicas con perspectiva de género; las [alegadas] repercusiones</w:t>
        <w:br/>
        <w:t xml:space="preserve">           de la [presunta] ausencia de políticas públicas con  perspectiva</w:t>
        <w:br/>
        <w:t xml:space="preserve">           de género a  nivel  nacional;  los  principales  desaciertos  en</w:t>
        <w:br/>
        <w:t xml:space="preserve">           materia de género por  parte  de  las  autoridades  estatales  y</w:t>
        <w:br/>
        <w:t xml:space="preserve">           nacionales; [y] el contexto  social,  político  y  económico  de</w:t>
        <w:br/>
        <w:t xml:space="preserve">           violencia contra las mujeres que vive Ciudad Juárez”.</w:t>
        <w:br/>
        <w:br/>
        <w:br/>
        <w:t xml:space="preserve">        q) Julia Monárrez Fragoso. “[E]xperta  en  violencia  en  razón  de</w:t>
        <w:br/>
        <w:t xml:space="preserve">           género  […]  que  ha  estudiado  durante  años  el  contexto  de</w:t>
        <w:br/>
        <w:t xml:space="preserve">           violencia de género en Ciudad Juárez”. Perita propuesta por  los</w:t>
        <w:br/>
        <w:t xml:space="preserve">           representantes. Declaró,  inter  alia,  sobre  “los  [supuestos]</w:t>
        <w:br/>
        <w:t xml:space="preserve">           feminicidios en Ciudad Juárez y en especial, sobre el  [alegado]</w:t>
        <w:br/>
        <w:t xml:space="preserve">           patrón sistémico de violencia sexual feminicida;  la  [presunta]</w:t>
        <w:br/>
        <w:t xml:space="preserve">           impericia de las autoridades para investigar casos que presentan</w:t>
        <w:br/>
        <w:t xml:space="preserve">           el mismo patrón de violencia; la [alegada] falta de acceso a  la</w:t>
        <w:br/>
        <w:t xml:space="preserve">           información o de información sistematizada y  clara  que  impide</w:t>
        <w:br/>
        <w:t xml:space="preserve">           investigaciones basadas en datos oficiales; el  manejo  […]  del</w:t>
        <w:br/>
        <w:t xml:space="preserve">           [E]stado  para  informar  a  la  sociedad  sobre  el  número  de</w:t>
        <w:br/>
        <w:t xml:space="preserve">           homicidios de mujeres [y] número de  mujeres  desaparecidas;  la</w:t>
        <w:br/>
        <w:t xml:space="preserve">           [presunta] minimización de las autoridades ante el  contexto  de</w:t>
        <w:br/>
        <w:t xml:space="preserve">           violencia  contra  las  mujeres;  el  papel  de  las  instancias</w:t>
        <w:br/>
        <w:t xml:space="preserve">           gubernamentales y no  gubernamentales  en  la  atención  de  los</w:t>
        <w:br/>
        <w:t xml:space="preserve">           familiares de las mujeres desaparecidas o no  identificadas;  el</w:t>
        <w:br/>
        <w:t xml:space="preserve">           papel de la sociedad juarense  ante  el  contexto  de  violencia</w:t>
        <w:br/>
        <w:t xml:space="preserve">           contra  las  mujeres;  los  actores  políticos  y  sociales  que</w:t>
        <w:br/>
        <w:t xml:space="preserve">           [supuestamente] permitieron el contexto de violencia contra  las</w:t>
        <w:br/>
        <w:t xml:space="preserve">           mujeres;  [y]  la  reacción  de  los  empresarios,   medios   de</w:t>
        <w:br/>
        <w:t xml:space="preserve">           comunicación, iglesia y otros sectores de la sociedad  ante  los</w:t>
        <w:br/>
        <w:t xml:space="preserve">           [alegados] feminicidios”.</w:t>
        <w:br/>
        <w:br/>
        <w:br/>
        <w:t xml:space="preserve">        r) Mara Galindo López. Testigo propuesta por  el  Estado.  Declaró,</w:t>
        <w:br/>
        <w:t xml:space="preserve">           inter alia, sobre “[l]as funciones del  órgano  [de  Atención  a</w:t>
        <w:br/>
        <w:t xml:space="preserve">           Víctimas de la Subprocuraduría de Zona Norte de la  Procuraduría</w:t>
        <w:br/>
        <w:t xml:space="preserve">           General de Justicia del estado de Chihuahua];  [l]os  [alegados]</w:t>
        <w:br/>
        <w:t xml:space="preserve">           apoyos materiales que se ha proporcionado a  los  familiares  de</w:t>
        <w:br/>
        <w:t xml:space="preserve">           Claudia  Ivette  González,  Laura  Berenice  Ramos  Monárrez   y</w:t>
        <w:br/>
        <w:t xml:space="preserve">           Esmeralda  Herrera  Monreal;  y  [l]a  [supuesta]  atención   no</w:t>
        <w:br/>
        <w:t xml:space="preserve">           material que se ha proporcionado a  los  familiares  de  Claudia</w:t>
        <w:br/>
        <w:t xml:space="preserve">           Ivette González,  Laura  Berenice  Ramos  Monárrez  y  Esmeralda</w:t>
        <w:br/>
        <w:t xml:space="preserve">           Herrera Monreal”.</w:t>
        <w:br/>
        <w:br/>
        <w:br/>
        <w:t xml:space="preserve">        s) Flor Rocío Murguía González. Testigo propuesta  por  el  Estado.</w:t>
        <w:br/>
        <w:t xml:space="preserve">           Declaró, inter alia, sobre “[l]a integración ministerial de  las</w:t>
        <w:br/>
        <w:t xml:space="preserve">           averiguaciones por la muerte de Claudia Ivette  González,  Laura</w:t>
        <w:br/>
        <w:t xml:space="preserve">           Berenice Ramos Monárrez y Esmeralda  Herrera  Monreal;  y  [l]as</w:t>
        <w:br/>
        <w:t xml:space="preserve">           directrices de investigación de la  Fiscalía  [Especializada  de</w:t>
        <w:br/>
        <w:t xml:space="preserve">           Investigación de Homicidios de Mujeres en Juárez,] a su cargo”.</w:t>
        <w:br/>
        <w:br/>
        <w:br/>
        <w:t xml:space="preserve">        t)  Eberth  Castañón  Torres.  Testigo  propuesto  por  el  Estado.</w:t>
        <w:br/>
        <w:t xml:space="preserve">           Declaró, inter alia, sobre “[l]os análisis periciales realizados</w:t>
        <w:br/>
        <w:t xml:space="preserve">           en torno a las investigaciones de las muertes de Claudia  Ivette</w:t>
        <w:br/>
        <w:t xml:space="preserve">           González, Laura Berenice  Ramos  Monárrez  y  Esmeralda  Herrera</w:t>
        <w:br/>
        <w:t xml:space="preserve">           Monreal”; y los “[alegados a]vances y resultados en  materia  de</w:t>
        <w:br/>
        <w:t xml:space="preserve">           genética forense en el estado  de  Chihuahua,  especialmente  en</w:t>
        <w:br/>
        <w:t xml:space="preserve">           Ciudad Juárez, derivado de la implementación del  nuevo  sistema</w:t>
        <w:br/>
        <w:t xml:space="preserve">           de justicia penal y de las reformas en materia forense”.</w:t>
        <w:br/>
        <w:br/>
        <w:br/>
        <w:t xml:space="preserve">        u) Luisa  Fernanda  Camberos  Revilla.  Testigo  propuesta  por  el</w:t>
        <w:br/>
        <w:t xml:space="preserve">           Estado. Declaró, inter alia, sobre “[l]a política  integral  del</w:t>
        <w:br/>
        <w:t xml:space="preserve">           gobierno del estado de  Chihuahua  implementada  para  prevenir,</w:t>
        <w:br/>
        <w:t xml:space="preserve">           investigar, sancionar y eliminar la violencia en  contra  de  la</w:t>
        <w:br/>
        <w:t xml:space="preserve">           mujer;  [l]os  resultados  de  los  programas   para   prevenir,</w:t>
        <w:br/>
        <w:t xml:space="preserve">           investigar, sancionar y eliminar la violencia en  contra  de  la</w:t>
        <w:br/>
        <w:t xml:space="preserve">           mujer implementados por el gobierno del estado de  Chihuahua,  y</w:t>
        <w:br/>
        <w:t xml:space="preserve">           [l]os [alegados] apoyos materiales y no materiales que otorga el</w:t>
        <w:br/>
        <w:t xml:space="preserve">           Instituto [Chihuahuense de la Mujer] a los familiares de mujeres</w:t>
        <w:br/>
        <w:t xml:space="preserve">           víctimas de delitos,  especialmente  aquellos  otorgados  a  los</w:t>
        <w:br/>
        <w:t xml:space="preserve">           familiares de Claudia  Ivette  González,  Laura  Berenice  Ramos</w:t>
        <w:br/>
        <w:t xml:space="preserve">           Monárrez y Esmeralda Herrera Monreal”.</w:t>
        <w:br/>
        <w:br/>
        <w:br/>
        <w:t xml:space="preserve">        v) María Sofía Castro Romero.  Testigo  propuesta  por  el  Estado.</w:t>
        <w:br/>
        <w:t xml:space="preserve">           Declaró, inter alia, sobre “[l]a creación y funcionamiento de la</w:t>
        <w:br/>
        <w:t xml:space="preserve">           Comisión para Prevenir  y  Erradicar  la  Violencia  contra  las</w:t>
        <w:br/>
        <w:t xml:space="preserve">           Mujeres en Ciudad Juárez [, y l]os resultados de la intervención</w:t>
        <w:br/>
        <w:t xml:space="preserve">           de la Comisión para Prevenir y Erradicar la Violencia contra las</w:t>
        <w:br/>
        <w:t xml:space="preserve">           Mujeres en Ciudad  Juárez  en  los  programas  de  prevención  y</w:t>
        <w:br/>
        <w:t xml:space="preserve">           atención  a  la  violencia  contra  las  mujeres  en  Chihuahua,</w:t>
        <w:br/>
        <w:t xml:space="preserve">           especialmente en Ciudad Juárez”.</w:t>
        <w:br/>
        <w:br/>
        <w:br/>
        <w:t>84. En cuanto a la prueba rendida en audiencia  pública,  la  Corte  escuchó</w:t>
        <w:br/>
        <w:t xml:space="preserve">   las declaraciones de las siguientes personas:</w:t>
        <w:br/>
        <w:br/>
        <w:br/>
        <w:t xml:space="preserve">        a) Josefina González Rodríguez. Madre de Claudia Ivette González  y</w:t>
        <w:br/>
        <w:t xml:space="preserve">           presunta víctima. Testigo propuesta por  la  Comisión.  Declaró,</w:t>
        <w:br/>
        <w:t xml:space="preserve">           inter alia, sobre “las  diversas  gestiones  realizadas  por  la</w:t>
        <w:br/>
        <w:t xml:space="preserve">           familia de [Claudia Ivette] en el período inmediato posterior  a</w:t>
        <w:br/>
        <w:t xml:space="preserve">           su  [alegada]  desaparición;  la  respuesta  y  actitud  de  las</w:t>
        <w:br/>
        <w:t xml:space="preserve">           autoridades frente a  tales  gestiones;  la  conducción  de  las</w:t>
        <w:br/>
        <w:t xml:space="preserve">           investigaciones en el ámbito interno tras  el  hallazgo  de  los</w:t>
        <w:br/>
        <w:t xml:space="preserve">           restos de su hija; los [supuestos] obstáculos enfrentados por la</w:t>
        <w:br/>
        <w:t xml:space="preserve">           familia de [Claudia Ivette] en la búsqueda de justicia  para  el</w:t>
        <w:br/>
        <w:t xml:space="preserve">           caso; [y] las [alegadas] consecuencias en  su  vida  personal  y</w:t>
        <w:br/>
        <w:t xml:space="preserve">           para la familia de las [presuntas] violaciones  a  los  derechos</w:t>
        <w:br/>
        <w:t xml:space="preserve">           humanos sufridas por su hija”.</w:t>
        <w:br/>
        <w:br/>
        <w:br/>
        <w:t xml:space="preserve">        b) Irma  Monreal  Jaime.  Madre  de  Esmeralda  Herrera  Monreal  y</w:t>
        <w:br/>
        <w:t xml:space="preserve">           presunta víctima. Testigo propuesta por  la  Comisión.  Declaró,</w:t>
        <w:br/>
        <w:t xml:space="preserve">           inter alia, sobre “su [supuesta]  historia  de  victimización  a</w:t>
        <w:br/>
        <w:t xml:space="preserve">           raíz de la [alegada] desaparición  de  su  hija,  las  gestiones</w:t>
        <w:br/>
        <w:t xml:space="preserve">           realizadas, las [presuntas] violaciones de que  fue  objeto  por</w:t>
        <w:br/>
        <w:t xml:space="preserve">           parte de las autoridades mexicanas, su respuesta, actitud y  los</w:t>
        <w:br/>
        <w:t xml:space="preserve">           [alegados] daños ocasionados; el [supuesto] tortuoso  y  confuso</w:t>
        <w:br/>
        <w:t xml:space="preserve">           proceso de identificación de [su hija Esmeralda]; la  conducción</w:t>
        <w:br/>
        <w:t xml:space="preserve">           de  las  investigaciones;  los  [alegados]   obstáculos   y   la</w:t>
        <w:br/>
        <w:t xml:space="preserve">           denegación de justicia; la conducción del fondo  creado  por  la</w:t>
        <w:br/>
        <w:t xml:space="preserve">           Procuraduría  estatal  y  la   [Procuraduría   General   de   la</w:t>
        <w:br/>
        <w:t xml:space="preserve">           República]; las repercusiones en su vida y la de su familia  con</w:t>
        <w:br/>
        <w:t xml:space="preserve">           motivo del [presunto] proceso de victimización; el manejo de los</w:t>
        <w:br/>
        <w:t xml:space="preserve">           otros apoyos dados por el gobierno; la [alegada] falta de acceso</w:t>
        <w:br/>
        <w:t xml:space="preserve">           a la información; la [supuesta] ausencia  de  asesoría  y  apoyo</w:t>
        <w:br/>
        <w:t xml:space="preserve">           jurídico  para  impulsar  las  investigaciones;   la   [alegada]</w:t>
        <w:br/>
        <w:t xml:space="preserve">           negligencia de las autoridades; el proceso que  tuvo  que  vivir</w:t>
        <w:br/>
        <w:t xml:space="preserve">           para lograr acceder al Sistema Interamericano; [y] la [presunta]</w:t>
        <w:br/>
        <w:t xml:space="preserve">           presión de las autoridades”.</w:t>
        <w:br/>
        <w:br/>
        <w:br/>
        <w:t xml:space="preserve">        c) Benita Monárrez Salgado. Madre de Laura Berenice Ramos  Monárrez</w:t>
        <w:br/>
        <w:t xml:space="preserve">           y presunta víctima. Testigo propuesta por la Comisión.  Declaró,</w:t>
        <w:br/>
        <w:t xml:space="preserve">           inter alia, sobre “su [supuesta]  historia  de  victimización  a</w:t>
        <w:br/>
        <w:t xml:space="preserve">           raíz de la [alegada] desaparición  de  su  hija,  las  gestiones</w:t>
        <w:br/>
        <w:t xml:space="preserve">           realizadas, las [presuntas] violaciones de que  fue  objeto  por</w:t>
        <w:br/>
        <w:t xml:space="preserve">           parte de las autoridades mexicanas, su respuesta, actitud y  los</w:t>
        <w:br/>
        <w:t xml:space="preserve">           daños ocasionados; el [supuesto] tortuoso y confuso  proceso  de</w:t>
        <w:br/>
        <w:t xml:space="preserve">           identificación  de  [su  hija  Laura];  la  conducción  de   las</w:t>
        <w:br/>
        <w:t xml:space="preserve">           investigaciones; los [alegados] obstáculos y  la  denegación  de</w:t>
        <w:br/>
        <w:t xml:space="preserve">           justicia; la conducción del fondo  creado  por  la  Procuraduría</w:t>
        <w:br/>
        <w:t xml:space="preserve">           estatal  y  la  [Procuraduría  General  de  la  República];  las</w:t>
        <w:br/>
        <w:t xml:space="preserve">           [supuestas] repercusiones en su vida y  la  de  su  familia  con</w:t>
        <w:br/>
        <w:t xml:space="preserve">           motivo del [presunto] proceso de victimización; el manejo de los</w:t>
        <w:br/>
        <w:t xml:space="preserve">           otros apoyos dados por el gobierno; la [alegada] falta de acceso</w:t>
        <w:br/>
        <w:t xml:space="preserve">           a la información; la [supuesta] ausencia  de  asesoría  y  apoyo</w:t>
        <w:br/>
        <w:t xml:space="preserve">           jurídico  para  impulsar  las  investigaciones;   la   [alegada]</w:t>
        <w:br/>
        <w:t xml:space="preserve">           negligencia de las autoridades; el proceso que  tuvo  que  vivir</w:t>
        <w:br/>
        <w:t xml:space="preserve">           para lograr acceder al Sistema Interamericano; [y] la [presunta]</w:t>
        <w:br/>
        <w:t xml:space="preserve">           presión de las autoridades”.</w:t>
        <w:br/>
        <w:br/>
        <w:br/>
        <w:t xml:space="preserve">        d) Rhonda Copelon, Profesora de derecho, especialista, inter  alia,</w:t>
        <w:br/>
        <w:t xml:space="preserve">           en derechos  humanos,  derecho  penal  internacional,  género  y</w:t>
        <w:br/>
        <w:t xml:space="preserve">           violencia contra las mujeres. Perita propuesta por la  Comisión.</w:t>
        <w:br/>
        <w:t xml:space="preserve">           Declaró, inter alia, sobre “el problema de la  violencia  contra</w:t>
        <w:br/>
        <w:t xml:space="preserve">           las mujeres  en  general;  su  relación  con  la  discriminación</w:t>
        <w:br/>
        <w:t xml:space="preserve">           históricamente  sufrida;   la   necesidad   de   fortalecimiento</w:t>
        <w:br/>
        <w:t xml:space="preserve">           institucional  y  adopción  de   estrategias   integrales   para</w:t>
        <w:br/>
        <w:t xml:space="preserve">           prevenirla, sancionarla y erradicarla; y el acceso a la justicia</w:t>
        <w:br/>
        <w:t xml:space="preserve">           por parte de las víctimas de violencia de género”. Luego  de  su</w:t>
        <w:br/>
        <w:t xml:space="preserve">           declaración oral, la perita remitió al Tribunal una versión  por</w:t>
        <w:br/>
        <w:t xml:space="preserve">           escrito de su experticia.</w:t>
        <w:br/>
        <w:br/>
        <w:br/>
        <w:t xml:space="preserve">        e) Rodrigo Caballero Rodríguez. Testigo propuesto  por  el  Estado.</w:t>
        <w:br/>
        <w:t xml:space="preserve">           Declaró, inter alia, sobre “[l]as diligencias realizadas  en  la</w:t>
        <w:br/>
        <w:t xml:space="preserve">           integración ministerial de las averiguaciones por la  muerte  de</w:t>
        <w:br/>
        <w:t xml:space="preserve">           Claudia  Ivette  González,  Laura  Berenice  Ramos  Monárrez   y</w:t>
        <w:br/>
        <w:t xml:space="preserve">           Esmeralda Herrera Monreal,  durante  la  segunda  etapa  de  las</w:t>
        <w:br/>
        <w:t xml:space="preserve">           investigaciones;  [l]os   resultados   obtenidos   en   dicha[s]</w:t>
        <w:br/>
        <w:t xml:space="preserve">           indagaciones; y [l]as diligencias en  proceso  y  pendientes  de</w:t>
        <w:br/>
        <w:t xml:space="preserve">           desahogar”.</w:t>
        <w:br/>
        <w:br/>
        <w:br/>
        <w:t xml:space="preserve">        f) Silvia Sepúlveda  Ramírez.  Testigo  propuesta  por  el  Estado.</w:t>
        <w:br/>
        <w:t xml:space="preserve">           Declaró, inter alia, sobre “[l]os análisis periciales realizados</w:t>
        <w:br/>
        <w:t xml:space="preserve">           en torno a las investigaciones de las muertes de Claudia  Ivette</w:t>
        <w:br/>
        <w:t xml:space="preserve">           González, Laura Berenice  Ramos  Monárrez  y  Esmeralda  Herrera</w:t>
        <w:br/>
        <w:t xml:space="preserve">           Monreal; y [los a]vances y resultados  en  materia  de  genética</w:t>
        <w:br/>
        <w:t xml:space="preserve">           forense en el  estado  de  Chihuahua,  especialmente  en  Ciudad</w:t>
        <w:br/>
        <w:t xml:space="preserve">           Juárez, derivados de la  implementación  del  nuevo  sistema  de</w:t>
        <w:br/>
        <w:t xml:space="preserve">           justicia penal y de las reformas en materia forense”.</w:t>
        <w:br/>
        <w:br/>
        <w:br/>
        <w:t xml:space="preserve">        g) Rosa Isela Jurado Contreras. “Magistrada de la Sexta Sala  Penal</w:t>
        <w:br/>
        <w:t xml:space="preserve">           del Supremo Tribunal de Justicia de Chihuahua”. Perita propuesta</w:t>
        <w:br/>
        <w:t xml:space="preserve">           por el  Estado.  Declaró,  inter  alia,  sobre  “[l]as  reformas</w:t>
        <w:br/>
        <w:t xml:space="preserve">           legislativas y el funcionamiento del nuevo sistema  de  justicia</w:t>
        <w:br/>
        <w:t xml:space="preserve">           penal en el estado de  Chihuahua,  así  como  sus  resultados  y</w:t>
        <w:br/>
        <w:t xml:space="preserve">           proyecciones”.</w:t>
        <w:br/>
        <w:br/>
        <w:br/>
        <w:br/>
        <w:br/>
        <w:br/>
        <w:br/>
        <w:t xml:space="preserve">      2.    Valoración de la prueba</w:t>
        <w:br/>
        <w:br/>
        <w:br/>
        <w:t>85. En este caso, como en otros[48], el Tribunal admite el valor  probatorio</w:t>
        <w:br/>
        <w:t xml:space="preserve">   de aquellos documentos presentados oportunamente por las  partes  que  no</w:t>
        <w:br/>
        <w:t xml:space="preserve">   fueron controvertidos ni objetados, ni cuya autenticidad  fue  puesta  en</w:t>
        <w:br/>
        <w:t xml:space="preserve">   duda, así como los documentos solicitados como prueba para mejor resolver</w:t>
        <w:br/>
        <w:t xml:space="preserve">   y aquéllos que se refieren a hechos supervinientes.</w:t>
        <w:br/>
        <w:br/>
        <w:br/>
        <w:t>86.  Respecto  de  los  testimonios  y  peritajes,  la  Corte   los   estima</w:t>
        <w:br/>
        <w:t xml:space="preserve">   pertinentes en cuanto se ajusten al objeto definido por la Presidencia en</w:t>
        <w:br/>
        <w:t xml:space="preserve">   la Resolución que ordenó recibirlos (supra párr. 10),  los  cuales  serán</w:t>
        <w:br/>
        <w:t xml:space="preserve">   valorados en el capítulo que corresponda. En cuanto a  las  declaraciones</w:t>
        <w:br/>
        <w:t xml:space="preserve">   de  las  víctimas,  por  tener  un  interés  en  el  presente  caso   sus</w:t>
        <w:br/>
        <w:t xml:space="preserve">   declaraciones no serán valoradas aisladamente sino dentro del conjunto de</w:t>
        <w:br/>
        <w:t xml:space="preserve">   las pruebas del proceso[49].</w:t>
        <w:br/>
        <w:br/>
        <w:br/>
        <w:t>87.  El  Estado  cuestionó  las  declaraciones  periciales  de  los  señores</w:t>
        <w:br/>
        <w:t xml:space="preserve">   Castresana y Snow,  así  como  las  declaraciones  testimoniales  de  los</w:t>
        <w:br/>
        <w:t xml:space="preserve">   señores Bosio e Hinojos y de la señora Delgadillo  Pérez,  afirmando  que</w:t>
        <w:br/>
        <w:t xml:space="preserve">   los mismos se refirieron a personas ajenas a esta litis. Al respecto,  el</w:t>
        <w:br/>
        <w:t xml:space="preserve">   Tribunal reitera que conforme a la Resolución de  19  de  enero  de  2009</w:t>
        <w:br/>
        <w:t xml:space="preserve">   (supra párr. 9), la situación de personas ajenas a este  caso  podrá  ser</w:t>
        <w:br/>
        <w:t xml:space="preserve">   utilizada</w:t>
        <w:br/>
        <w:br/>
        <w:br/>
        <w:t xml:space="preserve">      como prueba relevante al momento de evaluar  el  alegado  contexto  de</w:t>
        <w:br/>
        <w:t xml:space="preserve">      violencia  contra  la  mujer,   las   supuestas   falencias   en   las</w:t>
        <w:br/>
        <w:t xml:space="preserve">      investigaciones  llevadas  en  el  fuero  interno  y  otros   aspectos</w:t>
        <w:br/>
        <w:t xml:space="preserve">      denunciados en perjuicio de las tres presuntas víctimas  identificadas</w:t>
        <w:br/>
        <w:t xml:space="preserve">      en la demanda[50].</w:t>
        <w:br/>
        <w:br/>
        <w:br/>
        <w:t>88. El Estado  impugnó  la  declaración  del  perito  Castresana  Fernández,</w:t>
        <w:br/>
        <w:t xml:space="preserve">   alegando que el perito no participó en las acciones del Estado llevadas a</w:t>
        <w:br/>
        <w:t xml:space="preserve">   cabo desde el 2003. Al respecto, el Tribunal valorará  en  el  fondo  del</w:t>
        <w:br/>
        <w:t xml:space="preserve">   asunto si lo dicho por el perito encuentra sustento probatorio.</w:t>
        <w:br/>
        <w:br/>
        <w:br/>
        <w:t>89. El Estado cuestionó al perito Pineda Jaimes por parcialidad y  falta  de</w:t>
        <w:br/>
        <w:t xml:space="preserve">   conocimiento en el área de su peritaje. También señaló que no proporcionó</w:t>
        <w:br/>
        <w:t xml:space="preserve">   información   metodológicamente   organizada   que    aporte    elementos</w:t>
        <w:br/>
        <w:t xml:space="preserve">   especializados e imparciales y que  las  conclusiones  referentes  a  las</w:t>
        <w:br/>
        <w:t xml:space="preserve">   medidas y parámetros de  reparación  del  daño  y  los  derechos  de  los</w:t>
        <w:br/>
        <w:t xml:space="preserve">   defensores de derechos humanos se  encuentran  fuera  del  objeto  de  su</w:t>
        <w:br/>
        <w:t xml:space="preserve">   peritaje. Al  respecto,  el  Tribunal  considera  que  el  Estado  no  ha</w:t>
        <w:br/>
        <w:t xml:space="preserve">   presentado fundamentos de la alegada  parcialidad  que  indiquen  que  se</w:t>
        <w:br/>
        <w:t xml:space="preserve">   presenta una de las causales de impedimento previstas en el  artículo  19</w:t>
        <w:br/>
        <w:t xml:space="preserve">   del Estatuto. En cuanto a las conclusiones del perito que estarían  fuera</w:t>
        <w:br/>
        <w:t xml:space="preserve">   del objeto de su declaración, la  Corte  las  encuentra  útiles  para  el</w:t>
        <w:br/>
        <w:t xml:space="preserve">   presente caso, por lo que las admite, de conformidad con el artículo 45.1</w:t>
        <w:br/>
        <w:t xml:space="preserve">   del Reglamento.</w:t>
        <w:br/>
        <w:br/>
        <w:br/>
        <w:t>90. El Estado indicó que el señor Snow  estableció  observaciones  genéricas</w:t>
        <w:br/>
        <w:t xml:space="preserve">   en su peritaje que no deben ser tomadas en cuenta. Al respecto, la  Corte</w:t>
        <w:br/>
        <w:t xml:space="preserve">   analizará las supuestas observaciones genéricas del perito  en  el  fondo</w:t>
        <w:br/>
        <w:t xml:space="preserve">   del asunto y cotejará si las mismas encuentran respaldo en el  resto  del</w:t>
        <w:br/>
        <w:t xml:space="preserve">   acervo probatorio.</w:t>
        <w:br/>
        <w:br/>
        <w:br/>
        <w:t>91. Sobre la perita Copelon, el Estado señaló que el escrito presentado  por</w:t>
        <w:br/>
        <w:t xml:space="preserve">   ésta  (supra  párr.  84.d)  excede  lo  permitido  expresamente  por   la</w:t>
        <w:br/>
        <w:t xml:space="preserve">   Presidenta en la audiencia pública, y  que  la  experta  hace  alusión  a</w:t>
        <w:br/>
        <w:t xml:space="preserve">   situaciones presuntamente ocurridas en Ciudad Juárez “sin contar  con  la</w:t>
        <w:br/>
        <w:t xml:space="preserve">   autoridad pericial para hacerlo”, por lo que solicitó que se desestimaran</w:t>
        <w:br/>
        <w:t xml:space="preserve">   ciertas secciones del peritaje. Al respecto, el  Tribunal  no  tendrá  en</w:t>
        <w:br/>
        <w:t xml:space="preserve">   cuenta los dichos de la perita que excedan  el  objeto  definido  por  la</w:t>
        <w:br/>
        <w:t xml:space="preserve">   Presidenta en la audiencia pública. En cuanto a la “autoridad  pericial”,</w:t>
        <w:br/>
        <w:t xml:space="preserve">   el Tribunal valorará en el fondo  del  asunto  si  lo  aseverado  por  la</w:t>
        <w:br/>
        <w:t xml:space="preserve">   experta tiene relación con el resto del acervo probatorio.</w:t>
        <w:br/>
        <w:br/>
        <w:br/>
        <w:t>92. El Estado cuestionó el peritaje de la señora Lira Kornfeld por falta  de</w:t>
        <w:br/>
        <w:t xml:space="preserve">   metodología,  parcialidad  y  desconocimiento  del  caso.  Fundamentó  lo</w:t>
        <w:br/>
        <w:t xml:space="preserve">   anterior en el hecho de  que  la  perita  basó  sus  dichos  en  informes</w:t>
        <w:br/>
        <w:t xml:space="preserve">   psicológicos realizados por otras personas y en  testimonios  presentados</w:t>
        <w:br/>
        <w:t xml:space="preserve">   en nueve casos análogos, así como por el hecho  de  que  la  perita  hizo</w:t>
        <w:br/>
        <w:t xml:space="preserve">   ciertas acusaciones en contra del Estado en materia de administración  de</w:t>
        <w:br/>
        <w:t xml:space="preserve">   justicia. El Tribunal no considera que referirse a testimonios  de  otras</w:t>
        <w:br/>
        <w:t xml:space="preserve">   víctimas  o  informes  de  otros  profesionales  implique  una  falta  de</w:t>
        <w:br/>
        <w:t xml:space="preserve">   metodología de la experta, más aún si  dichas  declaraciones  e  informes</w:t>
        <w:br/>
        <w:t xml:space="preserve">   tienen que ver con la problemática tratada en el presente caso.  De  otro</w:t>
        <w:br/>
        <w:t xml:space="preserve">   lado, el Tribunal recuerda que, a diferencia de los testigos, los peritos</w:t>
        <w:br/>
        <w:t xml:space="preserve">   pueden  proporcionar  opiniones  técnicas  o  personales  en  cuanto   se</w:t>
        <w:br/>
        <w:t xml:space="preserve">   relacionen con su especial saber o experiencia. Además,  los  peritos  se</w:t>
        <w:br/>
        <w:t xml:space="preserve">   pueden referir tanto a puntos específicos de la litis  como  a  cualquier</w:t>
        <w:br/>
        <w:t xml:space="preserve">   otro punto relevante del litigio, siempre y cuando  se  circunscriban  al</w:t>
        <w:br/>
        <w:t xml:space="preserve">   objeto para el cual fueron convocados[51].</w:t>
        <w:br/>
        <w:br/>
        <w:br/>
        <w:t>93. En cuanto a la declaración pericial del señor de la  Peña  Martínez,  el</w:t>
        <w:br/>
        <w:t xml:space="preserve">   Estado sostuvo que “si bien podrían ser valiosas  las  observaciones  del</w:t>
        <w:br/>
        <w:t xml:space="preserve">   perito, estas no pueden ser tomadas en cuenta por el Tribunal, ya que  de</w:t>
        <w:br/>
        <w:t xml:space="preserve">   conformidad con la metodología utilizada por el declarante, se  desprende</w:t>
        <w:br/>
        <w:t xml:space="preserve">   que éste nunca tuvo acercamiento directo con las víctimas ni  evaluó  las</w:t>
        <w:br/>
        <w:t xml:space="preserve">   acciones del Estado en materia de reparación del daño psicológico,  hecho</w:t>
        <w:br/>
        <w:t xml:space="preserve">   que a todas luces denota la  subjetividad  de  sus  manifestaciones”.  La</w:t>
        <w:br/>
        <w:t xml:space="preserve">   Corte coincide con el  Estado  en  que  la  entrevista  directa  con  las</w:t>
        <w:br/>
        <w:t xml:space="preserve">   presuntas víctimas hubiese podido proporcionar más datos al experto  para</w:t>
        <w:br/>
        <w:t xml:space="preserve">   la realización de su  peritaje.  Sin  embargo,  la  falta  de  entrevista</w:t>
        <w:br/>
        <w:t xml:space="preserve">   directa no es motivo suficiente para desechar la experticia, sino que  es</w:t>
        <w:br/>
        <w:t xml:space="preserve">   una  cuestión  que  incide  en  el   peso   probatorio   de   la   misma.</w:t>
        <w:br/>
        <w:t xml:space="preserve">   Consiguientemente, el Tribunal la admite y la valorará junto con el resto</w:t>
        <w:br/>
        <w:t xml:space="preserve">   de la prueba obrante en el expediente.</w:t>
        <w:br/>
        <w:br/>
        <w:br/>
        <w:t>94. Sobre la declaración del señor Coronado Franco, el Estado  reprochó  que</w:t>
        <w:br/>
        <w:t xml:space="preserve">   el peritaje se basara en la demanda de la Comisión,  el  escrito  de  los</w:t>
        <w:br/>
        <w:t xml:space="preserve">   representantes y las causales penales No.  426/01,  48/01  y  74/04,  sin</w:t>
        <w:br/>
        <w:t xml:space="preserve">   tomar en cuenta la información que proporcionó el Estado, ni explicar  la</w:t>
        <w:br/>
        <w:t xml:space="preserve">   relación de esas causas penales con el caso. La Corte  considera  que  el</w:t>
        <w:br/>
        <w:t xml:space="preserve">   hecho de  que  el  perito  se  haya  abstenido  de  tomar  en  cuenta  la</w:t>
        <w:br/>
        <w:t xml:space="preserve">   información proporcionada por el Estado no es  motivo  para  desechar  el</w:t>
        <w:br/>
        <w:t xml:space="preserve">   peritaje. Lo que corresponde en dicha situación es que el  Tribunal  tome</w:t>
        <w:br/>
        <w:t xml:space="preserve">   en consideración lo expuesto por el perito, lo coteje con los alegatos  y</w:t>
        <w:br/>
        <w:t xml:space="preserve">   la prueba remitida por el Estado y obtenga de ello las  conclusiones  que</w:t>
        <w:br/>
        <w:t xml:space="preserve">   de la lógica y la sana crítica se deriven, lo cual se hará  en  el  fondo</w:t>
        <w:br/>
        <w:t xml:space="preserve">   del asunto.</w:t>
        <w:br/>
        <w:br/>
        <w:br/>
        <w:t>95. En cuanto a la declaración  de  la  señora  Azaola  Garrido,  el  Estado</w:t>
        <w:br/>
        <w:t xml:space="preserve">   indicó  que  de  la  hoja  de  vida  de  la  perita  “se   desprende   su</w:t>
        <w:br/>
        <w:t xml:space="preserve">   desconocimiento   e   inexperiencia   respecto   a   la   disciplina   de</w:t>
        <w:br/>
        <w:t xml:space="preserve">   psicoanálisis, al síndrome de estrés postraumático y a la  evaluación  de</w:t>
        <w:br/>
        <w:t xml:space="preserve">   daños a la salud física y mental de las personas”. El Estado no  solicitó</w:t>
        <w:br/>
        <w:t xml:space="preserve">   que se deseche este peritaje, así que la Corte lo valorará junto el resto</w:t>
        <w:br/>
        <w:t xml:space="preserve">   de pruebas obrante en el expediente, teniendo en cuenta las observaciones</w:t>
        <w:br/>
        <w:t xml:space="preserve">   estatales y la hoja de vida de la experta.</w:t>
        <w:br/>
        <w:br/>
        <w:br/>
        <w:t>96. Sobre la experticia de la señora Huaita Alegre, el Estado manifestó  que</w:t>
        <w:br/>
        <w:t xml:space="preserve">   “no  se  basa  en  los   conocimientos   especializados   […]   sino   en</w:t>
        <w:br/>
        <w:t xml:space="preserve">   determinaciones de la C[omisión]”;  no  demuestra  la  supuesta  conducta</w:t>
        <w:br/>
        <w:t xml:space="preserve">   discriminatoria de las autoridades en la administración de  justicia  con</w:t>
        <w:br/>
        <w:t xml:space="preserve">   posterioridad al año 2003, y que  la  perito  solicita  a  la  Corte  que</w:t>
        <w:br/>
        <w:t xml:space="preserve">   “declare la responsabilidad del Estado por no haber actuado con la debida</w:t>
        <w:br/>
        <w:t xml:space="preserve">   diligencia, siendo que no está dentro del objeto de  su  peritaje  juzgar</w:t>
        <w:br/>
        <w:t xml:space="preserve">   las actuaciones del Estado”. El Tribunal, de ser necesario,  valorará  en</w:t>
        <w:br/>
        <w:t xml:space="preserve">   el  fondo  del  asunto  las  fuentes  en  las  que  la  perita  basa  sus</w:t>
        <w:br/>
        <w:t xml:space="preserve">   conclusiones y el lapso temporal al que su peritaje se refiere.</w:t>
        <w:br/>
        <w:br/>
        <w:br/>
        <w:t>97. En lo que se refiere a la señora  Lagarde  y  de  los  Ríos,  el  Estado</w:t>
        <w:br/>
        <w:t xml:space="preserve">   expuso una serie de cuestionamientos a los datos  proporcionados  por  la</w:t>
        <w:br/>
        <w:t xml:space="preserve">   perita, que solicitó sean  considerados  a  la  hora  de  fijar  el  peso</w:t>
        <w:br/>
        <w:t xml:space="preserve">   probatorio de la experticia. El Tribunal en el fondo del asunto analizará</w:t>
        <w:br/>
        <w:t xml:space="preserve">   el peritaje junto con las demás  pruebas  del  expediente  y  tomando  en</w:t>
        <w:br/>
        <w:t xml:space="preserve">   cuenta las observaciones del Estado.</w:t>
        <w:br/>
        <w:br/>
        <w:br/>
        <w:t>98. Sobre el peritaje de la señora Jusidman Rapoport, el Estado  indicó  que</w:t>
        <w:br/>
        <w:t xml:space="preserve">   contiene datos desactualizados, por lo que  solicitó  sea  desechado.  La</w:t>
        <w:br/>
        <w:t xml:space="preserve">   Corte  considera  que   aún   cuando   el   peritaje   contuviera   datos</w:t>
        <w:br/>
        <w:t xml:space="preserve">   desactualizados, eso no es motivo suficiente para desecharlo,  sino  para</w:t>
        <w:br/>
        <w:t xml:space="preserve">   valorarlo en el ámbito temporal al que se refiere y tomando en cuenta  la</w:t>
        <w:br/>
        <w:t xml:space="preserve">   prueba actualizada que las partes hayan aportado. De otro lado, la  Corte</w:t>
        <w:br/>
        <w:t xml:space="preserve">   observa que la perita amplió motu propio el objeto de su  experticia,  lo</w:t>
        <w:br/>
        <w:t xml:space="preserve">   cual no fue objetado por las partes. Teniendo en  cuenta  lo  anterior  y</w:t>
        <w:br/>
        <w:t xml:space="preserve">   considerando que la ampliación resulta útil para  el  presente  caso,  el</w:t>
        <w:br/>
        <w:t xml:space="preserve">   Tribunal la acepta, conforme al artículo 45.1 del Reglamento.</w:t>
        <w:br/>
        <w:br/>
        <w:br/>
        <w:t>99. En cuanto a la  experta  Monárrez  Fragoso,  el  Estado  objetó  que  el</w:t>
        <w:br/>
        <w:t xml:space="preserve">   peritaje se basara en una investigación realizada con un fin distinto  al</w:t>
        <w:br/>
        <w:t xml:space="preserve">   peritaje, que la perita se refiere a casos fuera de  la  litis,  que  los</w:t>
        <w:br/>
        <w:t xml:space="preserve">   datos estadísticos presentados por la perita no están  actualizados,  así</w:t>
        <w:br/>
        <w:t xml:space="preserve">   como también cierta terminología utilizada por la perita  que,  según  el</w:t>
        <w:br/>
        <w:t xml:space="preserve">   Estado, no existe en la legislación nacional. El Tribunal  considera  que</w:t>
        <w:br/>
        <w:t xml:space="preserve">   el fin inicial de la investigación realizada por la perita no  incide  en</w:t>
        <w:br/>
        <w:t xml:space="preserve">   el valor probatorio de su experticia; que los casos a los que se  refiere</w:t>
        <w:br/>
        <w:t xml:space="preserve">   la perita son relevantes para valorar el contexto en el que se enmarca el</w:t>
        <w:br/>
        <w:t xml:space="preserve">   presente caso; que la experticia  será  tomada  en  cuenta  en  el  lapso</w:t>
        <w:br/>
        <w:t xml:space="preserve">   temporal al que se refiera, y que las cuestiones terminológicas y de peso</w:t>
        <w:br/>
        <w:t xml:space="preserve">   probatorio serán analizadas en el fondo del asunto.</w:t>
        <w:br/>
        <w:br/>
        <w:br/>
        <w:t>100. Sobre el testimonio de la  señora  Castro  Romero,  los  representantes</w:t>
        <w:br/>
        <w:t xml:space="preserve">   contradijeron varias de sus afirmaciones, lo  cual,  de  ser  pertinente,</w:t>
        <w:br/>
        <w:t xml:space="preserve">   será valorado por la Corte en el fondo del asunto.</w:t>
        <w:br/>
        <w:br/>
        <w:br/>
        <w:t>101. En lo referente al testimonio del señor Bosio, el Estado manifestó  que</w:t>
        <w:br/>
        <w:t xml:space="preserve">   el testigo realizó  un  análisis  de  algunos  de  los  peritajes  médico</w:t>
        <w:br/>
        <w:t xml:space="preserve">   forenses de los cuerpos encontrados en Campo Algodonero en 2001 y que “la</w:t>
        <w:br/>
        <w:t xml:space="preserve">   realización de dichos peritajes son hechos que no le constan directamente</w:t>
        <w:br/>
        <w:t xml:space="preserve">   al testigo ya que su intervención en el caso fue a partir de  2005”;  que</w:t>
        <w:br/>
        <w:t xml:space="preserve">   la Comisión debió proponer su declaración en calidad de peritaje y no  de</w:t>
        <w:br/>
        <w:t xml:space="preserve">   testimonio; y que el testigo realizó conclusiones que “no le  constan  ni</w:t>
        <w:br/>
        <w:t xml:space="preserve">   le son propias”. Al respecto, el Tribunal reitera que  un  testigo  puede</w:t>
        <w:br/>
        <w:t xml:space="preserve">   referirse a los hechos y circunstancias que le consten en relación con el</w:t>
        <w:br/>
        <w:t xml:space="preserve">   objeto de su declaración y debe evitar dar opiniones personales[52],  por</w:t>
        <w:br/>
        <w:t xml:space="preserve">   lo que cualquier mera opinión del testigo Bosio no será tomada en  cuenta</w:t>
        <w:br/>
        <w:t xml:space="preserve">   por la Corte.</w:t>
        <w:br/>
        <w:br/>
        <w:br/>
        <w:t>102. Sobre el testimonio de la señora Doretti, el Estado  lo  objetó  porque</w:t>
        <w:br/>
        <w:t xml:space="preserve">   “presenta información confidencial que podría afectar la investigación de</w:t>
        <w:br/>
        <w:t xml:space="preserve">   los homicidios” de las  presuntas  víctimas.  Al  respecto,  el  Tribunal</w:t>
        <w:br/>
        <w:t xml:space="preserve">   confirma lo expuesto en la Resolución de la Presidenta de 18 de marzo  de</w:t>
        <w:br/>
        <w:t xml:space="preserve">   2009 (supra párr. 10), en el sentido de que,</w:t>
        <w:br/>
        <w:br/>
        <w:br/>
        <w:t xml:space="preserve">      a efectos del  procedimiento  internacional  ante  este  Tribunal,  el</w:t>
        <w:br/>
        <w:t xml:space="preserve">      conflicto de derechos entre el deber de confidencialidad y el  interés</w:t>
        <w:br/>
        <w:t xml:space="preserve">      público internacional por esclarecer los hechos relacionados  con  los</w:t>
        <w:br/>
        <w:t xml:space="preserve">      alcances de la atribución de responsabilidad al Estado, se resuelve en</w:t>
        <w:br/>
        <w:t xml:space="preserve">      ofrecer la mayor protección posible de  los  testigos  que  comparecen</w:t>
        <w:br/>
        <w:t xml:space="preserve">      ante la Corte, en orden a que sus declaraciones puedan ser  efectuadas</w:t>
        <w:br/>
        <w:t xml:space="preserve">      con la mayor libertad. En este sentido, la defensa del Estado no puede</w:t>
        <w:br/>
        <w:t xml:space="preserve">      descansar en objetar totalmente una declaración que, en algunos de sus</w:t>
        <w:br/>
        <w:t xml:space="preserve">      componentes, difícilmente  pueda  ser  reemplazada  con  otros  medios</w:t>
        <w:br/>
        <w:t xml:space="preserve">      probatorios[53].</w:t>
        <w:br/>
        <w:br/>
        <w:br/>
        <w:t>103. Sobre el testimonio del señor Maynez Grijalva, el Estado  cuestionó  su</w:t>
        <w:br/>
        <w:t xml:space="preserve">   veracidad y afirmó que en varios apartados el testigo  ofreció  opiniones</w:t>
        <w:br/>
        <w:t xml:space="preserve">   personales sin sustento probatorio. La Corte  no  tomará  en  cuenta  las</w:t>
        <w:br/>
        <w:t xml:space="preserve">   meras opiniones del testigo y cotejará con el resto del acervo probatorio</w:t>
        <w:br/>
        <w:t xml:space="preserve">   cada una de sus afirmaciones que sean relevantes para el presente caso.</w:t>
        <w:br/>
        <w:br/>
        <w:br/>
        <w:t>104. El Estado  solicitó  que  se  desestime  el  testimonio  de  la  señora</w:t>
        <w:br/>
        <w:t xml:space="preserve">   Delgadillo Pérez, en virtud de que la declarante excedió  el  objeto  del</w:t>
        <w:br/>
        <w:t xml:space="preserve">   testimonio y expuso opiniones personales. El Tribunal manifiesta que  las</w:t>
        <w:br/>
        <w:t xml:space="preserve">   meras opiniones de la testigo no serán tomadas en cuenta. En cuanto a las</w:t>
        <w:br/>
        <w:t xml:space="preserve">   afirmaciones de la testigo que caen fuera del objeto de  su  declaración,</w:t>
        <w:br/>
        <w:t xml:space="preserve">   la Corte las apreciará si son útiles  para  la  resolución  del  presente</w:t>
        <w:br/>
        <w:t xml:space="preserve">   caso.</w:t>
        <w:br/>
        <w:br/>
        <w:br/>
        <w:t>105. Sobre el testimonio del señor Hinojos, el Estado  expuso  que  éste  es</w:t>
        <w:br/>
        <w:t xml:space="preserve">   “el representante legal de Edgar Álvarez Cruz, quien ha sido  sentenciado</w:t>
        <w:br/>
        <w:t xml:space="preserve">   por su responsabilidad en el homicidio de una mujer en Ciudad  Juárez  [y</w:t>
        <w:br/>
        <w:t xml:space="preserve">   s]u testimonio carece de valor en tanto  que  podría  estar  tratando  de</w:t>
        <w:br/>
        <w:t xml:space="preserve">   favorecer a su defendido”. Al respecto, el Tribunal reitera que para  los</w:t>
        <w:br/>
        <w:t xml:space="preserve">   testigos rige el deber consagrado en el artículo 48.1 del  Reglamento  de</w:t>
        <w:br/>
        <w:t xml:space="preserve">   decir “la verdad, toda la verdad y nada más que la verdad” respecto a los</w:t>
        <w:br/>
        <w:t xml:space="preserve">   hechos y circunstancias que  le  consten.  Para  verificar  si  el  señor</w:t>
        <w:br/>
        <w:t xml:space="preserve">   Hinojos se ajustó a la verdad, la Corte valorará su  declaración,  en  el</w:t>
        <w:br/>
        <w:t xml:space="preserve">   fondo del asunto, junto con el resto del acervo probatorio.</w:t>
        <w:br/>
        <w:br/>
        <w:br/>
        <w:t>106. En cuanto a la  declaración  de  la  señora  Pérez  Torres,  el  Estado</w:t>
        <w:br/>
        <w:t xml:space="preserve">   solicitó  sea  desestimada,  inter  alia,  porque  no  fue  rendida  ante</w:t>
        <w:br/>
        <w:t xml:space="preserve">   fedatario público como lo requirió la Presidenta. La Corte  confirma  que</w:t>
        <w:br/>
        <w:t xml:space="preserve">   no consta en el  expediente  que  los  representantes  hayan  enviado  la</w:t>
        <w:br/>
        <w:t xml:space="preserve">   declaración ante fedatario público de la mencionada testigo, por  lo  que</w:t>
        <w:br/>
        <w:t xml:space="preserve">   decide desestimarla por no ajustarse a  lo  ordenado  por  la  Presidenta</w:t>
        <w:br/>
        <w:t xml:space="preserve">   (supra párr. 10).</w:t>
        <w:br/>
        <w:br/>
        <w:br/>
        <w:t>107. Sobre las declaraciones de  los  testigos  Murguía  González,  Castañón</w:t>
        <w:br/>
        <w:t xml:space="preserve">   Torres, Galindo López y Camberos Revilla los representantes  cuestionaron</w:t>
        <w:br/>
        <w:t xml:space="preserve">   la información por ellos proporcionada y objetaron  su  credibilidad,  lo</w:t>
        <w:br/>
        <w:t xml:space="preserve">   cual será verificado por el Tribunal en el fondo del asunto,  conforme  a</w:t>
        <w:br/>
        <w:t xml:space="preserve">   la sana crítica y teniendo en cuenta el resto del acervo probatorio.</w:t>
        <w:br/>
        <w:br/>
        <w:br/>
        <w:t>108. El Tribunal observa que varios documentos citados  por  las  partes  en</w:t>
        <w:br/>
        <w:t xml:space="preserve">   sus respectivos escritos no fueron aportados a la Corte, entre  estos  se</w:t>
        <w:br/>
        <w:t xml:space="preserve">   encuentran algunos correspondientes a instituciones públicas del  Estado,</w:t>
        <w:br/>
        <w:t xml:space="preserve">   que pudieron ser ubicados a través del  Internet.   Del  mismo  modo  las</w:t>
        <w:br/>
        <w:t xml:space="preserve">   partes incluyeron enlaces electrónicos directos a páginas de Internet. En</w:t>
        <w:br/>
        <w:t xml:space="preserve">   el presente caso, la Corte observa que los documentos aportados  de  esta</w:t>
        <w:br/>
        <w:t xml:space="preserve">   manera  son  pertinentes  y  las  partes  tuvieron  la   posibilidad   de</w:t>
        <w:br/>
        <w:t xml:space="preserve">   controvertirlos, pero no lo hicieron.  Por  ello,  dichos  documentos  se</w:t>
        <w:br/>
        <w:t xml:space="preserve">   aceptan e incorporan al expediente, ya que  no  se  afectó  la  seguridad</w:t>
        <w:br/>
        <w:t xml:space="preserve">   jurídica ni el equilibrio procesal de las partes.</w:t>
        <w:br/>
        <w:br/>
        <w:br/>
        <w:br/>
        <w:br/>
        <w:br/>
        <w:t xml:space="preserve">                                     VII</w:t>
        <w:br/>
        <w:br/>
        <w:br/>
        <w:t xml:space="preserve">      SOBRE LA VIOLENCIA Y DISCRIMINACIÓN CONTRA LA MUJER EN ESTE CASO</w:t>
        <w:br/>
        <w:br/>
        <w:br/>
        <w:t xml:space="preserve">       ARTÍCULOS 4 (DERECHO A LA VIDA)[54], 5 (DERECHO A LA INTEGRIDAD</w:t>
        <w:br/>
        <w:t xml:space="preserve">     PERSONAL)[55], 7 (DERECHO A LA LIBERTAD PERSONAL)[56], 8 (GARANTÍAS</w:t>
        <w:br/>
        <w:t xml:space="preserve">  JUDICIALES)[57] 19 (DERECHOS DEL NIÑO)[58] Y 25 (PROTECCIÓN JUDICIAL)[59]</w:t>
        <w:br/>
        <w:t xml:space="preserve"> EN RELACIÓN CON LOS ARTICULOS 1.1 (OBLIGACION DE RESPETAR LOS DERECHOS)[60]</w:t>
        <w:br/>
        <w:t xml:space="preserve">      y 2 (DEBER DE ADOPTAR DISPOSICIONES DE DERECHO INTERNO)[61] DE LA</w:t>
        <w:br/>
        <w:t xml:space="preserve"> CONVENCIÓN AMERICANA Y CON EL ARTÍCULO 7 DE LA CONVENCIÓN BELÉM DO PARÁ[62]</w:t>
        <w:br/>
        <w:br/>
        <w:br/>
        <w:br/>
        <w:t>109. La Comisión solicitó a la Corte que declare que el Estado incumplió  su</w:t>
        <w:br/>
        <w:t xml:space="preserve">   obligación de garantizar el derecho a la vida de las  víctimas  “mediante</w:t>
        <w:br/>
        <w:t xml:space="preserve">   la adopción de medidas para prevenir  sus  asesinatos[,]  incurriendo  de</w:t>
        <w:br/>
        <w:t xml:space="preserve">   este modo en una violación del artículo 4 de la Convención Americana,  en</w:t>
        <w:br/>
        <w:t xml:space="preserve">   conexión con los artículos 1.1 y 2 del mismo tratado”. Asimismo, solicitó</w:t>
        <w:br/>
        <w:t xml:space="preserve">   que “declare que el Estado falló en su deber  de  actuar  con  la  debida</w:t>
        <w:br/>
        <w:t xml:space="preserve">   diligencia para prevenir, investigar y sancionar los actos  de  violencia</w:t>
        <w:br/>
        <w:t xml:space="preserve">   sufridos por [las  víctimas]  en  contravención  del  artículo  7  de  la</w:t>
        <w:br/>
        <w:t xml:space="preserve">   Convención de Belém do Pará”. Por último, sostuvo que el Estado incumplió</w:t>
        <w:br/>
        <w:t xml:space="preserve">   su obligación de investigar efectiva y adecuadamente las desapariciones y</w:t>
        <w:br/>
        <w:t xml:space="preserve">   posterior muerte de las jóvenes González, Herrera y Ramos,  en  violación</w:t>
        <w:br/>
        <w:t xml:space="preserve">   de los artículos 8, 25  y  1.1  de  la  Convención  Americana.  Según  la</w:t>
        <w:br/>
        <w:t xml:space="preserve">   Comisión, “[n]o obstante el transcurso de seis  años,  el  Estado  no  ha</w:t>
        <w:br/>
        <w:t xml:space="preserve">   avanzado en el esclarecimiento de los sucesos  o  de  la  responsabilidad</w:t>
        <w:br/>
        <w:t xml:space="preserve">   correspondiente”.</w:t>
        <w:br/>
        <w:br/>
        <w:br/>
        <w:t>110. Los representantes coincidieron con la Comisión y además  alegaron  que</w:t>
        <w:br/>
        <w:t xml:space="preserve">   “la omisión del [E]stado para  preservar  los  derechos  humanos  de  las</w:t>
        <w:br/>
        <w:t xml:space="preserve">   v[í]ctimas aplica en cuanto al derecho a la vida, pero también al derecho</w:t>
        <w:br/>
        <w:t xml:space="preserve">   a la integridad personal y a la libertad personal,  en  relación  directa</w:t>
        <w:br/>
        <w:t xml:space="preserve">   con el derecho al debido proceso”. Señalaron que “la omisión de acción  y</w:t>
        <w:br/>
        <w:t xml:space="preserve">   reacción de las autoridades ante las denuncias de desaparición,  no  solo</w:t>
        <w:br/>
        <w:t xml:space="preserve">   favoreció que las mataran sino también que las  mantuvieran  privadas  de</w:t>
        <w:br/>
        <w:t xml:space="preserve">   libertad y que las  torturaran;  lo  anterior  a  pesar  de  la  conocida</w:t>
        <w:br/>
        <w:t xml:space="preserve">   situación de riesgo en la que se encontraban las mujeres”.</w:t>
        <w:br/>
        <w:br/>
        <w:br/>
        <w:t>111. El Estado, aunque reconoció “lo grave que son estos  homicidios”,  negó</w:t>
        <w:br/>
        <w:t xml:space="preserve">   “violación alguna” de su parte a los derechos a  la  vida,  integridad  y</w:t>
        <w:br/>
        <w:t xml:space="preserve">   libertad  personales.  Según  el  Estado,   ni   la   Comisión   ni   los</w:t>
        <w:br/>
        <w:t xml:space="preserve">   representantes “han probado responsabilidad de agentes del Estado en  los</w:t>
        <w:br/>
        <w:t xml:space="preserve">   homicidios”. Además, alegó que en la segunda etapa de las investigaciones</w:t>
        <w:br/>
        <w:t xml:space="preserve">   de estos tres casos, a partir del año 2004, “se subsanaron plenamente las</w:t>
        <w:br/>
        <w:t xml:space="preserve">   irregularidades, se reintegraron los expedientes  y  se  reiniciaron  las</w:t>
        <w:br/>
        <w:t xml:space="preserve">   investigaciones con un sustento científico, incluso  con  componentes  de</w:t>
        <w:br/>
        <w:t xml:space="preserve">   apoyo  internacional”.  Según  el  Estado,  “no  existe  impunidad.   Las</w:t>
        <w:br/>
        <w:t xml:space="preserve">   investigaciones de los casos continúan abiertas y se  siguen  desahogando</w:t>
        <w:br/>
        <w:t xml:space="preserve">   diligencias para dar con los responsables”.</w:t>
        <w:br/>
        <w:br/>
        <w:br/>
        <w:t>112. La controversia planteada exige que la Corte analice  el  contexto  que</w:t>
        <w:br/>
        <w:t xml:space="preserve">   rodeó a los hechos del caso y las condiciones en las cuales dichos hechos</w:t>
        <w:br/>
        <w:t xml:space="preserve">   pueden ser atribuidos  al  Estado  y  comprometer,  en  consecuencia,  su</w:t>
        <w:br/>
        <w:t xml:space="preserve">   responsabilidad internacional derivada de la presunta  violación  de  los</w:t>
        <w:br/>
        <w:t xml:space="preserve">   artículos 4, 5 y 7 de  la  Convención  Americana,  en  relación  con  los</w:t>
        <w:br/>
        <w:t xml:space="preserve">   artículos 1.1 y 2 de la misma y con el artículo 7 de la Convención  Belém</w:t>
        <w:br/>
        <w:t xml:space="preserve">   do Pará. Asimismo, a pesar del  allanamiento  efectuado  por  el  Estado,</w:t>
        <w:br/>
        <w:t xml:space="preserve">   subsiste  la  necesidad  de  precisar  la  entidad  y  gravedad  de   las</w:t>
        <w:br/>
        <w:t xml:space="preserve">   violaciones  ocurridas  respecto  a  los  artículos  8.1  y  25.1  de  la</w:t>
        <w:br/>
        <w:t xml:space="preserve">   Convención, en conexión con los artículos 1.1 y 2 de dicho tratado  y  el</w:t>
        <w:br/>
        <w:t xml:space="preserve">   artículo 7 de la Convención Belém do Pará. Para ello, el Tribunal  pasará</w:t>
        <w:br/>
        <w:t xml:space="preserve">   a realizar  las  consideraciones  de  hecho  y  de  derecho  pertinentes,</w:t>
        <w:br/>
        <w:t xml:space="preserve">   analizando las obligaciones de respeto, garantía y no discriminación  del</w:t>
        <w:br/>
        <w:t xml:space="preserve">   Estado.</w:t>
        <w:br/>
        <w:br/>
        <w:br/>
        <w:br/>
        <w:br/>
        <w:br/>
        <w:br/>
        <w:t xml:space="preserve">      1.    Antecedentes contextuales</w:t>
        <w:br/>
        <w:br/>
        <w:br/>
        <w:br/>
        <w:br/>
        <w:br/>
        <w:br/>
        <w:t xml:space="preserve">      1.1.  Ciudad Juárez</w:t>
        <w:br/>
        <w:br/>
        <w:br/>
        <w:t>113. Ciudad Juárez está  ubicada  en  el  norte  del  estado  de  Chihuahua,</w:t>
        <w:br/>
        <w:t xml:space="preserve">   exactamente en la frontera con El Paso, Texas. Su población es de más  de</w:t>
        <w:br/>
        <w:t xml:space="preserve">   1.200.000 habitantes[63]. Se caracteriza por ser  una  ciudad  industrial</w:t>
        <w:br/>
        <w:t xml:space="preserve">   -en donde se ha desarrollado particularmente la industria maquiladora-  y</w:t>
        <w:br/>
        <w:t xml:space="preserve">   de tránsito de migrantes, mexicanos y  extranjeros[64].  El  Estado,  así</w:t>
        <w:br/>
        <w:t xml:space="preserve">   como diversos informes nacionales e internacionales, hacen mención a  una</w:t>
        <w:br/>
        <w:t xml:space="preserve">   serie de factores que convergen en Ciudad Juárez, como las  desigualdades</w:t>
        <w:br/>
        <w:t xml:space="preserve">   sociales[65] y la proximidad de la frontera  internacional[66],  que  han</w:t>
        <w:br/>
        <w:t xml:space="preserve">   contribuido al desarrollo de diversas formas de delincuencia  organizada,</w:t>
        <w:br/>
        <w:t xml:space="preserve">   como el  narcotráfico[67],  la  trata  de  personas[68],  el  tráfico  de</w:t>
        <w:br/>
        <w:t xml:space="preserve">   armas[69] y el lavado de dinero[70], incrementando  así  los  niveles  de</w:t>
        <w:br/>
        <w:t xml:space="preserve">   inseguridad y violencia[71].</w:t>
        <w:br/>
        <w:br/>
        <w:br/>
        <w:br/>
        <w:br/>
        <w:br/>
        <w:br/>
        <w:t xml:space="preserve">      1.2.  Fenómeno de homicidios de mujeres y cifras</w:t>
        <w:br/>
        <w:br/>
        <w:br/>
        <w:t>114. La Comisión y los representantes alegaron  que  desde  1993  existe  un</w:t>
        <w:br/>
        <w:t xml:space="preserve">   aumento significativo en el número  de  desapariciones  y  homicidios  de</w:t>
        <w:br/>
        <w:t xml:space="preserve">   mujeres y niñas en Ciudad Juárez. Según la Comisión, “Ciudad Juárez se ha</w:t>
        <w:br/>
        <w:t xml:space="preserve">   convertido  en  el  foco  de  atención  de  la  comunidad  nacional  como</w:t>
        <w:br/>
        <w:t xml:space="preserve">   internacional  debido  a  la  situación  particularmente  crítica  de  la</w:t>
        <w:br/>
        <w:t xml:space="preserve">   violencia contra  las  mujeres  imperante  desde  1993  y  la  deficiente</w:t>
        <w:br/>
        <w:t xml:space="preserve">   respuesta del Estado ante estos crímenes”.</w:t>
        <w:br/>
        <w:br/>
        <w:br/>
        <w:t>115. El Estado, reconoció “la problemática que enfrenta por la situación  de</w:t>
        <w:br/>
        <w:t xml:space="preserve">   violencia contra las mujeres en  Ciudad  Juárez[,]  particularmente,  los</w:t>
        <w:br/>
        <w:t xml:space="preserve">   homicidios que se han registrado desde principios de los  90s  del  siglo</w:t>
        <w:br/>
        <w:t xml:space="preserve">   pasado”.</w:t>
        <w:br/>
        <w:br/>
        <w:br/>
        <w:t>116. Diversos mecanismos nacionales e internacionales de vigilancia  de  los</w:t>
        <w:br/>
        <w:t xml:space="preserve">   derechos humanos han seguido la situación en Ciudad Juárez y han  llamado</w:t>
        <w:br/>
        <w:t xml:space="preserve">   la atención de la comunidad internacional. En 1998 la  Comisión  Nacional</w:t>
        <w:br/>
        <w:t xml:space="preserve">   de Derechos Humanos de México (en adelante la “CNDH”) examinó 24 casos de</w:t>
        <w:br/>
        <w:t xml:space="preserve">   homicidios de mujeres y  concluyó  que  durante  las  investigaciones  se</w:t>
        <w:br/>
        <w:t xml:space="preserve">   habían violado los derechos humanos de las víctimas y sus familiares[72].</w:t>
        <w:br/>
        <w:t xml:space="preserve">   A partir de esa fecha, se han pronunciado al  respecto,  inter  alia,  la</w:t>
        <w:br/>
        <w:t xml:space="preserve">   Relatora Especial  sobre  las  ejecuciones  extrajudiciales,  sumarias  o</w:t>
        <w:br/>
        <w:t xml:space="preserve">   arbitrarias de las  Naciones  Unidas  (en  adelante  la  “Relatora  sobre</w:t>
        <w:br/>
        <w:t xml:space="preserve">   ejecuciones extrajudiciales de la ONU”) en 1999[73], el Relator  Especial</w:t>
        <w:br/>
        <w:t xml:space="preserve">   sobre la independencia de los magistrados  y  abogados  de  las  Naciones</w:t>
        <w:br/>
        <w:t xml:space="preserve">   Unidas (en adelante el “Relator sobre independencia judicial de la  ONU”)</w:t>
        <w:br/>
        <w:t xml:space="preserve">   en el 2002[74], la Comisión Interamericana y su Relatora  Especial  sobre</w:t>
        <w:br/>
        <w:t xml:space="preserve">   los Derechos de la Mujer (en adelante la “Relatora de  la  CIDH”)  en  el</w:t>
        <w:br/>
        <w:t xml:space="preserve">   2003[75], la Comisión de Expertos Internacionales de la  Oficina  de  las</w:t>
        <w:br/>
        <w:t xml:space="preserve">   Naciones Unidas contra la Droga y el Delito en  el  2003[76],  el  Comité</w:t>
        <w:br/>
        <w:t xml:space="preserve">   para la Eliminación de la Discriminación contra la Mujer de las  Naciones</w:t>
        <w:br/>
        <w:t xml:space="preserve">   Unidas (en adelante “el CEDAW”) en el 2005[77]  y  la  Relatora  Especial</w:t>
        <w:br/>
        <w:t xml:space="preserve">   sobre la Violencia contra la Mujer de las Naciones Unidas (en adelante la</w:t>
        <w:br/>
        <w:t xml:space="preserve">   “Relatora sobre la violencia contra la mujer de la ONU”) en el  2005[78].</w:t>
        <w:br/>
        <w:t xml:space="preserve">   Cabe notar que el Parlamento Europeo emitió una Resolución al respecto en</w:t>
        <w:br/>
        <w:t xml:space="preserve">   el 2007[79]. Además, se cuenta con informes realizados por organizaciones</w:t>
        <w:br/>
        <w:t xml:space="preserve">   no gubernamentales de derechos humanos internacionales y nacionales  como</w:t>
        <w:br/>
        <w:t xml:space="preserve">   Amnistía Internacional[80], el Observatorio Ciudadano para Monitorear  la</w:t>
        <w:br/>
        <w:t xml:space="preserve">   Impartición de Justicia en los casos de Feminicidio en  Ciudad  Juárez  y</w:t>
        <w:br/>
        <w:t xml:space="preserve">   Chihuahua[81] (en adelante el “Observatorio  Ciudadano”)  y  la  Comisión</w:t>
        <w:br/>
        <w:t xml:space="preserve">   Mexicana de Defensa y Promoción de los Derechos Humanos A.C[82].</w:t>
        <w:br/>
        <w:br/>
        <w:br/>
        <w:t>117. El Informe de la Relatora de la CIDH resalta que aunque  Ciudad  Juárez</w:t>
        <w:br/>
        <w:t xml:space="preserve">   se ha caracterizado por un pronunciado aumento  de  los  crímenes  contra</w:t>
        <w:br/>
        <w:t xml:space="preserve">   mujeres y hombres[83] (supra párr. 108), el aumento en lo referente a las</w:t>
        <w:br/>
        <w:t xml:space="preserve">   mujeres  “es  anómalo  en  varios  aspectos”,  ya  que:  i)  en  1993  se</w:t>
        <w:br/>
        <w:t xml:space="preserve">   incrementaron  notablemente  los  asesinatos  de  mujeres[84],  ii)   los</w:t>
        <w:br/>
        <w:t xml:space="preserve">   coeficientes de homicidios de mujeres se duplicaron en relación  con  los</w:t>
        <w:br/>
        <w:t xml:space="preserve">   de los hombres[85], y iii) el  índice  de  homicidios  correspondiente  a</w:t>
        <w:br/>
        <w:t xml:space="preserve">   mujeres en  Ciudad  Juárez  es  desproporcionadamente  mayor  que  el  de</w:t>
        <w:br/>
        <w:t xml:space="preserve">   ciudades fronterizas en circunstancias análogas[86].  Por  su  parte,  el</w:t>
        <w:br/>
        <w:t xml:space="preserve">   Estado proporcionó prueba referente a que Ciudad  Juárez  ocupaba  en  el</w:t>
        <w:br/>
        <w:t xml:space="preserve">   2006  el  cuarto  lugar  en  homicidios   de   mujeres   entre   ciudades</w:t>
        <w:br/>
        <w:t xml:space="preserve">   mexicanas[87].</w:t>
        <w:br/>
        <w:br/>
        <w:br/>
        <w:t>118. De la información aportada por las partes,  la  Corte  observa  que  no</w:t>
        <w:br/>
        <w:t xml:space="preserve">   existen datos claros sobre la cifra exacta de homicidios  de  mujeres  en</w:t>
        <w:br/>
        <w:t xml:space="preserve">   Ciudad Juárez a partir del año 1993[88]. Diversos informes indican cifras</w:t>
        <w:br/>
        <w:t xml:space="preserve">   que oscilan entre 260 y 370 mujeres entre 1993 y 2003[89]. Por su  parte,</w:t>
        <w:br/>
        <w:t xml:space="preserve">   el Estado remitió prueba según la  cual  hasta  el  año  2001  se  habían</w:t>
        <w:br/>
        <w:t xml:space="preserve">   registrado 264 homicidios de mujeres y hasta el 2003, 328[90].  Según  la</w:t>
        <w:br/>
        <w:t xml:space="preserve">   misma prueba, para el año 2005 los  homicidios  de  mujeres  ascendían  a</w:t>
        <w:br/>
        <w:t xml:space="preserve">   379[91]. Al respecto, el Observatorio Ciudadano señaló que  “difícilmente</w:t>
        <w:br/>
        <w:t xml:space="preserve">   se  podría  considerar  como  confiable  esta  cifra,  debido  a  la   ya</w:t>
        <w:br/>
        <w:t xml:space="preserve">   documentada   inconsistencia   en   la   conformación   de   expedientes,</w:t>
        <w:br/>
        <w:t xml:space="preserve">   investigaciones  y  proceso  de   auditoría   emprendido   por   la   PGR</w:t>
        <w:br/>
        <w:t xml:space="preserve">   [Procuraduría  General  de  la  República],  contrastado  además  con  la</w:t>
        <w:br/>
        <w:t xml:space="preserve">   información  que  aportaron  el  Colegio  de  la  Frontera  Norte  y   la</w:t>
        <w:br/>
        <w:t xml:space="preserve">   Comisionada para Prevenir y Erradicar la Violencia contra las Mujeres, de</w:t>
        <w:br/>
        <w:t xml:space="preserve">   la Secretaría de Gobernación, que hablan de 442 mujeres asesinadas”[92].</w:t>
        <w:br/>
        <w:br/>
        <w:br/>
        <w:t>119. En cuanto a las desapariciones de mujeres, según informes del 2003  del</w:t>
        <w:br/>
        <w:t xml:space="preserve">   CEDAW y Amnistía Internacional, las ONGs nacionales  mencionan  alrededor</w:t>
        <w:br/>
        <w:t xml:space="preserve">   de 400[93], entre los años 1993 y 2003, mientras que según el Informe  de</w:t>
        <w:br/>
        <w:t xml:space="preserve">   la Relatora de la CIDH, para el  año  2002  no  se  había  encontrado  el</w:t>
        <w:br/>
        <w:t xml:space="preserve">   paradero de 257  mujeres  declaradas  como  desaparecidas  entre  1993  y</w:t>
        <w:br/>
        <w:t xml:space="preserve">   2002[94]. Por otra parte,  la  Fiscalía  Especial  para  la  Atención  de</w:t>
        <w:br/>
        <w:t xml:space="preserve">   Delitos Relacionados con los Homicidios de Mujeres  en  el  Municipio  de</w:t>
        <w:br/>
        <w:t xml:space="preserve">   Juárez (en adelante la “Fiscalía Especial”) estableció que en el  período</w:t>
        <w:br/>
        <w:t xml:space="preserve">   entre 1993 y 2005 hubo 4.456 reportes de mujeres desaparecidas y el 31 de</w:t>
        <w:br/>
        <w:t xml:space="preserve">   diciembre de 2005 había 34 mujeres pendientes de localizar[95].</w:t>
        <w:br/>
        <w:br/>
        <w:br/>
        <w:t>120. El Observatorio  Ciudadano  cuestionó  esta  cifra  y  señaló  que  hay</w:t>
        <w:br/>
        <w:t xml:space="preserve">   “firmes indicios de que […] restos humanos corresponden a más de  las  34</w:t>
        <w:br/>
        <w:t xml:space="preserve">   mujeres que supone la [Fiscalía  Especial],  en  virtud  de  que  lo  que</w:t>
        <w:br/>
        <w:t xml:space="preserve">   suponía eran osamentas de una sola persona, han resultado ser de  más  de</w:t>
        <w:br/>
        <w:t xml:space="preserve">   60”. Agregó que la información que da sustento a la investigación  de  la</w:t>
        <w:br/>
        <w:t xml:space="preserve">   Fiscalía  Especial  “es  por  completo  inaccesible  a   la   observación</w:t>
        <w:br/>
        <w:t xml:space="preserve">   ciudadana, por lo que es virtualmente imposible cotejar las fuentes y  la</w:t>
        <w:br/>
        <w:t xml:space="preserve">   consistencia en los datos que la propia [Fiscalía Especial]  maneja”[96].</w:t>
        <w:br/>
        <w:t xml:space="preserve">   En sentido similar se pronunció la CNDH en el 2003, aunque no en relación</w:t>
        <w:br/>
        <w:t xml:space="preserve">   a las cifras proporcionadas  por  la  Fiscalía  Especial,  y  señaló  que</w:t>
        <w:br/>
        <w:t xml:space="preserve">   observó “la falta  de  diligencia  con  la  que  se  han  emprendido  las</w:t>
        <w:br/>
        <w:t xml:space="preserve">   acciones, por parte de la [Procuraduría General de Justicia del  Estado],</w:t>
        <w:br/>
        <w:t xml:space="preserve">   de los  casos  de  mujeres  reportadas  como  desaparecidas”  y  que  las</w:t>
        <w:br/>
        <w:t xml:space="preserve">   autoridades  proporcionaron  diferentes  informes  a  la  CNDH   de   los</w:t>
        <w:br/>
        <w:t xml:space="preserve">   proporcionados a organismos internacionales. A su vez, la CNDH indicó que</w:t>
        <w:br/>
        <w:t xml:space="preserve">   al ser requerida oficialmente información  y  el  estado  actual  de  las</w:t>
        <w:br/>
        <w:t xml:space="preserve">   investigaciones, “se recibió como respuesta que no estaban en posibilidad</w:t>
        <w:br/>
        <w:t xml:space="preserve">   de saber cuál había sido el destino de 2.415 casos,  toda  vez  que  ‘los</w:t>
        <w:br/>
        <w:t xml:space="preserve">   expedientes no los tenían físicamente’”[97].</w:t>
        <w:br/>
        <w:br/>
        <w:br/>
        <w:t>121. La Corte toma nota de que no existen  conclusiones  convincentes  sobre</w:t>
        <w:br/>
        <w:t xml:space="preserve">   las cifras en cuanto a homicidios y desapariciones de mujeres  en  Ciudad</w:t>
        <w:br/>
        <w:t xml:space="preserve">   Juárez, pero observa que de cualquier forma son alarmantes. Más  allá  de</w:t>
        <w:br/>
        <w:t xml:space="preserve">   los números, que aún cuando son muy  significativos  no  son  suficientes</w:t>
        <w:br/>
        <w:t xml:space="preserve">   para entender la gravedad del problema de  violencia  que  viven  algunas</w:t>
        <w:br/>
        <w:t xml:space="preserve">   mujeres en Ciudad Juárez, los alegatos de las partes, así como la  prueba</w:t>
        <w:br/>
        <w:t xml:space="preserve">   aportada por éstas, apuntan a  un  fenómeno  complejo,  aceptado  por  el</w:t>
        <w:br/>
        <w:t xml:space="preserve">   Estado (supra párr. 115), de violencia contra las mujeres  desde  el  año</w:t>
        <w:br/>
        <w:t xml:space="preserve">   1993, que ha sido caracterizado por factores particulares que esta  Corte</w:t>
        <w:br/>
        <w:t xml:space="preserve">   considera importante resaltar.</w:t>
        <w:br/>
        <w:br/>
        <w:br/>
        <w:br/>
        <w:br/>
        <w:br/>
        <w:t xml:space="preserve">      1.3.  Víctimas</w:t>
        <w:br/>
        <w:br/>
        <w:br/>
        <w:t>122. En primer lugar, la Comisión y  los  representantes  alegaron  que  las</w:t>
        <w:br/>
        <w:t xml:space="preserve">   víctimas eran mujeres jóvenes de 15 a 25  años  de  edad,  estudiantes  o</w:t>
        <w:br/>
        <w:t xml:space="preserve">   trabajadoras de maquilas o de tiendas u otras  empresas  locales,  y  que</w:t>
        <w:br/>
        <w:t xml:space="preserve">   algunas vivían en Ciudad Juárez desde hacía relativamente poco tiempo. El</w:t>
        <w:br/>
        <w:t xml:space="preserve">   Estado no se pronunció al respecto.</w:t>
        <w:br/>
        <w:br/>
        <w:br/>
        <w:t>123. Los alegatos  de  los  demandantes  encontraron  sustento  en  diversos</w:t>
        <w:br/>
        <w:t xml:space="preserve">   informes de entidades nacionales e internacionales que establecen que las</w:t>
        <w:br/>
        <w:t xml:space="preserve">   víctimas  de  los  homicidios  parecen  ser   predominantemente   mujeres</w:t>
        <w:br/>
        <w:t xml:space="preserve">   jóvenes[98], incluyendo niñas[99], trabajadoras –sobretodo  de  maquilas-</w:t>
        <w:br/>
        <w:t xml:space="preserve">   [100], de escasos recursos[101], estudiantes[102] o migrantes[103].</w:t>
        <w:br/>
        <w:br/>
        <w:br/>
        <w:br/>
        <w:br/>
        <w:br/>
        <w:t xml:space="preserve">      1.4.  Modalidad</w:t>
        <w:br/>
        <w:br/>
        <w:br/>
        <w:t>124. En segundo lugar, la Comisión y  los  representantes  alegaron  que  un</w:t>
        <w:br/>
        <w:t xml:space="preserve">   número considerable de los homicidios  presentaron  signos  de  violencia</w:t>
        <w:br/>
        <w:t xml:space="preserve">   sexual. Según  un  informe  de  la  Fiscalía  Especial,  algunos  de  los</w:t>
        <w:br/>
        <w:t xml:space="preserve">   homicidios   y   las   desapariciones   desde   1993   “han    presentado</w:t>
        <w:br/>
        <w:t xml:space="preserve">   características y/o patrones conductuales similares”[104].</w:t>
        <w:br/>
        <w:br/>
        <w:br/>
        <w:t>125. Diversos informes  establecen  los  siguientes  factores  en  común  en</w:t>
        <w:br/>
        <w:t xml:space="preserve">   varios de los homicidios: las mujeres son secuestradas  y  mantenidas  en</w:t>
        <w:br/>
        <w:t xml:space="preserve">   cautiverio[105], sus familiares denuncian su desaparición[106] y luego de</w:t>
        <w:br/>
        <w:t xml:space="preserve">   días o meses sus cadáveres son encontrados en terrenos  baldíos[107]  con</w:t>
        <w:br/>
        <w:t xml:space="preserve">   signos de  violencia,  incluyendo  violación  u  otros  tipos  de  abusos</w:t>
        <w:br/>
        <w:t xml:space="preserve">   sexuales, tortura y mutilaciones[108].</w:t>
        <w:br/>
        <w:br/>
        <w:br/>
        <w:t>126. En cuanto a las características sexuales de los homicidios,  el  Estado</w:t>
        <w:br/>
        <w:t xml:space="preserve">   alegó que según cifras del año 2004, alrededor del 26% de los  homicidios</w:t>
        <w:br/>
        <w:t xml:space="preserve">   obedecía a actos de índole sexual violento.</w:t>
        <w:br/>
        <w:br/>
        <w:br/>
        <w:t>127. Por su parte, aunque la Fiscalía Especial concluyó que  la  mayoría  de</w:t>
        <w:br/>
        <w:t xml:space="preserve">   los homicidios de mujeres en Ciudad Juárez fueron independientes unos  de</w:t>
        <w:br/>
        <w:t xml:space="preserve">   otros y que, por tanto, eran cometidos en circunstancias de tiempo,  modo</w:t>
        <w:br/>
        <w:t xml:space="preserve">   y ocasión distintos[109], hasta  el  año  2005  esta  institución  “logró</w:t>
        <w:br/>
        <w:t xml:space="preserve">   determinar que el número de casos en los  que  se  present[ó]  el  patrón</w:t>
        <w:br/>
        <w:t xml:space="preserve">   conductual que ha[bía] identificado el fenómeno  denominado  ‘Muertas  de</w:t>
        <w:br/>
        <w:t xml:space="preserve">   Juárez’,  e[ra]  de  alrededor  [d]el   30%   de   los   379   homicidios</w:t>
        <w:br/>
        <w:t xml:space="preserve">   identificados”, o sea alrededor de 113  mujeres.  Asimismo,  la  Comisión</w:t>
        <w:br/>
        <w:t xml:space="preserve">   para Prevenir y Erradicar la  Violencia  contra  las  Mujeres  en  Ciudad</w:t>
        <w:br/>
        <w:t xml:space="preserve">   Juárez (en adelante la “Comisión para Ciudad Juárez”) señaló que,  aunque</w:t>
        <w:br/>
        <w:t xml:space="preserve">   seguían guardando discrepancias en cuanto a cifras  absolutas,  distintos</w:t>
        <w:br/>
        <w:t xml:space="preserve">   informes  coincidieron  en  que  una  tercera  parte  del  total  de  los</w:t>
        <w:br/>
        <w:t xml:space="preserve">   homicidios de  mujeres  eran  aquéllos  clasificados  como  sexuales  y/o</w:t>
        <w:br/>
        <w:t xml:space="preserve">   seriales, estos últimos “son aqu[é]llos donde se repite un patrón  en  el</w:t>
        <w:br/>
        <w:t xml:space="preserve">   que por lo general la víctima no conoce a su victimario y es  privada  de</w:t>
        <w:br/>
        <w:t xml:space="preserve">   su libertad y sometida a vejaciones y sufrimientos  múltiples,  hasta  la</w:t>
        <w:br/>
        <w:t xml:space="preserve">   muerte”[110]. Los informes del CEDAW y de Amnistía Internacional  también</w:t>
        <w:br/>
        <w:t xml:space="preserve">   coincidieron en que alrededor de un tercio de los  homicidios  tenían  un</w:t>
        <w:br/>
        <w:t xml:space="preserve">   componente de violencia sexual o características similares[111].</w:t>
        <w:br/>
        <w:br/>
        <w:br/>
        <w:br/>
        <w:br/>
        <w:br/>
        <w:t xml:space="preserve">      1.5.  Violencia basada en género</w:t>
        <w:br/>
        <w:br/>
        <w:br/>
        <w:t>128. Según los representantes, el tema de género es el común denominador  de</w:t>
        <w:br/>
        <w:t xml:space="preserve">   la violencia en Ciudad Juárez, la cual “sucede como  culminación  de  una</w:t>
        <w:br/>
        <w:t xml:space="preserve">   situación caracterizada por la violación reiterada y sistemática  de  los</w:t>
        <w:br/>
        <w:t xml:space="preserve">   derechos humanos”. Alegaron que “niñas  y  mujeres  son  violentadas  con</w:t>
        <w:br/>
        <w:t xml:space="preserve">   crueldad por el solo hecho de ser mujeres y sólo  en  algunos  casos  son</w:t>
        <w:br/>
        <w:t xml:space="preserve">   asesinadas como culminación de dicha violencia pública y privada”.</w:t>
        <w:br/>
        <w:br/>
        <w:br/>
        <w:t>129. El Estado señaló  que  los  homicidios  “tienen  causas  diversas,  con</w:t>
        <w:br/>
        <w:t xml:space="preserve">   diferentes autores,  en  circunstancias  muy  distintas  y  con  patrones</w:t>
        <w:br/>
        <w:t xml:space="preserve">   criminales  diferenciados,  pero  se  encuentran  influenciados  por  una</w:t>
        <w:br/>
        <w:t xml:space="preserve">   cultura de discriminación contra la mujer”. Según el Estado, uno  de  los</w:t>
        <w:br/>
        <w:t xml:space="preserve">   factores estructurales que ha motivado situaciones  de  violencia  contra</w:t>
        <w:br/>
        <w:t xml:space="preserve">   las mujeres en Ciudad Juárez es la modificación de los  roles  familiares</w:t>
        <w:br/>
        <w:t xml:space="preserve">   que generó la vida laboral de las mujeres. El Estado  explicó  que  desde</w:t>
        <w:br/>
        <w:t xml:space="preserve">   1965 empezó en Ciudad Juárez el desarrollo de la  industria  maquiladora,</w:t>
        <w:br/>
        <w:t xml:space="preserve">   el cual se intensificó en 1993 con  el  Tratado  de  Libre  Comercio  con</w:t>
        <w:br/>
        <w:t xml:space="preserve">   América del Norte. Señaló que, al dar preferencia a  la  contratación  de</w:t>
        <w:br/>
        <w:t xml:space="preserve">   mujeres, las maquiladoras causaron cambios en la vida laboral  de  éstas,</w:t>
        <w:br/>
        <w:t xml:space="preserve">   lo cual impactó también su vida familiar porque “los roles  tradicionales</w:t>
        <w:br/>
        <w:t xml:space="preserve">   empezaron a modificarse, al ser ahora la mujer la proveedora del  hogar”.</w:t>
        <w:br/>
        <w:t xml:space="preserve">   Esto, según el Estado, llevó a conflictos al  interior  de  las  familias</w:t>
        <w:br/>
        <w:t xml:space="preserve">   porque la mujer empezó a  tener  la  imagen  de  ser  más  competitiva  e</w:t>
        <w:br/>
        <w:t xml:space="preserve">   independiente económicamente[112]. Además, el Estado citó el Informe  del</w:t>
        <w:br/>
        <w:t xml:space="preserve">   CEDAW para señalar que “[e]ste  cambio  social  en  los  papeles  de  las</w:t>
        <w:br/>
        <w:t xml:space="preserve">   mujeres no ha sido acompañado  de  un  cambio  en  las  actitudes  y  las</w:t>
        <w:br/>
        <w:t xml:space="preserve">   mentalidades tradicionales -el cariz patriarcal- manteniéndose una visión</w:t>
        <w:br/>
        <w:t xml:space="preserve">   estereotipada de los papeles sociales de hombres y mujeres”.</w:t>
        <w:br/>
        <w:br/>
        <w:br/>
        <w:t>130. Otros factores mencionados por el Estado como generadores de  violencia</w:t>
        <w:br/>
        <w:t xml:space="preserve">   y marginación son la falta de servicios públicos  básicos  en  las  zonas</w:t>
        <w:br/>
        <w:t xml:space="preserve">   marginadas; el narcotráfico, tráfico de armas,  criminalidad,  lavado  de</w:t>
        <w:br/>
        <w:t xml:space="preserve">   dinero y trata de personas que se dan en Ciudad Juárez por ser una ciudad</w:t>
        <w:br/>
        <w:t xml:space="preserve">   fronteriza; el consumo de drogas; el alto índice de deserción escolar,  y</w:t>
        <w:br/>
        <w:t xml:space="preserve">   la existencia de “numerosos agresores sexuales”  y  “efectivos  militares</w:t>
        <w:br/>
        <w:t xml:space="preserve">   […] provenientes de conflictos armados” en la cercana ciudad de El Paso.</w:t>
        <w:br/>
        <w:br/>
        <w:br/>
        <w:t>131. Según prueba remitida por el  Estado,  en  los  homicidios  de  mujeres</w:t>
        <w:br/>
        <w:t xml:space="preserve">   ocurridos entre 1993 y 2005, el  31.4%  fue  por  violencia  social  (que</w:t>
        <w:br/>
        <w:t xml:space="preserve">   incluye venganza, riña, imprudencia, pandillerismo, robo),  28%  fue  por</w:t>
        <w:br/>
        <w:t xml:space="preserve">   violencia  doméstica,  20.6%  fue   por   móvil   sexual   y   20.1%   es</w:t>
        <w:br/>
        <w:t xml:space="preserve">   indeterminado[113]. Cabe notar que entre  cifras  del  mismo  Estado  hay</w:t>
        <w:br/>
        <w:t xml:space="preserve">   inconsistencias. Por ejemplo, en su respuesta al informe  del  CEDAW  del</w:t>
        <w:br/>
        <w:t xml:space="preserve">   2003, el Estado señaló que 66% de los homicidios son el resultado  de  la</w:t>
        <w:br/>
        <w:t xml:space="preserve">   violencia intrafamiliar o doméstica  y  común,  el  8%  tienen  un  móvil</w:t>
        <w:br/>
        <w:t xml:space="preserve">   desconocido  y  el  26%  restante  obedece  a  actos  de  índole   sexual</w:t>
        <w:br/>
        <w:t xml:space="preserve">   violento[114].</w:t>
        <w:br/>
        <w:br/>
        <w:br/>
        <w:t>132. La Corte toma nota de que a pesar de la negación del Estado  en  cuanto</w:t>
        <w:br/>
        <w:t xml:space="preserve">   a la existencia de algún tipo de patrón en los motivos de los  homicidios</w:t>
        <w:br/>
        <w:t xml:space="preserve">   de mujeres en Ciudad  Juárez,  éste  señaló  ante  el  CEDAW  que  “están</w:t>
        <w:br/>
        <w:t xml:space="preserve">   influenciados por una cultura de discriminación contra la mujer basada en</w:t>
        <w:br/>
        <w:t xml:space="preserve">   una concepción errónea de su inferioridad[115]”. También cabe destacar lo</w:t>
        <w:br/>
        <w:t xml:space="preserve">   señalado por México en su Informe de Respuesta al CEDAW,  en  relación  a</w:t>
        <w:br/>
        <w:t xml:space="preserve">   las  acciones  concretas  realizadas  para  mejorar   la   situación   de</w:t>
        <w:br/>
        <w:t xml:space="preserve">   subordinación de la mujer en México y en Ciudad Juárez:</w:t>
        <w:br/>
        <w:br/>
        <w:br/>
        <w:t xml:space="preserve">      debe  reconocerse   que   una   cultura   fuertemente   arraigada   en</w:t>
        <w:br/>
        <w:t xml:space="preserve">      estereotipos, cuya piedra angular es el supuesto de la inferioridad de</w:t>
        <w:br/>
        <w:t xml:space="preserve">      las mujeres, no se cambia de la  noche  a  la  mañana.  El  cambio  de</w:t>
        <w:br/>
        <w:t xml:space="preserve">      patrones culturales es una tarea difícil para cualquier gobierno.  Más</w:t>
        <w:br/>
        <w:t xml:space="preserve">      aún  cuando  los  problemas  emergentes  de   la   sociedad   moderna:</w:t>
        <w:br/>
        <w:t xml:space="preserve">      alcoholismo, drogadicción, tráfico de drogas,  pandillerismo,  turismo</w:t>
        <w:br/>
        <w:t xml:space="preserve">      sexual, etc., contribuyen a  agudizar  la  discriminación  que  sufren</w:t>
        <w:br/>
        <w:t xml:space="preserve">      varios sectores de las sociedades, en particular aquellos  que  ya  se</w:t>
        <w:br/>
        <w:t xml:space="preserve">      encontraban en una situación de desventaja, como es  el  caso  de  las</w:t>
        <w:br/>
        <w:t xml:space="preserve">      mujeres, los y las niñas, los y las indígenas[116].</w:t>
        <w:br/>
        <w:br/>
        <w:br/>
        <w:t>133.  Distintos  informes  coinciden  en  que  aunque  los  motivos  y   los</w:t>
        <w:br/>
        <w:t xml:space="preserve">   perpetradores de los homicidios en Ciudad  Juárez  son  diversos,  muchos</w:t>
        <w:br/>
        <w:t xml:space="preserve">   casos tratan de  violencia  de  género  que  ocurre  en  un  contexto  de</w:t>
        <w:br/>
        <w:t xml:space="preserve">   discriminación  sistemática  contra   la   mujer[117].   Según   Amnistía</w:t>
        <w:br/>
        <w:t xml:space="preserve">   Internacional, las características compartidas por muchos  de  los  casos</w:t>
        <w:br/>
        <w:t xml:space="preserve">   demuestran que el género de  la  víctima  parece  haber  sido  un  factor</w:t>
        <w:br/>
        <w:t xml:space="preserve">   significativo del crimen, influyendo tanto en el motivo y el contexto del</w:t>
        <w:br/>
        <w:t xml:space="preserve">   crimen como en la forma de la violencia a la que  fue  sometida[118].  El</w:t>
        <w:br/>
        <w:t xml:space="preserve">   Informe de la Relatoría de la CIDH señala que  la  violencia  contra  las</w:t>
        <w:br/>
        <w:t xml:space="preserve">   mujeres en Ciudad Juárez “tiene sus raíces en conceptos referentes  a  la</w:t>
        <w:br/>
        <w:t xml:space="preserve">   inferioridad y subordinación de las mujeres”[119]. A  su  vez,  el  CEDAW</w:t>
        <w:br/>
        <w:t xml:space="preserve">   resalta  que  la  violencia  de  género,   incluyendo   los   asesinatos,</w:t>
        <w:br/>
        <w:t xml:space="preserve">   secuestros, desapariciones y las situaciones  de  violencia  doméstica  e</w:t>
        <w:br/>
        <w:t xml:space="preserve">   intrafamiliar “no se trata de casos aislados, esporádicos o episódicos de</w:t>
        <w:br/>
        <w:t xml:space="preserve">   violencia, sino de una situación estructural y de un  fenómeno  social  y</w:t>
        <w:br/>
        <w:t xml:space="preserve">   cultural  enraizado  en  las  costumbres  y  mentalidades”  y  que  estas</w:t>
        <w:br/>
        <w:t xml:space="preserve">   situaciones de violencia están fundadas “en una cultura  de  violencia  y</w:t>
        <w:br/>
        <w:t xml:space="preserve">   discriminación basada en el género”[120].</w:t>
        <w:br/>
        <w:br/>
        <w:br/>
        <w:t>134. Por su parte, la Relatora sobre la Violencia contra la Mujer de la  ONU</w:t>
        <w:br/>
        <w:t xml:space="preserve">   explica que la violencia contra la mujer en México sólo puede  entenderse</w:t>
        <w:br/>
        <w:t xml:space="preserve">   en el contexto de “una desigualdad de género arraigada en  la  sociedad”.</w:t>
        <w:br/>
        <w:t xml:space="preserve">   La Relatora se refirió a “fuerzas de cambio que ponen en  entredicho  las</w:t>
        <w:br/>
        <w:t xml:space="preserve">   bases mismas del machismo”, entre las que incluyó la incorporación de las</w:t>
        <w:br/>
        <w:t xml:space="preserve">   mujeres a  la  fuerza  de  trabajo,  lo  cual  proporciona  independencia</w:t>
        <w:br/>
        <w:t xml:space="preserve">   económica y ofrece nuevas oportunidades de formarse.</w:t>
        <w:br/>
        <w:br/>
        <w:br/>
        <w:t xml:space="preserve">      Estos factores, aunque a la larga permitan a las  mujeres  superar  la</w:t>
        <w:br/>
        <w:t xml:space="preserve">      discriminación  estructural,  pueden  exacerbar  la  violencia  y   el</w:t>
        <w:br/>
        <w:t xml:space="preserve">      sufrimiento  a  corto  plazo.  La  incapacidad  de  los  hombres  para</w:t>
        <w:br/>
        <w:t xml:space="preserve">      desempeñar  su  papel  tradicionalmente  machista  de  proveedores  de</w:t>
        <w:br/>
        <w:t xml:space="preserve">      sustento  conduce  al  abandono  familiar,  la  inestabilidad  en  las</w:t>
        <w:br/>
        <w:t xml:space="preserve">      relaciones o al alcoholismo, lo que a su vez hace más probable que  se</w:t>
        <w:br/>
        <w:t xml:space="preserve">      recurra a la violencia. Incluso los casos  de  violación  y  asesinato</w:t>
        <w:br/>
        <w:t xml:space="preserve">      pueden interpretarse como intentos desesperados por aferrarse a normas</w:t>
        <w:br/>
        <w:t xml:space="preserve">      discriminatorias que se ven superadas por las  cambiantes  condiciones</w:t>
        <w:br/>
        <w:t xml:space="preserve">      socioeconómicas y el avance de los derechos humanos[121].</w:t>
        <w:br/>
        <w:br/>
        <w:br/>
        <w:t>135. Por otro lado, la Comisión para Ciudad Juárez destacó  que  el  énfasis</w:t>
        <w:br/>
        <w:t xml:space="preserve">   de la Fiscalía Especial en la  violencia  intrafamiliar  y  en  la  grave</w:t>
        <w:br/>
        <w:t xml:space="preserve">   descomposición social como razones para los crímenes sexuales, no rescata</w:t>
        <w:br/>
        <w:t xml:space="preserve">   “los  elementos  de  discriminación  por  género  de  la  violencia   que</w:t>
        <w:br/>
        <w:t xml:space="preserve">   específicamente afecta a las mujeres”, lo cual, “amalgama la violencia de</w:t>
        <w:br/>
        <w:t xml:space="preserve">   género como parte de la violencia social, sin ahondar en  la  forma  como</w:t>
        <w:br/>
        <w:t xml:space="preserve">   afecta específicamente a las mujeres”[122].</w:t>
        <w:br/>
        <w:br/>
        <w:br/>
        <w:t>136. Por su parte, el Informe de la  Comisión  resaltó  las  características</w:t>
        <w:br/>
        <w:t xml:space="preserve">   sexuales de los homicidios y señaló que  “[s]i  bien  no  se  conoce  con</w:t>
        <w:br/>
        <w:t xml:space="preserve">   suficiente certeza la  magnitud  de  estos  aspectos  del  problema,  las</w:t>
        <w:br/>
        <w:t xml:space="preserve">   pruebas  recogidas  en  determinados  casos  indican  vínculos   con   la</w:t>
        <w:br/>
        <w:t xml:space="preserve">   prostitución o el tráfico con fines de explotación sexual”  y  que  “[e]n</w:t>
        <w:br/>
        <w:t xml:space="preserve">   ambos casos pueden darse situaciones de coacción y abuso de  mujeres  que</w:t>
        <w:br/>
        <w:t xml:space="preserve">   trabajan en el  comercio  sexual  o  se  ven  forzadas  a  participar  en</w:t>
        <w:br/>
        <w:t xml:space="preserve">   él”[123].</w:t>
        <w:br/>
        <w:br/>
        <w:br/>
        <w:br/>
        <w:br/>
        <w:br/>
        <w:t xml:space="preserve">      1.6.  Sobre el alegado feminicidio</w:t>
        <w:br/>
        <w:br/>
        <w:br/>
        <w:t>137. La Comisión no calificó los hechos  acaecidos  en  Ciudad  Juárez  como</w:t>
        <w:br/>
        <w:t xml:space="preserve">   feminicidio.</w:t>
        <w:br/>
        <w:br/>
        <w:br/>
        <w:t>138. Los representantes expresaron que “[l]os  homicidios  y  desapariciones</w:t>
        <w:br/>
        <w:t xml:space="preserve">   de niñas y mujeres en Ciudad  Juárez,  son  la  máxima  expresión  de  la</w:t>
        <w:br/>
        <w:t xml:space="preserve">   violencia misógina”, razón por la que alegaron que esta violencia  se  ha</w:t>
        <w:br/>
        <w:t xml:space="preserve">   conceptualizado como feminicidio. Según explicaron, éste consiste en “una</w:t>
        <w:br/>
        <w:t xml:space="preserve">   forma extrema de violencia contra las mujeres; el asesinato  de  niñas  y</w:t>
        <w:br/>
        <w:t xml:space="preserve">   mujeres por el solo hecho de serlo en una sociedad que las subordina”, lo</w:t>
        <w:br/>
        <w:t xml:space="preserve">   cual implica “una mezcla de factores que  incluyen  los  culturales,  los</w:t>
        <w:br/>
        <w:t xml:space="preserve">   económicos y los políticos”.  Por  esta  razón,  argumentaron  que  “para</w:t>
        <w:br/>
        <w:t xml:space="preserve">   determinar si un homicidio de mujer es un feminicidio se requiere conocer</w:t>
        <w:br/>
        <w:t xml:space="preserve">   quién lo comete, cómo lo hace y  en  qué  contexto”.  Indicaron  que  aun</w:t>
        <w:br/>
        <w:t xml:space="preserve">   cuando no siempre se tiene toda la información disponible en los crímenes</w:t>
        <w:br/>
        <w:t xml:space="preserve">   de este tipo, existen indicadores tales como las mutilaciones de  ciertas</w:t>
        <w:br/>
        <w:t xml:space="preserve">   partes del cuerpo, como la ausencia de pechos o genitales.</w:t>
        <w:br/>
        <w:br/>
        <w:br/>
        <w:t>139. Por su parte, el Estado en la  audiencia  pública  utilizó  el  término</w:t>
        <w:br/>
        <w:t xml:space="preserve">   feminicidio al  hacer  referencia  al  “fenómeno  […]  que  prevalece  en</w:t>
        <w:br/>
        <w:t xml:space="preserve">   Juárez”. No  obstante,  el  Estado,  en  sus  observaciones  a  peritajes</w:t>
        <w:br/>
        <w:t xml:space="preserve">   presentados por los representantes, objetó el hecho de  que  pretendieran</w:t>
        <w:br/>
        <w:t xml:space="preserve">   “incluir el término feminicidio como un tipo penal, cuando éste no existe</w:t>
        <w:br/>
        <w:t xml:space="preserve">   ni en la legislación nacional, ni en  los  instrumentos  vinculantes  del</w:t>
        <w:br/>
        <w:t xml:space="preserve">   sistema interamericano de derechos humanos”.</w:t>
        <w:br/>
        <w:br/>
        <w:br/>
        <w:t>140. En México, la Ley General del Acceso de las Mujeres a  una  Vida  Libre</w:t>
        <w:br/>
        <w:t xml:space="preserve">   de Violencia, vigente desde 2007, define en su artículo 21  la  violencia</w:t>
        <w:br/>
        <w:t xml:space="preserve">   feminicida como “la forma extrema  de  violencia  de  género  contra  las</w:t>
        <w:br/>
        <w:t xml:space="preserve">   mujeres, producto de la violación de sus derechos humanos, en los ámbitos</w:t>
        <w:br/>
        <w:t xml:space="preserve">   público y privado, conformada por el conjunto de conductas misóginas  que</w:t>
        <w:br/>
        <w:t xml:space="preserve">   pueden conllevar impunidad social  y  del  Estado  y  puede  culminar  en</w:t>
        <w:br/>
        <w:t xml:space="preserve">   homicidio y otras formas de muerte violenta de mujeres”[124]. A  su  vez,</w:t>
        <w:br/>
        <w:t xml:space="preserve">   algunas instancias gubernamentales han proporcionado definiciones para el</w:t>
        <w:br/>
        <w:t xml:space="preserve">   término feminicidio en sus informes[125].</w:t>
        <w:br/>
        <w:br/>
        <w:br/>
        <w:t>141. Los peritos Monárrez Fragoso[126], Pineda  Jaimes[127],  Lagarde  y  de</w:t>
        <w:br/>
        <w:t xml:space="preserve">   los Rios[128] y Jusidman Rapoport[129] calificaron lo ocurrido en  Ciudad</w:t>
        <w:br/>
        <w:t xml:space="preserve">   Juárez como feminicidio.</w:t>
        <w:br/>
        <w:br/>
        <w:br/>
        <w:t>142. Adicionalmente, el informe de la Comisión Especial para Conocer  y  Dar</w:t>
        <w:br/>
        <w:t xml:space="preserve">   Seguimiento a las Investigaciones Relacionadas con los Feminicidios en la</w:t>
        <w:br/>
        <w:t xml:space="preserve">   República Mexicana de la Cámara de Diputados (en adelante la “Comisión de</w:t>
        <w:br/>
        <w:t xml:space="preserve">   la Cámara de Diputados”) y los de la  Comisión  para  Ciudad  Juárez,  se</w:t>
        <w:br/>
        <w:t xml:space="preserve">   refieren al “feminicidio” que supuestamente ocurre en Ciudad Juárez[130].</w:t>
        <w:br/>
        <w:t xml:space="preserve">   Asimismo, lo hacen el Observatorio Ciudadano[131], las ONGs  Centro  para</w:t>
        <w:br/>
        <w:t xml:space="preserve">   el Desarrollo Integral de la Mujer y AC / Red Ciudadana de NO violencia y</w:t>
        <w:br/>
        <w:t xml:space="preserve">   Dignidad Humana[132], la Comisión Mexicana de Defensa y Promoción de  los</w:t>
        <w:br/>
        <w:t xml:space="preserve">   Derechos Humanos A.C[133],  así  como  también  diferentes  amici  curiai</w:t>
        <w:br/>
        <w:t xml:space="preserve">   allegados a la Corte[134].</w:t>
        <w:br/>
        <w:br/>
        <w:br/>
        <w:t>143. En el presente caso, la Corte, a la luz de lo indicado en los  párrafos</w:t>
        <w:br/>
        <w:t xml:space="preserve">   anteriores, utilizará la expresión “homicidio de  mujer  por  razones  de</w:t>
        <w:br/>
        <w:t xml:space="preserve">   género”, también conocido como feminicidio.</w:t>
        <w:br/>
        <w:br/>
        <w:br/>
        <w:t>144. Para efectos de este caso, la Corte considera que, teniendo  en  cuenta</w:t>
        <w:br/>
        <w:t xml:space="preserve">   la prueba y argumentación sobre prueba obrante en el  expediente,  no  es</w:t>
        <w:br/>
        <w:t xml:space="preserve">   necesario ni posible  pronunciarse  de  manera  definitiva  sobre  cuáles</w:t>
        <w:br/>
        <w:t xml:space="preserve">   homicidios de mujeres en Ciudad Juárez constituyen homicidios de  mujeres</w:t>
        <w:br/>
        <w:t xml:space="preserve">   por razones de género, más allá de los homicidios de  las  tres  víctimas</w:t>
        <w:br/>
        <w:t xml:space="preserve">   del presente caso. Por esta razón, se referirá  a  los  casos  de  Ciudad</w:t>
        <w:br/>
        <w:t xml:space="preserve">   Juárez como homicidios de mujeres, aunque entienda que algunos  o  muchos</w:t>
        <w:br/>
        <w:t xml:space="preserve">   de éstos puedan haber sido cometidos por  razones  de  género  y  que  la</w:t>
        <w:br/>
        <w:t xml:space="preserve">   mayoría han ocurrido dentro de un contexto de violencia contra la mujer.</w:t>
        <w:br/>
        <w:br/>
        <w:br/>
        <w:t>145. En cuanto a las muertes  producidas  en  el  presente  caso,  la  Corte</w:t>
        <w:br/>
        <w:t xml:space="preserve">   analizará en secciones posteriores, conforme a la prueba aportada por las</w:t>
        <w:br/>
        <w:t xml:space="preserve">   partes, si constituyen homicidios de mujeres por razones de género.</w:t>
        <w:br/>
        <w:br/>
        <w:br/>
        <w:br/>
        <w:br/>
        <w:br/>
        <w:t xml:space="preserve">      1.7.  Investigación de los homicidios de mujeres</w:t>
        <w:br/>
        <w:br/>
        <w:br/>
        <w:t>146. Según la Comisión y los representantes,  otro  factor  que  caracteriza</w:t>
        <w:br/>
        <w:t xml:space="preserve">   estos homicidios  de  mujeres  es  su  falta  de  esclarecimiento  y  las</w:t>
        <w:br/>
        <w:t xml:space="preserve">   irregularidades en las investigaciones respectivas, lo que, según  ellos,</w:t>
        <w:br/>
        <w:t xml:space="preserve">   ha generado un clima de impunidad. Al respecto, la Corte  toma  nota  del</w:t>
        <w:br/>
        <w:t xml:space="preserve">   reconocimiento  del  Estado  en  cuanto  a  “la  comisión   de   diversas</w:t>
        <w:br/>
        <w:t xml:space="preserve">   irregularidades en la investigación  y  procesamiento  de  homicidios  de</w:t>
        <w:br/>
        <w:t xml:space="preserve">   mujeres cometidos entre los años de 1993 y 2004  en  Ciudad  Juárez”.  El</w:t>
        <w:br/>
        <w:t xml:space="preserve">   Estado, además, lamentó “los errores cometidos hasta antes del  año  2004</w:t>
        <w:br/>
        <w:t xml:space="preserve">   por  servidores  públicos  que  participaron  durante  algunas  de  estas</w:t>
        <w:br/>
        <w:t xml:space="preserve">   investigaciones”.</w:t>
        <w:br/>
        <w:br/>
        <w:br/>
        <w:br/>
        <w:br/>
        <w:br/>
        <w:t xml:space="preserve">      1.7.1      Irregularidades en las investigaciones y en los procesos</w:t>
        <w:br/>
        <w:br/>
        <w:br/>
        <w:t>147. Aunque el  Estado  reconoció  la  comisión  de  irregularidades  en  la</w:t>
        <w:br/>
        <w:t xml:space="preserve">   investigación y procesamiento de los homicidios de mujeres entre los años</w:t>
        <w:br/>
        <w:t xml:space="preserve">   1993  y  2003  (supra  párr.  20),  no  especificó  cuáles   fueron   las</w:t>
        <w:br/>
        <w:t xml:space="preserve">   irregularidades que encontró en las investigaciones  y  en  los  procesos</w:t>
        <w:br/>
        <w:t xml:space="preserve">   realizados durante esos años. Sin embargo,  la  Corte  toma  nota  de  lo</w:t>
        <w:br/>
        <w:t xml:space="preserve">   señalado al respecto por el Informe de la Relatora de la CIDH:</w:t>
        <w:br/>
        <w:br/>
        <w:br/>
        <w:t xml:space="preserve">      El Estado mexicano, por su parte, admite  que  se  cometieron  errores</w:t>
        <w:br/>
        <w:t xml:space="preserve">      durante los primeros cinco años en que se  vio  confrontado  con  esos</w:t>
        <w:br/>
        <w:t xml:space="preserve">      asesinatos. Reconoce, por ejemplo,  que  no  fue  infrecuente  que  la</w:t>
        <w:br/>
        <w:t xml:space="preserve">      Policía  le  dijera  a  un  familiar  que  tratara  de   informar   la</w:t>
        <w:br/>
        <w:t xml:space="preserve">      desaparición de una niña que volviera a las 48 horas, siendo  evidente</w:t>
        <w:br/>
        <w:t xml:space="preserve">      que había cosas que investigar. Tanto los  representantes  del  Estado</w:t>
        <w:br/>
        <w:t xml:space="preserve">      como de entidades no estatales señalaron que las autoridades de Ciudad</w:t>
        <w:br/>
        <w:t xml:space="preserve">      Juárez solían desechar las denuncias iniciales,  manifestando  que  la</w:t>
        <w:br/>
        <w:t xml:space="preserve">      víctima habría salido con un novio y no tardaría en volver  al  hogar.</w:t>
        <w:br/>
        <w:t xml:space="preserve">      La PGJE mencionó también falta de capacidad técnica y científica y  de</w:t>
        <w:br/>
        <w:t xml:space="preserve">      capacitación, en esa época, por parte de los miembros  de  la  Policía</w:t>
        <w:br/>
        <w:t xml:space="preserve">      Judicial. Autoridades del Estado de Chihuahua señalaron que las fallas</w:t>
        <w:br/>
        <w:t xml:space="preserve">      eran tales que en 25 casos, que databan de los primeros  años  de  los</w:t>
        <w:br/>
        <w:t xml:space="preserve">      asesinatos, los "expedientes" eran poco más que bolsas  que  contenían</w:t>
        <w:br/>
        <w:t xml:space="preserve">      una serie de huesos, lo que  prácticamente  no  servía  de  base  para</w:t>
        <w:br/>
        <w:t xml:space="preserve">      avanzar en la investigación[135].</w:t>
        <w:br/>
        <w:br/>
        <w:br/>
        <w:t>148. La Corte observa  que  aún  cuando  los  detalles  esgrimidos  por  las</w:t>
        <w:br/>
        <w:t xml:space="preserve">   autoridades del Estado a la Relatora de la CIDH y señalados supra  fueron</w:t>
        <w:br/>
        <w:t xml:space="preserve">   circunscritos a las investigaciones y  procesos  llevados  a  cabo  hasta</w:t>
        <w:br/>
        <w:t xml:space="preserve">   1998, el mismo Estado reconoció ante la Corte  que  hubo  irregularidades</w:t>
        <w:br/>
        <w:t xml:space="preserve">   hasta antes del año 2004 (supra párr. 20), aunque no las detallara.</w:t>
        <w:br/>
        <w:br/>
        <w:br/>
        <w:t>149. Diversos informes publicados entre 1999 y el 2005 coinciden en que  las</w:t>
        <w:br/>
        <w:t xml:space="preserve">   investigaciones y los procesos de los homicidios  de  mujeres  en  Ciudad</w:t>
        <w:br/>
        <w:t xml:space="preserve">   Juárez han estado plagados de irregularidades y deficiencias[136]  y  que</w:t>
        <w:br/>
        <w:t xml:space="preserve">   dichos crímenes han permanecido impunes[137]. Según la Fiscalía Especial,</w:t>
        <w:br/>
        <w:t xml:space="preserve">   “debe hacerse hincapié en que la impunidad de los casos no  resueltos  se</w:t>
        <w:br/>
        <w:t xml:space="preserve">   produjo, principalmente, entre los años 1993 al 2003, por  causa  de  las</w:t>
        <w:br/>
        <w:t xml:space="preserve">   graves  omisiones  en  que  incurrió  el  personal  que  laboró   en   la</w:t>
        <w:br/>
        <w:t xml:space="preserve">   Procuraduría General de Justicia del Estado [de Chihuahua]”.  Agregó  que</w:t>
        <w:br/>
        <w:t xml:space="preserve">   durante ese período “los  gobiernos  estatales  no  impulsaron  políticas</w:t>
        <w:br/>
        <w:t xml:space="preserve">   públicas encaminadas a dotar a la Procuraduría de [dicho  e]stado  de  la</w:t>
        <w:br/>
        <w:t xml:space="preserve">   infraestructura, procesos de trabajo  y  personal  especializado  que  le</w:t>
        <w:br/>
        <w:t xml:space="preserve">   permitieran realizar las investigaciones  de  homicidios  de  mujeres  en</w:t>
        <w:br/>
        <w:t xml:space="preserve">   rangos de confiabilidad razonablemente aceptables”[138].</w:t>
        <w:br/>
        <w:br/>
        <w:br/>
        <w:t>150.  Conforme  a  la  prueba   aportada,   las   irregularidades   en   las</w:t>
        <w:br/>
        <w:t xml:space="preserve">   investigaciones y en los procesos incluyen la demora en la iniciación  de</w:t>
        <w:br/>
        <w:t xml:space="preserve">   las investigaciones[139], la lentitud de las mismas o inactividad en  los</w:t>
        <w:br/>
        <w:t xml:space="preserve">   expedientes[140], negligencia  e  irregularidades  en  la  recolección  y</w:t>
        <w:br/>
        <w:t xml:space="preserve">   realización de pruebas y en la identificación de  víctimas[141],  pérdida</w:t>
        <w:br/>
        <w:t xml:space="preserve">   de información[142], extravío de piezas de los cuerpos bajo custodia  del</w:t>
        <w:br/>
        <w:t xml:space="preserve">   Ministerio Público[143], y la falta de contemplación de las agresiones  a</w:t>
        <w:br/>
        <w:t xml:space="preserve">   mujeres como parte de un fenómeno global  de  violencia  de  género[144].</w:t>
        <w:br/>
        <w:t xml:space="preserve">   Según el Relator sobre la independencia judicial de la ONU, luego de  una</w:t>
        <w:br/>
        <w:t xml:space="preserve">   visita  a  Ciudad  Juárez  en  el  2001,  “[l]e  sorprendió  la  absoluta</w:t>
        <w:br/>
        <w:t xml:space="preserve">   ineficacia, incompetencia, indiferencia, insensibilidad y negligencia  de</w:t>
        <w:br/>
        <w:t xml:space="preserve">   la policía que había llevado hasta entonces las  indagaciones”[145].  Por</w:t>
        <w:br/>
        <w:t xml:space="preserve">   su parte, la Fiscalía Especial señaló en su informe del 2006 que  de  139</w:t>
        <w:br/>
        <w:t xml:space="preserve">   averiguaciones  previas  analizadas,  en  más  del  85%   se   detectaron</w:t>
        <w:br/>
        <w:t xml:space="preserve">   responsabilidades atribuibles a servidores públicos, graves  deficiencias</w:t>
        <w:br/>
        <w:t xml:space="preserve">   y omisiones que  “entorpecieron  la  resolución  de  los  homicidios  ahí</w:t>
        <w:br/>
        <w:t xml:space="preserve">   relacionados, provocando impunidad”[146].</w:t>
        <w:br/>
        <w:br/>
        <w:br/>
        <w:br/>
        <w:br/>
        <w:br/>
        <w:br/>
        <w:t xml:space="preserve">      1.7.2.     Actitudes discriminatorias de las autoridades</w:t>
        <w:br/>
        <w:br/>
        <w:br/>
        <w:t>151. La Comisión y los representantes alegaron  que  las  actitudes  de  las</w:t>
        <w:br/>
        <w:t xml:space="preserve">   autoridades estatales frente a los homicidios de mujeres en Ciudad Juárez</w:t>
        <w:br/>
        <w:t xml:space="preserve">   eran  notoriamente  discriminatorias  y  dilatorias,  situación  que   la</w:t>
        <w:br/>
        <w:t xml:space="preserve">   Comisión describió como un “alarmante patrón de respuesta y  concepciones</w:t>
        <w:br/>
        <w:t xml:space="preserve">   estereotipadas de las mujeres desaparecidas”. En  particular,  el  patrón</w:t>
        <w:br/>
        <w:t xml:space="preserve">   “se manifestaba en la percepción de los  funcionarios  estatales  que  la</w:t>
        <w:br/>
        <w:t xml:space="preserve">   búsqueda y protección de mujeres reportadas  como  desaparecidas  no  era</w:t>
        <w:br/>
        <w:t xml:space="preserve">   importante” e implicaba que en un principio las autoridades se negaban  a</w:t>
        <w:br/>
        <w:t xml:space="preserve">   investigar.</w:t>
        <w:br/>
        <w:br/>
        <w:br/>
        <w:t>152. Al respecto, el Estado señaló que la cultura de  discriminación  de  la</w:t>
        <w:br/>
        <w:t xml:space="preserve">   mujer “contribuyó a que tales homicidios  no  fueran  percibidos  en  sus</w:t>
        <w:br/>
        <w:t xml:space="preserve">   inicios como un problema de magnitud importante para el cual se requerían</w:t>
        <w:br/>
        <w:t xml:space="preserve">   acciones  inmediatas  y  contundentes  por  parte  de   las   autoridades</w:t>
        <w:br/>
        <w:t xml:space="preserve">   competentes”[147]. El Tribunal observa que aunque  el  Estado  no  señaló</w:t>
        <w:br/>
        <w:t xml:space="preserve">   este reconocimiento en el trámite ante la Corte, sí remitió el  documento</w:t>
        <w:br/>
        <w:t xml:space="preserve">   en el  que  consta  tal  reconocimiento[148],  siendo  parte  del  acervo</w:t>
        <w:br/>
        <w:t xml:space="preserve">   probatorio que será analizado conforme a las reglas de la sana crítica.</w:t>
        <w:br/>
        <w:br/>
        <w:br/>
        <w:t>153. Diversas fuentes afirman que la  respuesta  de  funcionarios  estatales</w:t>
        <w:br/>
        <w:t xml:space="preserve">   frente a los crímenes fue influenciada por un contexto de  discriminación</w:t>
        <w:br/>
        <w:t xml:space="preserve">   basada en género[149]. Según el Relator Especial sobre  la  independencia</w:t>
        <w:br/>
        <w:t xml:space="preserve">   judicial de la ONU, “al  principio  es  indudable  que  estos  hechos  no</w:t>
        <w:br/>
        <w:t xml:space="preserve">   conmovieron mucho a los agentes de  la  policía  y  a  los  procuradores,</w:t>
        <w:br/>
        <w:t xml:space="preserve">   quienes llegaron incluso a reprochar a las mujeres su presunta  falta  de</w:t>
        <w:br/>
        <w:t xml:space="preserve">   moralidad”[150]. La Relatora sobre ejecuciones extrajudiciales de la  ONU</w:t>
        <w:br/>
        <w:t xml:space="preserve">   señaló que:</w:t>
        <w:br/>
        <w:br/>
        <w:br/>
        <w:t xml:space="preserve">      [l]a  conducta  arrogante  de  algunos  funcionarios  públicos  y   su</w:t>
        <w:br/>
        <w:t xml:space="preserve">      manifiesta indiferencia ante […] estos delitos permiten  concluir  que</w:t>
        <w:br/>
        <w:t xml:space="preserve">      muchos de ellos fueron deliberadamente pasados por alto  por  la  mera</w:t>
        <w:br/>
        <w:t xml:space="preserve">      razón de que las víctimas eran ‘sólo’ muchachas corrientes y,  por  lo</w:t>
        <w:br/>
        <w:t xml:space="preserve">      tanto, no eran consideradas una gran pérdida.  Cabe  temer  que,  como</w:t>
        <w:br/>
        <w:t xml:space="preserve">      consecuencia de los retrasos y las irregularidades, se  hayan  perdido</w:t>
        <w:br/>
        <w:t xml:space="preserve">      tiempo y datos muy valiosos[151].</w:t>
        <w:br/>
        <w:br/>
        <w:br/>
        <w:t>154. Distintas pruebas allegadas al Tribunal,  señalaron,  inter  alia,  que</w:t>
        <w:br/>
        <w:t xml:space="preserve">   funcionarios  del  estado  de  Chihuahua  y  del  Municipio   de   Juárez</w:t>
        <w:br/>
        <w:t xml:space="preserve">   minimizaban el problema y llegaron a culpar a las propias víctimas de  su</w:t>
        <w:br/>
        <w:t xml:space="preserve">   suerte, fuera por su forma de vestir, por el lugar en que trabajaban, por</w:t>
        <w:br/>
        <w:t xml:space="preserve">   su conducta, por andar solas o por falta de cuidado de  los  padres[152].</w:t>
        <w:br/>
        <w:t xml:space="preserve">   En  este  sentido,  destacaron  las  afirmaciones  de  la  CNDH   en   su</w:t>
        <w:br/>
        <w:t xml:space="preserve">   Recomendación  44/1998,  con  respecto  a  que   las   declaraciones   de</w:t>
        <w:br/>
        <w:t xml:space="preserve">   funcionarios y autoridades de la Procuraduría  estatal  documentadas  por</w:t>
        <w:br/>
        <w:t xml:space="preserve">   esa institución denotaban “ausencia de interés y vocación por  atender  y</w:t>
        <w:br/>
        <w:t xml:space="preserve">   remediar  una  problemática  social  grave,  así  como   una   forma   de</w:t>
        <w:br/>
        <w:t xml:space="preserve">   discriminación”   y   que   constituían   una   “forma   de   menosprecio</w:t>
        <w:br/>
        <w:t xml:space="preserve">   sexista”[153].</w:t>
        <w:br/>
        <w:br/>
        <w:br/>
        <w:br/>
        <w:br/>
        <w:br/>
        <w:br/>
        <w:t xml:space="preserve">      1.7.3.     Falta de esclarecimiento</w:t>
        <w:br/>
        <w:br/>
        <w:br/>
        <w:t>155. La Comisión hizo énfasis en que la respuesta de  las  autoridades  ante</w:t>
        <w:br/>
        <w:t xml:space="preserve">   los crímenes contra mujeres había sido “notablemente deficiente” y  alegó</w:t>
        <w:br/>
        <w:t xml:space="preserve">   que la gran mayoría de los asesinatos seguían impunes al  momento  de  la</w:t>
        <w:br/>
        <w:t xml:space="preserve">   visita de la Relatora de la CIDH a Ciudad  Juárez  en  el  2002.  Además,</w:t>
        <w:br/>
        <w:t xml:space="preserve">   señaló que aunque el Estado tenía  conocimiento  de  la  gravedad  de  la</w:t>
        <w:br/>
        <w:t xml:space="preserve">   situación, “existía una gran brecha entre la incidencia del  problema  de</w:t>
        <w:br/>
        <w:t xml:space="preserve">   violencia contra las  mujeres  y  la  calidad  de  la  respuesta  estatal</w:t>
        <w:br/>
        <w:t xml:space="preserve">   ofrecida a este fenómeno, lo  cual  propendió  a  la  repetición  de  los</w:t>
        <w:br/>
        <w:t xml:space="preserve">   hechos”.</w:t>
        <w:br/>
        <w:br/>
        <w:br/>
        <w:t>156. Los representantes alegaron que en el año en que ocurrieron los  hechos</w:t>
        <w:br/>
        <w:t xml:space="preserve">   del presente caso, “es decir, a  8  años  de  que  se  tuvo  noticia  del</w:t>
        <w:br/>
        <w:t xml:space="preserve">   incremento de la violencia contra las mujeres”, la situación de impunidad</w:t>
        <w:br/>
        <w:t xml:space="preserve">   no había tenido mejora alguna, destacando que ese  año  presentó  el  más</w:t>
        <w:br/>
        <w:t xml:space="preserve">   alto porcentaje de homicidios de mujeres.</w:t>
        <w:br/>
        <w:br/>
        <w:br/>
        <w:t>157. El Estado reiteró “su convicción de que en  [el  presente  caso]  y  en</w:t>
        <w:br/>
        <w:t xml:space="preserve">   general, en relación a los homicidios  de  mujeres  ocurridos  en  Ciudad</w:t>
        <w:br/>
        <w:t xml:space="preserve">   Juárez, no se  configura  una  situación  de  impunidad,  ya  que  se  ha</w:t>
        <w:br/>
        <w:t xml:space="preserve">   investigado, perseguido, capturado, enjuiciado y sancionado a  un  número</w:t>
        <w:br/>
        <w:t xml:space="preserve">   significativo de responsables”. También indicó que entre enero de 1993  y</w:t>
        <w:br/>
        <w:t xml:space="preserve">   mayo de 2008 se habían registrado 432 casos de homicidios de mujeres,  de</w:t>
        <w:br/>
        <w:t xml:space="preserve">   los cuales “45.25% fueron resueltos por una instancia jurisdiccional y el</w:t>
        <w:br/>
        <w:t xml:space="preserve">   33.02% en etapa de investigación”.</w:t>
        <w:br/>
        <w:br/>
        <w:br/>
        <w:t>158. La Corte observa que diversos informes coinciden en  que  la  falta  de</w:t>
        <w:br/>
        <w:t xml:space="preserve">   esclarecimiento de los crímenes es una característica de  los  homicidios</w:t>
        <w:br/>
        <w:t xml:space="preserve">   de mujeres en Ciudad Juárez que reviste especial importancia. El  Informe</w:t>
        <w:br/>
        <w:t xml:space="preserve">   de la Relatoría de la CIDH del 2003 señaló que la  gran  mayoría  de  los</w:t>
        <w:br/>
        <w:t xml:space="preserve">   casos siguen impunes[154]. Asimismo,  según  el  CEDAW  “una  cultura  de</w:t>
        <w:br/>
        <w:t xml:space="preserve">   impunidad se ha enraizado que permitió y foment[ó] terribles  violaciones</w:t>
        <w:br/>
        <w:t xml:space="preserve">   de los derechos humanos”, y según la Oficina de Drogas y  Delitos  de  la</w:t>
        <w:br/>
        <w:t xml:space="preserve">   ONU señaló que los diferentes factores complejos del fenómeno criminal en</w:t>
        <w:br/>
        <w:t xml:space="preserve">   Ciudad Juárez “han puesto a prueba un sistema de por sí insuficiente, que</w:t>
        <w:br/>
        <w:t xml:space="preserve">   ha sido manifiestamente desbordado por un desafío criminal para el que no</w:t>
        <w:br/>
        <w:t xml:space="preserve">   estaba  preparado,  dando  lugar  a  un  colapso  institucional  que   ha</w:t>
        <w:br/>
        <w:t xml:space="preserve">   determinado  la  impunidad  generalizada  de  los  responsables  de   los</w:t>
        <w:br/>
        <w:t xml:space="preserve">   crímenes”[155].</w:t>
        <w:br/>
        <w:br/>
        <w:br/>
        <w:t>159. La Corte toma nota de  que  distintos  informes  apuntan  a  diferentes</w:t>
        <w:br/>
        <w:t xml:space="preserve">   cifras sobre el estado de los casos de homicidios de  mujeres  en  Ciudad</w:t>
        <w:br/>
        <w:t xml:space="preserve">   Juárez[156].  Según  cifras  oficiales  aportadas  por  el   Estado,   no</w:t>
        <w:br/>
        <w:t xml:space="preserve">   controvertidas por las otras  partes,  de  379  casos  de  homicidios  de</w:t>
        <w:br/>
        <w:t xml:space="preserve">   mujeres que ocurrieron en Ciudad Juárez entre 1993 y 2005,  145  contaban</w:t>
        <w:br/>
        <w:t xml:space="preserve">   en el año 2005 con sentencias  condenatorias  o  sanciones[157],  lo  que</w:t>
        <w:br/>
        <w:t xml:space="preserve">   representa alrededor de un 38.5%. Por otro lado, el Estado proporcionó al</w:t>
        <w:br/>
        <w:t xml:space="preserve">   Tribunal una lista de 203  sentencias  definitivas  con  respecto  a  los</w:t>
        <w:br/>
        <w:t xml:space="preserve">   homicidios de mujeres hasta septiembre de 2008, de  las  cuales  192  son</w:t>
        <w:br/>
        <w:t xml:space="preserve">   sentencias condenatorias[158]. Al  respecto,  la  Corte  observa  que  el</w:t>
        <w:br/>
        <w:t xml:space="preserve">   Estado no informó los números globales de homicidios hasta el año 2009  y</w:t>
        <w:br/>
        <w:t xml:space="preserve">   no otorgó prueba en relación a sus alegatos de hecho relativos a que,  en</w:t>
        <w:br/>
        <w:t xml:space="preserve">   el año 2008, 41.33% de los homicidios de mujeres  habían  sido  resueltos</w:t>
        <w:br/>
        <w:t xml:space="preserve">   por un órgano jurisdiccional y 3.92% por el Tribunal para Menores.</w:t>
        <w:br/>
        <w:br/>
        <w:br/>
        <w:t>160. En cuanto a las sentencias, específicamente aquéllas  impuestas  a  los</w:t>
        <w:br/>
        <w:t xml:space="preserve">   responsables de homicidios dolosos, la Fiscalía Especial  observó  en  su</w:t>
        <w:br/>
        <w:t xml:space="preserve">   informe del año 2006 que éstas se enmarcaron en un promedio  no  mayor  a</w:t>
        <w:br/>
        <w:t xml:space="preserve">   los 15 años de prisión, a pesar  que  en  la  mayoría  de  los  casos  se</w:t>
        <w:br/>
        <w:t xml:space="preserve">   cometieron con agravantes y que esto:</w:t>
        <w:br/>
        <w:br/>
        <w:br/>
        <w:t xml:space="preserve">      pudo haber obedecido a una política judicial que en su momento  deberá</w:t>
        <w:br/>
        <w:t xml:space="preserve">      ser revisada por el propio Poder Judicial del Estado, o bien al  hecho</w:t>
        <w:br/>
        <w:t xml:space="preserve">      de que el Ministerio Público del fuero  común  no  efectuó  todas  las</w:t>
        <w:br/>
        <w:t xml:space="preserve">      acciones que permitieran a los  jueces  allegarse  de  elementos  para</w:t>
        <w:br/>
        <w:t xml:space="preserve">      sancionar de una manera más severa a los responsables[159].</w:t>
        <w:br/>
        <w:br/>
        <w:br/>
        <w:t>161. Un aspecto relacionado recogido por los informes es que  el  número  de</w:t>
        <w:br/>
        <w:t xml:space="preserve">   sentencias y la pena impuesta son  más  bajos  cuando  se  trata  de  los</w:t>
        <w:br/>
        <w:t xml:space="preserve">   homicidios de mujeres con características  sexuales.  Sobre  este  punto,</w:t>
        <w:br/>
        <w:t xml:space="preserve">   según cifras aportadas por el Estado ante la Comisión Interamericana,  de</w:t>
        <w:br/>
        <w:t xml:space="preserve">   229 casos de homicidios de mujeres entre 1993  y  2003[160],  159  fueron</w:t>
        <w:br/>
        <w:t xml:space="preserve">   casos  con  móviles  diferentes  al  sexual  y  de  éstos,   129   habían</w:t>
        <w:br/>
        <w:t xml:space="preserve">   “concluido”, mientras que de 70 casos de homicidios de mujeres con  móvil</w:t>
        <w:br/>
        <w:t xml:space="preserve">   sexual, sólo habían “concluido” 24[161]. Es  importante  señalar  que  el</w:t>
        <w:br/>
        <w:t xml:space="preserve">   Estado no especificó qué entiende por “concluidos”[162] y  que  sobre  el</w:t>
        <w:br/>
        <w:t xml:space="preserve">   mismo punto en su respuesta al informe del CEDAW estableció que de los 92</w:t>
        <w:br/>
        <w:t xml:space="preserve">   delitos sexuales ocurridos hasta el 2004 sólo en 4 casos se había dictado</w:t>
        <w:br/>
        <w:t xml:space="preserve">   sentencia[163].</w:t>
        <w:br/>
        <w:br/>
        <w:br/>
        <w:t>162. La Comisión para Ciudad Juárez, por su parte,  destacó  que  “[l]o  que</w:t>
        <w:br/>
        <w:t xml:space="preserve">   más sorprende de  estas  historias  [de  homicidios  de  mujeres]  es  la</w:t>
        <w:br/>
        <w:t xml:space="preserve">   impunidad aún vigente en muchos de los casos clasificados  como  sexuales</w:t>
        <w:br/>
        <w:t xml:space="preserve">   y/o seriales”[164]. Según el CEDAW, las autoridades mexicanas  expresaron</w:t>
        <w:br/>
        <w:t xml:space="preserve">   que había avances  en  el  proceso  de  investigación,  identificación  y</w:t>
        <w:br/>
        <w:t xml:space="preserve">   enjuiciamiento de los culpables por crímenes con móviles  como  violencia</w:t>
        <w:br/>
        <w:t xml:space="preserve">   intrafamiliar o delincuencia común y que la mayoría de  los  sentenciados</w:t>
        <w:br/>
        <w:t xml:space="preserve">   han sido condenados a penas que rebasan los 20 años de prisión,  mientras</w:t>
        <w:br/>
        <w:t xml:space="preserve">   que en los actos de carácter sexual violento “hay personas que  llevan  7</w:t>
        <w:br/>
        <w:t xml:space="preserve">   años presas, otras 5 y  aunque  la  Ley  establece  que  hay  que  dictar</w:t>
        <w:br/>
        <w:t xml:space="preserve">   sentencia en el término de 2  años,  ocurre  que  los  expedientes  están</w:t>
        <w:br/>
        <w:t xml:space="preserve">   incompletos y las pruebas  no  resultan  convincentes  para  los  jueces”</w:t>
        <w:br/>
        <w:t xml:space="preserve">   [165]. Por su parte, la Relatora Especial sobre la  Violencia  contra  la</w:t>
        <w:br/>
        <w:t xml:space="preserve">   Mujer de la ONU ha señalado que el porcentaje de encarcelamiento para los</w:t>
        <w:br/>
        <w:t xml:space="preserve">   crímenes sexuales es menor que para el resto de los crímenes  contra  las</w:t>
        <w:br/>
        <w:t xml:space="preserve">   mujeres,   representando    específicamente    un    33.3%    y    46.7%,</w:t>
        <w:br/>
        <w:t xml:space="preserve">   respectivamente[166].</w:t>
        <w:br/>
        <w:br/>
        <w:br/>
        <w:t>163. Finalmente, la Corte  observa  que  algunos  informes  señalan  que  la</w:t>
        <w:br/>
        <w:t xml:space="preserve">   impunidad está relacionada con la discriminación contra  la  mujer.  Así,</w:t>
        <w:br/>
        <w:t xml:space="preserve">   por ejemplo, el Informe de la Relatora de la CIDH concluyó que  “[c]uando</w:t>
        <w:br/>
        <w:t xml:space="preserve">   los perpetradores no son responsabilizados –como en general  ha  ocurrido</w:t>
        <w:br/>
        <w:t xml:space="preserve">   en  Ciudad  Juárez—  la  impunidad   confirma   que   esa   violencia   y</w:t>
        <w:br/>
        <w:t xml:space="preserve">   discriminación es aceptable, lo cual fomenta  su  perpetuación”[167].  En</w:t>
        <w:br/>
        <w:t xml:space="preserve">   similar sentido, la Relatora sobre ejecuciones extrajudiciales de la  ONU</w:t>
        <w:br/>
        <w:t xml:space="preserve">   expresó que: “los sucesos de Ciudad  Juárez  son  el  típico  ejemplo  de</w:t>
        <w:br/>
        <w:t xml:space="preserve">   delito sexista favorecido por la impunidad”[168].</w:t>
        <w:br/>
        <w:br/>
        <w:br/>
        <w:br/>
        <w:br/>
        <w:br/>
        <w:t xml:space="preserve">      1.8.  Conclusiones de la Corte</w:t>
        <w:br/>
        <w:br/>
        <w:br/>
        <w:t>164. De todo lo expuesto anteriormente, la Corte  concluye  que  desde  1993</w:t>
        <w:br/>
        <w:t xml:space="preserve">   existe en Ciudad Juárez un aumento de homicidios de mujeres, habiendo por</w:t>
        <w:br/>
        <w:t xml:space="preserve">   lo menos 264 víctimas hasta el año 2001 y 379 hasta el 2005. Sin embargo,</w:t>
        <w:br/>
        <w:t xml:space="preserve">   más allá de las cifras, sobre las  cuales  la  Corte  observa  no  existe</w:t>
        <w:br/>
        <w:t xml:space="preserve">   firmeza, es preocupante el hecho de que algunos de estos crímenes parecen</w:t>
        <w:br/>
        <w:t xml:space="preserve">   presentar altos grados de violencia, incluyendo sexual, y que en  general</w:t>
        <w:br/>
        <w:t xml:space="preserve">   han sido influenciados, tal como lo acepta el Estado, por una cultura  de</w:t>
        <w:br/>
        <w:t xml:space="preserve">   discriminación  contra  la  mujer,  la  cual,  según   diversas   fuentes</w:t>
        <w:br/>
        <w:t xml:space="preserve">   probatorias, ha incidido tanto en los motivos como en la modalidad de los</w:t>
        <w:br/>
        <w:t xml:space="preserve">   crímenes, así como en la respuesta de las autoridades frente a éstos.  En</w:t>
        <w:br/>
        <w:t xml:space="preserve">   este sentido, cabe destacar las respuestas ineficientes y  las  actitudes</w:t>
        <w:br/>
        <w:t xml:space="preserve">   indiferentes  documentadas  en  cuanto  a  la  investigación  de   dichos</w:t>
        <w:br/>
        <w:t xml:space="preserve">   crímenes, que parecen haber permitido que se haya perpetuado la violencia</w:t>
        <w:br/>
        <w:t xml:space="preserve">   contra la mujer en Ciudad Juárez. La Corte constata que hasta el año 2005</w:t>
        <w:br/>
        <w:t xml:space="preserve">   la mayoría de los crímenes  seguían  sin  ser  esclarecidos,  siendo  los</w:t>
        <w:br/>
        <w:t xml:space="preserve">   homicidios que presentan características  de  violencia  sexual  los  que</w:t>
        <w:br/>
        <w:t xml:space="preserve">   presentan mayores niveles de impunidad.</w:t>
        <w:br/>
        <w:br/>
        <w:br/>
        <w:br/>
        <w:br/>
        <w:br/>
        <w:t xml:space="preserve">      2.    Hechos del caso</w:t>
        <w:br/>
        <w:br/>
        <w:br/>
        <w:br/>
        <w:t xml:space="preserve">      2.1.  Desapariciones de las víctimas</w:t>
        <w:br/>
        <w:br/>
        <w:br/>
        <w:t>165. Laura Berenice Ramos Monárrez tenía 17 años de edad  y  era  estudiante</w:t>
        <w:br/>
        <w:t xml:space="preserve">   del quinto semestre de la preparatoria. La última noticia que se  conocía</w:t>
        <w:br/>
        <w:t xml:space="preserve">   de ella era una llamada que hizo a una amiga el sábado 22  de  septiembre</w:t>
        <w:br/>
        <w:t xml:space="preserve">   de 2001 para avisar que estaba  lista  para  ir  a  una  fiesta[169].  La</w:t>
        <w:br/>
        <w:t xml:space="preserve">   denuncia instaurada señalaba que desapareció el martes 25  de  septiembre</w:t>
        <w:br/>
        <w:t xml:space="preserve">   de 2001, sin que se ofrezcan más detalles[170].</w:t>
        <w:br/>
        <w:br/>
        <w:br/>
        <w:t>166. Claudia Ivette González tenía 20  años  de  edad  y  trabajaba  en  una</w:t>
        <w:br/>
        <w:t xml:space="preserve">   empresa maquiladora. Según una amiga cercana, “casi siempre salía con  el</w:t>
        <w:br/>
        <w:t xml:space="preserve">   tiempo limitado ya que le ayudaba a su hermana con el cuidado de su menor</w:t>
        <w:br/>
        <w:t xml:space="preserve">   hija, motivo por el cual llegaba a veces tarde”[171] al trabajo. El 10 de</w:t>
        <w:br/>
        <w:t xml:space="preserve">   octubre de 2001 llegó dos minutos tarde a la maquila, por lo que  le  fue</w:t>
        <w:br/>
        <w:t xml:space="preserve">   impedida la entrada[172]. Ese mismo día desapareció[173].</w:t>
        <w:br/>
        <w:br/>
        <w:br/>
        <w:t>167. Esmeralda Herrera Monreal tenía 15 años de edad y  contaba  con  “grado</w:t>
        <w:br/>
        <w:t xml:space="preserve">   de instrucción tercero de secundaria”[174]. Desapareció el  lunes  29  de</w:t>
        <w:br/>
        <w:t xml:space="preserve">   octubre del 2001, luego de salir de la casa  en  la  que  trabajaba  como</w:t>
        <w:br/>
        <w:t xml:space="preserve">   empleada doméstica[175].</w:t>
        <w:br/>
        <w:br/>
        <w:br/>
        <w:t>168. Según los representantes, las jóvenes Ramos, González  y  Herrera  eran</w:t>
        <w:br/>
        <w:t xml:space="preserve">   de “origen humilde”.</w:t>
        <w:br/>
        <w:br/>
        <w:br/>
        <w:br/>
        <w:br/>
        <w:br/>
        <w:t xml:space="preserve">      2.2.  Las primeras 72 horas</w:t>
        <w:br/>
        <w:br/>
        <w:br/>
        <w:t>169. Los alegatos de la Comisión y  de  los  representantes  en  este  punto</w:t>
        <w:br/>
        <w:t xml:space="preserve">   presentan inconsistencias, ya que se refieren en unas  instancias  a  que</w:t>
        <w:br/>
        <w:t xml:space="preserve">   las autoridades manifestaron a los familiares que debían esperar 72 horas</w:t>
        <w:br/>
        <w:t xml:space="preserve">   respecto a una o dos víctimas y  en  otras  instancias  señalan  que  fue</w:t>
        <w:br/>
        <w:t xml:space="preserve">   respecto de las tres víctimas. Asimismo, algunos alegatos se  refieren  a</w:t>
        <w:br/>
        <w:t xml:space="preserve">   que no se levantaba la denuncia antes de transcurridas  las  72  horas  y</w:t>
        <w:br/>
        <w:t xml:space="preserve">   otros a que no se iniciaban investigaciones hasta después de 72 horas.</w:t>
        <w:br/>
        <w:br/>
        <w:br/>
        <w:t>170. El Estado controvirtió lo anterior  e  indicó  que  “este  señalamiento</w:t>
        <w:br/>
        <w:t xml:space="preserve">   [no] está probado y es incorrecto”, toda vez que se “levantó  el  reporte</w:t>
        <w:br/>
        <w:t xml:space="preserve">   de desaparición de las jóvenes  en  el  momento  en  que  sus  familiares</w:t>
        <w:br/>
        <w:t xml:space="preserve">   acudieron  a  denunciarlo”.  Además,  señaló  de  manera  general  y  sin</w:t>
        <w:br/>
        <w:t xml:space="preserve">   mencionar fechas  específicas  que  “las  autoridades  […]  ordenaron  la</w:t>
        <w:br/>
        <w:t xml:space="preserve">   búsqueda y localización inmediata de las mujeres desaparecidas”, “tomando</w:t>
        <w:br/>
        <w:t xml:space="preserve">   en cuenta la información proporcionada por los familiares”.</w:t>
        <w:br/>
        <w:br/>
        <w:br/>
        <w:t>171. La Corte constata que la joven Ramos desapareció el  22  de  septiembre</w:t>
        <w:br/>
        <w:t xml:space="preserve">   de 2001 y, según lo alegado por la Comisión y los representantes el 25 de</w:t>
        <w:br/>
        <w:t xml:space="preserve">   septiembre la madre interpuso la denuncia ante las autoridades,  lo  cual</w:t>
        <w:br/>
        <w:t xml:space="preserve">   no fue controvertido por el Estado. Ese día  se  levantó  el  informe  de</w:t>
        <w:br/>
        <w:t xml:space="preserve">   desaparición.</w:t>
        <w:br/>
        <w:br/>
        <w:br/>
        <w:t>172.  La  joven  González  desapareció  el  10  de  octubre  de  2001.   Los</w:t>
        <w:br/>
        <w:t xml:space="preserve">   representantes alegaron que el 11 de  octubre  sus  familiares  y  amigos</w:t>
        <w:br/>
        <w:t xml:space="preserve">   cercanos fueron a interponer la denuncia[176]. La Comisión  y  el  Estado</w:t>
        <w:br/>
        <w:t xml:space="preserve">   señalaron que el 12 de octubre se reportó la desaparición. La  fecha  del</w:t>
        <w:br/>
        <w:t xml:space="preserve">   registro de persona desaparecida es del 12 de octubre de 2001[177].</w:t>
        <w:br/>
        <w:br/>
        <w:br/>
        <w:t>173. La joven  Herrera  desapareció  el  29  de  octubre  de  2001.  Al  día</w:t>
        <w:br/>
        <w:t xml:space="preserve">   siguiente se hizo la denuncia[178] y el  reporte  de  desaparición  tiene</w:t>
        <w:br/>
        <w:t xml:space="preserve">   fecha de ese mismo día[179].</w:t>
        <w:br/>
        <w:br/>
        <w:br/>
        <w:t>174. Salvo el caso de la madre  de  la  joven  González,  no  consta  en  el</w:t>
        <w:br/>
        <w:t xml:space="preserve">   expediente prueba con relación a que los familiares  hubieran  acudido  a</w:t>
        <w:br/>
        <w:t xml:space="preserve">   las autoridades antes de la fecha que  se  señala  como  el  día  que  se</w:t>
        <w:br/>
        <w:t xml:space="preserve">   presentó  la   denuncia.   Ni   la   Comisión   ni   los   representantes</w:t>
        <w:br/>
        <w:t xml:space="preserve">   controvirtieron la validez de los registros de desaparición aportados por</w:t>
        <w:br/>
        <w:t xml:space="preserve">   el Estado. Por todo esto la Corte concluye que el reporte de desaparición</w:t>
        <w:br/>
        <w:t xml:space="preserve">   fue emitido el mismo día en que fue puesta la denuncia en  los  casos  de</w:t>
        <w:br/>
        <w:t xml:space="preserve">   las jóvenes Herrera y Ramos, mientras que en el caso de la joven González</w:t>
        <w:br/>
        <w:t xml:space="preserve">   la  Corte  no  cuenta  con  suficiente  prueba  para  determinar  si  los</w:t>
        <w:br/>
        <w:t xml:space="preserve">   familiares acudieron a las autoridades por primera vez el 11 o el  12  de</w:t>
        <w:br/>
        <w:t xml:space="preserve">   octubre, pero en todo caso no transcurrieron 72 horas desde el momento en</w:t>
        <w:br/>
        <w:t xml:space="preserve">   que acudieron a las  autoridades  hasta  que  se  emitió  el  reporte  de</w:t>
        <w:br/>
        <w:t xml:space="preserve">   desaparición.</w:t>
        <w:br/>
        <w:br/>
        <w:br/>
        <w:t>175.  En  cuanto  a  la  alegada  espera  de  72  horas  para  iniciar   las</w:t>
        <w:br/>
        <w:t xml:space="preserve">   investigaciones, el Tribunal constata que en los tres casos, el mismo día</w:t>
        <w:br/>
        <w:t xml:space="preserve">   en el que se  hizo  el  “Registro  de  Personas  Desaparecidas”[180],  el</w:t>
        <w:br/>
        <w:t xml:space="preserve">   Programa de Atención a Víctimas de los Delitos dirigió un oficio al  Jefe</w:t>
        <w:br/>
        <w:t xml:space="preserve">   de la Policía Judicial[181]. Dichos oficios tenían  por  objeto  informar</w:t>
        <w:br/>
        <w:t xml:space="preserve">   que se puso en conocimiento de esa oficina la desaparición  de  las  tres</w:t>
        <w:br/>
        <w:t xml:space="preserve">   víctimas,  razón  por  la  cual  se  solicitaba  al  personal  de   dicha</w:t>
        <w:br/>
        <w:t xml:space="preserve">   dependencia la  práctica  de  “investigaciones  tendientes  a  lograr  el</w:t>
        <w:br/>
        <w:t xml:space="preserve">   esclarecimiento de los hechos”[182].</w:t>
        <w:br/>
        <w:br/>
        <w:br/>
        <w:t>176. Durante la audiencia pública ante la Corte,  las  madres  de  las  tres</w:t>
        <w:br/>
        <w:t xml:space="preserve">   víctimas manifestaron que en el primer contacto con  las  autoridades  se</w:t>
        <w:br/>
        <w:t xml:space="preserve">   les manifestó que debían transcurrir 72 horas para dar como desaparecidas</w:t>
        <w:br/>
        <w:t xml:space="preserve">   a sus hijas[183], lo cual fue reiterado en otras declaraciones[184].</w:t>
        <w:br/>
        <w:br/>
        <w:br/>
        <w:t>177. Según los representantes, la prueba de la demora en el  inicio  de  las</w:t>
        <w:br/>
        <w:t xml:space="preserve">   investigaciones se encuentra en las “Fichas 103-F” del  informe  especial</w:t>
        <w:br/>
        <w:t xml:space="preserve">   de la CNDH de 2003. Sin embargo, dichas fichas no hacen alusión a que las</w:t>
        <w:br/>
        <w:t xml:space="preserve">   autoridades hayan hecho una afirmación en tal sentido[185].</w:t>
        <w:br/>
        <w:br/>
        <w:br/>
        <w:t>178. Las declaraciones periciales confirman que las madres informaron  a  su</w:t>
        <w:br/>
        <w:t xml:space="preserve">   psiquiatra o psicóloga respectiva, sobre una supuesta negativa del Estado</w:t>
        <w:br/>
        <w:t xml:space="preserve">   a  iniciar  una  posible  averiguación  antes  de  las   72   horas[186].</w:t>
        <w:br/>
        <w:t xml:space="preserve">   Adicionalmente, la testigo Delgadillo Pérez,  refiriéndose  a  todas  las</w:t>
        <w:br/>
        <w:t xml:space="preserve">   desapariciones del campo algodonero, indicó que  las  investigaciones  en</w:t>
        <w:br/>
        <w:t xml:space="preserve">   “[v]arios de los expedientes no se iniciaron en el  momento  en  que  las</w:t>
        <w:br/>
        <w:t xml:space="preserve">   familias lo denunciaron, sino  una  vez  que  transcurrieron  72  horas”,</w:t>
        <w:br/>
        <w:t xml:space="preserve">   señalando específicamente el caso de la joven Herrera y  concluyendo  que</w:t>
        <w:br/>
        <w:t xml:space="preserve">   “[s]e perdieron  las  primeras  horas  que  eran  fundamentales  para  la</w:t>
        <w:br/>
        <w:t xml:space="preserve">   búsqueda”[187]. En el mismo sentido la perita  Jusidman  Rapoport  indicó</w:t>
        <w:br/>
        <w:t xml:space="preserve">   que, a la fecha, “para las autoridades es necesario  que  transcurran  72</w:t>
        <w:br/>
        <w:t xml:space="preserve">   horas   para   iniciar   la   búsqueda   de   mujeres   reportadas   como</w:t>
        <w:br/>
        <w:t xml:space="preserve">   desaparecidas”[188]. Esto también fue indicado en  el  informe  del  EAAF</w:t>
        <w:br/>
        <w:t xml:space="preserve">   para el caso de la joven Herrera[189]. La Corte  nota  que  aunque  estas</w:t>
        <w:br/>
        <w:t xml:space="preserve">   declaraciones proporcionan indicios sobre una supuesta demora de 72 horas</w:t>
        <w:br/>
        <w:t xml:space="preserve">   para iniciar la  búsqueda  de  personas  desaparecidas,  los  peritos  no</w:t>
        <w:br/>
        <w:t xml:space="preserve">   indicaron la fuente de sus  conclusiones  a  partir  de  las  cuales  sea</w:t>
        <w:br/>
        <w:t xml:space="preserve">   posible valorar su afirmación. Además, las declaraciones de  los  peritos</w:t>
        <w:br/>
        <w:t xml:space="preserve">   no brindan fechas específicas, por lo cual la Corte no puede concluir si,</w:t>
        <w:br/>
        <w:t xml:space="preserve">   según ellos, la espera de 72 horas existía en el año 2001.</w:t>
        <w:br/>
        <w:br/>
        <w:br/>
        <w:t>179. Para resolver la cuestión, la Corte tiene en consideración que en  este</w:t>
        <w:br/>
        <w:t xml:space="preserve">   aspecto la carga de la prueba corresponde al Estado, ya que  éste  es  el</w:t>
        <w:br/>
        <w:t xml:space="preserve">   que sostiene que sus autoridades procedieron con las investigaciones,  lo</w:t>
        <w:br/>
        <w:t xml:space="preserve">   cual es susceptible de prueba. Distinta es la situación de la Comisión  y</w:t>
        <w:br/>
        <w:t xml:space="preserve">   los representantes, quienes  alegan  un  hecho  negativo,  es  decir,  la</w:t>
        <w:br/>
        <w:t xml:space="preserve">   ausencia de investigación en las primeras 72 horas. Además,  se  toma  en</w:t>
        <w:br/>
        <w:t xml:space="preserve">   cuenta que los medios de prueba están a disposición del  Estado,  por  lo</w:t>
        <w:br/>
        <w:t xml:space="preserve">   que  su  defensa  no  puede  descansar  sobre  la  imposibilidad  de  los</w:t>
        <w:br/>
        <w:t xml:space="preserve">   demandantes  de  allegar  pruebas  que  no  pueden   obtenerse   sin   su</w:t>
        <w:br/>
        <w:t xml:space="preserve">   cooperación[190].</w:t>
        <w:br/>
        <w:br/>
        <w:br/>
        <w:t>180. Al respecto, la Corte observa que la  prueba  remitida  por  el  Estado</w:t>
        <w:br/>
        <w:t xml:space="preserve">   indica que en  las  primeras  72  horas  únicamente  se  registraron  las</w:t>
        <w:br/>
        <w:t xml:space="preserve">   desapariciones y los testimonios de quienes las interpusieron, se  emitió</w:t>
        <w:br/>
        <w:t xml:space="preserve">   un oficio del Programa de  Atención  a  Víctimas  de  los  Delitos  y  se</w:t>
        <w:br/>
        <w:t xml:space="preserve">   recibieron testimonios de apenas tres personas, una en cada caso,  aparte</w:t>
        <w:br/>
        <w:t xml:space="preserve">   de  las  declaraciones  adoptadas  al  momento  de  la  presentación   de</w:t>
        <w:br/>
        <w:t xml:space="preserve">   denuncia[191]. Es decir, más allá de diligencias rutinarias  y  formales,</w:t>
        <w:br/>
        <w:t xml:space="preserve">   el Estado no presentó alegatos ni prueba sobre  acciones  tomadas  en  el</w:t>
        <w:br/>
        <w:t xml:space="preserve">   período referido para movilizar al aparato investigador  en  la  búsqueda</w:t>
        <w:br/>
        <w:t xml:space="preserve">   real y efectiva de las víctimas.</w:t>
        <w:br/>
        <w:br/>
        <w:br/>
        <w:t>181. Además, la Corte  resalta  que  el  Estado  no  presentó  copia  de  la</w:t>
        <w:br/>
        <w:t xml:space="preserve">   totalidad del expediente penal en estos casos, tal como le fue solicitado</w:t>
        <w:br/>
        <w:t xml:space="preserve">   (supra párr. 9). Por tal motivo, el Tribunal  cuenta  con  un  margen  de</w:t>
        <w:br/>
        <w:t xml:space="preserve">   discreción para dar por establecidos  cierto  tipo  de  hechos  según  la</w:t>
        <w:br/>
        <w:t xml:space="preserve">   ponderación que pueda efectuarse con el resto del acervo probatorio.  Por</w:t>
        <w:br/>
        <w:t xml:space="preserve">   esto la Corte concluye que, aunque  no  se  puede  dar  por  probado  que</w:t>
        <w:br/>
        <w:t xml:space="preserve">   efectivamente las autoridades le dijeron a las madres de las víctimas que</w:t>
        <w:br/>
        <w:t xml:space="preserve">   tenían que esperar 72 horas luego de su desaparición para  que  empezaran</w:t>
        <w:br/>
        <w:t xml:space="preserve">   las investigaciones, el Estado no ha demostrado qué  gestiones  concretas</w:t>
        <w:br/>
        <w:t xml:space="preserve">   realizó y cómo buscó efectivamente a  las  víctimas  durante  el  período</w:t>
        <w:br/>
        <w:t xml:space="preserve">   mencionado.</w:t>
        <w:br/>
        <w:br/>
        <w:br/>
        <w:br/>
        <w:br/>
        <w:br/>
        <w:t xml:space="preserve">      2.3.  Alegada falta de búsqueda de las víctimas antes del hallazgo  de</w:t>
        <w:br/>
        <w:t xml:space="preserve">           sus restos</w:t>
        <w:br/>
        <w:br/>
        <w:br/>
        <w:t>182. La Comisión alegó que “[l]a  actuación  de  las  autoridades  estatales</w:t>
        <w:br/>
        <w:t xml:space="preserve">   frente a [las] denuncias de desaparición se limitó a  la  realización  de</w:t>
        <w:br/>
        <w:t xml:space="preserve">   gestiones formales y administrativas, sin medidas concretas, tendientes a</w:t>
        <w:br/>
        <w:t xml:space="preserve">   encontrar a la brevedad a las víctimas, con vida”.</w:t>
        <w:br/>
        <w:br/>
        <w:br/>
        <w:t>183. Los representantes señalaron que las tres madres “tuvieron que  iniciar</w:t>
        <w:br/>
        <w:t xml:space="preserve">   sus propias acciones de búsqueda” ante la “falta de  acciones  eficientes</w:t>
        <w:br/>
        <w:t xml:space="preserve">   por parte de las autoridades”, como pegar volantes en las calles,  acudir</w:t>
        <w:br/>
        <w:t xml:space="preserve">   a medios de comunicación y hacer rastreos.</w:t>
        <w:br/>
        <w:br/>
        <w:br/>
        <w:t>184. El Estado  controvirtió  lo  anterior  y  señaló  que  las  autoridades</w:t>
        <w:br/>
        <w:t xml:space="preserve">   “ordenaron  la  búsqueda  y  localización  inmediata   de   las   mujeres</w:t>
        <w:br/>
        <w:t xml:space="preserve">   desaparecidas”, “tomando en cuenta la información proporcionada  por  los</w:t>
        <w:br/>
        <w:t xml:space="preserve">   familiares”. Asimismo, alegó que realizó diversas acciones para  dar  con</w:t>
        <w:br/>
        <w:t xml:space="preserve">   el paradero de las víctimas.</w:t>
        <w:br/>
        <w:br/>
        <w:br/>
        <w:t>185. Tal como fue señalado, el día en el que se levantaron los registros  de</w:t>
        <w:br/>
        <w:t xml:space="preserve">   desaparición de las víctimas fue solicitado a la Policía Judicial que  se</w:t>
        <w:br/>
        <w:t xml:space="preserve">   adelantaran  investigaciones.  Sin  embargo,  no  fue   aportada   alguna</w:t>
        <w:br/>
        <w:t xml:space="preserve">   respuesta a tal solicitud  y  el  Estado  no  brindó  detalles  sobre  el</w:t>
        <w:br/>
        <w:t xml:space="preserve">   seguimiento que se dio a la misma.</w:t>
        <w:br/>
        <w:br/>
        <w:br/>
        <w:t>186. Por otra parte, aún cuando conste  evidencia  de  que  las  autoridades</w:t>
        <w:br/>
        <w:t xml:space="preserve">   elaboraron un cartel con información respecto a la desaparición  de  cada</w:t>
        <w:br/>
        <w:t xml:space="preserve">   una de las víctimas[192], dichos carteles no indican la fecha en  la  que</w:t>
        <w:br/>
        <w:t xml:space="preserve">   fueron emitidos y el Estado no precisó en qué momento  y  cómo  los  hizo</w:t>
        <w:br/>
        <w:t xml:space="preserve">   circular. Según la madre de la joven Herrera, fue ella “quien se  encargó</w:t>
        <w:br/>
        <w:t xml:space="preserve">   de difundirlo y pegarlo en varios puntos de la Ciudad”[193]. La madre  de</w:t>
        <w:br/>
        <w:t xml:space="preserve">   la  joven  González  señaló  que  luego  de  interponer  la  denuncia  de</w:t>
        <w:br/>
        <w:t xml:space="preserve">   desaparición, comenzaron “con rastreos y  a  poner  fotos  de  ella  como</w:t>
        <w:br/>
        <w:t xml:space="preserve">   volantes,  […]  y  preguntando,  buscando  en  la  Cruz  Roja,   en   los</w:t>
        <w:br/>
        <w:t xml:space="preserve">   hospitales”[194], y la madre de la joven Ramos dijo que ella buscó  a  su</w:t>
        <w:br/>
        <w:t xml:space="preserve">   hija en todos los lugares “habidos y por haber”[195]. Esto  coincide  con</w:t>
        <w:br/>
        <w:t xml:space="preserve">   lo declarado por la testigo Delgadillo Pérez, quien señaló que “[s]on las</w:t>
        <w:br/>
        <w:t xml:space="preserve">   familias las que ante la desesperación y falta de apoyo institucional, se</w:t>
        <w:br/>
        <w:t xml:space="preserve">   mueven por la ciudad tratando de encontrar a sus hijas”[196].</w:t>
        <w:br/>
        <w:br/>
        <w:br/>
        <w:t>187. En relación con la joven Ramos, las autoridades recibieron,  además  de</w:t>
        <w:br/>
        <w:t xml:space="preserve">   la  declaración  rendida  cuando  se   denunció   su   desaparición[197],</w:t>
        <w:br/>
        <w:t xml:space="preserve">   declaraciones de dos familiares[198] y tres amigas de su escuela[199]. De</w:t>
        <w:br/>
        <w:t xml:space="preserve">   estos testimonios la Corte observa que  se  desprenden  ciertos  posibles</w:t>
        <w:br/>
        <w:t xml:space="preserve">   indicios que pudieron haber ayudado en la búsqueda  de  la  joven  Ramos,</w:t>
        <w:br/>
        <w:t xml:space="preserve">   como por ejemplo, información sobre un muchacho con  quien  ella  hablaba</w:t>
        <w:br/>
        <w:t xml:space="preserve">   frecuentemente  por  teléfono[200],  lugares  que  frecuentaba[201],  sus</w:t>
        <w:br/>
        <w:t xml:space="preserve">   planes para la noche de  su  desaparición[202],  sobre  un  muchacho  que</w:t>
        <w:br/>
        <w:t xml:space="preserve">   trabajaba con ella y otras personas que pudiesen tener  información,[203]</w:t>
        <w:br/>
        <w:t xml:space="preserve">   así como de un hombre, con quien, según lo declarado, la joven  Ramos  no</w:t>
        <w:br/>
        <w:t xml:space="preserve">   quería salir[204].</w:t>
        <w:br/>
        <w:br/>
        <w:br/>
        <w:t>188. Asimismo, la madre de la joven Ramos  declaró  en  el  año  2003  sobre</w:t>
        <w:br/>
        <w:t xml:space="preserve">   varias llamadas que recibió en los días posteriores a la desaparición  de</w:t>
        <w:br/>
        <w:t xml:space="preserve">   su hija, y que en una de ellas “logr[ó]  escuchar  que  [su]  hija  Laura</w:t>
        <w:br/>
        <w:t xml:space="preserve">   discutía con una persona”  y  que  por  esta  razón  se  trasladó  “a  la</w:t>
        <w:br/>
        <w:t xml:space="preserve">   Procuraduría General de  Justicia  del  Estado  para  que  rastrearan  la</w:t>
        <w:br/>
        <w:t xml:space="preserve">   llamada” y le dijeron que no  la  podían  rastrear[205].  Adicionalmente,</w:t>
        <w:br/>
        <w:t xml:space="preserve">   según  la  señora  Monárrez,  no  se  llevaron  a  cabo  diligencias   de</w:t>
        <w:br/>
        <w:t xml:space="preserve">   averiguación en la escuela donde estudiaba su hija, otras  entrevistas  a</w:t>
        <w:br/>
        <w:t xml:space="preserve">   sus amigas y conocidos, o en  algunos  sitios  que  frecuentaba,  con  el</w:t>
        <w:br/>
        <w:t xml:space="preserve">   propósito de encontrarla[206]. Asimismo, no se  realizaron  gestiones  en</w:t>
        <w:br/>
        <w:t xml:space="preserve">   relación con las llamadas telefónicas que la joven Ramos había  efectuado</w:t>
        <w:br/>
        <w:t xml:space="preserve">   y recibido en su celular[207].</w:t>
        <w:br/>
        <w:br/>
        <w:br/>
        <w:t>189. En relación con la joven González, además  de  la  declaración  rendida</w:t>
        <w:br/>
        <w:t xml:space="preserve">   cuando se denunció la desaparición[208], se tomaron las declaraciones  de</w:t>
        <w:br/>
        <w:t xml:space="preserve">   cinco amigos[209], un compañero de trabajo en la maquiladora[210], su  ex</w:t>
        <w:br/>
        <w:t xml:space="preserve">   pareja sentimental[211] y dos jefes de seguridad de la  empresa[212].  De</w:t>
        <w:br/>
        <w:t xml:space="preserve">   estos testimonios se desprenden ciertos posibles  indicios  que  pudieran</w:t>
        <w:br/>
        <w:t xml:space="preserve">   haber ayudado en la búsqueda de la  joven  González,  como  por  ejemplo,</w:t>
        <w:br/>
        <w:t xml:space="preserve">   información sobre un muchacho con quien ella salía[213], sobre una pareja</w:t>
        <w:br/>
        <w:t xml:space="preserve">   que al parecer la observaba mucho cada vez que pasaba[214] y un  muchacho</w:t>
        <w:br/>
        <w:t xml:space="preserve">   de la maquila que la molestaba[215].</w:t>
        <w:br/>
        <w:br/>
        <w:br/>
        <w:t>190. Por otra parte, la  Comisión  alegó  que  se  había  comunicado  a  las</w:t>
        <w:br/>
        <w:t xml:space="preserve">   autoridades que dos semanas antes de su desaparición  la  joven  González</w:t>
        <w:br/>
        <w:t xml:space="preserve">   había sido hostigada por dos policías. Si bien es cierto  que  la  prueba</w:t>
        <w:br/>
        <w:t xml:space="preserve">   presentada por la Comisión corresponde a una nota de  prensa  emitida  en</w:t>
        <w:br/>
        <w:t xml:space="preserve">   2005 -donde la madre de la joven González no precisa el  momento  en  que</w:t>
        <w:br/>
        <w:t xml:space="preserve">   informó de dichos hechos a las autoridades- y que las demás declaraciones</w:t>
        <w:br/>
        <w:t xml:space="preserve">   al  respecto  fueron  efectuadas  en  2007  y  2009[216],  el  Estado  no</w:t>
        <w:br/>
        <w:t xml:space="preserve">   controvirtió ni los hechos  ni  la  fecha  en  la  que  se  alega  fueron</w:t>
        <w:br/>
        <w:t xml:space="preserve">   informadas  las  autoridades.  Además,  no  presentó  la  totalidad   del</w:t>
        <w:br/>
        <w:t xml:space="preserve">   expediente penal. Por esta razón, el Tribunal da por establecido  que  se</w:t>
        <w:br/>
        <w:t xml:space="preserve">   comunicó dicha información a las autoridades antes del 6 de noviembre  de</w:t>
        <w:br/>
        <w:t xml:space="preserve">   2001, es decir, antes del hallazgo de su cuerpo[217]. No se desprende del</w:t>
        <w:br/>
        <w:t xml:space="preserve">   expediente que los investigadores hayan adelantado línea de investigación</w:t>
        <w:br/>
        <w:t xml:space="preserve">   en torno a dicha información, con el propósito de encontrar  a  la  joven</w:t>
        <w:br/>
        <w:t xml:space="preserve">   González con vida.</w:t>
        <w:br/>
        <w:br/>
        <w:br/>
        <w:t>191. Una declarante señaló que un muchacho le dijo a ella y a la hermana  de</w:t>
        <w:br/>
        <w:t xml:space="preserve">   la joven González que “él se había dado cuenta, no dijo cómo, que Claudia</w:t>
        <w:br/>
        <w:t xml:space="preserve">   Ivette estaba desaparecid[a]”[218]. Tampoco consta  que  el  Estado  haya</w:t>
        <w:br/>
        <w:t xml:space="preserve">   señalado alguna investigación respecto a este indicio.</w:t>
        <w:br/>
        <w:br/>
        <w:br/>
        <w:t>192. Según la Comisión, entre el reporte de  la  desaparición  de  la  joven</w:t>
        <w:br/>
        <w:t xml:space="preserve">   González y el hallazgo de sus restos el único contacto de las autoridades</w:t>
        <w:br/>
        <w:t xml:space="preserve">   con la familia de ésta fueron dos llamadas  efectuadas  por  la  Fiscalía</w:t>
        <w:br/>
        <w:t xml:space="preserve">   Especial, en las  que  se  indagó  si  tenían  novedades.  El  Estado  no</w:t>
        <w:br/>
        <w:t xml:space="preserve">   controvirtió lo anterior ni presentó prueba en contrario.</w:t>
        <w:br/>
        <w:br/>
        <w:br/>
        <w:t>193. En el caso de la joven Herrera, según el Estado, la madre informó  ante</w:t>
        <w:br/>
        <w:t xml:space="preserve">   un agente de la policía que su hija conocía a un joven que  trabajaba  en</w:t>
        <w:br/>
        <w:t xml:space="preserve">   una imprenta y que “le insistía en que fuera a comer con él” y que  dicho</w:t>
        <w:br/>
        <w:t xml:space="preserve">   joven no había ido a trabajar el día en que desapareció la  víctima.  Las</w:t>
        <w:br/>
        <w:t xml:space="preserve">   autoridades posteriormente recibieron la declaración de este joven, quien</w:t>
        <w:br/>
        <w:t xml:space="preserve">   reconoció haber saludado a la joven Herrera, pero negó haberla invitado a</w:t>
        <w:br/>
        <w:t xml:space="preserve">   comer[219]. No consta en el expediente  que  el  Estado  haya  adelantado</w:t>
        <w:br/>
        <w:t xml:space="preserve">   alguna otra gestión encaminada a encontrar con vida a la joven Herrera.</w:t>
        <w:br/>
        <w:br/>
        <w:br/>
        <w:t>194. A pesar de que el Estado  alegó  haber  empezado  la  búsqueda  de  las</w:t>
        <w:br/>
        <w:t xml:space="preserve">   víctimas de inmediato, según lo que consta en el expediente, lo único que</w:t>
        <w:br/>
        <w:t xml:space="preserve">   se hizo antes del hallazgo de los restos fue elaborar  los  registros  de</w:t>
        <w:br/>
        <w:t xml:space="preserve">   desaparición, los carteles de búsqueda, la toma  de  declaraciones  y  el</w:t>
        <w:br/>
        <w:t xml:space="preserve">   envío del oficio a la Policía Judicial. No consta en  el  expediente  que</w:t>
        <w:br/>
        <w:t xml:space="preserve">   las autoridades hayan hecho circular los  carteles  de  búsqueda  ni  que</w:t>
        <w:br/>
        <w:t xml:space="preserve">   efectuaran  una  indagación  más  profunda  sobre  hechos  razonablemente</w:t>
        <w:br/>
        <w:t xml:space="preserve">   relevantes que se derivaban de las más de 20 declaraciones tomadas[220].</w:t>
        <w:br/>
        <w:br/>
        <w:br/>
        <w:t>195. Además, la Corte considera que es posible enmarcar estos hechos  dentro</w:t>
        <w:br/>
        <w:t xml:space="preserve">   de un contexto general documentado en el expediente. En efecto, en  enero</w:t>
        <w:br/>
        <w:t xml:space="preserve">   de 2006 la Relatora de Naciones Unidas sobre Violencia  contra  la  Mujer</w:t>
        <w:br/>
        <w:t xml:space="preserve">   indicó que “[a]l parecer,  la  policía  municipal  de  Ciudad  Juárez  no</w:t>
        <w:br/>
        <w:t xml:space="preserve">   emprende acciones de búsqueda ni adopta ninguna  otra  medida  preventiva</w:t>
        <w:br/>
        <w:t xml:space="preserve">   por sistema en el momento de recibir una denuncia de desaparición de  una</w:t>
        <w:br/>
        <w:t xml:space="preserve">   mujer. Inexplicablemente, la policía suele esperar a que se  confirme  la</w:t>
        <w:br/>
        <w:t xml:space="preserve">   comisión de un delito”[221].</w:t>
        <w:br/>
        <w:br/>
        <w:br/>
        <w:br/>
        <w:br/>
        <w:br/>
        <w:t xml:space="preserve">      2.4.  Alegados estereotipos proyectados por los funcionarios hacia los</w:t>
        <w:br/>
        <w:t xml:space="preserve">           familiares de las víctimas</w:t>
        <w:br/>
        <w:br/>
        <w:br/>
        <w:t>196. La Comisión alegó  que  “cuando  se  denunció  cada  desaparición,  los</w:t>
        <w:br/>
        <w:t xml:space="preserve">   familiares recibieron comentarios por parte de agentes estatales sobre la</w:t>
        <w:br/>
        <w:t xml:space="preserve">   conducta de sus hijas que consideran influenciaron  la  inacción  estatal</w:t>
        <w:br/>
        <w:t xml:space="preserve">   posterior”.</w:t>
        <w:br/>
        <w:br/>
        <w:br/>
        <w:t>197. Los representantes  señalaron  que  “las  autoridades  minimizaban  los</w:t>
        <w:br/>
        <w:t xml:space="preserve">   hechos o desacreditaban” las denuncias de los familiares de las  víctimas</w:t>
        <w:br/>
        <w:t xml:space="preserve">   “bajo el pretexto de que eran muchachitas que ‘andaban con  el  novio’  o</w:t>
        <w:br/>
        <w:t xml:space="preserve">   ‘andaban de voladas’”.</w:t>
        <w:br/>
        <w:br/>
        <w:br/>
        <w:t>198. La madre de la joven Herrera declaró que, al  interponer  la  denuncia,</w:t>
        <w:br/>
        <w:t xml:space="preserve">   las autoridades le dijeron que su hija “no está desaparecida, anda con el</w:t>
        <w:br/>
        <w:t xml:space="preserve">   novio o anda con los amigos de vaga”[222], “que  si  le  pasaba  eso  era</w:t>
        <w:br/>
        <w:t xml:space="preserve">   porque ella se lo buscaba, porque una niña buena, una mujer  buena,  está</w:t>
        <w:br/>
        <w:t xml:space="preserve">   en su casa”[223].</w:t>
        <w:br/>
        <w:br/>
        <w:br/>
        <w:t>199. La madre de la joven González indicó que cuando acudieron  a  presentar</w:t>
        <w:br/>
        <w:t xml:space="preserve">   el reporte de desaparición, un funcionario habría dicho a una amiga de su</w:t>
        <w:br/>
        <w:t xml:space="preserve">   hija que “seguro se había ido con el novio, porque las muchachas eran muy</w:t>
        <w:br/>
        <w:t xml:space="preserve">   ‘voladas’ y se les aventaban a los hombres”[224]. La madre también señaló</w:t>
        <w:br/>
        <w:t xml:space="preserve">   que cuando fueron a poner la denuncia le dijeron que “a lo mejor  se  fue</w:t>
        <w:br/>
        <w:t xml:space="preserve">   con el novio, que a lo mejor al rato regresaba”[225].</w:t>
        <w:br/>
        <w:br/>
        <w:br/>
        <w:t>200. Por su parte, la madre  de  la  joven  Ramos  indicó  que  los  agentes</w:t>
        <w:br/>
        <w:t xml:space="preserve">   policiales le dijeron que ella tenía que buscar a su hija  porque  “todas</w:t>
        <w:br/>
        <w:t xml:space="preserve">   las niñas que se pierden, todas […] se van con el novio o  quieren  vivir</w:t>
        <w:br/>
        <w:t xml:space="preserve">   su vida solas”[226]. Agregó que en una ocasión  solicitó  a  los  agentes</w:t>
        <w:br/>
        <w:t xml:space="preserve">   policiales para que la acompañaran a un salón de baile a buscar a su hija</w:t>
        <w:br/>
        <w:t xml:space="preserve">   y que ellos le habrían dicho  “no  señora,  es  muy  tarde,  nosotros  ya</w:t>
        <w:br/>
        <w:t xml:space="preserve">   tenemos que ir a descansar y usted espere el momento en que le toque para</w:t>
        <w:br/>
        <w:t xml:space="preserve">   buscar a Laura”, y palmeando su espalda habrían manifestado: “vaya  usted</w:t>
        <w:br/>
        <w:t xml:space="preserve">   para que se relaje, tómese unas heladas a nuestra salud, porque  nosotros</w:t>
        <w:br/>
        <w:t xml:space="preserve">   no podemos acompañarla”[227].</w:t>
        <w:br/>
        <w:br/>
        <w:br/>
        <w:t>201. El Estado no controvirtió estas declaraciones  de  las  madres  de  las</w:t>
        <w:br/>
        <w:t xml:space="preserve">   víctimas.</w:t>
        <w:br/>
        <w:br/>
        <w:br/>
        <w:t>202. De otra parte, el testimonio de la señora  Delgadillo  Pérez,  respecto</w:t>
        <w:br/>
        <w:t xml:space="preserve">   al desempeño de las autoridades en el presente  caso,  indica  que  “[s]e</w:t>
        <w:br/>
        <w:t xml:space="preserve">   determina[ba] la responsabilidad o no de la víctima, de  acuerdo  al  rol</w:t>
        <w:br/>
        <w:t xml:space="preserve">   social que a juicio del investigador tenía en la  sociedad.  Esto  quiere</w:t>
        <w:br/>
        <w:t xml:space="preserve">   decir que si la mujer asesinada le gustaba divertirse,  salir  a  bailar,</w:t>
        <w:br/>
        <w:t xml:space="preserve">   tenía amigos y una vida social, es considerada en parte, como responsable</w:t>
        <w:br/>
        <w:t xml:space="preserve">   por lo  que  sucedió”[228].  Según  la  testigo  “[e]n  ese  entonces  la</w:t>
        <w:br/>
        <w:t xml:space="preserve">   autoridad estigmatizaba a las víctimas de desaparición por  el  hecho  de</w:t>
        <w:br/>
        <w:t xml:space="preserve">   ser mujeres”, siendo el pretexto que “andaban con el novio” o “andaban de</w:t>
        <w:br/>
        <w:t xml:space="preserve">   locas”, “[s]e llegó también a culpar a las madres por  permitir  que  sus</w:t>
        <w:br/>
        <w:t xml:space="preserve">   hijas anduvieran solas o que salieran por la noche”[229].</w:t>
        <w:br/>
        <w:br/>
        <w:br/>
        <w:t>203. La Corte resalta que el testimonio de la señora Delgadillo  Pérez,  así</w:t>
        <w:br/>
        <w:t xml:space="preserve">   como las declaraciones de  las  madres  y  familiares  de  las  víctimas,</w:t>
        <w:br/>
        <w:t xml:space="preserve">   concuerdan con el contexto descrito por diversas instancias nacionales  e</w:t>
        <w:br/>
        <w:t xml:space="preserve">   internacionales, en el cual funcionarios y  autoridades  “minimizaban  el</w:t>
        <w:br/>
        <w:t xml:space="preserve">   problema” y denotaban “ausencia de  interés  y  vocación  por  atender  y</w:t>
        <w:br/>
        <w:t xml:space="preserve">   remediar una problemática social grave” (supra párr. 154).</w:t>
        <w:br/>
        <w:br/>
        <w:br/>
        <w:t>204. Los  representantes  relacionan  los  comentarios  efectuados  por  los</w:t>
        <w:br/>
        <w:t xml:space="preserve">   funcionarios que atendieron los casos con una política que, al momento de</w:t>
        <w:br/>
        <w:t xml:space="preserve">   los hechos, distinguiría entre “desapariciones de alto  riesgo”  y  otras</w:t>
        <w:br/>
        <w:t xml:space="preserve">   que no lo eran.</w:t>
        <w:br/>
        <w:br/>
        <w:br/>
        <w:t>205. Amnistía Internacional señaló que “en  el  año  2001  la  PGJECH  había</w:t>
        <w:br/>
        <w:t xml:space="preserve">   puesto en práctica el criterio de ‘desapariciones de alto riesgo’, basado</w:t>
        <w:br/>
        <w:t xml:space="preserve">   únicamente en el comportamiento de la víctima. Si la  mujer  desaparecida</w:t>
        <w:br/>
        <w:t xml:space="preserve">   era una persona con una rutina estable, ésta podría  ser  candidata  para</w:t>
        <w:br/>
        <w:t xml:space="preserve">   este tipo de búsqueda. Este criterio resultó altamente discriminatorio  y</w:t>
        <w:br/>
        <w:t xml:space="preserve">   poco funcional ya  que  para  el  año  2003,  solo  existía  un  caso  de</w:t>
        <w:br/>
        <w:t xml:space="preserve">   desaparición considerado como de alto riesgo”[230].</w:t>
        <w:br/>
        <w:br/>
        <w:br/>
        <w:t>206. En similar sentido la CNDH en el 2003  indicó  que  “[l]a  Procuraduría</w:t>
        <w:br/>
        <w:t xml:space="preserve">   del estado adoptó hace tres años el criterio de desapariciones  de  ‘alto</w:t>
        <w:br/>
        <w:t xml:space="preserve">   riesgo’, basado en que la joven antes de  desaparecer  tenía  una  rutina</w:t>
        <w:br/>
        <w:t xml:space="preserve">   estable  o  [no]  había  manifestado  su  voluntad  de  abandonar  a   su</w:t>
        <w:br/>
        <w:t xml:space="preserve">   familia”[231]. Asimismo, el CEDAW en el  2003  criticó  la  clasificación</w:t>
        <w:br/>
        <w:t xml:space="preserve">   entre las consideradas de “alto riesgo” y las que no lo son[232].</w:t>
        <w:br/>
        <w:br/>
        <w:br/>
        <w:t>207. De otra parte,  la  Corte  constata  que  el  formato  en  el  que  los</w:t>
        <w:br/>
        <w:t xml:space="preserve">   familiares denunciaban la desaparición  requería  información  sobre  las</w:t>
        <w:br/>
        <w:t xml:space="preserve">   “preferencias sexuales” de las víctimas[233].</w:t>
        <w:br/>
        <w:br/>
        <w:br/>
        <w:t>208. El  Tribunal  considera  que  en  el  presente  caso,  los  comentarios</w:t>
        <w:br/>
        <w:t xml:space="preserve">   efectuados por funcionarios en el sentido de que las víctimas se  habrían</w:t>
        <w:br/>
        <w:t xml:space="preserve">   ido con su novio o que tendrían una vida reprochable y la utilización  de</w:t>
        <w:br/>
        <w:t xml:space="preserve">   preguntas en torno a la preferencia sexual de  las  víctimas  constituyen</w:t>
        <w:br/>
        <w:t xml:space="preserve">   estereotipos. De otra parte, tanto las actitudes como  las  declaraciones</w:t>
        <w:br/>
        <w:t xml:space="preserve">   de los funcionarios demuestran que existía, por  lo  menos,  indiferencia</w:t>
        <w:br/>
        <w:t xml:space="preserve">   hacia los familiares de las víctimas y sus denuncias.</w:t>
        <w:br/>
        <w:br/>
        <w:br/>
        <w:br/>
        <w:br/>
        <w:br/>
        <w:t xml:space="preserve">      2.5.  Hallazgo de los cuerpos</w:t>
        <w:br/>
        <w:br/>
        <w:br/>
        <w:t>209. El 6 de noviembre de 2001 se encontraron los cuerpos  de  tres  mujeres</w:t>
        <w:br/>
        <w:t xml:space="preserve">   en un campo algodonero[234]. Estas  tres  mujeres  fueron  posteriormente</w:t>
        <w:br/>
        <w:t xml:space="preserve">   identificadas como las  jóvenes  Ramos,  González  y  Herrera.  El  7  de</w:t>
        <w:br/>
        <w:t xml:space="preserve">   noviembre de 2001, en un lugar cercano dentro del mismo campo algodonero,</w:t>
        <w:br/>
        <w:t xml:space="preserve">   fueron encontrados los cuerpos de otras cinco  mujeres[235],  quienes  no</w:t>
        <w:br/>
        <w:t xml:space="preserve">   son consideradas presuntas víctimas en el presente caso, por los  motivos</w:t>
        <w:br/>
        <w:t xml:space="preserve">   expuestos en la Resolución del Tribunal de 19 de enero de 2009[236].</w:t>
        <w:br/>
        <w:br/>
        <w:br/>
        <w:t>210. La Comisión y los representantes manifestaron que los  cuerpos  de  las</w:t>
        <w:br/>
        <w:t xml:space="preserve">   jóvenes  Herrera,  González  y  Ramos  fueron  objeto  de  un  particular</w:t>
        <w:br/>
        <w:t xml:space="preserve">   ensañamiento por parte  de  los  perpetradores  de  los  homicidios.  Los</w:t>
        <w:br/>
        <w:t xml:space="preserve">   representantes añadieron que “[l]a forma en que  fueron  encontrados  los</w:t>
        <w:br/>
        <w:t xml:space="preserve">   cuerpos [de las tres víctimas] sugiere que fueron violadas y abusadas con</w:t>
        <w:br/>
        <w:t xml:space="preserve">   extrema crueldad”.</w:t>
        <w:br/>
        <w:br/>
        <w:br/>
        <w:t>211. El Estado alegó que  el  certificado  de  autopsia  concluyó  que  “los</w:t>
        <w:br/>
        <w:t xml:space="preserve">   fenómenos cadavéricos iniciales ya no eran apreciables en [los] cuerpo[s]</w:t>
        <w:br/>
        <w:t xml:space="preserve">   por el transcurso del tiempo  y  por  la  acción  ambiental  sobre  [los]</w:t>
        <w:br/>
        <w:t xml:space="preserve">   mismo[s] (contractura muscular post-mortem y livideces  cadavéricas),  lo</w:t>
        <w:br/>
        <w:t xml:space="preserve">   que implicaba que el grado de descomposición era tan elevado que  inhibía</w:t>
        <w:br/>
        <w:t xml:space="preserve">   científicamente  un  análisis  pormenorizado  y,   por   lo   tanto,   el</w:t>
        <w:br/>
        <w:t xml:space="preserve">   establecimiento de la causa de muerte”. México enfatizó que el “estado de</w:t>
        <w:br/>
        <w:t xml:space="preserve">   descomposición de los cuerpos (cuestión de orden natural [que] no [le es]</w:t>
        <w:br/>
        <w:t xml:space="preserve">   atribuible”) impidió “determinar la causa de la muerte”. Asimismo, señaló</w:t>
        <w:br/>
        <w:t xml:space="preserve">   que la “primera  acción  de  la  Procuraduría  General  de  Justicia  fue</w:t>
        <w:br/>
        <w:t xml:space="preserve">   determinar la naturaleza de las muertes,  tomando  en  consideración  las</w:t>
        <w:br/>
        <w:t xml:space="preserve">   condiciones en que fueron encontrados los cuerpos”.</w:t>
        <w:br/>
        <w:br/>
        <w:br/>
        <w:t>212. De la prueba aportada se desprende que el 6 de noviembre de  2001,  día</w:t>
        <w:br/>
        <w:t xml:space="preserve">   en que fueron encontrados los cadáveres de las tres  presuntas  víctimas,</w:t>
        <w:br/>
        <w:t xml:space="preserve">   se dictó acta de levantamiento de los cuerpos[237] y  fe  ministerial  de</w:t>
        <w:br/>
        <w:t xml:space="preserve">   lugar y de cadáveres[238], y además se les practicó las  correspondientes</w:t>
        <w:br/>
        <w:t xml:space="preserve">   autopsias, cuyos certificados se expidieron el  9  de  noviembre  de  ese</w:t>
        <w:br/>
        <w:t xml:space="preserve">   mismo año[239]. De estos documentos consta la siguiente información:</w:t>
        <w:br/>
        <w:br/>
        <w:br/>
        <w:t xml:space="preserve">     a) respecto de Esmeralda Herrera Monreal, vestía blusa desgarrada[240]</w:t>
        <w:br/>
        <w:t xml:space="preserve">        en el lado superior derecho y brassier,  ambas  prendas  levantadas</w:t>
        <w:br/>
        <w:t xml:space="preserve">        por encima de la  región  pectoral,  así  como  calcetines  blancos</w:t>
        <w:br/>
        <w:t xml:space="preserve">        desgarrados. El estado de conservación del cuerpo  era  incompleto,</w:t>
        <w:br/>
        <w:t xml:space="preserve">        encontrándose en una posición decúbito dorsal,  con  su  extremidad</w:t>
        <w:br/>
        <w:t xml:space="preserve">        cefálica en dirección al oriente, sus  extremidades  inferiores  en</w:t>
        <w:br/>
        <w:t xml:space="preserve">        dirección opuesta y  flexionadas,  mientras  que  sus  extremidades</w:t>
        <w:br/>
        <w:t xml:space="preserve">        superiores se encontraban unidas entre sí en la región lumbar,  con</w:t>
        <w:br/>
        <w:t xml:space="preserve">        un cordón negro el cual daba dos vueltas en cada  muñeca,  con  dos</w:t>
        <w:br/>
        <w:t xml:space="preserve">        nudos en la muñeca derecha y tres en la mano izquierda.  El  cordón</w:t>
        <w:br/>
        <w:t xml:space="preserve">        rodeaba el cuerpo en su  totalidad  por  la  región  abdominal.  Al</w:t>
        <w:br/>
        <w:t xml:space="preserve">        retirarse el cordón se apreciaron marcas equimóticas  alrededor  de</w:t>
        <w:br/>
        <w:t xml:space="preserve">        las muñecas. La piel presentaba coloración de violácea a  negruzca.</w:t>
        <w:br/>
        <w:t xml:space="preserve">        El cráneo y el cuello  se  presentaron  descarnados,  así  como  la</w:t>
        <w:br/>
        <w:t xml:space="preserve">        región clavicular derecha, hombro derecho, tercio superior de brazo</w:t>
        <w:br/>
        <w:t xml:space="preserve">        derecho y la región pectoral derecha. El cráneo presentaba  algunos</w:t>
        <w:br/>
        <w:t xml:space="preserve">        cabellos adheridos. Ausencia de región  mamaria  derecha.  Ausencia</w:t>
        <w:br/>
        <w:t xml:space="preserve">        parcial de partes del pezón de la región mamaria  izquierda.  Ambas</w:t>
        <w:br/>
        <w:t xml:space="preserve">        manos presentaban desprendimiento de la piel a este nivel en  forma</w:t>
        <w:br/>
        <w:t xml:space="preserve">        de guante. El cadáver presentaba fauna cadavérica. Bajo el  cráneo,</w:t>
        <w:br/>
        <w:t xml:space="preserve">        sobre el  piso  de  tierra,  se  encontró  una  mancha  rojiza.  Se</w:t>
        <w:br/>
        <w:t xml:space="preserve">        estableció causa de la muerte  indeterminada  y  el  tiempo  de  la</w:t>
        <w:br/>
        <w:t xml:space="preserve">        muerte de 8 a 12 días;</w:t>
        <w:br/>
        <w:br/>
        <w:br/>
        <w:t xml:space="preserve">     b) en cuanto  a  Claudia  Ivette  González,  vestía  blusa  blanca  de</w:t>
        <w:br/>
        <w:t xml:space="preserve">        tirantes y brassier de color claro. Su estado de  conservación  era</w:t>
        <w:br/>
        <w:t xml:space="preserve">        incompleto. Se encontraba en una posición decúbito lateral derecho,</w:t>
        <w:br/>
        <w:t xml:space="preserve">        con la extremidad cefálica  apuntando  hacia  el  oriente,  de  las</w:t>
        <w:br/>
        <w:t xml:space="preserve">        extremidades superiores la  derecha  por  debajo  del  tórax  y  la</w:t>
        <w:br/>
        <w:t xml:space="preserve">        izquierda semi flexionada y  separada  del  cuerpo.  La  extremidad</w:t>
        <w:br/>
        <w:t xml:space="preserve">        inferior derecha extendida y hacia el lado opuesto de la extremidad</w:t>
        <w:br/>
        <w:t xml:space="preserve">        cefálica y la izquierda flexionada a la altura del  pliegue  de  la</w:t>
        <w:br/>
        <w:t xml:space="preserve">        rodilla.  Presencia  de  vegetación  propia   del   lugar.   Cráneo</w:t>
        <w:br/>
        <w:t xml:space="preserve">        descarnado con escasa presencia de  cuero  cabelludo.  Ausencia  de</w:t>
        <w:br/>
        <w:t xml:space="preserve">        tejido  en  cuello  y  tórax.  Se  establece  causa  de  la  muerte</w:t>
        <w:br/>
        <w:t xml:space="preserve">        indeterminada y el tiempo de la muerte de 4 a 5 semanas, y</w:t>
        <w:br/>
        <w:br/>
        <w:br/>
        <w:t xml:space="preserve">     c) en relación con el cuerpo de Laura Berenice Ramos Monárrez,  vestía</w:t>
        <w:br/>
        <w:t xml:space="preserve">        blusa blanca de tirantes de cuello en  V  y  brassier  color  negro</w:t>
        <w:br/>
        <w:t xml:space="preserve">        colocados ambos por encima de la región mamaria y se  observaba  en</w:t>
        <w:br/>
        <w:t xml:space="preserve">        el pezón derecho herida plana de 5 mm  que  cercenó  la  punta  del</w:t>
        <w:br/>
        <w:t xml:space="preserve">        mismo. El estado de conservación  del  cuerpo  era  incompleto.  Se</w:t>
        <w:br/>
        <w:t xml:space="preserve">        encontraba en posición decúbito dorsal con la  extremidad  cefálica</w:t>
        <w:br/>
        <w:t xml:space="preserve">        apuntando hacia el sur, las extremidades  inferiores  en  dirección</w:t>
        <w:br/>
        <w:t xml:space="preserve">        contraria y las superiores extendidas por encima de  la  extremidad</w:t>
        <w:br/>
        <w:t xml:space="preserve">        cefálica.  Presentaba  acartonamiento  en  la   piel.   El   cráneo</w:t>
        <w:br/>
        <w:t xml:space="preserve">        descarnado  en  su  parte  posterior.  Cabello  escaso  con  cortes</w:t>
        <w:br/>
        <w:t xml:space="preserve">        irregulares. Se encontraba cubierto de vegetación propia del lugar.</w:t>
        <w:br/>
        <w:t xml:space="preserve">        Se establece causa de la muerte indeterminada y  el  tiempo  de  la</w:t>
        <w:br/>
        <w:t xml:space="preserve">        muerte de 4 a 6 semanas[241].</w:t>
        <w:br/>
        <w:br/>
        <w:br/>
        <w:t>213. El 2 de febrero  de  2002  los  peritos  de  campo  que  realizaron  el</w:t>
        <w:br/>
        <w:t xml:space="preserve">   levantamiento de los cadáveres en noviembre de 2001 emitieron un dictamen</w:t>
        <w:br/>
        <w:t xml:space="preserve">   criminalístico[242] en el que indicaron,  inter  alia,  que  “es  posible</w:t>
        <w:br/>
        <w:t xml:space="preserve">   establecer que la[s] agresi[ones] fueron  perpetradas  en  el  lugar  del</w:t>
        <w:br/>
        <w:t xml:space="preserve">   levantamiento”. Agregaron que pese a que no fue posible mediante autopsia</w:t>
        <w:br/>
        <w:t xml:space="preserve">   de ley determinar que hubo violación sexual, “debido a las condiciones de</w:t>
        <w:br/>
        <w:t xml:space="preserve">   semi desnudez en las que se […] encontra[ron], es posible establecer  con</w:t>
        <w:br/>
        <w:t xml:space="preserve">   alto grado de probabilidad que se  trata  de  […]  crímen[es]  de  índole</w:t>
        <w:br/>
        <w:t xml:space="preserve">   sexual”.</w:t>
        <w:br/>
        <w:br/>
        <w:br/>
        <w:t>214. Específicamente, respecto de la joven Herrera, concluyeron  que  “[p]or</w:t>
        <w:br/>
        <w:t xml:space="preserve">   el grado de dificultad que se apreciaba en el amarre que  presentaba  […]</w:t>
        <w:br/>
        <w:t xml:space="preserve">   de la cintura a sus extremidades superiores, [era] posible establecer que</w:t>
        <w:br/>
        <w:t xml:space="preserve">   […] llegó maniatada al lugar  de  los  hechos”;  que  en  relación  a  la</w:t>
        <w:br/>
        <w:t xml:space="preserve">   ausencia de tejido blando desde el tórax hasta la extremidad cefálica era</w:t>
        <w:br/>
        <w:t xml:space="preserve">   “posible establecer que […] presentaba alguna lesión en dichas  regiones,</w:t>
        <w:br/>
        <w:t xml:space="preserve">   que le causar[on] la muerte”, y que era “factible suponer  que  la  causa</w:t>
        <w:br/>
        <w:t xml:space="preserve">   del deceso fuera por estrangulamiento”.</w:t>
        <w:br/>
        <w:br/>
        <w:br/>
        <w:t>215. En cuanto a la joven Ramos, los peritos concluyeron que en base  a  los</w:t>
        <w:br/>
        <w:t xml:space="preserve">   hematomas que se apreciaron en  diferentes  tejidos  óseos  era  “posible</w:t>
        <w:br/>
        <w:t xml:space="preserve">   establecer que […] fue severamente golpeada antes de su deceso”.</w:t>
        <w:br/>
        <w:br/>
        <w:br/>
        <w:t>216. En relación con dictamenes criminalísticos realizados  por  peritos  de</w:t>
        <w:br/>
        <w:t xml:space="preserve">   campo, el 9 de julio de 2003 el Director  de  Medicina  Forense  hizo  de</w:t>
        <w:br/>
        <w:t xml:space="preserve">   conocimiento del Juzgado Séptimo Penal que “un perito  en  criminalística</w:t>
        <w:br/>
        <w:t xml:space="preserve">   de  campo  no  se  encuentra  capacitado   para   determinar   cuestiones</w:t>
        <w:br/>
        <w:t xml:space="preserve">   estrictamente médicas, como lo es determinar la causa  de  la  muerte  de</w:t>
        <w:br/>
        <w:t xml:space="preserve">   cada uno de los cadáveres que se mencionan en las  diferentes  fojas  del</w:t>
        <w:br/>
        <w:t xml:space="preserve">   expediente […], así como tampoco es posible que  […]  determine  la  data</w:t>
        <w:br/>
        <w:t xml:space="preserve">   estimada del fallecimiento de cada  uno,  esto  corresponde  al  área  de</w:t>
        <w:br/>
        <w:t xml:space="preserve">   medicina legal”[243].</w:t>
        <w:br/>
        <w:br/>
        <w:br/>
        <w:t>217. En la resolución de la Sala Cuarta del Tribunal  de  Chihuahua  emitida</w:t>
        <w:br/>
        <w:t xml:space="preserve">   el 14  de  julio  de  2005  se  estableció,  en  referencia  al  dictamen</w:t>
        <w:br/>
        <w:t xml:space="preserve">   criminalístico (supra párr. 213), que los “peritos hablan de probabilidad</w:t>
        <w:br/>
        <w:t xml:space="preserve">   y éstas no son más que suposiciones, conjeturas, las que por su  carácter</w:t>
        <w:br/>
        <w:t xml:space="preserve">   de índole subjetivo […] no son,  en  este  caso,  medios  adecuados  para</w:t>
        <w:br/>
        <w:t xml:space="preserve">   llegar   a   la   verdad   histórica   y   legal   de   los    verdaderos</w:t>
        <w:br/>
        <w:t xml:space="preserve">   acontecimientos”[244].</w:t>
        <w:br/>
        <w:br/>
        <w:br/>
        <w:t>218. El 18 de noviembre de 2005 el Equipo Argentino de Antropología  Forense</w:t>
        <w:br/>
        <w:t xml:space="preserve">   (EAAF)  realizó  una  segunda  autopsia  de  los  restos  de   la   joven</w:t>
        <w:br/>
        <w:t xml:space="preserve">   Herrera[245]. Dicho equipo estableció que la autopsia realizada el  6  de</w:t>
        <w:br/>
        <w:t xml:space="preserve">   noviembre de 2001 (supra párr. 212) no  tuvo  en  cuenta  los  principios</w:t>
        <w:br/>
        <w:t xml:space="preserve">   generales en los que debe basarse una correcta  necropsia  médico  legal,</w:t>
        <w:br/>
        <w:t xml:space="preserve">   por lo que “[a]l carecer de estas normas no se arriba a los objetivos  de</w:t>
        <w:br/>
        <w:t xml:space="preserve">   una autopsia médico legal […]. Inclusive en algún punto de  su  redacción</w:t>
        <w:br/>
        <w:t xml:space="preserve">   lleva a […]  confusión  [y  c]arece  de  la  profundidad  necesaria  para</w:t>
        <w:br/>
        <w:t xml:space="preserve">   realizar un diagnóstico diferido  al  no  ser  completa  la  necropsia  y</w:t>
        <w:br/>
        <w:t xml:space="preserve">   carecer de estudios complementarios”.  El  EAAF  concluyó  que  “[d]e  la</w:t>
        <w:br/>
        <w:t xml:space="preserve">   lectura de [la] autopsia no se pueden sacar conclusiones válidas,  dad[a]</w:t>
        <w:br/>
        <w:t xml:space="preserve">   la pobre descripción de los  exámenes  interno  y  externo,  los  cuales,</w:t>
        <w:br/>
        <w:t xml:space="preserve">   hubiesen permitido establecer una hipótesis fundada de  la  causa  de  la</w:t>
        <w:br/>
        <w:t xml:space="preserve">   muerte”. Respecto de la joven Ramos, la  familia  sólo  contaba  con  una</w:t>
        <w:br/>
        <w:t xml:space="preserve">   clavícula, ya que habían incinerado los  demás  restos,  por  lo  que  la</w:t>
        <w:br/>
        <w:t xml:space="preserve">   entregaron al EAAF para que confirmaran su identidad[246]. Los restos  de</w:t>
        <w:br/>
        <w:t xml:space="preserve">   la joven González no fueron incluidos en los casos a  reexaminar  por  el</w:t>
        <w:br/>
        <w:t xml:space="preserve">   EAAF ante la negativa de los familiares[247].</w:t>
        <w:br/>
        <w:br/>
        <w:br/>
        <w:t>219.  A  pesar  de  las  deficiencias  en  las  primeras   etapas   de   las</w:t>
        <w:br/>
        <w:t xml:space="preserve">   investigaciones, especialmente en el procedimiento para la realización de</w:t>
        <w:br/>
        <w:t xml:space="preserve">   las autopsias -a las que el Tribunal se referirá en detalle más adelante-</w:t>
        <w:br/>
        <w:t xml:space="preserve">   es posible concluir que Esmeralda Herrera Monreal, al estar maniatada  en</w:t>
        <w:br/>
        <w:t xml:space="preserve">   la espalda, desnuda en la parte inferior del cuerpo, con  la  camiseta  y</w:t>
        <w:br/>
        <w:t xml:space="preserve">   brassier por encima de la zona pectoral, sin región mamaria derecha y con</w:t>
        <w:br/>
        <w:t xml:space="preserve">   daños en  partes  del  pezón  izquierdo  (supra  párr.  212),  sufrió  un</w:t>
        <w:br/>
        <w:t xml:space="preserve">   ensañamiento tal que le  debió  causar  severos  sufrimientos  físicos  y</w:t>
        <w:br/>
        <w:t xml:space="preserve">   psíquicos en forma previa a su muerte.</w:t>
        <w:br/>
        <w:br/>
        <w:br/>
        <w:t>220. En cuanto a Laura Berenice Ramos Monárrez y  Claudia  Ivette  González,</w:t>
        <w:br/>
        <w:t xml:space="preserve">   no es posible para este Tribunal, por las señaladas deficiencias  en  las</w:t>
        <w:br/>
        <w:t xml:space="preserve">   primeras  etapas  de  las  investigaciones,  diferenciar  científicamente</w:t>
        <w:br/>
        <w:t xml:space="preserve">   cuáles signos fueron causados por agresión  y  cuáles  por  el  paso  del</w:t>
        <w:br/>
        <w:t xml:space="preserve">   tiempo. Por ello, la Corte  debe  tener  en  consideración  los  diversos</w:t>
        <w:br/>
        <w:t xml:space="preserve">   factores que se dieron respecto a la desaparición  de  las  víctimas.  En</w:t>
        <w:br/>
        <w:t xml:space="preserve">   concreto, que el  trato  sufrido  durante  el  tiempo  que  permanecieron</w:t>
        <w:br/>
        <w:t xml:space="preserve">   secuestradas antes de su muerte  con  toda  probabilidad  les  causó,  al</w:t>
        <w:br/>
        <w:t xml:space="preserve">   menos, un sufrimiento psicológico  agudo,  y  que  muy  posiblemente  los</w:t>
        <w:br/>
        <w:t xml:space="preserve">   hechos acaecidos antes de su muerte, al  igual  que  en  el  caso  de  la</w:t>
        <w:br/>
        <w:t xml:space="preserve">   Esmeralda Herrera Monreal, tuvieron un móvil  sexual,  pues  las  jóvenes</w:t>
        <w:br/>
        <w:t xml:space="preserve">   fueron encontradas semi desnudas en la parte inferior del cuerpo y  Laura</w:t>
        <w:br/>
        <w:t xml:space="preserve">   Berenice Ramos Monárrez con la blusa y el brassier levantadas por  encima</w:t>
        <w:br/>
        <w:t xml:space="preserve">   de los senos (supra párr. 212). Lo anterior se une al  hecho  de  que  en</w:t>
        <w:br/>
        <w:t xml:space="preserve">   Ciudad Juárez, al momento de la desaparición de  las  víctimas,  existían</w:t>
        <w:br/>
        <w:t xml:space="preserve">   numerosos casos análogos al presente en los que las  mujeres  presentaban</w:t>
        <w:br/>
        <w:t xml:space="preserve">   signos de “violencia sexual” (supra párrs. 116 y 117).</w:t>
        <w:br/>
        <w:br/>
        <w:br/>
        <w:t>221. Las tres víctimas estuvieron  privadas  de  su  libertad  antes  de  su</w:t>
        <w:br/>
        <w:t xml:space="preserve">   muerte. Por las deficiencias en los certificados de autopsia, el Tribunal</w:t>
        <w:br/>
        <w:t xml:space="preserve">   no puede determinar con certeza cuanto tiempo duró su secuestro.</w:t>
        <w:br/>
        <w:br/>
        <w:br/>
        <w:br/>
        <w:br/>
        <w:br/>
        <w:t xml:space="preserve">      3.    La violencia contra la mujer en el presente caso</w:t>
        <w:br/>
        <w:br/>
        <w:br/>
        <w:t>222. La Comisión y los representantes se refirieron  a  lo  vivido  por  las</w:t>
        <w:br/>
        <w:t xml:space="preserve">   jóvenes González, Ramos y Herrera como “violencia contra la  mujer”.  Los</w:t>
        <w:br/>
        <w:t xml:space="preserve">   representantes alegaron que “los asesinatos del presente  caso  coinciden</w:t>
        <w:br/>
        <w:t xml:space="preserve">   en su infinita crueldad, y son crímenes de  odio  contra  estas  niñas  y</w:t>
        <w:br/>
        <w:t xml:space="preserve">   mujeres juarenses, crímenes misóginos acunados en una  enorme  tolerancia</w:t>
        <w:br/>
        <w:t xml:space="preserve">   -e impulso social y estatal- a la violencia genérica contra las mujeres”.</w:t>
        <w:br/>
        <w:br/>
        <w:br/>
        <w:t>223. El Estado reconoció “[l]a situación de violencia  contra  la  mujer  en</w:t>
        <w:br/>
        <w:t xml:space="preserve">   Ciudad  Juárez  […]  como  un  problema  que  debe  combatirse  en  forma</w:t>
        <w:br/>
        <w:t xml:space="preserve">   integral”.</w:t>
        <w:br/>
        <w:br/>
        <w:br/>
        <w:t>224. Antes de analizar la posible responsabilidad internacional  del  Estado</w:t>
        <w:br/>
        <w:t xml:space="preserve">   en este caso, la Corte considera pertinente establecer  si  la  violencia</w:t>
        <w:br/>
        <w:t xml:space="preserve">   que sufrieron las tres víctimas  constituye  violencia  contra  la  mujer</w:t>
        <w:br/>
        <w:t xml:space="preserve">   según la Convención Americana y la Convención Belém do Pará.</w:t>
        <w:br/>
        <w:br/>
        <w:br/>
        <w:t>225. En el caso Penal Castro Castro vs. Perú, la Corte se refirió a  algunos</w:t>
        <w:br/>
        <w:t xml:space="preserve">   alcances del artículo 5 de  la  Convención  Americana  en  cuanto  a  los</w:t>
        <w:br/>
        <w:t xml:space="preserve">   aspectos específicos de violencia  contra  la  mujer,  considerando  como</w:t>
        <w:br/>
        <w:t xml:space="preserve">   referencia  de  interpretación  las  disposiciones  pertinentes   de   la</w:t>
        <w:br/>
        <w:t xml:space="preserve">   Convención Belém do Pará y la Convención sobre Eliminación de  todas  las</w:t>
        <w:br/>
        <w:t xml:space="preserve">   Formas de Discriminación contra  la  Mujer,  ya  que  estos  instrumentos</w:t>
        <w:br/>
        <w:t xml:space="preserve">   complementan el corpus juris internacional en materia de protección de la</w:t>
        <w:br/>
        <w:t xml:space="preserve">   integridad personal de las mujeres, del cual forma  parte  la  Convención</w:t>
        <w:br/>
        <w:t xml:space="preserve">   Americana[248].</w:t>
        <w:br/>
        <w:br/>
        <w:br/>
        <w:t>226. La Convención Belém do Pará define la violencia contra  la  mujer  como</w:t>
        <w:br/>
        <w:t xml:space="preserve">   “cualquier acción o conducta, basada en su género, que cause muerte, daño</w:t>
        <w:br/>
        <w:t xml:space="preserve">   o sufrimiento físico, sexual o psicológico a la mujer, tanto en el ámbito</w:t>
        <w:br/>
        <w:t xml:space="preserve">   público como en el privado”[249].</w:t>
        <w:br/>
        <w:br/>
        <w:br/>
        <w:t>227. Esta Corte ha establecido “que no toda violación de un  derecho  humano</w:t>
        <w:br/>
        <w:t xml:space="preserve">   cometida en perjuicio de una mujer conlleva necesariamente una  violación</w:t>
        <w:br/>
        <w:t xml:space="preserve">   de las disposiciones de la Convención de Belém do Pará”[250].</w:t>
        <w:br/>
        <w:br/>
        <w:br/>
        <w:t>228. En el  presente  caso,  la  Corte  toma  nota,  en  primer  lugar,  del</w:t>
        <w:br/>
        <w:t xml:space="preserve">   reconocimiento del Estado con respecto a la situación de violencia contra</w:t>
        <w:br/>
        <w:t xml:space="preserve">   la mujer en Ciudad Juárez (supra párr. 222), así como su señalamiento con</w:t>
        <w:br/>
        <w:t xml:space="preserve">   respecto a que los homicidios de mujeres en Ciudad Juárez “se  encuentran</w:t>
        <w:br/>
        <w:t xml:space="preserve">   influenciados por una cultura de discriminación contra la  mujer”  (supra</w:t>
        <w:br/>
        <w:t xml:space="preserve">   párr. 129).</w:t>
        <w:br/>
        <w:br/>
        <w:br/>
        <w:t>229. En segundo lugar, el Tribunal observa lo establecido supra (párr.  133)</w:t>
        <w:br/>
        <w:t xml:space="preserve">   en cuanto a que los informes de la Relatoría de la CIDH, del CEDAW  y  de</w:t>
        <w:br/>
        <w:t xml:space="preserve">   Amnistía Internacional, entre otros, señalan que muchos de los homicidios</w:t>
        <w:br/>
        <w:t xml:space="preserve">   de mujeres en Ciudad Juárez son manifestaciones de  violencia  basada  en</w:t>
        <w:br/>
        <w:t xml:space="preserve">   género.</w:t>
        <w:br/>
        <w:br/>
        <w:br/>
        <w:t>230. En tercer lugar, las tres víctimas de este caso eran  mujeres  jóvenes,</w:t>
        <w:br/>
        <w:t xml:space="preserve">   de escasos recursos, trabajadoras  o  estudiantes,  como  muchas  de  las</w:t>
        <w:br/>
        <w:t xml:space="preserve">   víctimas de los homicidios en Ciudad Juárez (supra párr. 123). Las mismas</w:t>
        <w:br/>
        <w:t xml:space="preserve">   fueron  hechas  desaparecer  y  sus  cuerpos  aparecieron  en  un   campo</w:t>
        <w:br/>
        <w:t xml:space="preserve">   algodonero. Se ha tenido como probado  que  sufrieron  graves  agresiones</w:t>
        <w:br/>
        <w:t xml:space="preserve">   físicas y muy probablemente violencia sexual de algún tipo  antes  de  su</w:t>
        <w:br/>
        <w:t xml:space="preserve">   muerte.</w:t>
        <w:br/>
        <w:br/>
        <w:br/>
        <w:t>231. Todo esto lleva a la Corte a concluir que las jóvenes  González,  Ramos</w:t>
        <w:br/>
        <w:t xml:space="preserve">   y  Herrera  fueron  víctimas  de  violencia  contra  la  mujer  según  la</w:t>
        <w:br/>
        <w:t xml:space="preserve">   Convención Americana y la  Convención  Belém  do  Pará.  Por  los  mismos</w:t>
        <w:br/>
        <w:t xml:space="preserve">   motivos, el Tribunal considera que los homicidios de las víctimas  fueron</w:t>
        <w:br/>
        <w:t xml:space="preserve">   por razones de género y están enmarcados dentro de un reconocido contexto</w:t>
        <w:br/>
        <w:t xml:space="preserve">   de violencia contra la mujer en Ciudad Juárez. Corresponde ahora analizar</w:t>
        <w:br/>
        <w:t xml:space="preserve">   si la violencia perpetrada contra  las  víctimas,  que  terminó  con  sus</w:t>
        <w:br/>
        <w:t xml:space="preserve">   vidas, es atribuible al Estado.</w:t>
        <w:br/>
        <w:br/>
        <w:br/>
        <w:br/>
        <w:br/>
        <w:br/>
        <w:t xml:space="preserve">      4.    Deber de respeto, garantía y no discriminación de  los  derechos</w:t>
        <w:br/>
        <w:t xml:space="preserve">           consagrados en los artículos 4, 5 y 7 de la Convención Americana</w:t>
        <w:br/>
        <w:t xml:space="preserve">           y acceso a la justicia conforme a los artículos 8  y  25  de  la</w:t>
        <w:br/>
        <w:t xml:space="preserve">           misma</w:t>
        <w:br/>
        <w:br/>
        <w:br/>
        <w:t>232. La Comisión Interamericana no alegó la violación de los artículos  5  y</w:t>
        <w:br/>
        <w:t xml:space="preserve">   7 de la Convención en perjuicio de las víctimas. Teniendo esto en cuenta,</w:t>
        <w:br/>
        <w:t xml:space="preserve">   la Corte reitera que las presuntas víctimas y sus  representantes  pueden</w:t>
        <w:br/>
        <w:t xml:space="preserve">   invocar la violación de otros derechos distintos a los ya comprendidos en</w:t>
        <w:br/>
        <w:t xml:space="preserve">   la  demanda,  en  tanto  son  ellos  titulares  de  todos  los   derechos</w:t>
        <w:br/>
        <w:t xml:space="preserve">   consagrados en la Convención, mientras ello se atenga  a  los  hechos  ya</w:t>
        <w:br/>
        <w:t xml:space="preserve">   contenidos en la demanda[251], la que constituye  el  marco  fáctico  del</w:t>
        <w:br/>
        <w:t xml:space="preserve">   proceso[252]. Por otra parte, el momento para que las presuntas  víctimas</w:t>
        <w:br/>
        <w:t xml:space="preserve">   o sus representantes ejerzan plenamente aquel derecho de locus standi  in</w:t>
        <w:br/>
        <w:t xml:space="preserve">   judicio es el escrito de solicitudes, argumentos y pruebas[253].</w:t>
        <w:br/>
        <w:br/>
        <w:br/>
        <w:t>233. En el presente caso, los alegatos de los representantes relativos a  la</w:t>
        <w:br/>
        <w:t xml:space="preserve">   supuesta violación de los  artículos  5  y  7  de  la  Convención  fueron</w:t>
        <w:br/>
        <w:t xml:space="preserve">   sometidos al Tribunal en su escrito de  solicitudes  y  argumentos  y  se</w:t>
        <w:br/>
        <w:t xml:space="preserve">   basan en hechos contemplados en la demanda de la Comisión. Por  ello,  la</w:t>
        <w:br/>
        <w:t xml:space="preserve">   Corte los analizará.</w:t>
        <w:br/>
        <w:br/>
        <w:br/>
        <w:t>234. El Tribunal ha establecido que, de acuerdo con el artículo  1.1  de  la</w:t>
        <w:br/>
        <w:t xml:space="preserve">   Convención, los Estados están  obligados  a  respetar  y  garantizar  los</w:t>
        <w:br/>
        <w:t xml:space="preserve">   derechos humanos reconocidos en ella.  La  responsabilidad  internacional</w:t>
        <w:br/>
        <w:t xml:space="preserve">   del Estado se funda en actos u omisiones de cualquier poder u  órgano  de</w:t>
        <w:br/>
        <w:t xml:space="preserve">   éste, independientemente  de  su  jerarquía,  que  violen  la  Convención</w:t>
        <w:br/>
        <w:t xml:space="preserve">   Americana[254].</w:t>
        <w:br/>
        <w:br/>
        <w:br/>
        <w:t>235. En cuanto al deber de respeto, la Corte ha  sostenido  que  la  primera</w:t>
        <w:br/>
        <w:t xml:space="preserve">   obligación asumida por los Estados Partes, en  los  términos  del  citado</w:t>
        <w:br/>
        <w:t xml:space="preserve">   artículo, es la de "respetar los derechos y libertades" reconocidos en la</w:t>
        <w:br/>
        <w:t xml:space="preserve">   Convención.  Así,  en  la  protección  de  los  derechos  humanos,   está</w:t>
        <w:br/>
        <w:t xml:space="preserve">   necesariamente comprendida la noción de la restricción al  ejercicio  del</w:t>
        <w:br/>
        <w:t xml:space="preserve">   poder estatal[255].</w:t>
        <w:br/>
        <w:br/>
        <w:br/>
        <w:t>236. Sobre la obligación de garantía la Corte ha establecido que  puede  ser</w:t>
        <w:br/>
        <w:t xml:space="preserve">   cumplida de diferentes maneras, en función del derecho específico que  el</w:t>
        <w:br/>
        <w:t xml:space="preserve">   Estado  deba  garantizar   y   de   las   particulares   necesidades   de</w:t>
        <w:br/>
        <w:t xml:space="preserve">   protección[256]. Esta obligación implica  el  deber  de  los  Estados  de</w:t>
        <w:br/>
        <w:t xml:space="preserve">   organizar  todo  el  aparato  gubernamental  y,  en  general,  todas  las</w:t>
        <w:br/>
        <w:t xml:space="preserve">   estructuras a través de las cuales se manifiesta el ejercicio  del  poder</w:t>
        <w:br/>
        <w:t xml:space="preserve">   público, de manera tal que sean  capaces  de  asegurar  jurídicamente  el</w:t>
        <w:br/>
        <w:t xml:space="preserve">   libre y pleno ejercicio de los derechos humanos[257]. Como parte de dicha</w:t>
        <w:br/>
        <w:t xml:space="preserve">   obligación,  el  Estado  está  en  el  deber   jurídico   de   “prevenir,</w:t>
        <w:br/>
        <w:t xml:space="preserve">   razonablemente, las violaciones de los derechos  humanos,  de  investigar</w:t>
        <w:br/>
        <w:t xml:space="preserve">   seriamente con los medios a su  alcance  las  violaciones  que  se  hayan</w:t>
        <w:br/>
        <w:t xml:space="preserve">   cometido dentro del ámbito de su jurisdicción a fin de identificar a  los</w:t>
        <w:br/>
        <w:t xml:space="preserve">   responsables, de imponerles las sanciones pertinentes y de asegurar a  la</w:t>
        <w:br/>
        <w:t xml:space="preserve">   víctima una adecuada reparación”[258]. Lo decisivo es dilucidar  “si  una</w:t>
        <w:br/>
        <w:t xml:space="preserve">   determinada violación […] ha tenido lugar con el apoyo  o  la  tolerancia</w:t>
        <w:br/>
        <w:t xml:space="preserve">   del poder público o si éste ha actuado de manera que  la  trasgresión  se</w:t>
        <w:br/>
        <w:t xml:space="preserve">   haya cumplido en defecto de toda prevención o impunemente”[259].</w:t>
        <w:br/>
        <w:br/>
        <w:br/>
        <w:t>237. Corresponde entonces al Tribunal verificar si México  cumplió  con  sus</w:t>
        <w:br/>
        <w:t xml:space="preserve">   obligaciones de  respetar  y  garantizar  los  derechos  a  la  vida,  la</w:t>
        <w:br/>
        <w:t xml:space="preserve">   integridad personal y a la libertad personal  de  las  jóvenes  González,</w:t>
        <w:br/>
        <w:t xml:space="preserve">   Ramos y Herrera.</w:t>
        <w:br/>
        <w:br/>
        <w:br/>
        <w:br/>
        <w:br/>
        <w:br/>
        <w:t xml:space="preserve">      4.1.  Deber de respeto</w:t>
        <w:br/>
        <w:br/>
        <w:br/>
        <w:t>238. La Comisión alegó que “en el presente caso […] todavía no  se  sabe  si</w:t>
        <w:br/>
        <w:t xml:space="preserve">   los asesinos son particulares o agentes  estatales,  dado  que  los  tres</w:t>
        <w:br/>
        <w:t xml:space="preserve">   casos siguen en la impunidad”.</w:t>
        <w:br/>
        <w:br/>
        <w:br/>
        <w:t>239. Según los representantes, “de acuerdo con lo que se  desprende  de  los</w:t>
        <w:br/>
        <w:t xml:space="preserve">   testimonios, en los casos de Laura Berenice y Claudia Ivette  las  madres</w:t>
        <w:br/>
        <w:t xml:space="preserve">   habían señalado algún tipo de relación entre  agentes  del  Estado  y  la</w:t>
        <w:br/>
        <w:t xml:space="preserve">   desaparición de sus  hijas”.  En  particular,  señalaron  que  la  señora</w:t>
        <w:br/>
        <w:t xml:space="preserve">   Monárrez testificó en el 2003 que al momento de los hechos su hija  tenía</w:t>
        <w:br/>
        <w:t xml:space="preserve">   relación con un policía judicial, pero  que  el  Estado  no  lo  llamó  a</w:t>
        <w:br/>
        <w:t xml:space="preserve">   declarar hasta el 2007.</w:t>
        <w:br/>
        <w:br/>
        <w:br/>
        <w:t>240. De otra parte, los representantes señalaron que “[s]i bien  no  tenemos</w:t>
        <w:br/>
        <w:t xml:space="preserve">   elementos de prueba directos, a  lo  largo  del  presente  escrito  hemos</w:t>
        <w:br/>
        <w:t xml:space="preserve">   manifestado algunas circunstancias que el Estado no ha logrado aclarar” y</w:t>
        <w:br/>
        <w:t xml:space="preserve">   que mantienen el caso en la impunidad. Según  los  representantes,  dicha</w:t>
        <w:br/>
        <w:t xml:space="preserve">   impunidad “lleva a  plantear  dos  hipótesis  en  cuanto  a  los  autores</w:t>
        <w:br/>
        <w:t xml:space="preserve">   materiales de la desaparición, tortura y asesinato de Esmeralda, Laura  y</w:t>
        <w:br/>
        <w:t xml:space="preserve">   Claudia:  a)  Los  autores  eran  agentes  de  la  autoridad  o  b)  Eran</w:t>
        <w:br/>
        <w:t xml:space="preserve">   particulares organizados protegidos desde el Estado”.</w:t>
        <w:br/>
        <w:br/>
        <w:br/>
        <w:t>241. El Estado negó que hubiera responsabilidad de  agentes  del  Estado  en</w:t>
        <w:br/>
        <w:t xml:space="preserve">   los homicidios de las víctimas.</w:t>
        <w:br/>
        <w:br/>
        <w:br/>
        <w:t>242. Tanto la Comisión como los representantes hacen alusión  a  la  posible</w:t>
        <w:br/>
        <w:t xml:space="preserve">   participación de agentes estatales sin proporcionar prueba  al  respecto,</w:t>
        <w:br/>
        <w:t xml:space="preserve">   más allá de la declaración de la señora Monárrez[260]. El hecho de que la</w:t>
        <w:br/>
        <w:t xml:space="preserve">   impunidad en el presente caso impida conocer  si  los  perpetradores  son</w:t>
        <w:br/>
        <w:t xml:space="preserve">   agentes estatales o particulares actuando con su apoyo y  tolerancia,  no</w:t>
        <w:br/>
        <w:t xml:space="preserve">   puede llevar a este Tribunal a presumir  que  sí  lo  fueron  y  condenar</w:t>
        <w:br/>
        <w:t xml:space="preserve">   automáticamente al Estado por el incumplimiento del deber de respeto. Por</w:t>
        <w:br/>
        <w:t xml:space="preserve">   tanto, no se puede atribuir al Estado responsabilidad  internacional  por</w:t>
        <w:br/>
        <w:t xml:space="preserve">   violaciones a los derechos sustantivos consagrados en los artículos 4,  5</w:t>
        <w:br/>
        <w:t xml:space="preserve">   y 7 de la Convención Americana.</w:t>
        <w:br/>
        <w:br/>
        <w:br/>
        <w:br/>
        <w:br/>
        <w:br/>
        <w:t xml:space="preserve">      4.2.  Deber de garantía</w:t>
        <w:br/>
        <w:br/>
        <w:br/>
        <w:t>243. La Corte reitera que no basta que los Estados se  abstengan  de  violar</w:t>
        <w:br/>
        <w:t xml:space="preserve">   los derechos, sino que es imperativa la adopción  de  medidas  positivas,</w:t>
        <w:br/>
        <w:t xml:space="preserve">   determinables en función de las particulares  necesidades  de  protección</w:t>
        <w:br/>
        <w:t xml:space="preserve">   del sujeto de derecho,  ya  sea  por  su  condición  personal  o  por  la</w:t>
        <w:br/>
        <w:t xml:space="preserve">   situación específica en que se encuentre[261].</w:t>
        <w:br/>
        <w:br/>
        <w:br/>
        <w:t>244. Los derechos a la vida y a la integridad personal revisten un  carácter</w:t>
        <w:br/>
        <w:t xml:space="preserve">   esencial en la Convención.  De  conformidad  con  el  artículo  27.2  del</w:t>
        <w:br/>
        <w:t xml:space="preserve">   referido tratado, esos derechos forman parte del núcleo inderogable, pues</w:t>
        <w:br/>
        <w:t xml:space="preserve">   no pueden ser suspendidos en casos de guerra,  peligro  público  u  otras</w:t>
        <w:br/>
        <w:t xml:space="preserve">   amenazas.</w:t>
        <w:br/>
        <w:br/>
        <w:br/>
        <w:t>245. Asimismo, el Tribunal ha establecido que el derecho a la vida juega  un</w:t>
        <w:br/>
        <w:t xml:space="preserve">   papel fundamental en la Convención  Americana,  por  ser  el  presupuesto</w:t>
        <w:br/>
        <w:t xml:space="preserve">   esencial para el ejercicio de los demás derechos. Los Estados  tienen  la</w:t>
        <w:br/>
        <w:t xml:space="preserve">   obligación de garantizar la creación de las condiciones que se  requieran</w:t>
        <w:br/>
        <w:t xml:space="preserve">   para que no se produzcan violaciones de ese  derecho  inalienable  y,  en</w:t>
        <w:br/>
        <w:t xml:space="preserve">   particular, el deber de impedir que sus agentes  atenten  contra  él.  La</w:t>
        <w:br/>
        <w:t xml:space="preserve">   observancia del artículo  4,  relacionado  con  el  artículo  1.1  de  la</w:t>
        <w:br/>
        <w:t xml:space="preserve">   Convención Americana, no sólo presupone que ninguna persona  sea  privada</w:t>
        <w:br/>
        <w:t xml:space="preserve">   de  su  vida  arbitrariamente  (obligación  negativa),  sino  que  además</w:t>
        <w:br/>
        <w:t xml:space="preserve">   requiere que los  Estados  adopten  todas  las  medidas  apropiadas  para</w:t>
        <w:br/>
        <w:t xml:space="preserve">   proteger y preservar el derecho a  la  vida  (obligación  positiva)[262],</w:t>
        <w:br/>
        <w:t xml:space="preserve">   conforme al deber de  garantizar  el  pleno  y  libre  ejercicio  de  los</w:t>
        <w:br/>
        <w:t xml:space="preserve">   derechos de todas las personas bajo su jurisdicción[263].</w:t>
        <w:br/>
        <w:br/>
        <w:br/>
        <w:t>246. Respecto de la obligación de garantizar el  derecho  reconocido  en  el</w:t>
        <w:br/>
        <w:t xml:space="preserve">   artículo 5 de la Convención Americana, ésta implica el deber  del  Estado</w:t>
        <w:br/>
        <w:t xml:space="preserve">   de prevenir e  investigar  posibles  actos  de  tortura  u  otros  tratos</w:t>
        <w:br/>
        <w:t xml:space="preserve">   crueles, inhumanos o degradantes. Al respecto, el  Tribunal  ha  señalado</w:t>
        <w:br/>
        <w:t xml:space="preserve">   que</w:t>
        <w:br/>
        <w:br/>
        <w:br/>
        <w:t xml:space="preserve">      a la luz de la obligación general de garantizar a toda persona bajo su</w:t>
        <w:br/>
        <w:t xml:space="preserve">      jurisdicción  los  derechos  humanos  consagrados  en  la  Convención,</w:t>
        <w:br/>
        <w:t xml:space="preserve">      establecida en el artículo 1.1 de la misma, en conjunto con el derecho</w:t>
        <w:br/>
        <w:t xml:space="preserve">      a la  integridad  personal  conforme  al  artículo  5  (Derecho  a  la</w:t>
        <w:br/>
        <w:t xml:space="preserve">      Integridad Personal) de dicho tratado, existe la obligación estatal de</w:t>
        <w:br/>
        <w:t xml:space="preserve">      iniciar de oficio e  inmediatamente  una  investigación  efectiva  que</w:t>
        <w:br/>
        <w:t xml:space="preserve">      permita identificar, juzgar y sancionar  a  los  responsables,  cuando</w:t>
        <w:br/>
        <w:t xml:space="preserve">      existe denuncia o razón fundada para creer que se ha cometido un  acto</w:t>
        <w:br/>
        <w:t xml:space="preserve">      de tortura[264].</w:t>
        <w:br/>
        <w:br/>
        <w:br/>
        <w:t>247. En lo que se refiere al artículo 7.1 de la Convención,  esta  Corte  ha</w:t>
        <w:br/>
        <w:t xml:space="preserve">   sostenido que éste  consagra  en  términos  generales  el  derecho  a  la</w:t>
        <w:br/>
        <w:t xml:space="preserve">   libertad y seguridad y que los demás numerales del artículo  7  reconocen</w:t>
        <w:br/>
        <w:t xml:space="preserve">   diversas garantías que deben darse a la hora de privar a  alguien  de  su</w:t>
        <w:br/>
        <w:t xml:space="preserve">   libertad. De ahí se explica que la forma en que  la  legislación  interna</w:t>
        <w:br/>
        <w:t xml:space="preserve">   afecta al derecho a la libertad es característicamente  negativa,  cuando</w:t>
        <w:br/>
        <w:t xml:space="preserve">   permite que se prive o  restrinja  la  libertad.  Siendo,  por  ello,  la</w:t>
        <w:br/>
        <w:t xml:space="preserve">   libertad siempre la regla  y  la  limitación  o  restricción  siempre  la</w:t>
        <w:br/>
        <w:t xml:space="preserve">   excepción[265]. Consecuentemente, el Estado debe prevenir que la libertad</w:t>
        <w:br/>
        <w:t xml:space="preserve">   de los  individuos  se  vea  menoscabada  por  la  actuación  de  agentes</w:t>
        <w:br/>
        <w:t xml:space="preserve">   estatales y terceros particulares, así como investigar  y  sancionar  los</w:t>
        <w:br/>
        <w:t xml:space="preserve">   actos violatorios de este derecho.</w:t>
        <w:br/>
        <w:br/>
        <w:br/>
        <w:t>248.  Corresponde  ahora  al  Tribunal  analizar  si   el   Estado   previno</w:t>
        <w:br/>
        <w:t xml:space="preserve">   adecuadamente la desaparición, vejámenes y muerte sufridas por  las  tres</w:t>
        <w:br/>
        <w:t xml:space="preserve">   víctimas y si investigó  las  mismas  con  debida  diligencia.  En  otras</w:t>
        <w:br/>
        <w:t xml:space="preserve">   palabras, si cumplió con el deber de garantía de los artículos 4, 5  y  7</w:t>
        <w:br/>
        <w:t xml:space="preserve">   de la Convención Americana, conforme al artículo 1.1 de  la  misma  y  al</w:t>
        <w:br/>
        <w:t xml:space="preserve">   artículo 7 de la Convención Belém do  Pará,  que  complementa  el  corpus</w:t>
        <w:br/>
        <w:t xml:space="preserve">   juris internacional en materia de prevención y sanción  de  la  violencia</w:t>
        <w:br/>
        <w:t xml:space="preserve">   contra la mujer[266], y si  permitió  un  acceso  a  la  justicia  a  los</w:t>
        <w:br/>
        <w:t xml:space="preserve">   familiares de las tres víctimas, conforme lo estipulan los artículos  8.1</w:t>
        <w:br/>
        <w:t xml:space="preserve">   y 25.1 de la Convención Americana, en relación con los artículos 1.1 y  2</w:t>
        <w:br/>
        <w:t xml:space="preserve">   de la misma.</w:t>
        <w:br/>
        <w:br/>
        <w:br/>
        <w:br/>
        <w:br/>
        <w:br/>
        <w:t xml:space="preserve">           4.2.1.     Deber de prevención de los  derechos  a  la  libertad</w:t>
        <w:br/>
        <w:t xml:space="preserve">                    personal, integridad personal y vida de las víctimas</w:t>
        <w:br/>
        <w:br/>
        <w:br/>
        <w:t>249. La Comisión alegó que el Estado  “no  adoptó  medidas  razonables  para</w:t>
        <w:br/>
        <w:t xml:space="preserve">   proteger la vida y prevenir los asesinatos” de las víctimas “aunque tenía</w:t>
        <w:br/>
        <w:t xml:space="preserve">   conocimiento del riesgo inminente que corrían de ser asesinadas por haber</w:t>
        <w:br/>
        <w:t xml:space="preserve">   sido reportadas como desaparecidas a la fecha de los hechos”. En  similar</w:t>
        <w:br/>
        <w:t xml:space="preserve">   sentido, señaló que la información aportada  por  el  Estado  durante  el</w:t>
        <w:br/>
        <w:t xml:space="preserve">   trámite ante ella “no indica que  se  implementaron  normas  y  prácticas</w:t>
        <w:br/>
        <w:t xml:space="preserve">   orientadas  a  garantizar  una  orden  de  búsqueda  inmediata  ante  las</w:t>
        <w:br/>
        <w:t xml:space="preserve">   denuncias de desaparición, o que existieran  disposiciones  sancionadoras</w:t>
        <w:br/>
        <w:t xml:space="preserve">   ante una deficiente respuesta de  funcionarios  estatales  frente  a  las</w:t>
        <w:br/>
        <w:t xml:space="preserve">   mismas”.</w:t>
        <w:br/>
        <w:br/>
        <w:br/>
        <w:t>250. Los representantes señalaron que “las autoridades mexicanas al  momento</w:t>
        <w:br/>
        <w:t xml:space="preserve">   de que ocurrieron las desapariciones de las víctimas tenían  conocimiento</w:t>
        <w:br/>
        <w:t xml:space="preserve">   de que existía un riesgo  real  e  inmediato  para  la  vida  de  estas”,</w:t>
        <w:br/>
        <w:t xml:space="preserve">   “[d]ebido a que, los casos aquí expuestos  forman  parte  del  patrón  de</w:t>
        <w:br/>
        <w:t xml:space="preserve">   violencia contra mujeres y  niñas,  y  el  Estado  no  tomó  las  medidas</w:t>
        <w:br/>
        <w:t xml:space="preserve">   necesarias con la debida diligencia para evitarlo”.</w:t>
        <w:br/>
        <w:br/>
        <w:br/>
        <w:t>251. El Estado alegó que “ha cumplido con sus  obligaciones  de  prevención,</w:t>
        <w:br/>
        <w:t xml:space="preserve">   investigación y sanción en cada uno de los casos”.</w:t>
        <w:br/>
        <w:br/>
        <w:br/>
        <w:t>252. La Corte ha  establecido  que  el  deber  de  prevención  abarca  todas</w:t>
        <w:br/>
        <w:t xml:space="preserve">   aquellas  medidas  de  carácter  jurídico,  político,  administrativo   y</w:t>
        <w:br/>
        <w:t xml:space="preserve">   cultural que promuevan la salvaguarda  de  los  derechos  humanos  y  que</w:t>
        <w:br/>
        <w:t xml:space="preserve">   aseguren que las eventuales violaciones a los mismos  sean  efectivamente</w:t>
        <w:br/>
        <w:t xml:space="preserve">   consideradas  y  tratadas  como  un  hecho  ilícito  que,  como  tal,  es</w:t>
        <w:br/>
        <w:t xml:space="preserve">   susceptible de acarrear sanciones para quien  las  cometa,  así  como  la</w:t>
        <w:br/>
        <w:t xml:space="preserve">   obligación  de  indemnizar  a  las   víctimas   por   sus   consecuencias</w:t>
        <w:br/>
        <w:t xml:space="preserve">   perjudiciales. Es claro, a su vez, que la obligación de  prevenir  es  de</w:t>
        <w:br/>
        <w:t xml:space="preserve">   medio o comportamiento y no se demuestra su incumplimiento  por  el  mero</w:t>
        <w:br/>
        <w:t xml:space="preserve">   hecho de que un derecho haya sido violado[267].</w:t>
        <w:br/>
        <w:br/>
        <w:br/>
        <w:t>253. La Convención Belém do Pará define la violencia contra la mujer  (supra</w:t>
        <w:br/>
        <w:t xml:space="preserve">   párr. 226) y en su artículo 7.b obliga a los Estados Partes a utilizar la</w:t>
        <w:br/>
        <w:t xml:space="preserve">   debida diligencia para prevenir, sancionar y erradicar dicha violencia.</w:t>
        <w:br/>
        <w:br/>
        <w:br/>
        <w:t>254. Desde 1992 el CEDAW estableció que  “los  Estados  también  pueden  ser</w:t>
        <w:br/>
        <w:t xml:space="preserve">   responsables de actos privados si no adoptan medidas  con  la  diligencia</w:t>
        <w:br/>
        <w:t xml:space="preserve">   debida para impedir la violación de los  derechos  o  para  investigar  y</w:t>
        <w:br/>
        <w:t xml:space="preserve">   castigar los actos de violencia e indemnizar  a  las  víctimas”[268].  En</w:t>
        <w:br/>
        <w:t xml:space="preserve">   1993 la Declaración sobre la eliminación de la violencia contra la  mujer</w:t>
        <w:br/>
        <w:t xml:space="preserve">   de la Asamblea General de las Naciones  Unidas  instó  a  los  Estados  a</w:t>
        <w:br/>
        <w:t xml:space="preserve">   “[p]roceder con la debida diligencia a fin  de  prevenir,  investigar  y,</w:t>
        <w:br/>
        <w:t xml:space="preserve">   conforme a la legislación  nacional,  castigar  todo  acto  de  violencia</w:t>
        <w:br/>
        <w:t xml:space="preserve">   contra la mujer, ya se trate de actos perpetrados por  el  Estado  o  por</w:t>
        <w:br/>
        <w:t xml:space="preserve">   particulares”[269] y  lo  mismo  hizo  la  Plataforma  de  Acción  de  la</w:t>
        <w:br/>
        <w:t xml:space="preserve">   Conferencia Mundial sobre  la  Mujer  de  Beijing[270].  En  el  2006  la</w:t>
        <w:br/>
        <w:t xml:space="preserve">   Relatora Especial sobre violencia contra la mujer de la  ONU  señaló  que</w:t>
        <w:br/>
        <w:t xml:space="preserve">   “[t]omando como base la práctica y la opinio juris […] se puede  concluir</w:t>
        <w:br/>
        <w:t xml:space="preserve">   que hay una norma del derecho internacional consuetudinario que obliga  a</w:t>
        <w:br/>
        <w:t xml:space="preserve">   los Estados a prevenir y responder con la debida diligencia a  los  actos</w:t>
        <w:br/>
        <w:t xml:space="preserve">   de violencia contra la mujer”[271].</w:t>
        <w:br/>
        <w:br/>
        <w:br/>
        <w:t>255. En el caso Maria  Da  Penha  Vs.  Brasil  (2000),  presentado  por  una</w:t>
        <w:br/>
        <w:t xml:space="preserve">   víctima de violencia doméstica, la  Comisión  Interamericana  aplicó  por</w:t>
        <w:br/>
        <w:t xml:space="preserve">   primera vez la Convención Belém do Pará y decidió  que  el  Estado  había</w:t>
        <w:br/>
        <w:t xml:space="preserve">   menoscabado su obligación de ejercer la debida diligencia para  prevenir,</w:t>
        <w:br/>
        <w:t xml:space="preserve">   sancionar y erradicar la violencia doméstica, al no condenar y  sancionar</w:t>
        <w:br/>
        <w:t xml:space="preserve">   al victimario durante quince años pese a las reclamaciones  oportunamente</w:t>
        <w:br/>
        <w:t xml:space="preserve">   efectuadas[272]. La Comisión concluyó que dado  que  la  violación  forma</w:t>
        <w:br/>
        <w:t xml:space="preserve">   parte de un “patrón general de negligencia y  falta  de  efectividad  del</w:t>
        <w:br/>
        <w:t xml:space="preserve">   Estado”, no sólo se violaba la obligación de procesar  y  condenar,  sino</w:t>
        <w:br/>
        <w:t xml:space="preserve">   también la de prevenir estas prácticas degradantes[273].</w:t>
        <w:br/>
        <w:br/>
        <w:br/>
        <w:t>256. De otra parte, la Relatoría  Especial  sobre  la  violencia  contra  la</w:t>
        <w:br/>
        <w:t xml:space="preserve">   mujer de la ONU ha proporcionado  directrices  sobre  qué  medidas  deben</w:t>
        <w:br/>
        <w:t xml:space="preserve">   tomar los Estados para cumplir con sus  obligaciones  internacionales  de</w:t>
        <w:br/>
        <w:t xml:space="preserve">   debida diligencia en cuanto a prevención, a saber:  ratificación  de  los</w:t>
        <w:br/>
        <w:t xml:space="preserve">   instrumentos   internacionales    de    derechos    humanos;    garantías</w:t>
        <w:br/>
        <w:t xml:space="preserve">   constitucionales sobre la igualdad  de  la  mujer;  existencia  de  leyes</w:t>
        <w:br/>
        <w:t xml:space="preserve">   nacionales  y  sanciones  administrativas  que  proporcionen   reparación</w:t>
        <w:br/>
        <w:t xml:space="preserve">   adecuada a las mujeres víctimas de la violencia; políticas  o  planes  de</w:t>
        <w:br/>
        <w:t xml:space="preserve">   acción que se ocupen de la cuestión de  la  violencia  contra  la  mujer;</w:t>
        <w:br/>
        <w:t xml:space="preserve">   sensibilización del sistema de justicia penal y la policía  en  cuanto  a</w:t>
        <w:br/>
        <w:t xml:space="preserve">   cuestiones de género, accesibilidad  y  disponibilidad  de  servicios  de</w:t>
        <w:br/>
        <w:t xml:space="preserve">   apoyo; existencia de medidas para aumentar la sensibilización y modificar</w:t>
        <w:br/>
        <w:t xml:space="preserve">   las políticas discriminatorias en la esfera de  la  educación  y  en  los</w:t>
        <w:br/>
        <w:t xml:space="preserve">   medios de información, y reunión de datos y elaboración  de  estadísticas</w:t>
        <w:br/>
        <w:t xml:space="preserve">   sobre la violencia contra la mujer[274].</w:t>
        <w:br/>
        <w:br/>
        <w:br/>
        <w:t>257. Asimismo, según un Informe del Secretario General de la ONU:</w:t>
        <w:br/>
        <w:br/>
        <w:br/>
        <w:t xml:space="preserve">      Es una buena práctica hacer que el entorno físico sea seguro para  las</w:t>
        <w:br/>
        <w:t xml:space="preserve">      mujeres, y se han utilizado comunitarias auditorías de seguridad  para</w:t>
        <w:br/>
        <w:t xml:space="preserve">      detectar los lugares peligrosos, examinar los temores de las mujeres y</w:t>
        <w:br/>
        <w:t xml:space="preserve">      solicitar a las mujeres sus recomendaciones para mejorar su seguridad.</w:t>
        <w:br/>
        <w:t xml:space="preserve">      La prevención de la violencia contra la mujer  debe  ser  un  elemento</w:t>
        <w:br/>
        <w:t xml:space="preserve">      explícito en la planificación urbana y rural y en  el  diseño  de  los</w:t>
        <w:br/>
        <w:t xml:space="preserve">      edificios y residencias. Forma parte de  la  labor  de  prevención  el</w:t>
        <w:br/>
        <w:t xml:space="preserve">      mejoramiento de la seguridad del transporte público y los caminos  que</w:t>
        <w:br/>
        <w:t xml:space="preserve">      emplean las mujeres, por ejemplo hacia las  escuelas  e  instituciones</w:t>
        <w:br/>
        <w:t xml:space="preserve">      educacionales, los pozos, los campos y las fábricas[275].</w:t>
        <w:br/>
        <w:br/>
        <w:br/>
        <w:t>258. De todo lo  anterior,  se  desprende  que  los  Estados  deben  adoptar</w:t>
        <w:br/>
        <w:t xml:space="preserve">   medidas integrales para cumplir con la  debida  diligencia  en  casos  de</w:t>
        <w:br/>
        <w:t xml:space="preserve">   violencia contra las mujeres. En particular, deben contar con un adecuado</w:t>
        <w:br/>
        <w:t xml:space="preserve">   marco jurídico de protección, con una aplicación efectiva del mismo y con</w:t>
        <w:br/>
        <w:t xml:space="preserve">   políticas de prevención y prácticas que permitan  actuar  de  una  manera</w:t>
        <w:br/>
        <w:t xml:space="preserve">   eficaz ante las denuncias. La estrategia de prevención debe ser integral,</w:t>
        <w:br/>
        <w:t xml:space="preserve">   es decir, debe prevenir los factores de riesgo y a la vez fortalecer  las</w:t>
        <w:br/>
        <w:t xml:space="preserve">   instituciones para que puedan proporcionar una respuesta efectiva  a  los</w:t>
        <w:br/>
        <w:t xml:space="preserve">   casos de violencia contra la mujer. Asimismo, los Estados  deben  adoptar</w:t>
        <w:br/>
        <w:t xml:space="preserve">   medidas preventivas en casos específicos  en  los  que  es  evidente  que</w:t>
        <w:br/>
        <w:t xml:space="preserve">   determinadas mujeres y niñas pueden ser víctimas de violencia. Todo  esto</w:t>
        <w:br/>
        <w:t xml:space="preserve">   debe tomar en cuenta que en casos  de  violencia  contra  la  mujer,  los</w:t>
        <w:br/>
        <w:t xml:space="preserve">   Estados tienen, además de las obligaciones  genéricas  contenidas  en  la</w:t>
        <w:br/>
        <w:t xml:space="preserve">   Convención Americana, una obligación reforzada a partir de la  Convención</w:t>
        <w:br/>
        <w:t xml:space="preserve">   Belém do Pará. La Corte pasará ahora a analizar las medidas adoptadas por</w:t>
        <w:br/>
        <w:t xml:space="preserve">   el Estado hasta la fecha de los hechos del presente caso para cumplir con</w:t>
        <w:br/>
        <w:t xml:space="preserve">   su deber de prevención.</w:t>
        <w:br/>
        <w:br/>
        <w:br/>
        <w:t>259. El Estado alegó que “a partir  del  contexto  de  violencia  en  Ciudad</w:t>
        <w:br/>
        <w:t xml:space="preserve">   Juárez reconocido por las autoridades gubernamentales, se  tomaron  y  se</w:t>
        <w:br/>
        <w:t xml:space="preserve">   siguen adoptando, todas las medidas que se consideraron  necesarias  para</w:t>
        <w:br/>
        <w:t xml:space="preserve">   evitar que los hechos de violencia contra  las  mujeres  se  repitieran”.</w:t>
        <w:br/>
        <w:t xml:space="preserve">   Asimismo, señaló que ha quedado  demostrado  “el  fortalecimiento  de  la</w:t>
        <w:br/>
        <w:t xml:space="preserve">   capacidad y de la infraestructura  institucional  orientadas  a  que  las</w:t>
        <w:br/>
        <w:t xml:space="preserve">   investigaciones en  los  casos  de  violencia  contra  las  mujeres  sean</w:t>
        <w:br/>
        <w:t xml:space="preserve">   efectivas y representen un seguimiento judicial  consistente”,  así  como</w:t>
        <w:br/>
        <w:t xml:space="preserve">   “los amplios programas orientados a  erradicar  patrones  socioculturales</w:t>
        <w:br/>
        <w:t xml:space="preserve">   discriminatorios en contra de la  mujer,  como  políticas  integrales  de</w:t>
        <w:br/>
        <w:t xml:space="preserve">   prevención, programas de atención a víctimas  del  delito,  participación</w:t>
        <w:br/>
        <w:t xml:space="preserve">   ciudadana, y capacitación de funcionarios públicos”.</w:t>
        <w:br/>
        <w:br/>
        <w:br/>
        <w:t>260. La Comisión señaló que  existía  una  “ausencia  de  medidas  estatales</w:t>
        <w:br/>
        <w:t xml:space="preserve">   efectivas ante la desaparición y posterior muerte de las víctimas” y  que</w:t>
        <w:br/>
        <w:t xml:space="preserve">   “para la época en que ocurrieron los hechos, el Estado no había  adoptado</w:t>
        <w:br/>
        <w:t xml:space="preserve">   las políticas ni las  medidas  necesarias  para  garantizar  la  efectiva</w:t>
        <w:br/>
        <w:t xml:space="preserve">   prevención, investigación, y  sanción  de  hechos  violentos  contra  las</w:t>
        <w:br/>
        <w:t xml:space="preserve">   mujeres”.</w:t>
        <w:br/>
        <w:br/>
        <w:br/>
        <w:t>261. Los representantes alegaron de  manera  general  que  “ninguna  de  las</w:t>
        <w:br/>
        <w:t xml:space="preserve">   pocas acciones adoptadas por las autoridades desde 1993 hasta 2001 y  los</w:t>
        <w:br/>
        <w:t xml:space="preserve">   recursos económicos destinados pueden considerarse como medidas efectivas</w:t>
        <w:br/>
        <w:t xml:space="preserve">   para prevenir la violencia contra las mujeres y las niñas”.</w:t>
        <w:br/>
        <w:br/>
        <w:br/>
        <w:t>262. De la prueba allegada al Tribunal se desprende, en  primer  lugar,  que</w:t>
        <w:br/>
        <w:t xml:space="preserve">   México creó la Fiscalía Especial para la Investigación de  Homicidios  de</w:t>
        <w:br/>
        <w:t xml:space="preserve">   Mujeres en Ciudad Juárez de la Procuraduría de Justicia de Chihuahua  (en</w:t>
        <w:br/>
        <w:t xml:space="preserve">   adelante la “FEIHM”) en 1998[276], como respuesta a la Recomendación  No.</w:t>
        <w:br/>
        <w:t xml:space="preserve">   44/98 de la CNDH[277]. Según el Estado, dicha Fiscalía  fue  creada  como</w:t>
        <w:br/>
        <w:t xml:space="preserve">   “una primera respuesta al fenómeno de violencia  contra  las  mujeres  en</w:t>
        <w:br/>
        <w:t xml:space="preserve">   Ciudad Juárez”.</w:t>
        <w:br/>
        <w:br/>
        <w:br/>
        <w:t>263. Al respecto, el Informe de la Relatoría de la CIDH de 2003  señaló  que</w:t>
        <w:br/>
        <w:t xml:space="preserve">   según lo que informaron autoridades del estado de  Chihuahua  durante  la</w:t>
        <w:br/>
        <w:t xml:space="preserve">   visita de la Relatora en el  2002,  dicha  Fiscalía  “ha[bía]  puesto  en</w:t>
        <w:br/>
        <w:t xml:space="preserve">   marcha las medidas necesarias para  reaccionar  pronta  y  adecuadamente”</w:t>
        <w:br/>
        <w:t xml:space="preserve">   frente a los homicidios, estaba formada  por  agentes  “con  capacitación</w:t>
        <w:br/>
        <w:t xml:space="preserve">   especializada”, que la misma había sido “dotada de capacidad técnica para</w:t>
        <w:br/>
        <w:t xml:space="preserve">   responder más eficazmente  a  esos  delitos”,  que  se  habían  instalado</w:t>
        <w:br/>
        <w:t xml:space="preserve">   diversos sistemas de información y que cada uno  de  los  homicidios  “se</w:t>
        <w:br/>
        <w:t xml:space="preserve">   había  asignado  a  determinado  grupo  de  agentes  encargados   de   la</w:t>
        <w:br/>
        <w:t xml:space="preserve">   investigación en todas sus etapas,  para  evitar  el  posible  costo  que</w:t>
        <w:br/>
        <w:t xml:space="preserve">   implica la pérdida de  información  y  garantizar  la  integridad  de  la</w:t>
        <w:br/>
        <w:t xml:space="preserve">   investigación”[278].</w:t>
        <w:br/>
        <w:br/>
        <w:br/>
        <w:t>264. En cuanto a los logros de la FEIHM, destaca la respuesta del Estado  al</w:t>
        <w:br/>
        <w:t xml:space="preserve">   Informe del CEDAW en el 2005, en  la  cual  indicó  que  “su  instalación</w:t>
        <w:br/>
        <w:t xml:space="preserve">   generó un proceso de investigación que ha llevado  a  obtener  resultados</w:t>
        <w:br/>
        <w:t xml:space="preserve">   favorables y ha permitido la identificación, enjuiciamiento y sanción  de</w:t>
        <w:br/>
        <w:t xml:space="preserve">   los responsables en el 45.72% de los casos”[279]. Al respecto,  la  Corte</w:t>
        <w:br/>
        <w:t xml:space="preserve">   observa lo establecido previamente (supra párr. 159), en cuanto a que  en</w:t>
        <w:br/>
        <w:t xml:space="preserve">   el año 2005 alrededor de un 38% de los casos de homicidios de mujeres  en</w:t>
        <w:br/>
        <w:t xml:space="preserve">   Ciudad Juárez contaban  con  sentencias  condenatorias  o  sanciones.  En</w:t>
        <w:br/>
        <w:t xml:space="preserve">   segundo lugar, la Corte observa que en la misma respuesta del  Estado  al</w:t>
        <w:br/>
        <w:t xml:space="preserve">   Informe del CEDAW se precisa que la cifra  de  45.72%  de  sentencias  se</w:t>
        <w:br/>
        <w:t xml:space="preserve">   refiere a los delitos no sexuales, mientas que de los 92 delitos sexuales</w:t>
        <w:br/>
        <w:t xml:space="preserve">   documentados, sólo 4 habían recibido sentencia[280] (supra párr. 161).</w:t>
        <w:br/>
        <w:br/>
        <w:br/>
        <w:t>265. De otra parte,  la  FEIHM  tuvo  varios  fiscales  especiales[281],  la</w:t>
        <w:br/>
        <w:t xml:space="preserve">   mayoría con una permanencia de unos cuantos meses, y la  información  con</w:t>
        <w:br/>
        <w:t xml:space="preserve">   la que contaba era insuficiente para realizar un análisis integral  sobre</w:t>
        <w:br/>
        <w:t xml:space="preserve">   los homicidios y desapariciones ocurridos en Ciudad Juárez, así como  del</w:t>
        <w:br/>
        <w:t xml:space="preserve">   impacto de la FEIHM en dicha situación[282].</w:t>
        <w:br/>
        <w:br/>
        <w:br/>
        <w:t>266. Finalmente, según el Informe de la Relatoría de la CIDH del  año  2003,</w:t>
        <w:br/>
        <w:t xml:space="preserve">   “[l]a información disponible refleja que los esfuerzos  desplegados  para</w:t>
        <w:br/>
        <w:t xml:space="preserve">   mejorar la reacción frente a  esos  crímenes  a  través  de  la  Fiscalía</w:t>
        <w:br/>
        <w:t xml:space="preserve">   Especial han alcanzado algunos logros” y que “[c]iertamente, la situación</w:t>
        <w:br/>
        <w:t xml:space="preserve">   no es tan grave como en los primeros años, en que  en  algunos  casos  el</w:t>
        <w:br/>
        <w:t xml:space="preserve">   único  ‘expediente’  de  un  asesinato  consistía   en   una   bolsa   de</w:t>
        <w:br/>
        <w:t xml:space="preserve">   huesos”[283].</w:t>
        <w:br/>
        <w:br/>
        <w:br/>
        <w:t>267. También consta en el expediente ante la Corte que el  27  de  junio  de</w:t>
        <w:br/>
        <w:t xml:space="preserve">   1998 fue publicada en el Periódico Oficial de estado de Chihuahua la “Ley</w:t>
        <w:br/>
        <w:t xml:space="preserve">   Sobre el Sistema Estatal de Seguridad Pública” [284], pero el  Estado  no</w:t>
        <w:br/>
        <w:t xml:space="preserve">   proporcionó argumentos ni prueba sobre  cómo  esta  medida  contribuyó  a</w:t>
        <w:br/>
        <w:t xml:space="preserve">   prevenir, según lo alegado, que  “los  hechos  de  violencia  contra  las</w:t>
        <w:br/>
        <w:t xml:space="preserve">   mujeres se repitieran”.</w:t>
        <w:br/>
        <w:br/>
        <w:br/>
        <w:t>268. La Corte toma nota de que, según la Ley Orgánica  del  Poder  Ejecutivo</w:t>
        <w:br/>
        <w:t xml:space="preserve">   del estado de Chihuahua reformada en  1998  y  vigente  en  el  2001,  es</w:t>
        <w:br/>
        <w:t xml:space="preserve">   función de la Procuraduría General de Justicia del estado  “[d]ictar  las</w:t>
        <w:br/>
        <w:t xml:space="preserve">   medidas adecuadas para combatir y erradicar la violencia contra la  mujer</w:t>
        <w:br/>
        <w:t xml:space="preserve">   y   los    niños,    desarrollando    para    tal    efecto    mecanismos</w:t>
        <w:br/>
        <w:t xml:space="preserve">   institucionales”[285], así como “[o]torgar la protección que la ley prevé</w:t>
        <w:br/>
        <w:t xml:space="preserve">   a los derechos de las víctimas”[286].</w:t>
        <w:br/>
        <w:br/>
        <w:br/>
        <w:t>269. Asimismo, la Corte constata que a nivel federal se  creó  el  Instituto</w:t>
        <w:br/>
        <w:t xml:space="preserve">   Nacional de Mujeres (en adelante el “INMUJERES”), a  través  de  una  ley</w:t>
        <w:br/>
        <w:t xml:space="preserve">   publicada el 12 de enero de 2001 en el  Diario  Oficial[287].  Dicha  ley</w:t>
        <w:br/>
        <w:t xml:space="preserve">   estableció que el objeto general del INMUJERES es  “promover  y  fomentar</w:t>
        <w:br/>
        <w:t xml:space="preserve">   las condiciones que posibiliten la  no  discriminación,  la  igualdad  de</w:t>
        <w:br/>
        <w:t xml:space="preserve">   oportunidades y de trato entre los géneros; el ejercicio pleno  de  todos</w:t>
        <w:br/>
        <w:t xml:space="preserve">   los derechos de las mujeres y su  participación  equitativa  en  la  vida</w:t>
        <w:br/>
        <w:t xml:space="preserve">   política, cultural, económica y social del país”[288]. Sin  embargo,  las</w:t>
        <w:br/>
        <w:t xml:space="preserve">   actividades y programas del INMUJERES  señalados  en  el  expediente  son</w:t>
        <w:br/>
        <w:t xml:space="preserve">   posteriores al 2001, año de los homicidios de las víctimas, por lo que no</w:t>
        <w:br/>
        <w:t xml:space="preserve">   es aplicable al presente caso.</w:t>
        <w:br/>
        <w:br/>
        <w:br/>
        <w:t>270. México también hizo referencia a la creación en  1998  de  un  programa</w:t>
        <w:br/>
        <w:t xml:space="preserve">   piloto denominado “Programa de Atención a Víctimas del Delito” y  que  en</w:t>
        <w:br/>
        <w:t xml:space="preserve">   el 2000, como parte de dicho Programa, “se creó una base  de  datos  para</w:t>
        <w:br/>
        <w:t xml:space="preserve">   facilitar la búsqueda y  localización  de  personas  desaparecidas”.  Sin</w:t>
        <w:br/>
        <w:t xml:space="preserve">   embargo, la Corte observa que no cuenta con información pertinente en  el</w:t>
        <w:br/>
        <w:t xml:space="preserve">   expediente para valorar dichas iniciativas.</w:t>
        <w:br/>
        <w:br/>
        <w:br/>
        <w:t>271. Además, el Estado remitió como prueba un  informe  de  la  Procuraduría</w:t>
        <w:br/>
        <w:t xml:space="preserve">   General de Justicia del estado de Chihuahua presentado ante  la  Comisión</w:t>
        <w:br/>
        <w:t xml:space="preserve">   Interamericana en marzo del 2002, el cual señaló una  serie  de  acciones</w:t>
        <w:br/>
        <w:t xml:space="preserve">   adoptadas por parte  del  gobierno  estatal.  México  no  remitió  prueba</w:t>
        <w:br/>
        <w:t xml:space="preserve">   adicional sobre  las  diversas  medidas  señaladas  en  dicho  documento.</w:t>
        <w:br/>
        <w:t xml:space="preserve">   Asimismo,  el  Estado  no  profundizó  sobre  estas   acciones   en   sus</w:t>
        <w:br/>
        <w:t xml:space="preserve">   alegatos[289] ni brindó información específica como la fecha y lugares en</w:t>
        <w:br/>
        <w:t xml:space="preserve">   las que fueron implementadas, así como los resultados de las mismas. Esto</w:t>
        <w:br/>
        <w:t xml:space="preserve">   impide que la Corte pueda valorarlas.</w:t>
        <w:br/>
        <w:br/>
        <w:br/>
        <w:t>272. El Tribunal toma nota de que los informes de la Relatoría de la CIDH  y</w:t>
        <w:br/>
        <w:t xml:space="preserve">   de Amnistía Internacional, ambos del año 2003, hacían alusión a una serie</w:t>
        <w:br/>
        <w:t xml:space="preserve">   de medidas tomadas por el Estado que incluían la ampliación de  alumbrado</w:t>
        <w:br/>
        <w:t xml:space="preserve">   público, pavimentación de caminos, incremento de seguridad en  las  zonas</w:t>
        <w:br/>
        <w:t xml:space="preserve">   de alto riesgo, mejorar la selección de los conductores de autobuses  que</w:t>
        <w:br/>
        <w:t xml:space="preserve">   transportan trabajadores a toda hora, programas de control  más  estricto</w:t>
        <w:br/>
        <w:t xml:space="preserve">   del consumo de alcohol y la instalación  de  dos  líneas  telefónicas  de</w:t>
        <w:br/>
        <w:t xml:space="preserve">   urgencia[290]. Sin embargo, dichos informes no  proporcionan  las  fechas</w:t>
        <w:br/>
        <w:t xml:space="preserve">   cuando se llevaron a cabo estas medidas, por lo cual le es  imposible  al</w:t>
        <w:br/>
        <w:t xml:space="preserve">   Tribunal valorarlas como medidas de prevención adoptadas por México antes</w:t>
        <w:br/>
        <w:t xml:space="preserve">   del 2001.</w:t>
        <w:br/>
        <w:br/>
        <w:br/>
        <w:t>273. La Corte observa que informes nacionales  e  internacionales  coinciden</w:t>
        <w:br/>
        <w:t xml:space="preserve">   en que la prevención de los casos de  homicidios  de  mujeres  en  Ciudad</w:t>
        <w:br/>
        <w:t xml:space="preserve">   Juárez, así como  la  respuesta  frente  a  ellos,  ha  sido  ineficaz  e</w:t>
        <w:br/>
        <w:t xml:space="preserve">   insuficiente[291]. Según el Informe del CEDAW del 2005, no fue sino hasta</w:t>
        <w:br/>
        <w:t xml:space="preserve">   el 2003 y sobre todo como seguimiento al Informe de la  Relatoría  de  la</w:t>
        <w:br/>
        <w:t xml:space="preserve">   CIDH “que se empez[ó] a encarar de frente la  necesidad  de  un  programa</w:t>
        <w:br/>
        <w:t xml:space="preserve">   global  [e]  integrado,  con  distintas  y   complementarias   áreas   de</w:t>
        <w:br/>
        <w:t xml:space="preserve">   intervención”. El CEDAW concluyó que “[c]onsiderando que en  el  presente</w:t>
        <w:br/>
        <w:t xml:space="preserve">   hay una mayor voluntad política, sobretodo en las  estructuras  federales</w:t>
        <w:br/>
        <w:t xml:space="preserve">   […], no puede dejar de decirse que […] desde 1993 en lo que respe[c]ta  a</w:t>
        <w:br/>
        <w:t xml:space="preserve">   la prevención, la investigación y la sanción […], las políticas adoptadas</w:t>
        <w:br/>
        <w:t xml:space="preserve">   y las medidas tomadas han sido ineficaces y han  permitido  un  clima  de</w:t>
        <w:br/>
        <w:t xml:space="preserve">   impunidad”[292].</w:t>
        <w:br/>
        <w:br/>
        <w:br/>
        <w:t>274. Desde 1998 el Estado fue  advertido  públicamente  de  la  problemática</w:t>
        <w:br/>
        <w:t xml:space="preserve">   existente en Ciudad Juárez, por medio de la Recomendación No.  44  de  la</w:t>
        <w:br/>
        <w:t xml:space="preserve">   CNDH. En dicha Recomendación, la CNDH señaló que obtuvo argumentos:</w:t>
        <w:br/>
        <w:br/>
        <w:br/>
        <w:t xml:space="preserve">      que permiten señalar que las autoridades estatales  han  incurrido  en</w:t>
        <w:br/>
        <w:t xml:space="preserve">      una omisión culposa  al  observar  el  crecimiento  de  este  fenómeno</w:t>
        <w:br/>
        <w:t xml:space="preserve">      social, y no atenderlo, controlarlo o erradicarlo, ya que no  sólo  no</w:t>
        <w:br/>
        <w:t xml:space="preserve">      lo previeron ni previnieron sino que tampoco extremaron sus  cuidados;</w:t>
        <w:br/>
        <w:t xml:space="preserve">      y tomando coma referencia los  casos  de  mujeres  asesinadas  durante</w:t>
        <w:br/>
        <w:t xml:space="preserve">      1998, es una tendencia que de no  tomarse  de  inmediato  las  medidas</w:t>
        <w:br/>
        <w:t xml:space="preserve">      necesarias para prevenirlo y reprimirlo, al  parecer,  lamentablemente</w:t>
        <w:br/>
        <w:t xml:space="preserve">      rebasar[án] las cifras de los años anteriores[293].</w:t>
        <w:br/>
        <w:br/>
        <w:br/>
        <w:t>275. En 1999 la Relatora sobre ejecuciones extrajudiciales de la ONU  visitó</w:t>
        <w:br/>
        <w:t xml:space="preserve">   Ciudad Juárez, se reunió  con  autoridades  estatales  y  en  su  informe</w:t>
        <w:br/>
        <w:t xml:space="preserve">   observó que “el Gobierno, al descuidar deliberadamente la  protección  de</w:t>
        <w:br/>
        <w:t xml:space="preserve">   las vidas de los ciudadanos por razón de su  sexo,  había  provocado  una</w:t>
        <w:br/>
        <w:t xml:space="preserve">   sensación de inseguridad en muchas de las mujeres de  Ciudad  Juárez.  Al</w:t>
        <w:br/>
        <w:t xml:space="preserve">   mismo tiempo, había logrado que los  autores  de  esos  delitos  quedaran</w:t>
        <w:br/>
        <w:t xml:space="preserve">   impunes”[294].</w:t>
        <w:br/>
        <w:br/>
        <w:br/>
        <w:t>276. La CNDH, en el 2003, determinó que “a más  de  cinco  años  de  haberse</w:t>
        <w:br/>
        <w:t xml:space="preserve">   emitido [la Recomendación No. 44], el fenómeno social no  fue  controlado</w:t>
        <w:br/>
        <w:t xml:space="preserve">   y, en cambio, el índice de criminalidad en  contra  de  las  mujeres  que</w:t>
        <w:br/>
        <w:t xml:space="preserve">   radican o transitan en el municipio de  Juárez,  Chihuahua,  continuó  su</w:t>
        <w:br/>
        <w:t xml:space="preserve">   escala ascendente”. Con respecto a recomendaciones específicas hechas por</w:t>
        <w:br/>
        <w:t xml:space="preserve">   la CNDH relativas a convenios de colaboración con otras  Procuradurías  y</w:t>
        <w:br/>
        <w:t xml:space="preserve">   cuerpos policiales, al establecimiento de programas de seguridad  pública</w:t>
        <w:br/>
        <w:t xml:space="preserve">   y a capacitaciones a los cuerpos policiales, la CNDH concluyó que  “[l]as</w:t>
        <w:br/>
        <w:t xml:space="preserve">   constancias  que   fueron   remitidas   […]   permitieron   observar   la</w:t>
        <w:br/>
        <w:t xml:space="preserve">   insuficiencia de las acciones adoptadas”[295].</w:t>
        <w:br/>
        <w:br/>
        <w:br/>
        <w:t>277. Según los hechos del presente caso,  las  víctimas  González,  Ramos  y</w:t>
        <w:br/>
        <w:t xml:space="preserve">   Herrera eran mujeres jóvenes de 20, 17 y 15 años  respectivamente,  todas</w:t>
        <w:br/>
        <w:t xml:space="preserve">   humildes, una estudiante, las otras dos trabajadoras. Salieron de su casa</w:t>
        <w:br/>
        <w:t xml:space="preserve">   un día y sus cuerpos fueron encontrados días o semanas más  tarde  en  un</w:t>
        <w:br/>
        <w:t xml:space="preserve">   campo algodonero con signos de violencia sexual y demás maltratos. En los</w:t>
        <w:br/>
        <w:t xml:space="preserve">   días entre sus desapariciones y el hallazgo de sus cuerpos, sus madres  y</w:t>
        <w:br/>
        <w:t xml:space="preserve">   familiares acudieron a las autoridades en busca de  respuestas,  pero  se</w:t>
        <w:br/>
        <w:t xml:space="preserve">   encontraron con juicios  de  valor  respecto  al  comportamiento  de  las</w:t>
        <w:br/>
        <w:t xml:space="preserve">   víctimas y con ninguna acción concreta destinada a encontrarlas con  vida</w:t>
        <w:br/>
        <w:t xml:space="preserve">   aparte de la recepción de declaraciones.</w:t>
        <w:br/>
        <w:br/>
        <w:br/>
        <w:t>278. La Corte ha dado por probado y el Estado ha reconocido que  en  el  año</w:t>
        <w:br/>
        <w:t xml:space="preserve">   2001 Ciudad Juárez vivía una fuerte ola de violencia contra las  mujeres.</w:t>
        <w:br/>
        <w:t xml:space="preserve">   Los hechos del caso revelan  paralelos  significativos  con  el  contexto</w:t>
        <w:br/>
        <w:t xml:space="preserve">   probado.</w:t>
        <w:br/>
        <w:br/>
        <w:br/>
        <w:t>279. A pesar de que el  Estado  tenía  pleno  conocimiento  del  riesgo  que</w:t>
        <w:br/>
        <w:t xml:space="preserve">   corrían las mujeres  de  ser  objeto  de  violencia,  no  demostró  haber</w:t>
        <w:br/>
        <w:t xml:space="preserve">   adoptado medidas efectivas de prevención antes de noviembre de  2001  que</w:t>
        <w:br/>
        <w:t xml:space="preserve">   redujeran los factores de riesgo para las mujeres.  Aunque  el  deber  de</w:t>
        <w:br/>
        <w:t xml:space="preserve">   prevención sea uno de medio y no  de  resultado  (supra  párr.  251),  el</w:t>
        <w:br/>
        <w:t xml:space="preserve">   Estado no ha demostrado que la creación de la FEIHM y algunas adiciones a</w:t>
        <w:br/>
        <w:t xml:space="preserve">   su marco legislativo, por más  que  fueran  necesarias  y  demuestren  un</w:t>
        <w:br/>
        <w:t xml:space="preserve">   compromiso estatal, fueran suficientes  y  efectivas  para  prevenir  las</w:t>
        <w:br/>
        <w:t xml:space="preserve">   graves manifestaciones de la violencia contra la mujer que  se  vivía  en</w:t>
        <w:br/>
        <w:t xml:space="preserve">   Ciudad Juárez en la época del presente caso.</w:t>
        <w:br/>
        <w:br/>
        <w:br/>
        <w:t>280. Ahora bien, conforme a jurisprudencia de  la  Corte  es  claro  que  un</w:t>
        <w:br/>
        <w:t xml:space="preserve">   Estado no puede ser  responsable  por  cualquier  violación  de  derechos</w:t>
        <w:br/>
        <w:t xml:space="preserve">   humanos cometida entre particulares dentro de su jurisdicción. En efecto,</w:t>
        <w:br/>
        <w:t xml:space="preserve">   las obligaciones convencionales de garantía a cargo  de  los  Estados  no</w:t>
        <w:br/>
        <w:t xml:space="preserve">   implican una responsabilidad ilimitada de los Estados frente a  cualquier</w:t>
        <w:br/>
        <w:t xml:space="preserve">   acto o hecho de particulares, pues sus  deberes  de  adoptar  medidas  de</w:t>
        <w:br/>
        <w:t xml:space="preserve">   prevención y protección de los particulares en sus relaciones entre sí se</w:t>
        <w:br/>
        <w:t xml:space="preserve">   encuentran condicionados al conocimiento de una situación de riesgo  real</w:t>
        <w:br/>
        <w:t xml:space="preserve">   e inmediato para un individuo o grupo de individuos determinado y  a  las</w:t>
        <w:br/>
        <w:t xml:space="preserve">   posibilidades razonables de prevenir  o  evitar  ese  riesgo.  Es  decir,</w:t>
        <w:br/>
        <w:t xml:space="preserve">   aunque un acto  u  omisión  de  un  particular  tenga  como  consecuencia</w:t>
        <w:br/>
        <w:t xml:space="preserve">   jurídica  la  violación  de  determinados  derechos   humanos   de   otro</w:t>
        <w:br/>
        <w:t xml:space="preserve">   particular, aquél no es automáticamente atribuible al Estado,  pues  debe</w:t>
        <w:br/>
        <w:t xml:space="preserve">   atenderse a las circunstancias particulares del caso y a la concreción de</w:t>
        <w:br/>
        <w:t xml:space="preserve">   dichas obligaciones de garantía[296].</w:t>
        <w:br/>
        <w:br/>
        <w:br/>
        <w:t>281. En el presente caso, existen dos momentos claves en los  que  el  deber</w:t>
        <w:br/>
        <w:t xml:space="preserve">   de prevención debe ser analizado. El primero es antes de la  desaparición</w:t>
        <w:br/>
        <w:t xml:space="preserve">   de las víctimas y el segundo antes de la localización de sus cuerpos  sin</w:t>
        <w:br/>
        <w:t xml:space="preserve">   vida.</w:t>
        <w:br/>
        <w:br/>
        <w:br/>
        <w:t>282. Sobre el primer momento –antes de la desaparición de las  víctimas-  la</w:t>
        <w:br/>
        <w:t xml:space="preserve">   Corte considera que la falta de prevención de la desaparición no conlleva</w:t>
        <w:br/>
        <w:t xml:space="preserve">   per se la responsabilidad internacional del Estado porque, a pesar de que</w:t>
        <w:br/>
        <w:t xml:space="preserve">   éste tenía conocimiento de una situación de riesgo para  las  mujeres  en</w:t>
        <w:br/>
        <w:t xml:space="preserve">   Ciudad Juárez, no ha sido establecido que tenía conocimiento de un riesgo</w:t>
        <w:br/>
        <w:t xml:space="preserve">   real e inmediato para las víctimas de este caso. Aunque  el  contexto  en</w:t>
        <w:br/>
        <w:t xml:space="preserve">   este caso y sus obligaciones internacionales le  imponen  al  Estado  una</w:t>
        <w:br/>
        <w:t xml:space="preserve">   responsabilidad reforzada con respecto a  la  protección  de  mujeres  en</w:t>
        <w:br/>
        <w:t xml:space="preserve">   Ciudad Juárez, quienes se encontraban en una situación de vulnerabilidad,</w:t>
        <w:br/>
        <w:t xml:space="preserve">   especialmente  las  mujeres  jóvenes  y  humildes,  no  le  imponen   una</w:t>
        <w:br/>
        <w:t xml:space="preserve">   responsabilidad ilimitada frente a cualquier hecho ilícito en  contra  de</w:t>
        <w:br/>
        <w:t xml:space="preserve">   ellas. Finalmente, la Corte no puede sino hacer presente que la  ausencia</w:t>
        <w:br/>
        <w:t xml:space="preserve">   de una política general que se hubiera iniciado  por  lo  menos  en  1998</w:t>
        <w:br/>
        <w:t xml:space="preserve">   –cuando la CNDH advirtió del patrón  de  violencia  contra  la  mujer  en</w:t>
        <w:br/>
        <w:t xml:space="preserve">   Ciudad Juárez-, es una falta del Estado en el cumplimiento general de  su</w:t>
        <w:br/>
        <w:t xml:space="preserve">   obligación de prevención.</w:t>
        <w:br/>
        <w:br/>
        <w:br/>
        <w:t>283. En cuanto al segundo momento –antes del hallazgo  de  los  cuerpos-  el</w:t>
        <w:br/>
        <w:t xml:space="preserve">   Estado, dado el contexto del caso, tuvo conocimiento de  que  existía  un</w:t>
        <w:br/>
        <w:t xml:space="preserve">   riesgo real e inmediato de que las víctimas fueran agredidas sexualmente,</w:t>
        <w:br/>
        <w:t xml:space="preserve">   sometidas a vejámenes y asesinadas.  La  Corte  considera  que  ante  tal</w:t>
        <w:br/>
        <w:t xml:space="preserve">   contexto surge un deber de debida diligencia estricta frente a  denuncias</w:t>
        <w:br/>
        <w:t xml:space="preserve">   de desaparición de mujeres, respecto a su búsqueda durante  las  primeras</w:t>
        <w:br/>
        <w:t xml:space="preserve">   horas y los primeros días. Esta obligación de medio, al ser más estricta,</w:t>
        <w:br/>
        <w:t xml:space="preserve">   exige  la  realización  exhaustiva  de  actividades   de   búsqueda.   En</w:t>
        <w:br/>
        <w:t xml:space="preserve">   particular, es imprescindible la actuación  pronta  e  inmediata  de  las</w:t>
        <w:br/>
        <w:t xml:space="preserve">   autoridades policiales, fiscales y judiciales ordenando medidas oportunas</w:t>
        <w:br/>
        <w:t xml:space="preserve">   y necesarias dirigidas a la determinación del paradero de las víctimas  o</w:t>
        <w:br/>
        <w:t xml:space="preserve">   el lugar donde puedan encontrarse privadas  de  libertad.  Deben  existir</w:t>
        <w:br/>
        <w:t xml:space="preserve">   procedimientos adecuados para las denuncias y  que  éstas  conlleven  una</w:t>
        <w:br/>
        <w:t xml:space="preserve">   investigación efectiva desde las primeras horas.  Las  autoridades  deben</w:t>
        <w:br/>
        <w:t xml:space="preserve">   presumir que la persona desaparecida está privada de libertad y sigue con</w:t>
        <w:br/>
        <w:t xml:space="preserve">   vida hasta que se ponga fin a la incertidumbre sobre  la  suerte  que  ha</w:t>
        <w:br/>
        <w:t xml:space="preserve">   corrido.</w:t>
        <w:br/>
        <w:br/>
        <w:br/>
        <w:t>284. México no demostró haber adoptado las medidas  razonables,  conforme  a</w:t>
        <w:br/>
        <w:t xml:space="preserve">   las circunstancias que  rodeaban  a  los  casos,  para  encontrar  a  las</w:t>
        <w:br/>
        <w:t xml:space="preserve">   víctimas con vida. El  Estado  no  actuó  con  prontitud  dentro  de  las</w:t>
        <w:br/>
        <w:t xml:space="preserve">   primeras horas y días luego de las  denuncias  de  desaparición,  dejando</w:t>
        <w:br/>
        <w:t xml:space="preserve">   perder horas valiosas. En el período entre las denuncias y el hallazgo de</w:t>
        <w:br/>
        <w:t xml:space="preserve">   los cuerpos de las víctimas, el Estado se limitó a realizar  formalidades</w:t>
        <w:br/>
        <w:t xml:space="preserve">   y a tomar declaraciones que, aunque importantes, perdieron su  valor  una</w:t>
        <w:br/>
        <w:t xml:space="preserve">   vez éstas no repercutieron en acciones de búsqueda  específicas.  Además,</w:t>
        <w:br/>
        <w:t xml:space="preserve">   las actitudes y declaraciones de los funcionarios hacia los familiares de</w:t>
        <w:br/>
        <w:t xml:space="preserve">   las víctimas que daban a entender que las denuncias  de  desaparición  no</w:t>
        <w:br/>
        <w:t xml:space="preserve">   debían  ser  tratadas  con  urgencia  e  inmediatez  llevan  al  Tribunal</w:t>
        <w:br/>
        <w:t xml:space="preserve">   razonablemente a concluir que hubo demoras injustificadas  luego  de  las</w:t>
        <w:br/>
        <w:t xml:space="preserve">   presentaciones de las denuncias de desaparición. Todo esto demuestra  que</w:t>
        <w:br/>
        <w:t xml:space="preserve">   el Estado no actuó con  la  debida  diligencia  requerida  para  prevenir</w:t>
        <w:br/>
        <w:t xml:space="preserve">   adecuadamente las muertes y agresiones sufridas por las víctimas y que no</w:t>
        <w:br/>
        <w:t xml:space="preserve">   actuó  como  razonablemente  era  de   esperarse   de   acuerdo   a   las</w:t>
        <w:br/>
        <w:t xml:space="preserve">   circunstancias del caso para poner fin a su privación de  libertad.  Este</w:t>
        <w:br/>
        <w:t xml:space="preserve">   incumplimiento del deber de garantía es particularmente serio  debido  al</w:t>
        <w:br/>
        <w:t xml:space="preserve">   contexto conocido por el Estado -el cual  ponía  a  las  mujeres  en  una</w:t>
        <w:br/>
        <w:t xml:space="preserve">   situación especial de vulnerabilidad- y  a  las  obligaciones  reforzadas</w:t>
        <w:br/>
        <w:t xml:space="preserve">   impuestas en casos de violencia contra la mujer por el artículo 7.b de la</w:t>
        <w:br/>
        <w:t xml:space="preserve">   Convención Belém do Pará.</w:t>
        <w:br/>
        <w:br/>
        <w:br/>
        <w:t>285. Además, la Corte considera que el Estado  no  demostró  haber  adoptado</w:t>
        <w:br/>
        <w:t xml:space="preserve">   normas o implementado las medidas necesarias, conforme al artículo  2  de</w:t>
        <w:br/>
        <w:t xml:space="preserve">   la Convención Americana y al artículo 7.c de la Convención Belém do Pará,</w:t>
        <w:br/>
        <w:t xml:space="preserve">   que permitieran a las  autoridades  ofrecer  una  respuesta  inmediata  y</w:t>
        <w:br/>
        <w:t xml:space="preserve">   eficaz ante las denuncias de desaparición  y  prevenir  adecuadamente  la</w:t>
        <w:br/>
        <w:t xml:space="preserve">   violencia contra la mujer.  Tampoco  demostró  haber  adoptado  normas  o</w:t>
        <w:br/>
        <w:t xml:space="preserve">   tomado medidas para que los  funcionarios  responsables  de  recibir  las</w:t>
        <w:br/>
        <w:t xml:space="preserve">   denuncias tuvieran la  capacidad  y  la  sensibilidad  para  entender  la</w:t>
        <w:br/>
        <w:t xml:space="preserve">   gravedad del fenómeno de la violencia contra la mujer y la voluntad  para</w:t>
        <w:br/>
        <w:t xml:space="preserve">   actuar de inmediato.</w:t>
        <w:br/>
        <w:br/>
        <w:br/>
        <w:t>286. En razón de todo lo expuesto,  el  Tribunal  considera  que  el  Estado</w:t>
        <w:br/>
        <w:t xml:space="preserve">   violó los derechos a la vida, integridad  personal  y  libertad  personal</w:t>
        <w:br/>
        <w:t xml:space="preserve">   reconocidos en los artículos  4.1,  5.1,  5.2  y  7.1  de  la  Convención</w:t>
        <w:br/>
        <w:t xml:space="preserve">   Americana, en relación con la obligación general de garantía  contemplada</w:t>
        <w:br/>
        <w:t xml:space="preserve">   en el artículo 1.1 y la obligación de adoptar  disposiciones  de  derecho</w:t>
        <w:br/>
        <w:t xml:space="preserve">   interno contemplada en el artículo 2  de  la  misma,  así  como  con  las</w:t>
        <w:br/>
        <w:t xml:space="preserve">   obligaciones contempladas en el artículo 7.b y 7.c de la Convención Belém</w:t>
        <w:br/>
        <w:t xml:space="preserve">   do Pará, en perjuicio de Claudia Ivette González,  Laura  Berenice  Ramos</w:t>
        <w:br/>
        <w:t xml:space="preserve">   Monárrez y Esmeralda Herrera Monreal.</w:t>
        <w:br/>
        <w:br/>
        <w:br/>
        <w:br/>
        <w:br/>
        <w:br/>
        <w:t xml:space="preserve">           4.2.2.      Deber  de  investigar  efectivamente   los   hechos,</w:t>
        <w:br/>
        <w:t xml:space="preserve">                    conforme a los artículos 8.1 y 25.1  de  la  Convención,</w:t>
        <w:br/>
        <w:t xml:space="preserve">                    derivado de la obligación de garantía de los derechos  a</w:t>
        <w:br/>
        <w:t xml:space="preserve">                    la vida, integridad personal y libertad personal</w:t>
        <w:br/>
        <w:br/>
        <w:br/>
        <w:t>287. De la obligación general  de  garantía  de  los  derechos  a  la  vida,</w:t>
        <w:br/>
        <w:t xml:space="preserve">   integridad  personal  y  libertad  personal  deriva  la   obligación   de</w:t>
        <w:br/>
        <w:t xml:space="preserve">   investigar los casos de violaciones  de  esos  derechos;  es  decir,  del</w:t>
        <w:br/>
        <w:t xml:space="preserve">   artículo 1.1 de la Convención en conjunto con el derecho  sustantivo  que</w:t>
        <w:br/>
        <w:t xml:space="preserve">   debe ser amparado, protegido o garantizado[297].  Asimismo,  México  debe</w:t>
        <w:br/>
        <w:t xml:space="preserve">   observar lo dispuesto en el artículo 7.b y 7.c de la Convención Belém  do</w:t>
        <w:br/>
        <w:t xml:space="preserve">   Pará, que obliga a actuar con la debida diligencia[298] y  a  adoptar  la</w:t>
        <w:br/>
        <w:t xml:space="preserve">   normativa necesaria para investigar y sancionar la  violencia  contra  la</w:t>
        <w:br/>
        <w:t xml:space="preserve">   mujer.</w:t>
        <w:br/>
        <w:br/>
        <w:br/>
        <w:t>288. En su sentencia de fondo emitida en el  caso  Velásquez  Rodríguez  Vs.</w:t>
        <w:br/>
        <w:t xml:space="preserve">   Honduras, la Corte estableció que, conforme al deber de garantía:</w:t>
        <w:br/>
        <w:br/>
        <w:br/>
        <w:t xml:space="preserve">      [e]l Estado está […] obligado a investigar toda situación en la que se</w:t>
        <w:br/>
        <w:t xml:space="preserve">      hayan violado los derechos humanos protegidos por la Convención. Si el</w:t>
        <w:br/>
        <w:t xml:space="preserve">      aparato del Estado actúa de modo que tal violación quede impune  y  no</w:t>
        <w:br/>
        <w:t xml:space="preserve">      se restablezca, en cuanto sea posible, a la víctima en la plenitud  de</w:t>
        <w:br/>
        <w:t xml:space="preserve">      sus derechos, puede afirmarse que ha incumplido el deber de garantizar</w:t>
        <w:br/>
        <w:t xml:space="preserve">      su libre y pleno ejercicio a las personas sujetas a  su  jurisdicción.</w:t>
        <w:br/>
        <w:t xml:space="preserve">      Lo mismo es válido cuando se tolere que los particulares o  grupos  de</w:t>
        <w:br/>
        <w:t xml:space="preserve">      ellos actúen libre o  impunemente en menoscabo de los derechos humanos</w:t>
        <w:br/>
        <w:t xml:space="preserve">      reconocidos en la Convención[299].</w:t>
        <w:br/>
        <w:br/>
        <w:br/>
        <w:t>289. El deber de investigar es una obligación de medio y  no  de  resultado,</w:t>
        <w:br/>
        <w:t xml:space="preserve">   que debe ser asumida por el Estado como un deber  jurídico  propio  y  no</w:t>
        <w:br/>
        <w:t xml:space="preserve">   como una simple formalidad condenada de antemano a ser  infructuosa[300].</w:t>
        <w:br/>
        <w:t xml:space="preserve">   La obligación del Estado de investigar debe cumplirse diligentemente para</w:t>
        <w:br/>
        <w:t xml:space="preserve">   evitar la impunidad y que este tipo de hechos  vuelvan  a  repetirse.  En</w:t>
        <w:br/>
        <w:t xml:space="preserve">   este sentido, la Corte recuerda que la impunidad fomenta la repetición de</w:t>
        <w:br/>
        <w:t xml:space="preserve">   las violaciones de derechos humanos[301].</w:t>
        <w:br/>
        <w:br/>
        <w:br/>
        <w:t>290. A la luz de ese deber, una vez que  las  autoridades  estatales  tengan</w:t>
        <w:br/>
        <w:t xml:space="preserve">   conocimiento del hecho, deben iniciar ex  officio  y  sin  dilación,  una</w:t>
        <w:br/>
        <w:t xml:space="preserve">   investigación seria, imparcial y efectiva por todos  los  medios  legales</w:t>
        <w:br/>
        <w:t xml:space="preserve">   disponibles  y  orientada  a  la  determinación  de  la  verdad  y  a  la</w:t>
        <w:br/>
        <w:t xml:space="preserve">   persecución, captura, enjuiciamiento y  eventual  castigo  de  todos  los</w:t>
        <w:br/>
        <w:t xml:space="preserve">   autores  de  los  hechos,  especialmente  cuando  están  o  puedan  estar</w:t>
        <w:br/>
        <w:t xml:space="preserve">   involucrados agentes estatales[302].</w:t>
        <w:br/>
        <w:br/>
        <w:br/>
        <w:t>291. De otra parte, la Corte ha advertido que esta  obligación  se  mantiene</w:t>
        <w:br/>
        <w:t xml:space="preserve">   “cualquiera sea el agente  al  cual  pueda  eventualmente  atribuirse  la</w:t>
        <w:br/>
        <w:t xml:space="preserve">   violación, aún los particulares, pues, si sus hechos no son  investigados</w:t>
        <w:br/>
        <w:t xml:space="preserve">   con seriedad, resultarían,  en  cierto  modo,  auxiliados  por  el  poder</w:t>
        <w:br/>
        <w:t xml:space="preserve">   público,  lo  que  comprometería  la  responsabilidad  internacional  del</w:t>
        <w:br/>
        <w:t xml:space="preserve">   Estado”[303].</w:t>
        <w:br/>
        <w:br/>
        <w:br/>
        <w:t>292. En tal sentido, en el marco de la obligación de proteger el  derecho  a</w:t>
        <w:br/>
        <w:t xml:space="preserve">   la vida, la Corte Europea de Derechos Humanos ha desarrollado  la  teoría</w:t>
        <w:br/>
        <w:t xml:space="preserve">   de  la  “obligación  procesal”  de  efectuar  una  investigación  oficial</w:t>
        <w:br/>
        <w:t xml:space="preserve">   efectiva  en  casos  de  violaciones  a  aquél  derecho[304].  La   Corte</w:t>
        <w:br/>
        <w:t xml:space="preserve">   Interamericana también ha aplicado esta teoría en diversos casos[305].</w:t>
        <w:br/>
        <w:br/>
        <w:br/>
        <w:t>293. La Corte considera que el deber de investigar efectivamente,  siguiendo</w:t>
        <w:br/>
        <w:t xml:space="preserve">   los estándares establecidos por el Tribunal  (supra  párrs.  287  a  291)</w:t>
        <w:br/>
        <w:t xml:space="preserve">   tiene alcances adicionales cuando se trata de una  mujer  que  sufre  una</w:t>
        <w:br/>
        <w:t xml:space="preserve">   muerte, maltrato o afectación a su libertad personal en el  marco  de  un</w:t>
        <w:br/>
        <w:t xml:space="preserve">   contexto general de violencia contra las mujeres. En similar sentido,  la</w:t>
        <w:br/>
        <w:t xml:space="preserve">   Corte Europea ha dicho que cuando un ataque es motivado  por  razones  de</w:t>
        <w:br/>
        <w:t xml:space="preserve">   raza, es particularmente importante que la  investigación  sea  realizada</w:t>
        <w:br/>
        <w:t xml:space="preserve">   con vigor e imparcialidad, teniendo en cuenta la  necesidad  de  reiterar</w:t>
        <w:br/>
        <w:t xml:space="preserve">   continuamente la condena de racismo por  parte  de  la  sociedad  y  para</w:t>
        <w:br/>
        <w:t xml:space="preserve">   mantener la confianza de las minorías en la habilidad de las  autoridades</w:t>
        <w:br/>
        <w:t xml:space="preserve">   de protegerlas de  la  amenaza  de  violencia  racial[306].  El  criterio</w:t>
        <w:br/>
        <w:t xml:space="preserve">   anterior es totalmente aplicable al analizarse los alcances del deber  de</w:t>
        <w:br/>
        <w:t xml:space="preserve">   debida diligencia en la investigación de casos de violencia por razón  de</w:t>
        <w:br/>
        <w:t xml:space="preserve">   género.</w:t>
        <w:br/>
        <w:br/>
        <w:br/>
        <w:t>294. Para determinar si la obligación procesal de proteger  los  derechos  a</w:t>
        <w:br/>
        <w:t xml:space="preserve">   la vida, integridad personal y  libertad  personal  por  la  vía  de  una</w:t>
        <w:br/>
        <w:t xml:space="preserve">   investigación seria de lo ocurrido se ha cumplido  a  cabalidad  en  este</w:t>
        <w:br/>
        <w:t xml:space="preserve">   caso, es preciso examinar las diversas acciones tomadas por el Estado con</w:t>
        <w:br/>
        <w:t xml:space="preserve">   posterioridad  al  hallazgo  de  los  cuerpos  sin  vida,  así  como  los</w:t>
        <w:br/>
        <w:t xml:space="preserve">   procedimientos  a  nivel  interno  destinados  a  dilucidar  los   hechos</w:t>
        <w:br/>
        <w:t xml:space="preserve">   ocurridos y a identificar a los responsables de las violaciones cometidas</w:t>
        <w:br/>
        <w:t xml:space="preserve">   en perjucio de las víctimas.</w:t>
        <w:br/>
        <w:br/>
        <w:br/>
        <w:t>295. El Tribunal analizará la controversia entre las partes  sobre  alegadas</w:t>
        <w:br/>
        <w:t xml:space="preserve">   irregularidades relacionadas con 1) la custodia de la escena del  crimen,</w:t>
        <w:br/>
        <w:t xml:space="preserve">   recolección y manejo de evidencias, elaboración de las autopsias y en  la</w:t>
        <w:br/>
        <w:t xml:space="preserve">   identificación y entrega de los restos  de  las  víctimas;  2)  actuación</w:t>
        <w:br/>
        <w:t xml:space="preserve">   seguida contra presuntos responsables y alegada fabricación de culpables;</w:t>
        <w:br/>
        <w:t xml:space="preserve">   3) demora injustificada e inexistencia de  avances  sustanciales  en  las</w:t>
        <w:br/>
        <w:t xml:space="preserve">   investigaciones; 4) fragmentación de las  investigaciones;  5)  falta  de</w:t>
        <w:br/>
        <w:t xml:space="preserve">   sanción a los funcionarios públicos involucrados con  irregularidades,  y</w:t>
        <w:br/>
        <w:t xml:space="preserve">   6) negación de acceso al expediente y demoras o negación  de  copias  del</w:t>
        <w:br/>
        <w:t xml:space="preserve">   mismo.</w:t>
        <w:br/>
        <w:br/>
        <w:br/>
        <w:br/>
        <w:br/>
        <w:br/>
        <w:t xml:space="preserve">           4.2.2.1.   Alegadas irregularidades en la custodia de la  escena</w:t>
        <w:br/>
        <w:t xml:space="preserve">                    del  crimen,  recolección  y   manejo   de   evidencias,</w:t>
        <w:br/>
        <w:t xml:space="preserve">                    elaboración de las autopsias y en  la  identificación  y</w:t>
        <w:br/>
        <w:t xml:space="preserve">                    entrega de los restos de las víctimas</w:t>
        <w:br/>
        <w:br/>
        <w:br/>
        <w:t>296. Tal como ha sido señalado (supra párr.  20),  el  Estado  alude  a  dos</w:t>
        <w:br/>
        <w:t xml:space="preserve">   etapas de las investigaciones, la primera entre 2001 y 2003 y la  segunda</w:t>
        <w:br/>
        <w:t xml:space="preserve">   entre 2004 y 2009. El Estado reconoció  su  responsabilidad  por  algunas</w:t>
        <w:br/>
        <w:t xml:space="preserve">   irregularidades en la primera etapa, pero alegó que en la  segunda  etapa</w:t>
        <w:br/>
        <w:t xml:space="preserve">   se corrigieron estas deficiencias y se impulsó el “Programa de  Identidad</w:t>
        <w:br/>
        <w:t xml:space="preserve">   Humana” con la participación del EAAF.</w:t>
        <w:br/>
        <w:br/>
        <w:br/>
        <w:t>297. La Corte observa que el 1 de mayo de 2005 la Procuraduría de  Chihuahua</w:t>
        <w:br/>
        <w:t xml:space="preserve">   contrató al EAAF con el fin de asesorar en la “identificación  de  restos</w:t>
        <w:br/>
        <w:t xml:space="preserve">   de mujeres no identificadas en las ciudades de Juárez y  Chihuahua”,  así</w:t>
        <w:br/>
        <w:t xml:space="preserve">   como también “la revisión de casos en  los  que  los  familiares  de  las</w:t>
        <w:br/>
        <w:t xml:space="preserve">   víctimas expresan  dudas  sobre  la  identidad  de  los  restos  que  han</w:t>
        <w:br/>
        <w:t xml:space="preserve">   recibido”[307]. Teniendo en cuenta las  conclusiones  elaboradas  por  el</w:t>
        <w:br/>
        <w:t xml:space="preserve">   EAAF respecto al presente caso, la prueba obrante en el expediente  y  el</w:t>
        <w:br/>
        <w:t xml:space="preserve">   reconocimiento de responsabilidad del Estado, el Tribunal se  referirá  a</w:t>
        <w:br/>
        <w:t xml:space="preserve">   las irregularidades que se presentaron en: a) el hallazgo de los cuerpos,</w:t>
        <w:br/>
        <w:t xml:space="preserve">   la custodia de la escena del crimen, y en  la  recolección  y  manejo  de</w:t>
        <w:br/>
        <w:t xml:space="preserve">   evidencias; b) la práctica de autopsias, y c) la práctica de  pruebas  de</w:t>
        <w:br/>
        <w:t xml:space="preserve">   ADN, identificación y entrega de los restos.</w:t>
        <w:br/>
        <w:br/>
        <w:br/>
        <w:br/>
        <w:br/>
        <w:br/>
        <w:t xml:space="preserve">           a)    Irregularidades en la elaboración del informe de  hallazgo</w:t>
        <w:br/>
        <w:t xml:space="preserve">                 de los cuerpos, preservación de la escena del crimen  y  en</w:t>
        <w:br/>
        <w:t xml:space="preserve">                 la recolección y manejo de evidencias</w:t>
        <w:br/>
        <w:br/>
        <w:br/>
        <w:t>298. La Comisión alegó que “el acta de levantamiento  de  los  cadáveres  no</w:t>
        <w:br/>
        <w:t xml:space="preserve">   señala los métodos utilizados para recolectar y preservar la evidencia” y</w:t>
        <w:br/>
        <w:t xml:space="preserve">   que las autoridades “asociaron algunos elementos  de  evidencia  […]  con</w:t>
        <w:br/>
        <w:t xml:space="preserve">   determinados cadáveres […] en razón de su cercanía con los cuerpos siendo</w:t>
        <w:br/>
        <w:t xml:space="preserve">   que todo esto se encontró  en  un  espacio  amplio”.  Los  representantes</w:t>
        <w:br/>
        <w:t xml:space="preserve">   alegaron  que  las  autoridades  no  rastrearon  debidamente  el   lugar.</w:t>
        <w:br/>
        <w:t xml:space="preserve">   Agregaron que del conjunto “de objetos  y  evidencias  observados  en  el</w:t>
        <w:br/>
        <w:t xml:space="preserve">   lugar, no hubo  mayores  resultados  que  la  tipificación  sanguínea  de</w:t>
        <w:br/>
        <w:t xml:space="preserve">   algunos, sin que posteriormente se confrontaran con otros elementos y con</w:t>
        <w:br/>
        <w:t xml:space="preserve">   los cuerpos”. Asimismo, la Comisión y los representantes sostuvieron  que</w:t>
        <w:br/>
        <w:t xml:space="preserve">   no  se  hizo  “constancia  o  identificación  del  lugar  donde  quedaron</w:t>
        <w:br/>
        <w:t xml:space="preserve">   resguardadas las evidencias”, ni de  los  funcionarios  a  cargo  de  las</w:t>
        <w:br/>
        <w:t xml:space="preserve">   mismas. Los representantes agregaron  que  “[n]o  hay  un  orden  ni  una</w:t>
        <w:br/>
        <w:t xml:space="preserve">   secuencia para marcar las evidencias encontradas”, lo  cual  resultó  “en</w:t>
        <w:br/>
        <w:t xml:space="preserve">   contradicciones e inconsistencias en los  resultados  de  los  dictámenes</w:t>
        <w:br/>
        <w:t xml:space="preserve">   periciales”.</w:t>
        <w:br/>
        <w:br/>
        <w:br/>
        <w:t>299. Entre las irregularidades reconocidas por el Estado durante la  primera</w:t>
        <w:br/>
        <w:t xml:space="preserve">   etapa de las investigaciones se encuentran “[l]a inapropiada preservación</w:t>
        <w:br/>
        <w:t xml:space="preserve">   del lugar del hallazgo”, la no adopción de “medidas necesarias” para  que</w:t>
        <w:br/>
        <w:t xml:space="preserve">   la escena  del  crimen  “no  fuera  contaminada”,  “el  procesamiento  no</w:t>
        <w:br/>
        <w:t xml:space="preserve">   exhaustivo  de  las  evidencias  recabadas”  y  la  no   realización   de</w:t>
        <w:br/>
        <w:t xml:space="preserve">   “diligencias periciales sobre los indicios probatorios”.</w:t>
        <w:br/>
        <w:br/>
        <w:br/>
        <w:t>300. Este Tribunal ha establecido  que  la  eficiente  determinación  de  la</w:t>
        <w:br/>
        <w:t xml:space="preserve">   verdad en el marco de  la  obligación  de  investigar  una  muerte,  debe</w:t>
        <w:br/>
        <w:t xml:space="preserve">   mostrarse desde las primeras diligencias con  toda  acuciosidad[308].  En</w:t>
        <w:br/>
        <w:t xml:space="preserve">   este sentido, la Corte ha especificado los  principios  rectores  que  es</w:t>
        <w:br/>
        <w:t xml:space="preserve">   preciso observar en una investigación cuando se está frente a una  muerte</w:t>
        <w:br/>
        <w:t xml:space="preserve">   violenta. Las autoridades estatales que  conducen  una  investigación  de</w:t>
        <w:br/>
        <w:t xml:space="preserve">   este tipo deben intentar como mínimo, inter alia:  i)  identificar  a  la</w:t>
        <w:br/>
        <w:t xml:space="preserve">   víctima; ii) recuperar y preservar el material probatorio relacionado con</w:t>
        <w:br/>
        <w:t xml:space="preserve">   la muerte, con el fin de  ayudar  en  cualquier  potencial  investigación</w:t>
        <w:br/>
        <w:t xml:space="preserve">   penal de los responsables; iii) identificar posibles testigos  y  obtener</w:t>
        <w:br/>
        <w:t xml:space="preserve">   sus declaraciones en  relación  con  la  muerte  que  se  investiga;  iv)</w:t>
        <w:br/>
        <w:t xml:space="preserve">   determinar la causa, forma, lugar  y  momento  de  la  muerte,  así  como</w:t>
        <w:br/>
        <w:t xml:space="preserve">   cualquier patrón o práctica que pueda  haber  causado  la  muerte,  y  v)</w:t>
        <w:br/>
        <w:t xml:space="preserve">   distinguir entre muerte natural, muerte accidental, suicidio y homicidio.</w:t>
        <w:br/>
        <w:t xml:space="preserve">   Además, es necesario investigar exhaustivamente la escena del crimen,  se</w:t>
        <w:br/>
        <w:t xml:space="preserve">   deben realizar autopsias y análisis de restos humanos, en forma rigurosa,</w:t>
        <w:br/>
        <w:t xml:space="preserve">   por  profesionales  competentes  y  empleando  los   procedimientos   más</w:t>
        <w:br/>
        <w:t xml:space="preserve">   apropiados[309].</w:t>
        <w:br/>
        <w:br/>
        <w:br/>
        <w:t>301. Además, los estándares internacionales señalan que, en relación con  la</w:t>
        <w:br/>
        <w:t xml:space="preserve">   escena del crimen, los investigadores  deben,  como  mínimo,  fotografiar</w:t>
        <w:br/>
        <w:t xml:space="preserve">   dicha escena, cualquier  otra  evidencia  física  y  el  cuerpo  como  se</w:t>
        <w:br/>
        <w:t xml:space="preserve">   encontró y después de moverlo; todas las  muestras  de  sangre,  cabello,</w:t>
        <w:br/>
        <w:t xml:space="preserve">   fibras, hilos u otras pistas deben ser recogidas y conservadas;  examinar</w:t>
        <w:br/>
        <w:t xml:space="preserve">   el área en busca de  huellas  de  zapatos  o  cualquier  otra  que  tenga</w:t>
        <w:br/>
        <w:t xml:space="preserve">   naturaleza  de  evidencia,  y  hacer  un  informe  detallando   cualquier</w:t>
        <w:br/>
        <w:t xml:space="preserve">   observación de la  escena,  las  acciones  de  los  investigadores  y  la</w:t>
        <w:br/>
        <w:t xml:space="preserve">   disposición de toda  la  evidencia  coleccionada[310].  El  Protocolo  de</w:t>
        <w:br/>
        <w:t xml:space="preserve">   Minnesota establece, entre otras  obligaciones,  que  al  investigar  una</w:t>
        <w:br/>
        <w:t xml:space="preserve">   escena del crimen se debe cerrar la zona contigua al cadáver, y prohibir,</w:t>
        <w:br/>
        <w:t xml:space="preserve">   salvo para el investigador y su equipo, el ingreso a la misma[311].</w:t>
        <w:br/>
        <w:br/>
        <w:br/>
        <w:t>302.  En  el  presente  caso,  el  6  de  noviembre  de  2001  se  hizo   el</w:t>
        <w:br/>
        <w:t xml:space="preserve">   levantamiento de los cadáveres de las tres víctimas. La información en el</w:t>
        <w:br/>
        <w:t xml:space="preserve">   expediente ante la Corte indica que una llamada de un “trabajador  de  la</w:t>
        <w:br/>
        <w:t xml:space="preserve">   construcción que cruzaba el terreno a pie para  recortar  distancia”[312]</w:t>
        <w:br/>
        <w:t xml:space="preserve">   alertó sobre la existencia de los cuerpos. Sin embargo, esa  información,</w:t>
        <w:br/>
        <w:t xml:space="preserve">   ni ninguna otra relacionada con  las  circunstancias  del  hallazgo,  fue</w:t>
        <w:br/>
        <w:t xml:space="preserve">   hecha constar en el informe judicial respectivo. Tan solo consta  que  el</w:t>
        <w:br/>
        <w:t xml:space="preserve">   agente del Ministerio Público inició  la  investigación  a  raíz  de  una</w:t>
        <w:br/>
        <w:t xml:space="preserve">   llamada  telefónica  del  radio  operador  de  la  Policía  Judicial  del</w:t>
        <w:br/>
        <w:t xml:space="preserve">   Estado[313].</w:t>
        <w:br/>
        <w:br/>
        <w:br/>
        <w:t>303. En la fe ministerial de 6 de noviembre fueron reseñadas un total de  26</w:t>
        <w:br/>
        <w:t xml:space="preserve">   evidencias e indicios[314]. Sin embargo, estas no  son,  a  excepción  de</w:t>
        <w:br/>
        <w:t xml:space="preserve">   una, las evidencias que figuran en las tres  actas  de  levantamiento  de</w:t>
        <w:br/>
        <w:t xml:space="preserve">   cadáver[315], cada una de las cuales señala evidencias distintas sin  que</w:t>
        <w:br/>
        <w:t xml:space="preserve">   se observe la ubicación de las mismas,  la  relación  entre  ellas  y  su</w:t>
        <w:br/>
        <w:t xml:space="preserve">   relación con la fe ministerial. Otras evidencias fueron encontradas el  7</w:t>
        <w:br/>
        <w:t xml:space="preserve">   de noviembre de 2001, al  hacer  el  levantamiento  de  los  otros  cinco</w:t>
        <w:br/>
        <w:t xml:space="preserve">   cadáveres (supra párr. 209). Sin embargo, el listado  de  las  evidencias</w:t>
        <w:br/>
        <w:t xml:space="preserve">   recogidas el 7 de noviembre es igual al elaborado el 6 de noviembre[316].</w:t>
        <w:br/>
        <w:t xml:space="preserve">   Además, en las actas  de  levantamiento  de  los  otros  cinco  cadáveres</w:t>
        <w:br/>
        <w:t xml:space="preserve">   también constan otras evidencias distintas a las anteriores[317], sin que</w:t>
        <w:br/>
        <w:t xml:space="preserve">   se demuestre en el expediente la ubicación de  las  mismas,  la  relación</w:t>
        <w:br/>
        <w:t xml:space="preserve">   entre ellas y con la fe ministerial.</w:t>
        <w:br/>
        <w:br/>
        <w:br/>
        <w:t>304. Con posterioridad a la recolección de evidencias efectuadas el  6  y  7</w:t>
        <w:br/>
        <w:t xml:space="preserve">   de noviembre, los familiares de las víctimas hicieron dos rastreos  entre</w:t>
        <w:br/>
        <w:t xml:space="preserve">   el 24 y 25 de febrero del 2002 para recabar prueba adicional en el  lugar</w:t>
        <w:br/>
        <w:t xml:space="preserve">   del hallazgo de los  cuerpos.  Encontraron  un  número  significativo  de</w:t>
        <w:br/>
        <w:t xml:space="preserve">   evidencias. El inventario de las evidencias recolectadas incluye  prendas</w:t>
        <w:br/>
        <w:t xml:space="preserve">   de vestir, nueve piezas de calzado y once objetos diversos entre los  que</w:t>
        <w:br/>
        <w:t xml:space="preserve">   se encontraba una placa de vehículo fronterizo  y  un  permiso  municipal</w:t>
        <w:br/>
        <w:t xml:space="preserve">   provisional. También se incluían cabellos, restos  hemáticos,  vestimenta</w:t>
        <w:br/>
        <w:t xml:space="preserve">   de las posibles víctimas, trozos de plástico, envases diversos,  muestras</w:t>
        <w:br/>
        <w:t xml:space="preserve">   de tierra, restos óseos, entre otros.  No  se  señala  quiénes  eran  los</w:t>
        <w:br/>
        <w:t xml:space="preserve">   funcionarios responsables de estas muestras, a dónde fueron enviadas y en</w:t>
        <w:br/>
        <w:t xml:space="preserve">   qué condiciones fueron  conservadas[318].  Algunas  de  estas  evidencias</w:t>
        <w:br/>
        <w:t xml:space="preserve">   permanecieron más de seis años sin ser analizadas. En efecto,  el  22  de</w:t>
        <w:br/>
        <w:t xml:space="preserve">   noviembre de 2007, en el marco de la organización de cajas con  evidencia</w:t>
        <w:br/>
        <w:t xml:space="preserve">   respecto a casos tramitados en Ciudad Juárez, fue encontrada una caja con</w:t>
        <w:br/>
        <w:t xml:space="preserve">   muestras de cabello y huesos  de  las  víctimas,  sin  indicación  alguna</w:t>
        <w:br/>
        <w:t xml:space="preserve">   respecto a por qué dicha evidencia se  encontraba  en  ese  lugar  y  sin</w:t>
        <w:br/>
        <w:t xml:space="preserve">   indicación  sobre  procedimientos  establecidos  para   proteger   dichas</w:t>
        <w:br/>
        <w:t xml:space="preserve">   evidencias, es decir, sin debida cadena de custodia[319].</w:t>
        <w:br/>
        <w:br/>
        <w:br/>
        <w:t>305. Sobre este punto, el Manual de Naciones Unidas  indica  que  la  debida</w:t>
        <w:br/>
        <w:t xml:space="preserve">   diligencia en una investigación  médico-legal  de  una  muerte  exige  el</w:t>
        <w:br/>
        <w:t xml:space="preserve">   mantenimiento de la  cadena  de  custodia  de  todo  elemento  de  prueba</w:t>
        <w:br/>
        <w:t xml:space="preserve">   forense[320]. Ello  consiste  en  llevar  un  registro  escrito  preciso,</w:t>
        <w:br/>
        <w:t xml:space="preserve">   complementado, según  corresponda,  por  fotografías  y  demás  elementos</w:t>
        <w:br/>
        <w:t xml:space="preserve">   gráficos, para documentar la historia del elemento de prueba a medida que</w:t>
        <w:br/>
        <w:t xml:space="preserve">   pasa por las manos de diversos investigadores  encargados  del  caso.  La</w:t>
        <w:br/>
        <w:t xml:space="preserve">   cadena de custodia puede extenderse más allá del juicio y la condena  del</w:t>
        <w:br/>
        <w:t xml:space="preserve">   autor, dado que las pruebas antiguas,  debidamente  preservadas,  podrían</w:t>
        <w:br/>
        <w:t xml:space="preserve">   servir para el sobreseimiento de una persona condenada  erróneamente.  La</w:t>
        <w:br/>
        <w:t xml:space="preserve">   excepción  la  constituyen   los   restos   de   víctimas   positivamente</w:t>
        <w:br/>
        <w:t xml:space="preserve">   identificadas que pueden ser devueltos a  sus  familias  para  su  debida</w:t>
        <w:br/>
        <w:t xml:space="preserve">   sepultura, con la reserva de que no pueden ser cremados y que pueden  ser</w:t>
        <w:br/>
        <w:t xml:space="preserve">   exhumados para nuevas autopsias[321].</w:t>
        <w:br/>
        <w:br/>
        <w:br/>
        <w:t>306.  El  Tribunal  concluye  que  en  el  presente  caso   se   presentaron</w:t>
        <w:br/>
        <w:t xml:space="preserve">   irregularidades relacionadas  con:  i)  la  falta  de  precisión  de  las</w:t>
        <w:br/>
        <w:t xml:space="preserve">   circunstancias del hallazgo de los cadáveres; ii) la poca rigurosidad  en</w:t>
        <w:br/>
        <w:t xml:space="preserve">   la inspección y salvaguarda de la escena del crimen  practicada  por  las</w:t>
        <w:br/>
        <w:t xml:space="preserve">   autoridades; iii)  el  indebido  manejo  de  algunas  de  las  evidencias</w:t>
        <w:br/>
        <w:t xml:space="preserve">   recolectadas, y  iv)  los  métodos  utilizados  no  fueron  acordes  para</w:t>
        <w:br/>
        <w:t xml:space="preserve">   preservar la cadena de custodia.</w:t>
        <w:br/>
        <w:br/>
        <w:br/>
        <w:t>307. Además, la Corte observa que este caso no es el único en el que se  han</w:t>
        <w:br/>
        <w:t xml:space="preserve">   denunciado negligencias en la  recolección  de  evidencias  (supra  párr.</w:t>
        <w:br/>
        <w:t xml:space="preserve">   150). En efecto,  la  Fiscalía  Especial  para  la  Atención  de  Delitos</w:t>
        <w:br/>
        <w:t xml:space="preserve">   relacionados con los Homicidios de Mujeres en Ciudad  Juárez  indicó  que</w:t>
        <w:br/>
        <w:t xml:space="preserve">   entre  1993   y   2005   frecuentemente   “los   dictámenes   periciales,</w:t>
        <w:br/>
        <w:t xml:space="preserve">   fundamentalmente los de criminalística de campo, no correspond[ían] en su</w:t>
        <w:br/>
        <w:t xml:space="preserve">   contenido a las constancias ministeriales practicadas en el lugar de  los</w:t>
        <w:br/>
        <w:t xml:space="preserve">   hechos por el agente del Ministerio Público respectivo”[322]. Además,  se</w:t>
        <w:br/>
        <w:t xml:space="preserve">   cometían muchos errores en la preservación de la escena del  crimen[323],</w:t>
        <w:br/>
        <w:t xml:space="preserve">   destrucción de evidencias[324] e irregularidades  en  la  preservación  y</w:t>
        <w:br/>
        <w:t xml:space="preserve">   análisis de evidencia[325].</w:t>
        <w:br/>
        <w:br/>
        <w:br/>
        <w:br/>
        <w:br/>
        <w:br/>
        <w:t xml:space="preserve">           b)    Irregularidades en la realización de autopsias</w:t>
        <w:br/>
        <w:br/>
        <w:br/>
        <w:t>308. Los representantes alegaron que las conclusiones respecto de  la  causa</w:t>
        <w:br/>
        <w:t xml:space="preserve">   de  muerte  de  las  víctimas,  no  son  claras  y  no  ofrecen  certeza.</w:t>
        <w:br/>
        <w:t xml:space="preserve">   Igualmente, destacaron que las  autoridades  no  ordenaron  los  exámenes</w:t>
        <w:br/>
        <w:t xml:space="preserve">   correspondientes  y  que  tomaron  muestras  de  órganos  para   realizar</w:t>
        <w:br/>
        <w:t xml:space="preserve">   exámenes, pero se desconocen los resultados de los mismos y la  ubicación</w:t>
        <w:br/>
        <w:t xml:space="preserve">   de la muestra.</w:t>
        <w:br/>
        <w:br/>
        <w:br/>
        <w:t>309. El Estado reconoció “[e]l impropio proceso  de  identificación  de  los</w:t>
        <w:br/>
        <w:t xml:space="preserve">   cuerpos y de determinación de la causa de muerte”.</w:t>
        <w:br/>
        <w:br/>
        <w:br/>
        <w:t>310. La Corte resalta que las autopsias  tienen  como  objetivo  recolectar,</w:t>
        <w:br/>
        <w:t xml:space="preserve">   como mínimo, información para identificar a la persona muerta,  la  hora,</w:t>
        <w:br/>
        <w:t xml:space="preserve">   fecha,  causa  y  forma  de  la  muerte.  Estas  deben  respetar  ciertas</w:t>
        <w:br/>
        <w:t xml:space="preserve">   formalidades  básicas,  como  indicar  la  fecha  y  hora  de  inicio   y</w:t>
        <w:br/>
        <w:t xml:space="preserve">   finalización, así como  el  lugar  donde  se  realiza  y  el  nombre  del</w:t>
        <w:br/>
        <w:t xml:space="preserve">   funcionario que la ejecuta. Asimismo, se debe,  inter  alia,  fotografiar</w:t>
        <w:br/>
        <w:t xml:space="preserve">   adecuadamente el cuerpo; tomar radiografías del cadáver, de  su  bolsa  o</w:t>
        <w:br/>
        <w:t xml:space="preserve">   envoltorio y después de desvestirlo,  documentar  toda  lesión.  Se  debe</w:t>
        <w:br/>
        <w:t xml:space="preserve">   documentar la ausencia, soltura o daño de los dientes, así como cualquier</w:t>
        <w:br/>
        <w:t xml:space="preserve">   trabajo dental, y examinar  cuidadosamente  las  áreas  genital  y  para-</w:t>
        <w:br/>
        <w:t xml:space="preserve">   genital en búsqueda de señales de abuso sexual. En casos de  sospecha  de</w:t>
        <w:br/>
        <w:t xml:space="preserve">   violencia o abuso sexual, se  debe  preservar  líquido  oral,  vaginal  y</w:t>
        <w:br/>
        <w:t xml:space="preserve">   rectal, y vello externo y púbico de la víctima[326]. Asimismo, el  Manual</w:t>
        <w:br/>
        <w:t xml:space="preserve">   de Naciones Unidas indica que en  los  protocolos  de  autopsia  se  debe</w:t>
        <w:br/>
        <w:t xml:space="preserve">   anotar la posición del cuerpo y sus condiciones, incluyendo si está tibio</w:t>
        <w:br/>
        <w:t xml:space="preserve">   o frío, ligero o rígido; proteger las manos  del  cadáver;  registrar  la</w:t>
        <w:br/>
        <w:t xml:space="preserve">   temperatura del ambiente y recoger cualquier insecto[327].</w:t>
        <w:br/>
        <w:br/>
        <w:br/>
        <w:t>311. En el presente caso, un perito del EAAF que analizó la autopsia  de  la</w:t>
        <w:br/>
        <w:t xml:space="preserve">   joven Herrera señaló que ésta no era completa, que se omitieron tanto las</w:t>
        <w:br/>
        <w:t xml:space="preserve">   anotaciones respecto a lesiones en el sistema óseo y falta de piel,  como</w:t>
        <w:br/>
        <w:t xml:space="preserve">   la  realización  de  estudios  para  determinar  otros  indicios.  No  se</w:t>
        <w:br/>
        <w:t xml:space="preserve">   describieron el período de la putrefacción, la macroscopía de los órganos</w:t>
        <w:br/>
        <w:t xml:space="preserve">   internos, ni se realizó el tiempo craneano, es decir no hay apertura  del</w:t>
        <w:br/>
        <w:t xml:space="preserve">   mismo[328]. Las autopsias no anexaron fotografías ni radiografías que  se</w:t>
        <w:br/>
        <w:t xml:space="preserve">   han  debido  tomar,  ni  hicieron  referencia  a  ellas[329].   Similares</w:t>
        <w:br/>
        <w:t xml:space="preserve">   conclusiones se pueden establecer respecto a las demás autopsias a partir</w:t>
        <w:br/>
        <w:t xml:space="preserve">   de la prueba disponible  ante  la  Corte[330].  Tampoco  documentaron  la</w:t>
        <w:br/>
        <w:t xml:space="preserve">   realización de exámenes específicos en búsqueda de  evidencias  de  abuso</w:t>
        <w:br/>
        <w:t xml:space="preserve">   sexual, lo cual resulta particularmente grave debido al contexto  probado</w:t>
        <w:br/>
        <w:t xml:space="preserve">   en el presente caso y a las características que presentaban  los  cuerpos</w:t>
        <w:br/>
        <w:t xml:space="preserve">   al momento de su hallazgo (supra párr. 212).</w:t>
        <w:br/>
        <w:br/>
        <w:br/>
        <w:t>312. La Corte constata que estas  negligencias  no  son  aisladas  sino  que</w:t>
        <w:br/>
        <w:t xml:space="preserve">   forman parte de un contexto en Ciudad Juárez, según el  cual  “[e]n  gran</w:t>
        <w:br/>
        <w:t xml:space="preserve">   parte de los expedientes analizados no se apreció que se haya solicitado,</w:t>
        <w:br/>
        <w:t xml:space="preserve">   ni que corra agregado en actuaciones, dictamen pericial  alguno  para  la</w:t>
        <w:br/>
        <w:t xml:space="preserve">   búsqueda de fibras en  las  ropas  de  las  víctimas,  a  efecto  de  una</w:t>
        <w:br/>
        <w:t xml:space="preserve">   posterior confronta[ción]; lo anterior, incluso, en los restos humanos  u</w:t>
        <w:br/>
        <w:t xml:space="preserve">   osamentas  de  víctimas  no  identificados”[331].  Según  un  informe  de</w:t>
        <w:br/>
        <w:t xml:space="preserve">   Amnistía Internacional de 2003  las  autopsias  no  se  llevaban  a  cabo</w:t>
        <w:br/>
        <w:t xml:space="preserve">   “conforme a los estándares necesarios para contribuir al  esclarecimiento</w:t>
        <w:br/>
        <w:t xml:space="preserve">   de los crímenes”[332], ni tampoco se exponen los medios  utilizados  para</w:t>
        <w:br/>
        <w:t xml:space="preserve">   llevar a conclusiones, como por ejemplo, la estatura, tipo de muerte o la</w:t>
        <w:br/>
        <w:t xml:space="preserve">   posible hora o fecha de muerte[333]. Asimismo, la Fiscalía Especial  para</w:t>
        <w:br/>
        <w:t xml:space="preserve">   la Atención de Delitos relacionados con  los  Homicidios  de  Mujeres  en</w:t>
        <w:br/>
        <w:t xml:space="preserve">   Ciudad Juárez hace referencia a que “se detectó que en  algunos  casos[,]</w:t>
        <w:br/>
        <w:t xml:space="preserve">   dichos dictámenes establecen fechas en las que está plenamente acreditado</w:t>
        <w:br/>
        <w:t xml:space="preserve">   que las víctimas todavía se hallaban con vida”[334]. Además,  la  testigo</w:t>
        <w:br/>
        <w:t xml:space="preserve">   Doretti  afirmo  que  muchos  expedientes  de  homicidio  “no   contenían</w:t>
        <w:br/>
        <w:t xml:space="preserve">   información sobre la ubicación final de los restos después de su paso por</w:t>
        <w:br/>
        <w:t xml:space="preserve">   el [Servicio  Médico  Forense],  incluyendo  tanto  aquellos  que  fueron</w:t>
        <w:br/>
        <w:t xml:space="preserve">   entregados a sus familiares, como los que fueron inhumados como restos no</w:t>
        <w:br/>
        <w:t xml:space="preserve">   [i]dentificados  en  panteones  municipales  o  depositados”   en   dicho</w:t>
        <w:br/>
        <w:t xml:space="preserve">   servicio[335].</w:t>
        <w:br/>
        <w:br/>
        <w:br/>
        <w:br/>
        <w:br/>
        <w:br/>
        <w:t xml:space="preserve">           c)    Alegadas irregularidades en la identificación y entrega de</w:t>
        <w:br/>
        <w:t xml:space="preserve">                 los cuerpos</w:t>
        <w:br/>
        <w:br/>
        <w:br/>
        <w:t>313.  La  Comisión  y  los  representantes  aludieron  a  contradicciones  e</w:t>
        <w:br/>
        <w:t xml:space="preserve">   inconsistencias en los resultados de identificación  de  los  restos.  El</w:t>
        <w:br/>
        <w:t xml:space="preserve">   Estado  “reconoc[ió]  la  falta  de  una   determinación   científica   e</w:t>
        <w:br/>
        <w:t xml:space="preserve">   irrefutable de la identidad de las tres víctimas en un  primer  momento”.</w:t>
        <w:br/>
        <w:t xml:space="preserve">   La Corte analizará a continuación irregularidades en a) la asignación  de</w:t>
        <w:br/>
        <w:t xml:space="preserve">   los nombres a los cuerpos encontrados, b) la entrega  incompleta  de  los</w:t>
        <w:br/>
        <w:t xml:space="preserve">   cuerpos  sin  que  existiese  una  identificación  positiva,  y  c)   las</w:t>
        <w:br/>
        <w:t xml:space="preserve">   controversias relativas a los análisis de ADN.</w:t>
        <w:br/>
        <w:br/>
        <w:br/>
        <w:br/>
        <w:br/>
        <w:br/>
        <w:t xml:space="preserve">           c.1)  Inicial asignación arbitraria de nombres a los cuerpos</w:t>
        <w:br/>
        <w:br/>
        <w:br/>
        <w:t>314. La Comisión y los representantes alegaron que la asignación inicial  de</w:t>
        <w:br/>
        <w:t xml:space="preserve">   los nombres en los cuerpos fue arbitraria.  Los  representantes,  además,</w:t>
        <w:br/>
        <w:t xml:space="preserve">   indicaron que al momento en que se  “dictó  auto  de  formal  prisión  en</w:t>
        <w:br/>
        <w:t xml:space="preserve">   contra de dos  inculpados,  cada  uno  de  los  cuerpos  tenía  nombre  y</w:t>
        <w:br/>
        <w:t xml:space="preserve">   apellido, a pesar de que […] no hubieran aparecido  nuevas  evidencias  o</w:t>
        <w:br/>
        <w:t xml:space="preserve">   pruebas científicas que llevaran a esa conclusión”.</w:t>
        <w:br/>
        <w:br/>
        <w:br/>
        <w:t>315. Sobre la relevancia de una identificación de  las  víctimas  según  las</w:t>
        <w:br/>
        <w:t xml:space="preserve">   reglas de debida diligencia, el perito  Castresana  Fernández  señaló  lo</w:t>
        <w:br/>
        <w:t xml:space="preserve">   siguiente:</w:t>
        <w:br/>
        <w:br/>
        <w:br/>
        <w:t xml:space="preserve">      Iniciada la investigación, cuando es necesaria la identificación de la</w:t>
        <w:br/>
        <w:t xml:space="preserve">      víctima,  los  procedimientos  adecuados  -técnico  forenses-,  cobran</w:t>
        <w:br/>
        <w:t xml:space="preserve">      relevancia como quiera que de acuerdo a las condiciones de hallazgo de</w:t>
        <w:br/>
        <w:t xml:space="preserve">      los cadáveres o restos humanos, no es posible  muchas  veces  realizar</w:t>
        <w:br/>
        <w:t xml:space="preserve">      identificación en forma visual -directa o por fotografía-, o  por  las</w:t>
        <w:br/>
        <w:t xml:space="preserve">      prendas de vestir y efectos que llevaba la víctima. En estos casos, la</w:t>
        <w:br/>
        <w:t xml:space="preserve">      identificación   por   medios   científicos    como    los    sistemas</w:t>
        <w:br/>
        <w:t xml:space="preserve">      antropométrico, dactilar, geométrico de  Matheios,  biométricos,  ADN,</w:t>
        <w:br/>
        <w:t xml:space="preserve">      antropología  forense,  odontología  forense,  etc[.],  requieren   de</w:t>
        <w:br/>
        <w:t xml:space="preserve">      laboratorios especializados con la acreditación  y  el  reconocimiento</w:t>
        <w:br/>
        <w:t xml:space="preserve">      internacional que garanticen la fiabilidad de los procedimientos y  la</w:t>
        <w:br/>
        <w:t xml:space="preserve">      idoneidad de los profesionales que realicen las pruebas[336].</w:t>
        <w:br/>
        <w:br/>
        <w:br/>
        <w:t>316. Respecto a la asignación  arbitraria  de  nombres,  el  testigo  Máynez</w:t>
        <w:br/>
        <w:t xml:space="preserve">   Grijalva declaró que “la identidad de los cuerpos dada por el  Procurador</w:t>
        <w:br/>
        <w:t xml:space="preserve">   se desprendió de la confesión de los detenidos”[337]. Asimismo,  el  EAAF</w:t>
        <w:br/>
        <w:t xml:space="preserve">   señaló que se solicitó que “cuatro de las  ocho  osamentas  recuperadas[,</w:t>
        <w:br/>
        <w:t xml:space="preserve">   incluyendo las  tres  víctimas,  fueran]  comparadas  […]  sólo  con  una</w:t>
        <w:br/>
        <w:t xml:space="preserve">   desaparecida”[338]. El EAAF agregó que  “[l]os  oficios  en  los  que  se</w:t>
        <w:br/>
        <w:t xml:space="preserve">   realiza esta solicitud y el expediente consultado no especifican la razón</w:t>
        <w:br/>
        <w:t xml:space="preserve">   por la que ciertos cuerpos  se  comparan  específicamente  […]  sólo  con</w:t>
        <w:br/>
        <w:t xml:space="preserve">   ciertas mujeres desaparecidas a uno y dos días del hallazgo” [339].</w:t>
        <w:br/>
        <w:br/>
        <w:br/>
        <w:t>317. El Estado no controvirtió  las  precisiones  de  hecho  efectuadas  por</w:t>
        <w:br/>
        <w:t xml:space="preserve">   dichos testimonios y documentos, razón por la cuál  el  Tribunal  da  por</w:t>
        <w:br/>
        <w:t xml:space="preserve">   probadas estas irregularidades relacionadas con la asignación  arbitraria</w:t>
        <w:br/>
        <w:t xml:space="preserve">   de identidades.</w:t>
        <w:br/>
        <w:br/>
        <w:br/>
        <w:br/>
        <w:br/>
        <w:br/>
        <w:t xml:space="preserve">           c.2)   Entrega  de   los   cuerpos   sin   que   existiese   una</w:t>
        <w:br/>
        <w:t xml:space="preserve">                 identificación positiva</w:t>
        <w:br/>
        <w:br/>
        <w:br/>
        <w:t>318. Los estándares internacionales exigen que la entrega de  restos  ocurra</w:t>
        <w:br/>
        <w:t xml:space="preserve">   cuando la víctima esté claramente identificada, es decir, una vez que  se</w:t>
        <w:br/>
        <w:t xml:space="preserve">   haya conseguido una identificación positiva. El  Protocolo  de  Minnesota</w:t>
        <w:br/>
        <w:t xml:space="preserve">   establece que “el cuerpo debe ser identificado por testigos confiables  y</w:t>
        <w:br/>
        <w:t xml:space="preserve">   otros métodos objetivos”[340].</w:t>
        <w:br/>
        <w:br/>
        <w:br/>
        <w:t>319. En el presente caso, a pesar de  haberse  ordenado  la  realización  de</w:t>
        <w:br/>
        <w:t xml:space="preserve">   diversos  dictámenes  periciales[341],  incluyendo  unos  basados  en  la</w:t>
        <w:br/>
        <w:t xml:space="preserve">   superposición cráneo-rostro y la realización de pruebas de  ADN[342],  al</w:t>
        <w:br/>
        <w:t xml:space="preserve">   momento de la entrega de los cuerpos  el  Estado  sólo  contaba  con  las</w:t>
        <w:br/>
        <w:t xml:space="preserve">   opiniones que algunos  familiares  emitieron  respecto  a  algunos  datos</w:t>
        <w:br/>
        <w:t xml:space="preserve">   físicos generales y al reconocimiento de vestimenta[343].</w:t>
        <w:br/>
        <w:br/>
        <w:br/>
        <w:t>320. En efecto, en el caso de la joven González, el 15 de noviembre de  2001</w:t>
        <w:br/>
        <w:t xml:space="preserve">   su hermana señaló que la había reconocido por una muestra de cabello, una</w:t>
        <w:br/>
        <w:t xml:space="preserve">   uña, una bata y una blusa, así como por un relleno dental[344]. El cuerpo</w:t>
        <w:br/>
        <w:t xml:space="preserve">   fue entregado a los familiares ese mismo día[345]. En el caso de la joven</w:t>
        <w:br/>
        <w:t xml:space="preserve">   Herrera, el 16 de noviembre de 2001 fue reconocida por su hermano  y  por</w:t>
        <w:br/>
        <w:t xml:space="preserve">   su padre a través de “la ropa que encontraron” en el lugar  del  hallazgo</w:t>
        <w:br/>
        <w:t xml:space="preserve">   de los cadáveres[346]. Ese mismo día les fue entregado el  cuerpo  a  los</w:t>
        <w:br/>
        <w:t xml:space="preserve">   familiares[347]. Sobre este caso el EAAF consideró que al entregarse  los</w:t>
        <w:br/>
        <w:t xml:space="preserve">   restos a los familiares “no se contaba aun con suficientes elementos para</w:t>
        <w:br/>
        <w:t xml:space="preserve">   establecer una identificación positiva”[348]. En  el  caso  de  la  joven</w:t>
        <w:br/>
        <w:t xml:space="preserve">   Ramos, el 22 de marzo de 2002 su madre señaló que reconoció el cuerpo  de</w:t>
        <w:br/>
        <w:t xml:space="preserve">   su  hija  por  un  brassier  y  unos  “huar[a]ches”  (sandalias)  que  le</w:t>
        <w:br/>
        <w:t xml:space="preserve">   mostraron. Asimismo, indicó que le  preguntaron  si  su  hija  tenía  una</w:t>
        <w:br/>
        <w:t xml:space="preserve">   fractura en el brazo,  a  lo  que  respondió  afirmativamente[349].  Esta</w:t>
        <w:br/>
        <w:t xml:space="preserve">   identificación fue ratificada por el tío de la víctima al  reconocer  los</w:t>
        <w:br/>
        <w:t xml:space="preserve">   rasgos que le fueron descritos y la fractura en el brazo[350]. Ese  mismo</w:t>
        <w:br/>
        <w:t xml:space="preserve">   día les fue entregado el cuerpo[351].</w:t>
        <w:br/>
        <w:br/>
        <w:br/>
        <w:t>321. Después de haber entregado los cuerpos a los familiares, la Oficina  de</w:t>
        <w:br/>
        <w:t xml:space="preserve">   Servicios  Periciales  de  Chihuahua  emitió  dictámenes  en  materia  de</w:t>
        <w:br/>
        <w:t xml:space="preserve">   craneometría y odontología y determinó “coincidencia  en  relación  oseo-</w:t>
        <w:br/>
        <w:t xml:space="preserve">   facial” y “características en dientes” al  comparar  fotografías  de  las</w:t>
        <w:br/>
        <w:t xml:space="preserve">   víctimas, su cráneo y su dentadura[352].</w:t>
        <w:br/>
        <w:br/>
        <w:br/>
        <w:t>322. En relación con la utilización de  esta  metodología  de  superposición</w:t>
        <w:br/>
        <w:t xml:space="preserve">   cráneo-rostro, la prueba pericial obrante en  el  expediente  indica  que</w:t>
        <w:br/>
        <w:t xml:space="preserve">   debe  estar  complementada  con  otros  dictámenes  para  llegar  a   una</w:t>
        <w:br/>
        <w:t xml:space="preserve">   identificación positiva. El perito Snow precisó que  “ningún  antropólogo</w:t>
        <w:br/>
        <w:t xml:space="preserve">   forense responsable utiliza esta técnica  como  medio  de  identificación</w:t>
        <w:br/>
        <w:t xml:space="preserve">   positiva”[353]. Por ejemplo, en el caso de la joven Herrera,  la  testigo</w:t>
        <w:br/>
        <w:t xml:space="preserve">   Doretti precisó que “el análisis  de  superposición  cráneo-foto  debería</w:t>
        <w:br/>
        <w:t xml:space="preserve">   haber sido reforzado por  un  análisis  genético  completo  previo  a  la</w:t>
        <w:br/>
        <w:t xml:space="preserve">   entrega de los restos”. Al respecto, la testigo precisó que esta  entrega</w:t>
        <w:br/>
        <w:t xml:space="preserve">   de los restos generó que un  dictamen  genético  realizado  casi  un  año</w:t>
        <w:br/>
        <w:t xml:space="preserve">   después, ofreciera resultados inconclusos debido a  la  poca  información</w:t>
        <w:br/>
        <w:t xml:space="preserve">   genética recuperada[354].</w:t>
        <w:br/>
        <w:br/>
        <w:br/>
        <w:t>323. Además, el EAAF indicó que en octubre de  2003  se  solicitaron  nuevos</w:t>
        <w:br/>
        <w:t xml:space="preserve">   análisis genéticos para los otros casos de campo algodonero. Sin embargo,</w:t>
        <w:br/>
        <w:t xml:space="preserve">   los  restos  de  las  víctimas  del  presente  caso  no   se   analizaron</w:t>
        <w:br/>
        <w:t xml:space="preserve">   “posiblemente porque ya habían sido  entregados  a  sus  familias  y  las</w:t>
        <w:br/>
        <w:t xml:space="preserve">   muestras tomadas en septiembre del 2002 se agotaron en los  análisis  del</w:t>
        <w:br/>
        <w:t xml:space="preserve">   2002”[355].</w:t>
        <w:br/>
        <w:br/>
        <w:br/>
        <w:t>324. La  Corte  concluye  que  el  reconocimiento  efectuado  por  parte  de</w:t>
        <w:br/>
        <w:t xml:space="preserve">   familiares no era suficiente para una identificación positiva,  así  como</w:t>
        <w:br/>
        <w:t xml:space="preserve">   tampoco lo eran las pruebas cráneo-rostro. Además, la Corte constata  que</w:t>
        <w:br/>
        <w:t xml:space="preserve">   la entrega de cuerpos fue realizada antes de que existiera certeza  sobre</w:t>
        <w:br/>
        <w:t xml:space="preserve">   la identidad de los mismos, lo cual generó  mayores  dificultades  en  el</w:t>
        <w:br/>
        <w:t xml:space="preserve">   proceso posterior de identificación a través de muestras de ADN.</w:t>
        <w:br/>
        <w:br/>
        <w:br/>
        <w:t>325. Con todo, el Tribunal observa que la identificación final de  la  joven</w:t>
        <w:br/>
        <w:t xml:space="preserve">   Ramos se logró entre el 18 de octubre de 2005 y el 16 de marzo  de  2006,</w:t>
        <w:br/>
        <w:t xml:space="preserve">   luego de que el EAAF efectúa un segundo examen de ADN a una clavícula que</w:t>
        <w:br/>
        <w:t xml:space="preserve">   su familia conservaba[356]. El 15 de marzo de 2006 la madre de  la  joven</w:t>
        <w:br/>
        <w:t xml:space="preserve">   Herrera compareció ante el Ministerio Público a fin de expresar su  deseo</w:t>
        <w:br/>
        <w:t xml:space="preserve">   de no continuar con el cotejo de ADN, manifestando su conformidad con  la</w:t>
        <w:br/>
        <w:t xml:space="preserve">   identificación efectuada previamente[357]. Los  familiares  de  la  joven</w:t>
        <w:br/>
        <w:t xml:space="preserve">   González indicaron su conformidad con la  identificación  inicial  (supra</w:t>
        <w:br/>
        <w:t xml:space="preserve">   párr. 218).</w:t>
        <w:br/>
        <w:br/>
        <w:br/>
        <w:br/>
        <w:br/>
        <w:br/>
        <w:t xml:space="preserve">           c.3). Controversias relativas a los análisis de ADN</w:t>
        <w:br/>
        <w:br/>
        <w:br/>
        <w:t>326. La Comisión y los representantes alegaron que  los  resultados  de  las</w:t>
        <w:br/>
        <w:t xml:space="preserve">   muestras de ADN “fueron  entregados  dos  años  después”  y  que  “no  se</w:t>
        <w:br/>
        <w:t xml:space="preserve">   pud[ieron] obtener perfiles genéticos completos”.</w:t>
        <w:br/>
        <w:br/>
        <w:br/>
        <w:t>327. El Estado argumentó que “la tardanza en los resultados de […]  ADN  […]</w:t>
        <w:br/>
        <w:t xml:space="preserve">   no obedecía a negligencia por parte de  la  autoridad  ministerial  local</w:t>
        <w:br/>
        <w:t xml:space="preserve">   sino al procedimiento que dichos peritajes requieren”.</w:t>
        <w:br/>
        <w:br/>
        <w:br/>
        <w:t>328. En el presente caso se realizaron tres dictámenes  genéticos  en  2002.</w:t>
        <w:br/>
        <w:t xml:space="preserve">   En un dictamen de septiembre de 2002 se concluyó que no existía  relación</w:t>
        <w:br/>
        <w:t xml:space="preserve">   genética entre el cuerpo identificado como el de  la  joven  Ramos  y  su</w:t>
        <w:br/>
        <w:t xml:space="preserve">   familia[358], lo cual contradecía las conclusiones establecidas  por  los</w:t>
        <w:br/>
        <w:t xml:space="preserve">   exámenes antropológicos[359]. En  otro  análisis  genético  realizado  en</w:t>
        <w:br/>
        <w:t xml:space="preserve">   octubre de 2002, se determinó que la joven Ramos no presentaba parentesco</w:t>
        <w:br/>
        <w:t xml:space="preserve">   con dos familias analizadas[360] y se  determinó  “probable  relación  de</w:t>
        <w:br/>
        <w:t xml:space="preserve">   parentesco genético [de una osamenta] con la [f]amilia Herrera” [361]. En</w:t>
        <w:br/>
        <w:t xml:space="preserve">   el caso de la joven González,  no  se  pudo  confrontar  con  su  familia</w:t>
        <w:br/>
        <w:t xml:space="preserve">   “debido a la ausencia de perfil genético en [su] osamenta”[362].</w:t>
        <w:br/>
        <w:br/>
        <w:br/>
        <w:t>329. Sobre estos resultado el EAAF indicó  que  el  hecho  de  que  se  haya</w:t>
        <w:br/>
        <w:t xml:space="preserve">   concluido que dos de los perfiles genéticos de dos osamentas pertenecen a</w:t>
        <w:br/>
        <w:t xml:space="preserve">   una misma persona exigía  “nuevas  muestras  de  los  restos  para  poder</w:t>
        <w:br/>
        <w:t xml:space="preserve">   ratificar o rectificar  el  diagnostico”[363].  Adicionalmente,  el  EAAF</w:t>
        <w:br/>
        <w:t xml:space="preserve">   criticó que “no todos los  restos  fueron  comparados  contra  todos  los</w:t>
        <w:br/>
        <w:t xml:space="preserve">   familiares de las ocho familias”[364].</w:t>
        <w:br/>
        <w:br/>
        <w:br/>
        <w:t>330. Respecto al caso de la joven Herrera el EAAF señaló que  la  conclusión</w:t>
        <w:br/>
        <w:t xml:space="preserve">   de uno de los análisis era “insuficiente […] para establecer una relación</w:t>
        <w:br/>
        <w:t xml:space="preserve">   genética” [365] y que “[n]o consta en el expediente la cadena de custodia</w:t>
        <w:br/>
        <w:t xml:space="preserve">   de las muestras de los restos mencionados que se analizan en este  primer</w:t>
        <w:br/>
        <w:t xml:space="preserve">   análisis genético”[366].</w:t>
        <w:br/>
        <w:br/>
        <w:br/>
        <w:t>331. La Corte constata que existieron irregularidades en  la  aplicación  de</w:t>
        <w:br/>
        <w:t xml:space="preserve">   las pruebas genéticas y que éstas sólo tuvieron un resultado parcialmente</w:t>
        <w:br/>
        <w:t xml:space="preserve">   positivo para el caso de la joven Herrera.  Para  el  caso  de  la  joven</w:t>
        <w:br/>
        <w:t xml:space="preserve">   González no se tuvo ningún resultado, mientras que para  el  caso  de  la</w:t>
        <w:br/>
        <w:t xml:space="preserve">   joven Ramos los resultados contradijeron la identificación  ya  realizada</w:t>
        <w:br/>
        <w:t xml:space="preserve">   por los familiares y el dictamen  cráneo-foto.  En  lo  que  respecta  al</w:t>
        <w:br/>
        <w:t xml:space="preserve">   alegato referente al excesivo tiempo  que  tomo  la  realización  de  las</w:t>
        <w:br/>
        <w:t xml:space="preserve">   mencionadas pruebas, no se ofreció argumentación sobre prueba que permita</w:t>
        <w:br/>
        <w:t xml:space="preserve">   concluir sobre demoras irrazonables.</w:t>
        <w:br/>
        <w:br/>
        <w:br/>
        <w:t>332. Teniendo en  cuenta  todo  lo  anterior,  la  Corte  considera  que  el</w:t>
        <w:br/>
        <w:t xml:space="preserve">   presente caso se relaciona con  lo  verificado  por  la  Oficina  de  las</w:t>
        <w:br/>
        <w:t xml:space="preserve">   Naciones Unidas contra la Droga y el Delito  en  otros  casos  similares.</w:t>
        <w:br/>
        <w:t xml:space="preserve">   Dicha oficina constató la “falta  de  toma  de  muestras  de  ADN  a  las</w:t>
        <w:br/>
        <w:t xml:space="preserve">   víctimas, a las  desaparecidas  y  a  los  respectivos  familiares”[367].</w:t>
        <w:br/>
        <w:t xml:space="preserve">   Cuando estos se realizaron, muchos mostraron resultados distintos  a  las</w:t>
        <w:br/>
        <w:t xml:space="preserve">   identificaciones iniciales[368].  En  este  sentido,  los  resultados  de</w:t>
        <w:br/>
        <w:t xml:space="preserve">   análisis genéticos obtenidos eran en algunos casos contradictorios  entre</w:t>
        <w:br/>
        <w:t xml:space="preserve">   sí, “un laboratorio por ejemplo,  obtiene  un  resultado  positivo  entre</w:t>
        <w:br/>
        <w:t xml:space="preserve">   determinados restos y una determinada  familia  […],  mientras  que  otro</w:t>
        <w:br/>
        <w:t xml:space="preserve">   laboratorio  obtiene  resultados   negativos   al   realizar   la   misma</w:t>
        <w:br/>
        <w:t xml:space="preserve">   comparación”. Tampoco  se  utilizaban  soluciones  posibles,  tales  como</w:t>
        <w:br/>
        <w:t xml:space="preserve">   “junta de peritos para revisar las  opiniones  divergentes  y  tratar  de</w:t>
        <w:br/>
        <w:t xml:space="preserve">   proporcionar mayores elementos de análisis”[369].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333.  Teniendo  en  cuenta  lo  expuesto,  así  como  el  reconocimiento  de</w:t>
        <w:br/>
        <w:t xml:space="preserve">   responsabilidad efectuado por el Estado,  el  Tribunal  concluye  que  se</w:t>
        <w:br/>
        <w:t xml:space="preserve">   presentaron irregularidades relacionadas con: i) falta de información  en</w:t>
        <w:br/>
        <w:t xml:space="preserve">   el  reporte  sobre  el  hallazgo  de  los   cadáveres,   ii)   inadecuada</w:t>
        <w:br/>
        <w:t xml:space="preserve">   preservación de  la  escena  del  crimen,  iii)  falta  de  rigor  en  la</w:t>
        <w:br/>
        <w:t xml:space="preserve">   recolección de evidencias y en la cadena de custodia, iv) contradicciones</w:t>
        <w:br/>
        <w:t xml:space="preserve">   e insuficiencias de las autopsias, y v) irregularidades e  insuficiencias</w:t>
        <w:br/>
        <w:t xml:space="preserve">   en la identificación de los cuerpos, así como en la entrega irregular  de</w:t>
        <w:br/>
        <w:t xml:space="preserve">   los mismos.</w:t>
        <w:br/>
        <w:br/>
        <w:br/>
        <w:br/>
        <w:br/>
        <w:br/>
        <w:t xml:space="preserve">           4.2.2.2.   Alegadas  irregularidades  en  la  actuación  seguida</w:t>
        <w:br/>
        <w:t xml:space="preserve">                    contra presuntos responsables y alegada  fabricación  de</w:t>
        <w:br/>
        <w:t xml:space="preserve">                    culpables</w:t>
        <w:br/>
        <w:br/>
        <w:br/>
        <w:t>334. La Comisión alegó que se acusó como responsables de  los  asesinatos  a</w:t>
        <w:br/>
        <w:t xml:space="preserve">   los señores Víctor Javier  García  Uribe  y  Gustavo  González  Meza  (en</w:t>
        <w:br/>
        <w:t xml:space="preserve">   adelante “el señor García” y “el señor González”),  a  pesar  de  que  no</w:t>
        <w:br/>
        <w:t xml:space="preserve">   tenían una “relación evidente con los hechos” y que su “detención […]  se</w:t>
        <w:br/>
        <w:t xml:space="preserve">   realizó de manera arbitraria y sus  confesiones  de  culpabilidad  fueron</w:t>
        <w:br/>
        <w:t xml:space="preserve">   extraídas bajo tortura”. Los representantes concordaron con la Comisión y</w:t>
        <w:br/>
        <w:t xml:space="preserve">   agregaron que el “Procurador [ordenó] ‘armar’ el  expediente  y  fabricar</w:t>
        <w:br/>
        <w:t xml:space="preserve">   culpables, para evitar la presión social”.  Asimismo,  señalaron  que  el</w:t>
        <w:br/>
        <w:t xml:space="preserve">   señor González falleció en la cárcel después de  una  operación  por  una</w:t>
        <w:br/>
        <w:t xml:space="preserve">   hernia, la cual se relacionaría con la tortura padecida.  La  Comisión  y</w:t>
        <w:br/>
        <w:t xml:space="preserve">   los representantes agregaron que los abogados defensores de  los  señores</w:t>
        <w:br/>
        <w:t xml:space="preserve">   García y González fueron asesinados en circunstancias aún no aclaradas  y</w:t>
        <w:br/>
        <w:t xml:space="preserve">   que sus familiares habrían recibido amenazas, lo cual motivó la  adopción</w:t>
        <w:br/>
        <w:t xml:space="preserve">   de medidas cautelares en su favor.</w:t>
        <w:br/>
        <w:br/>
        <w:br/>
        <w:t>335. El Estado manifestó que la  Corte  “únicamente  puede  conocer  de  las</w:t>
        <w:br/>
        <w:t xml:space="preserve">   presuntas violaciones” por la muerte de las tres víctimas y  no  respecto</w:t>
        <w:br/>
        <w:t xml:space="preserve">   al proceso penal seguido en contra de  los  señores  García  y  González.</w:t>
        <w:br/>
        <w:t xml:space="preserve">   Asimismo,  el  Estado  señaló  que   “la   hipótesis   de   la   probable</w:t>
        <w:br/>
        <w:t xml:space="preserve">   responsabilidad” de dichos señores “no puede ni debe ser considerada como</w:t>
        <w:br/>
        <w:t xml:space="preserve">   una fabricación de culpables”, sino  que  “se  trató  del  resultado  del</w:t>
        <w:br/>
        <w:t xml:space="preserve">   análisis de varios elementos de  convicción  que  […]  permitían  en  ese</w:t>
        <w:br/>
        <w:t xml:space="preserve">   momento, presumir [su] participación  directa”  en  los  homicidios.  Sin</w:t>
        <w:br/>
        <w:t xml:space="preserve">   embargo, el Estado reconoció que la investigación contra  dichos  señores</w:t>
        <w:br/>
        <w:t xml:space="preserve">   hizo que no se  agotaran  “otras  líneas  de  investigación”  y  que  “la</w:t>
        <w:br/>
        <w:t xml:space="preserve">   determinación de la no responsabilidad penal” de esos dos señores “generó</w:t>
        <w:br/>
        <w:t xml:space="preserve">   en  [los]  familiares  falta   de   credibilidad   en   las   autoridades</w:t>
        <w:br/>
        <w:t xml:space="preserve">   investigadoras, pérdida de indicios y pruebas por  el  simple  transcurso</w:t>
        <w:br/>
        <w:t xml:space="preserve">   del tiempo”.</w:t>
        <w:br/>
        <w:br/>
        <w:br/>
        <w:t>336. Respecto al alegato de incompetencia señalado por el Estado,  la  Corte</w:t>
        <w:br/>
        <w:t xml:space="preserve">   reitera lo señalado en la Resolución de 19 de enero de 2009 (supra  párr.</w:t>
        <w:br/>
        <w:t xml:space="preserve">   9), en el sentido de toda la prueba obrante en el expediente en  torno  a</w:t>
        <w:br/>
        <w:t xml:space="preserve">   lo ocurrido con los señores García y González puede  ser  utilizada  como</w:t>
        <w:br/>
        <w:t xml:space="preserve">   “prueba relevante al momento de evaluar […] las  supuestas  falencias  en</w:t>
        <w:br/>
        <w:t xml:space="preserve">   las investigaciones llevadas en el fuero interno” sobre la muerte de  las</w:t>
        <w:br/>
        <w:t xml:space="preserve">   tres víctimas.</w:t>
        <w:br/>
        <w:br/>
        <w:br/>
        <w:t>337. Al respecto, luego del hallazgo de los cuerpos en el  campo  algodonero</w:t>
        <w:br/>
        <w:t xml:space="preserve">   los días 6 y 7 de noviembre de 2001, los señores García y González fueron</w:t>
        <w:br/>
        <w:t xml:space="preserve">   detenidos el 9 de noviembre  de  2001.  En  sus  declaraciones  iniciales</w:t>
        <w:br/>
        <w:t xml:space="preserve">   aceptaron haber cometido los crímenes y describieron la  forma  como  los</w:t>
        <w:br/>
        <w:t xml:space="preserve">   habrían realizado[370]. Sin embargo, el 12 de noviembre del 2001, al  ser</w:t>
        <w:br/>
        <w:t xml:space="preserve">   escuchados en “declaración preparatoria”, señalaron que la confesión  que</w:t>
        <w:br/>
        <w:t xml:space="preserve">   habían hecho se originaba en actos de tortura que habían  recibido  y  en</w:t>
        <w:br/>
        <w:t xml:space="preserve">   amenazas contra ellos y sus familiares[371].</w:t>
        <w:br/>
        <w:br/>
        <w:br/>
        <w:t>338. El 5 de febrero de  2002  el  abogado  del  señor  González  murió  por</w:t>
        <w:br/>
        <w:t xml:space="preserve">   disparos a manos de la Policía  Judicial  del  Estado  de  Chihuahua,  en</w:t>
        <w:br/>
        <w:t xml:space="preserve">   circunstancias aún no aclaradas[372]. Ese mismo día, según un informe  de</w:t>
        <w:br/>
        <w:t xml:space="preserve">   Amnistía Internacional de 2003, la esposa del señor García fue  amenazada</w:t>
        <w:br/>
        <w:t xml:space="preserve">   por dos hombres no identificados[373]. El 8 de febrero de 2003  el  señor</w:t>
        <w:br/>
        <w:t xml:space="preserve">   González  falleció  en  el  centro  penitenciario  donde  se   encontraba</w:t>
        <w:br/>
        <w:t xml:space="preserve">   recluido, horas después de una intervención quirúrgica[374].</w:t>
        <w:br/>
        <w:br/>
        <w:br/>
        <w:t>339. El 13 de octubre de 2004 el Juez Tercero Penal  del  Distrito  Judicial</w:t>
        <w:br/>
        <w:t xml:space="preserve">   Bravos  condenó  al  señor  García  a  cincuenta  años  de  prisión  como</w:t>
        <w:br/>
        <w:t xml:space="preserve">   responsable de los homicidios en el campo algodonero[375]. El juez señaló</w:t>
        <w:br/>
        <w:t xml:space="preserve">   que la “retractación” de los inculpados “no produce  ninguna  convicción”</w:t>
        <w:br/>
        <w:t xml:space="preserve">   porque “son el resultado de reflexiones de  mayor  meditación  sobre  las</w:t>
        <w:br/>
        <w:t xml:space="preserve">   consecuencias que trae el reconocimiento de la comisión de  un  delito  o</w:t>
        <w:br/>
        <w:t xml:space="preserve">   bien sugerencias de asesores”. El juzgado  agregó  que  “las  huellas  de</w:t>
        <w:br/>
        <w:t xml:space="preserve">   violencia encontradas en sus cuerpos no pueden  ser  la  razón  por  [la]</w:t>
        <w:br/>
        <w:t xml:space="preserve">   cu[al] hayan estampado sus firmas en sus primeras declaraciones.”</w:t>
        <w:br/>
        <w:br/>
        <w:br/>
        <w:t>340. El 14 de julio de 2005 la Cuarta Sala del Supremo Tribunal de  Justicia</w:t>
        <w:br/>
        <w:t xml:space="preserve">   de Chihuahua revocó la decisión de primera instancia por falta de  prueba</w:t>
        <w:br/>
        <w:t xml:space="preserve">   en contra del señor García[376]. Asimismo, dicha  Sala  señaló  que  para</w:t>
        <w:br/>
        <w:t xml:space="preserve">   detener e inculpar al señor García se  utilizó  una  averiguación  previa</w:t>
        <w:br/>
        <w:t xml:space="preserve">   relacionada con “hechos totalmente distintos” ocurridos en 1999, lo  cual</w:t>
        <w:br/>
        <w:t xml:space="preserve">   “de ninguna forma […] era  determinante  para  ordenar  [su]  detención”.</w:t>
        <w:br/>
        <w:t xml:space="preserve">   Finalmente, se constató que no hubo orden judicial  de  detención  cuando</w:t>
        <w:br/>
        <w:t xml:space="preserve">   perfectamente se hubiera podido lograr. A partir de lo anterior, la  Sala</w:t>
        <w:br/>
        <w:t xml:space="preserve">   señaló  que  “la  detención  de  [los  señores  García  y  González]  fue</w:t>
        <w:br/>
        <w:t xml:space="preserve">   arbitraria”. En relación con las confesiones efectuadas, la  Sala  señaló</w:t>
        <w:br/>
        <w:t xml:space="preserve">   que “resulta  difícil  creer  que,  conociendo  sus  derechos  [a  la  no</w:t>
        <w:br/>
        <w:t xml:space="preserve">   autoincriminación,] ambos  inculpados  hubieran  relatado  en  forma  tan</w:t>
        <w:br/>
        <w:t xml:space="preserve">   minuciosa […] su participación en los  hechos”  y  que  incluso  hubieran</w:t>
        <w:br/>
        <w:t xml:space="preserve">   aceptado los hechos de 1999 “sin que nadie les preguntara  al  respecto”.</w:t>
        <w:br/>
        <w:t xml:space="preserve">   También se aludió a la “contradicción que existe entre [las  confesiones]</w:t>
        <w:br/>
        <w:t xml:space="preserve">   y las autopsias”, de tal forma que “las confesiones de los dos inculpados</w:t>
        <w:br/>
        <w:t xml:space="preserve">   se elaboraron para coincidir con las fechas de las desapariciones de  las</w:t>
        <w:br/>
        <w:t xml:space="preserve">   mujeres que se dijeron ofendidas”.</w:t>
        <w:br/>
        <w:br/>
        <w:br/>
        <w:t>341. Cabe resaltar que en 2003 la CNDH, consideró  que  “no  existe  momento</w:t>
        <w:br/>
        <w:t xml:space="preserve">   alguno en que hubiera quedado detallado, o bien, constancia  que  permita</w:t>
        <w:br/>
        <w:t xml:space="preserve">   al menos presumir que las lesiones fueron autoinfligidas, y sí existen en</w:t>
        <w:br/>
        <w:t xml:space="preserve">   contrapartida, las afirmaciones de que […] fueron objeto de tortura”, por</w:t>
        <w:br/>
        <w:t xml:space="preserve">   lo cual, para la  CNDH,  “quedó  acreditado  que  […]  fueron  objeto  de</w:t>
        <w:br/>
        <w:t xml:space="preserve">   sufrimientos graves para que rindieran una confesión  sobre  un  delito”.</w:t>
        <w:br/>
        <w:t xml:space="preserve">   Además, precisó que la defensa “aparece en una labor que dista de la  que</w:t>
        <w:br/>
        <w:t xml:space="preserve">   debe realizarse en términos constitucionales”, “toda vez que  incluso  en</w:t>
        <w:br/>
        <w:t xml:space="preserve">   una parte de la confesional complementa la respuesta  de  sus  defendidos</w:t>
        <w:br/>
        <w:t xml:space="preserve">   para lograr una mejor inculpación”[377].</w:t>
        <w:br/>
        <w:br/>
        <w:br/>
        <w:t>342. Por su parte, el  EAAF  resaltó  irregularidades  relacionadas  con  el</w:t>
        <w:br/>
        <w:t xml:space="preserve">   hecho de que: i) sólo se les haya  enseñado  fotovolantes  de  8  mujeres</w:t>
        <w:br/>
        <w:t xml:space="preserve">   desaparecidas, siendo que había más mujeres desaparecidas en  esa  fecha;</w:t>
        <w:br/>
        <w:t xml:space="preserve">   ii) justamente los fotovolantes que se les presentaron, constituyeron  la</w:t>
        <w:br/>
        <w:t xml:space="preserve">   lista final de víctimas de campo algodonero dada  oficialmente;  iii)  es</w:t>
        <w:br/>
        <w:t xml:space="preserve">   notoria la similitud de sus declaraciones con el contenido de  documentos</w:t>
        <w:br/>
        <w:t xml:space="preserve">   oficiales, como  por  ejemplo  los  fotovolantes  y  las  autopsias,  iv)</w:t>
        <w:br/>
        <w:t xml:space="preserve">   recordaban con mucha precisión datos físicos y de vestimenta de cada  una</w:t>
        <w:br/>
        <w:t xml:space="preserve">   de sus víctimas, a más de un año y meses de algunas desapariciones y  que</w:t>
        <w:br/>
        <w:t xml:space="preserve">   además recordaban lo mismo. Asimismo, el EAAF consideró que dado el nivel</w:t>
        <w:br/>
        <w:t xml:space="preserve">   de contradicción en los peritajes rendidos, no había explicación sobre su</w:t>
        <w:br/>
        <w:t xml:space="preserve">   valoración en la sentencia de condena[378].</w:t>
        <w:br/>
        <w:br/>
        <w:br/>
        <w:t>343. La Corte recuerda  que  los  señores  García  y  González  no  son  las</w:t>
        <w:br/>
        <w:t xml:space="preserve">   víctimas respecto de  quienes  se  está  determinando  la  existencia  de</w:t>
        <w:br/>
        <w:t xml:space="preserve">   presuntas violaciones  a  la  Convención.  Sin  embargo,  la  información</w:t>
        <w:br/>
        <w:t xml:space="preserve">   respecto a las irregularidades en la investigación  es  fundamental  para</w:t>
        <w:br/>
        <w:t xml:space="preserve">   valorar el  acceso  a  la  justicia  que  tuvieron  las  madres  y  demás</w:t>
        <w:br/>
        <w:t xml:space="preserve">   familiares de las tres mujeres asesinadas. Teniendo en cuenta  la  prueba</w:t>
        <w:br/>
        <w:t xml:space="preserve">   analizada, es posible concluir que las  investigaciones  respecto  a  los</w:t>
        <w:br/>
        <w:t xml:space="preserve">   “crímenes  del  campo  algodonero”  se  relacionan  con  un  contexto  de</w:t>
        <w:br/>
        <w:t xml:space="preserve">   irregularidades  en  la  determinación  de  responsables   por   crímenes</w:t>
        <w:br/>
        <w:t xml:space="preserve">   similares. Así por ejemplo, la CNDH, en 2003, se refirió a la  “obtención</w:t>
        <w:br/>
        <w:t xml:space="preserve">   indiscriminada de  confesiones”  por  parte  de  agentes  del  Ministerio</w:t>
        <w:br/>
        <w:t xml:space="preserve">   Público y elementos policiales a su cargo. A partir de 89  casos  que  se</w:t>
        <w:br/>
        <w:t xml:space="preserve">   sometieron al  conocimiento  de  la  autoridad  jurisdiccional,  la  CNDH</w:t>
        <w:br/>
        <w:t xml:space="preserve">   observó que:</w:t>
        <w:br/>
        <w:br/>
        <w:br/>
        <w:t xml:space="preserve">      las personas involucradas en la comisión de los delitos confesaron  de</w:t>
        <w:br/>
        <w:t xml:space="preserve">      manera "espontánea" su participación ante  el  agente  del  Ministerio</w:t>
        <w:br/>
        <w:t xml:space="preserve">      Público del estado, no obstante  que  con  posterioridad  manifestaron</w:t>
        <w:br/>
        <w:t xml:space="preserve">      ante el órgano jurisdiccional que habían sido  sometidos  a  torturas,</w:t>
        <w:br/>
        <w:t xml:space="preserve">      maltratos o amenazas para que firmaran declaraciones con las que no se</w:t>
        <w:br/>
        <w:t xml:space="preserve">      encontraban  de  acuerdo,  y  que  les  habían  sido  arrancadas   con</w:t>
        <w:br/>
        <w:t xml:space="preserve">      violencia.</w:t>
        <w:br/>
        <w:br/>
        <w:br/>
        <w:t xml:space="preserve">      […]</w:t>
        <w:br/>
        <w:br/>
        <w:br/>
        <w:t xml:space="preserve">      es claro que en el caso de torturas inferidas  a  personas  detenidas,</w:t>
        <w:br/>
        <w:t xml:space="preserve">      generalmente los responsables suelen recurrir a prácticas orientadas a</w:t>
        <w:br/>
        <w:t xml:space="preserve">      tratar de no dejar huella alguna en el cuerpo de la víctima, y  en  su</w:t>
        <w:br/>
        <w:t xml:space="preserve">      caso a justificar su actuación mediante la simulación de  certificados</w:t>
        <w:br/>
        <w:t xml:space="preserve">      médicos, los cuales, por regla general, sin cumplir  ningún  parámetro</w:t>
        <w:br/>
        <w:t xml:space="preserve">      metodológico, se concretan a  señalar  que  la  persona  examinada  se</w:t>
        <w:br/>
        <w:t xml:space="preserve">      encontraba "sin lesiones"[379].</w:t>
        <w:br/>
        <w:br/>
        <w:br/>
        <w:t>344. Un Informe de la Oficina de las Naciones Unidas contra la  Droga  y  el</w:t>
        <w:br/>
        <w:t xml:space="preserve">   Delito (ONUDD) sobre su misión en Ciudad Juárez, analizó  el  caso  Campo</w:t>
        <w:br/>
        <w:t xml:space="preserve">   Algodonero y otros  casos.  Dicha  Oficina  verificó  que  varios  jueces</w:t>
        <w:br/>
        <w:t xml:space="preserve">   invertían indebidamente la carga de la prueba, rechazaban los alegatos de</w:t>
        <w:br/>
        <w:t xml:space="preserve">   tortura restando veracidad  a  las  retractaciones  e  indicaban  que  no</w:t>
        <w:br/>
        <w:t xml:space="preserve">   estaban suficientemente probadas, sin una valoración médico  pericial  de</w:t>
        <w:br/>
        <w:t xml:space="preserve">   las lesiones y sin que se hubiera iniciado  una  averiguación  previa  al</w:t>
        <w:br/>
        <w:t xml:space="preserve">   respecto. El informe concluyó que:</w:t>
        <w:br/>
        <w:br/>
        <w:br/>
        <w:t xml:space="preserve">      [e]n todos los procedimientos examinados se reproduce el mismo patrón:</w:t>
        <w:br/>
        <w:t xml:space="preserve">      […] una parte significativa de los [inculpados] confiesa los  crímenes</w:t>
        <w:br/>
        <w:t xml:space="preserve">      que les son imputados en el momento de prestar declaración en la  fase</w:t>
        <w:br/>
        <w:t xml:space="preserve">      preprocesal o en la averiguación previa asistidos de defensor  público</w:t>
        <w:br/>
        <w:t xml:space="preserve">      (no  designado  por  ellos),  y  no  ratifican  aquella  en  presencia</w:t>
        <w:br/>
        <w:t xml:space="preserve">      judicial, […]  denunciando  tratos  inhumanos  y  degradantes,  y  […]</w:t>
        <w:br/>
        <w:t xml:space="preserve">      delitos de tortura, mediante  los  que  aquellos  habrán  obtenido  su</w:t>
        <w:br/>
        <w:t xml:space="preserve">      confesión. Invariablemente, tales alegaciones son rechazadas  por  los</w:t>
        <w:br/>
        <w:t xml:space="preserve">      Jueces intervinientes, las sucesivas resoluciones por ellos  dictadas,</w:t>
        <w:br/>
        <w:t xml:space="preserve">      con argumentos más o menos  abstractos,  o  con  diversa  terminología</w:t>
        <w:br/>
        <w:t xml:space="preserve">      técnico jurídica,  pero  sin  ordenar  investigaciones  o  diligencias</w:t>
        <w:br/>
        <w:t xml:space="preserve">      tendentes a esclarecer si  las  denuncias  de  torturas  tienen  o  no</w:t>
        <w:br/>
        <w:t xml:space="preserve">      fundamento. Esto sucede,  a  pesar  de  que  en  varios  casos,  tales</w:t>
        <w:br/>
        <w:t xml:space="preserve">      denuncias son extremadamente detalladas, reproducen en  los  distintos</w:t>
        <w:br/>
        <w:t xml:space="preserve">      procedimientos examinados los métodos supuestamente utilizados por  la</w:t>
        <w:br/>
        <w:t xml:space="preserve">      Policía Judicial (picanas eléctricas o "chicharras", cobijas empapadas</w:t>
        <w:br/>
        <w:t xml:space="preserve">      de agua, asfixia con bolsas de plástico, etc.) y aparecen  confirmadas</w:t>
        <w:br/>
        <w:t xml:space="preserve">      por informes inequívocos emitidos  por  médicos  particulares  y/o  de</w:t>
        <w:br/>
        <w:t xml:space="preserve">      instituciones oficiales que certifican las señales  físicas  de  malos</w:t>
        <w:br/>
        <w:t xml:space="preserve">      tratos incompatibles con las hipótesis de  autolesión,  así  como  por</w:t>
        <w:br/>
        <w:t xml:space="preserve">      fotografías y otros medios de prueba. […] Las denuncias de privaciones</w:t>
        <w:br/>
        <w:t xml:space="preserve">      ilegitimas de libertad y de torturas, seguidas de la no  investigación</w:t>
        <w:br/>
        <w:t xml:space="preserve">      de las mismas por el Ministerio Público y por los Jueces, tienen  como</w:t>
        <w:br/>
        <w:t xml:space="preserve">      corolario, también  sistemático,  la  aceptación  por  los  operadores</w:t>
        <w:br/>
        <w:t xml:space="preserve">      jurídicos de las declaraciones  de  inculpados  y  testigos  en  tales</w:t>
        <w:br/>
        <w:t xml:space="preserve">      condiciones como pruebas de cargo válidas para sobre ellas,  construir</w:t>
        <w:br/>
        <w:t xml:space="preserve">      y sustentar la imputación. Los procesos se  construyen  en  Chihuahua,</w:t>
        <w:br/>
        <w:t xml:space="preserve">      […] fundamentalmente, sobre la autoinculpación de  los  procesados,  y</w:t>
        <w:br/>
        <w:t xml:space="preserve">      sobre la inculpación de co-procesados y testigos[380].</w:t>
        <w:br/>
        <w:br/>
        <w:br/>
        <w:t>345. En similar sentido, la Comisión para  Ciudad  Juárez  indicó  que  “las</w:t>
        <w:br/>
        <w:t xml:space="preserve">   periciales ofrecidas […] estaban encaminadas a justificar  una  hipótesis</w:t>
        <w:br/>
        <w:t xml:space="preserve">   del Ministerio Público”[381]. El  Relator  de  Naciones  Unidas  para  la</w:t>
        <w:br/>
        <w:t xml:space="preserve">   Independencia del Poder Judicial, en 2002, aludió a la tortura  de  cinco</w:t>
        <w:br/>
        <w:t xml:space="preserve">   integrantes de una banda,  acusados  de  algunos  de  los  crímenes[382].</w:t>
        <w:br/>
        <w:t xml:space="preserve">   Además, en un informe de 2003, Amnistía Internacional documentó al  menos</w:t>
        <w:br/>
        <w:t xml:space="preserve">   otros tres casos en la ciudad de Chihuahua en  los  que  se  denunció  la</w:t>
        <w:br/>
        <w:t xml:space="preserve">   utilización  de  tortura  para  obtener  confesiones  de  sospechosos  de</w:t>
        <w:br/>
        <w:t xml:space="preserve">   asesinatos de mujeres[383].</w:t>
        <w:br/>
        <w:br/>
        <w:br/>
        <w:t>346. Teniendo en cuenta todo lo anterior, la Corte acepta el  reconocimiento</w:t>
        <w:br/>
        <w:t xml:space="preserve">   de responsabilidad estatal  respecto  a  que  la  investigación  dirigida</w:t>
        <w:br/>
        <w:t xml:space="preserve">   contra los señores García y González  implicó  que  “no  se  continu[ara]</w:t>
        <w:br/>
        <w:t xml:space="preserve">   agotando otras líneas de investigación” y que “la determinación de la  no</w:t>
        <w:br/>
        <w:t xml:space="preserve">   responsabilidad penal” de esos dos señores “generó  en  [los]  familiares</w:t>
        <w:br/>
        <w:t xml:space="preserve">   falta de credibilidad  en  las  autoridades  investigadoras,  pérdida  de</w:t>
        <w:br/>
        <w:t xml:space="preserve">   indicios y pruebas por el  simple  transcurso  del  tiempo”.  Además,  el</w:t>
        <w:br/>
        <w:t xml:space="preserve">   Tribunal resalta que la falta de debida investigación y  sanción  de  las</w:t>
        <w:br/>
        <w:t xml:space="preserve">   irregularidades denunciadas propicia la reiteración en el  uso  de  tales</w:t>
        <w:br/>
        <w:t xml:space="preserve">   métodos por parte de los investigadores. Ello  afecta  la  capacidad  del</w:t>
        <w:br/>
        <w:t xml:space="preserve">   Poder Judicial para identificar y perseguir a los responsables  y  lograr</w:t>
        <w:br/>
        <w:t xml:space="preserve">   la sanción que corresponda, lo  cual  hace  inefectivo  el  acceso  a  la</w:t>
        <w:br/>
        <w:t xml:space="preserve">   justicia.  En  el  presente  caso,  estas  irregularidades  generaron  el</w:t>
        <w:br/>
        <w:t xml:space="preserve">   reinicio de la investigación cuatro años después de ocurridos los hechos,</w:t>
        <w:br/>
        <w:t xml:space="preserve">   lo cual generó un impacto grave en la eficacia de la misma, más  aún  por</w:t>
        <w:br/>
        <w:t xml:space="preserve">   el tipo de crimen cometido, donde la valoración de evidencias se hace aún</w:t>
        <w:br/>
        <w:t xml:space="preserve">   más difícil con el transcurso del tiempo.</w:t>
        <w:br/>
        <w:br/>
        <w:br/>
        <w:br/>
        <w:br/>
        <w:br/>
        <w:t xml:space="preserve">           4.2.2.3.    Alegada  demora  injustificada  e  inexistencia   de</w:t>
        <w:br/>
        <w:t xml:space="preserve">                    avances sustanciales en las investigaciones</w:t>
        <w:br/>
        <w:br/>
        <w:br/>
        <w:t>347. La Comisión alegó que “no hubo seguimiento  a  testimonios  claves  con</w:t>
        <w:br/>
        <w:t xml:space="preserve">   información  pertinente  para  la  investigación”.   Los   representantes</w:t>
        <w:br/>
        <w:t xml:space="preserve">   concordaron con  ello  y  agregaron  que  “no  tienen  ningún  sospechoso</w:t>
        <w:br/>
        <w:t xml:space="preserve">   consignado por los asesinatos” y que en el caso de la joven  González  el</w:t>
        <w:br/>
        <w:t xml:space="preserve">   Estado “se presentó ante la Corte sin ningún avance”.</w:t>
        <w:br/>
        <w:br/>
        <w:br/>
        <w:t>348. El Estado  señaló  que  en  la  segunda  etapa  de  investigaciones  se</w:t>
        <w:br/>
        <w:t xml:space="preserve">   “reemprendió  [la]  labor  [investigativa  utilizando]  las   constancias</w:t>
        <w:br/>
        <w:t xml:space="preserve">   iniciales de las diligencias efectuadas a  partir  del  hallazgo  de  los</w:t>
        <w:br/>
        <w:t xml:space="preserve">   cadáveres”,  incluyendo  “los  reportes  de  paradero  desconocido,   los</w:t>
        <w:br/>
        <w:t xml:space="preserve">   testimonios obtenidos, la inspección del  lugar  del  descubrimiento,  la</w:t>
        <w:br/>
        <w:t xml:space="preserve">   relación  de  las   evidencias   recolectadas   y   los   dictámenes   de</w:t>
        <w:br/>
        <w:t xml:space="preserve">   identificación”.</w:t>
        <w:br/>
        <w:br/>
        <w:br/>
        <w:t>349. Al respecto, la jurisprudencia de la Corte ha señalado  que  un  Estado</w:t>
        <w:br/>
        <w:t xml:space="preserve">   puede ser responsable por dejar de “ordenar, practicar o valorar  pruebas</w:t>
        <w:br/>
        <w:t xml:space="preserve">   que hubieran sido de mucha importancia para el debido esclarecimiento  de</w:t>
        <w:br/>
        <w:t xml:space="preserve">   los homicidios”[384].</w:t>
        <w:br/>
        <w:br/>
        <w:br/>
        <w:t>350. En el presente caso, el 9 de marzo de 2006 la Titular  de  la  Fiscalía</w:t>
        <w:br/>
        <w:t xml:space="preserve">   Mixta para la Atención de Homicidios de Mujeres en Ciudad Juárez  recibió</w:t>
        <w:br/>
        <w:t xml:space="preserve">   el expediente penal por las muertes del campo algodonero, luego de que el</w:t>
        <w:br/>
        <w:t xml:space="preserve">   14 de julio de 2005 fuera revocada la condena del 13 de octubre  de  2004</w:t>
        <w:br/>
        <w:t xml:space="preserve">   contra el único acusado[385]. La Corte constata  que,  sin  justificación</w:t>
        <w:br/>
        <w:t xml:space="preserve">   alguna, las investigaciones  estuvieron  paralizadas  durante  casi  ocho</w:t>
        <w:br/>
        <w:t xml:space="preserve">   meses después de la revocatoria de la condena.</w:t>
        <w:br/>
        <w:br/>
        <w:br/>
        <w:t>351. Por otra parte, durante la audiencia pública  la  Corte  fue  informada</w:t>
        <w:br/>
        <w:t xml:space="preserve">   sobre los resultados de la segunda etapa de las investigaciones y el plan</w:t>
        <w:br/>
        <w:t xml:space="preserve">   de trabajo a seguir por parte del Ministerio Público[386].  Sin  embargo,</w:t>
        <w:br/>
        <w:t xml:space="preserve">   no existen resultados de las diligencias anunciadas  por  el  Agente  del</w:t>
        <w:br/>
        <w:t xml:space="preserve">   Ministerio Público a cargo de la investigación, tales como el estudio  de</w:t>
        <w:br/>
        <w:t xml:space="preserve">   ciertas prendas, nuevos análisis genéticos y la investigación en torno  a</w:t>
        <w:br/>
        <w:t xml:space="preserve">   presuntos responsables.</w:t>
        <w:br/>
        <w:br/>
        <w:br/>
        <w:t>352. Finalmente, el Tribunal resalta que las  falencias  investigativas  que</w:t>
        <w:br/>
        <w:t xml:space="preserve">   se dieron en la primera etapa de  las  investigaciones  y  que  han  sido</w:t>
        <w:br/>
        <w:t xml:space="preserve">   aceptadas por el Estado, difícilmente  podrían  ser  subsanadas  por  las</w:t>
        <w:br/>
        <w:t xml:space="preserve">   tardías  e  insuficientes  diligencias  probatorias  que  el  Estado   ha</w:t>
        <w:br/>
        <w:t xml:space="preserve">   desarrollado a partir del año 2006. Prueba de ello son los ocho años  que</w:t>
        <w:br/>
        <w:t xml:space="preserve">   han trascurrido desde que sucedieron los hechos sin que la  investigación</w:t>
        <w:br/>
        <w:t xml:space="preserve">   pase de su fase preliminar.</w:t>
        <w:br/>
        <w:br/>
        <w:br/>
        <w:br/>
        <w:br/>
        <w:br/>
        <w:t xml:space="preserve">           4.2.2.4.    Alegadas   irregularidades   relacionadas   con   la</w:t>
        <w:br/>
        <w:t xml:space="preserve">                    fragmentación  de  las  investigaciones  y  su  presunto</w:t>
        <w:br/>
        <w:t xml:space="preserve">                    impacto en la generación de impunidad</w:t>
        <w:br/>
        <w:br/>
        <w:br/>
        <w:t>El  Tribunal  observa  que  la  controversia  entre  las  partes  sobre   la</w:t>
        <w:br/>
        <w:t>fragmentación de los casos se relaciona con tres  temas  distintos:  a)  las</w:t>
        <w:br/>
        <w:t>alegadas irregularidades en la iniciación de una investigación  por  tráfico</w:t>
        <w:br/>
        <w:t>de  órganos  y  la  no  articulación  de  ésta  con  la  investigación   por</w:t>
        <w:br/>
        <w:t>desaparición y homicidio, b) alegada  necesidad  de  que  el  fuero  federal</w:t>
        <w:br/>
        <w:t>conociera del presente caso, y  c)  alegadas  irregularidades  derivadas  de</w:t>
        <w:br/>
        <w:t>investigar los tres casos en forma separada.</w:t>
        <w:br/>
        <w:br/>
        <w:br/>
        <w:br/>
        <w:br/>
        <w:br/>
        <w:t xml:space="preserve">           a)     Alegadas  irregularidades  en  la   iniciación   de   una</w:t>
        <w:br/>
        <w:t xml:space="preserve">                 investigación por tráfico de órganos y la  no  articulación</w:t>
        <w:br/>
        <w:t xml:space="preserve">                 de ésta con la investigación por desaparición y homicidio</w:t>
        <w:br/>
        <w:br/>
        <w:br/>
        <w:t>353. Las ocho muertes del campo algodonero fueron el  objeto  de  una  misma</w:t>
        <w:br/>
        <w:t xml:space="preserve">   investigación ante la PGR entre los años 2003 y 2006 que indagaba, en  el</w:t>
        <w:br/>
        <w:t xml:space="preserve">   fuero federal, la posible vinculación con la delincuencia organizada,  en</w:t>
        <w:br/>
        <w:t xml:space="preserve">   particular con el tráfico de órganos[387]. El delito de homicidio  siguió</w:t>
        <w:br/>
        <w:t xml:space="preserve">   siendo competencia de la PGJE[388].</w:t>
        <w:br/>
        <w:br/>
        <w:br/>
        <w:t>354. La Comisión alegó que “cuando la Procuraduría General  de  Justicia  de</w:t>
        <w:br/>
        <w:t xml:space="preserve">   la República retuvo los  expedientes  en  ejercicio  de  su  facultad  de</w:t>
        <w:br/>
        <w:t xml:space="preserve">   atracción, no hubo  actividad  procesal  ni  investigativa  alguna”.  Los</w:t>
        <w:br/>
        <w:t xml:space="preserve">   representantes consideraron  que  esta  línea  de  investigación  “se  ha</w:t>
        <w:br/>
        <w:t xml:space="preserve">   considerado inverosímil”, “con falta de seriedad”, que ha “despertado más</w:t>
        <w:br/>
        <w:t xml:space="preserve">   morbo y amarillismo” y que “después de 4 años […] tampoco hubo aportes de</w:t>
        <w:br/>
        <w:t xml:space="preserve">   elementos en la investigación de los homicidios”  del  campo  algodonero.</w:t>
        <w:br/>
        <w:t xml:space="preserve">   Además,  resaltaron  que  “nunca  existió  conexión   alguna   entre   la</w:t>
        <w:br/>
        <w:t xml:space="preserve">   averiguación previa federal y el proceso que se  siguió  a  [los  señores</w:t>
        <w:br/>
        <w:t xml:space="preserve">   García y González]”.</w:t>
        <w:br/>
        <w:br/>
        <w:br/>
        <w:t>355. El Estado alegó que en esta investigación por  tráfico  de  órganos  se</w:t>
        <w:br/>
        <w:t xml:space="preserve">   realizaron “273 dictámenes de medicina forense, genética forense, retrato</w:t>
        <w:br/>
        <w:t xml:space="preserve">   hablado,   trabajo   social,   psiquiatría,   grafoscopía,    poligrafía,</w:t>
        <w:br/>
        <w:t xml:space="preserve">   fotografía,  criminología,  criminalística,  psicología,   dactiloscopia,</w:t>
        <w:br/>
        <w:t xml:space="preserve">   audio,  estomatología  forense,  reconstrucción  facial,  identificación,</w:t>
        <w:br/>
        <w:t xml:space="preserve">   recopilación hemerográfica, inspección con binomio sensor,  victimología,</w:t>
        <w:br/>
        <w:t xml:space="preserve">   química y antropología forense. También fueron tomadas 737  declaraciones</w:t>
        <w:br/>
        <w:t xml:space="preserve">   ministeriales, 246 indagaciones de la Agencia Federal de Investigación, 2</w:t>
        <w:br/>
        <w:t xml:space="preserve">   asistencias jurídicas  internacionales  y  43  exhortos  en  apoyo  a  la</w:t>
        <w:br/>
        <w:t xml:space="preserve">   Procuraduría  General  de  Chihuahua”.  Asimismo,  estableció  que  “[e]l</w:t>
        <w:br/>
        <w:t xml:space="preserve">   material derivado de las  diligencias  de  la  PGR  fue  integrado  a  la</w:t>
        <w:br/>
        <w:t xml:space="preserve">   averiguación previa reiniciada no. 27913/01-1”.</w:t>
        <w:br/>
        <w:br/>
        <w:br/>
        <w:t>356. En lo que respecta a la no atracción del delito de homicidio  al  fuero</w:t>
        <w:br/>
        <w:t xml:space="preserve">   federal, el perito Castresana  Fernández  indicó  que  “[d]e  acuerdo  al</w:t>
        <w:br/>
        <w:t xml:space="preserve">   principio de investigación integral, la PGR, debió investigar los  hechos</w:t>
        <w:br/>
        <w:t xml:space="preserve">   de desaparición y homicidio del Campo Algodonero”[389].</w:t>
        <w:br/>
        <w:br/>
        <w:br/>
        <w:t>357. La Corte observa que a pesar de que la  legislación  interna  prevé  la</w:t>
        <w:br/>
        <w:t xml:space="preserve">   posibilidad de que las autoridades  federales  conozcan  también  de  los</w:t>
        <w:br/>
        <w:t xml:space="preserve">   delitos  de  fuero  común,  cuando  estos  tenga  conexidad  con  delitos</w:t>
        <w:br/>
        <w:t xml:space="preserve">   federales[390], en este  caso  no  ocurrió  así[391].  Sin  embargo,  los</w:t>
        <w:br/>
        <w:t xml:space="preserve">   representantes no argumentaron por qué ello desconoce  la  obligación  de</w:t>
        <w:br/>
        <w:t xml:space="preserve">   garantizar un acceso efectivo a la  justicia.  En  particular,  no  queda</w:t>
        <w:br/>
        <w:t xml:space="preserve">   claro si se trata de una facultad o de una obligación y en qué forma ello</w:t>
        <w:br/>
        <w:t xml:space="preserve">   afectaba  la   investigación.   La   insuficiente   motivación   de   los</w:t>
        <w:br/>
        <w:t xml:space="preserve">   representantes impide al Tribunal un pronunciamiento sobre este alegato.</w:t>
        <w:br/>
        <w:br/>
        <w:br/>
        <w:t>358. Sobre los resultados de la investigación por  tráfico  de  órganos,  la</w:t>
        <w:br/>
        <w:t xml:space="preserve">   Corte observa que en  efecto  algunas  diligencias  de  la  misma  fueron</w:t>
        <w:br/>
        <w:t xml:space="preserve">   trasladadas en 2007 a la averiguación previa  sobre  homicidio[392].  Sin</w:t>
        <w:br/>
        <w:t xml:space="preserve">   embargo la Corte no cuenta con evidencia para determinar  si  se  remitió</w:t>
        <w:br/>
        <w:t xml:space="preserve">   toda la prueba mencionada por el  Estado.  Asimismo,  los  representantes</w:t>
        <w:br/>
        <w:t xml:space="preserve">   tampoco argumentaron en qué sentido esa  prueba  era  relevante.  Por  el</w:t>
        <w:br/>
        <w:t xml:space="preserve">   contrario, sostienen que dicha línea de investigación era  “inverosímil”.</w:t>
        <w:br/>
        <w:t xml:space="preserve">   Teniendo  en  cuenta  lo  anterior,   el   Tribunal   declara   que   los</w:t>
        <w:br/>
        <w:t xml:space="preserve">   representantes no  aportaron  elementos  que  permitan  concluir  que  la</w:t>
        <w:br/>
        <w:t xml:space="preserve">   supuesta negligencia en la remisión de prueba constituye -o contribuye a-</w:t>
        <w:br/>
        <w:t xml:space="preserve">   una violación de derechos humanos.</w:t>
        <w:br/>
        <w:br/>
        <w:br/>
        <w:t>359. En lo que respecta a la falta  de  conexión  entre  esta  investigación</w:t>
        <w:br/>
        <w:t xml:space="preserve">   federal y la investigación en Chihuahua, en el expediente ante  la  Corte</w:t>
        <w:br/>
        <w:t xml:space="preserve">   no consta prueba suficiente respecto a que haya existido  intercambio  de</w:t>
        <w:br/>
        <w:t xml:space="preserve">   información  entre  la  procuraduría  local  y  federal  respecto  a  los</w:t>
        <w:br/>
        <w:t xml:space="preserve">   homicidios de  las  jóvenes  Herrera,  González  y  Ramos.  Asimismo,  la</w:t>
        <w:br/>
        <w:t xml:space="preserve">   investigación ante la PGR  empezó  antes  de  que  hubiese  concluido  el</w:t>
        <w:br/>
        <w:t xml:space="preserve">   proceso en contra del señor García. No  existe  explicación  que  permita</w:t>
        <w:br/>
        <w:t xml:space="preserve">   comprender por qué dicha investigación alternativa, la cual probablemente</w:t>
        <w:br/>
        <w:t xml:space="preserve">   contenía información relacionada con  el  mencionado  inculpado,  no  fue</w:t>
        <w:br/>
        <w:t xml:space="preserve">   valorada en el proceso adelantado en  Chihuahua[393].  Sin  argumentación</w:t>
        <w:br/>
        <w:t xml:space="preserve">   sobre prueba, es insuficiente reseñar los hechos descritos para  concluir</w:t>
        <w:br/>
        <w:t xml:space="preserve">   sobre su impacto en la ineficacia de la investigación.</w:t>
        <w:br/>
        <w:br/>
        <w:br/>
        <w:br/>
        <w:br/>
        <w:br/>
        <w:t xml:space="preserve">           b)    Alegadas irregularidades por la falta de atracción de  los</w:t>
        <w:br/>
        <w:t xml:space="preserve">                 expedientes por parte de  la  Procuraduría  General  de  la</w:t>
        <w:br/>
        <w:t xml:space="preserve">                 República</w:t>
        <w:br/>
        <w:br/>
        <w:br/>
        <w:t>360. Los representantes alegaron que “los investigadores  [debieron  llegar]</w:t>
        <w:br/>
        <w:t xml:space="preserve">   a la conclusión, al menos como hipótesis  de  investigación,  de  que  se</w:t>
        <w:br/>
        <w:t xml:space="preserve">   encontraban  ante  un  grupo  criminal  organizado”,  por  lo   que   “la</w:t>
        <w:br/>
        <w:t xml:space="preserve">   competencia para la investigación y persecución  de  los  crímenes  debió</w:t>
        <w:br/>
        <w:t xml:space="preserve">   atribuirse desde el momento mismo  del  hallazgo  de  los  cadáveres,  al</w:t>
        <w:br/>
        <w:t xml:space="preserve">   conocimiento de las autoridades policiales,  fiscales  y  judiciales  del</w:t>
        <w:br/>
        <w:t xml:space="preserve">   fuero Federal”. El no hacerlo “impidió  la  aplicación  de  la  normativa</w:t>
        <w:br/>
        <w:t xml:space="preserve">   específica y la  utilización  de  los  medios  legales  y  materiales  de</w:t>
        <w:br/>
        <w:t xml:space="preserve">   investigación prevenidos para  el  crimen  organizado,  que  no  son  sin</w:t>
        <w:br/>
        <w:t xml:space="preserve">   embargo, aplicables a la delincuencia ordinaria”.</w:t>
        <w:br/>
        <w:br/>
        <w:br/>
        <w:t>361. La testigo Delgadillo Pérez indicó que “[n]o hay explicación por  parte</w:t>
        <w:br/>
        <w:t xml:space="preserve">   del Estado de por qué la Federación no atrajo la  investigación  por  los</w:t>
        <w:br/>
        <w:t xml:space="preserve">   homicidios  de  las  8  mujeres  si[,]  como   quedó   demostrado[,]   la</w:t>
        <w:br/>
        <w:t xml:space="preserve">   Procuraduría  Local  no  tenía  la  capacidad   técnica,   científica   y</w:t>
        <w:br/>
        <w:t xml:space="preserve">   profesional para hacerlo”[394]. El perito Castresana Fernández indicó que</w:t>
        <w:br/>
        <w:t xml:space="preserve">   por la forma en que se cometieron los asesinatos  y  se  abandonaron  los</w:t>
        <w:br/>
        <w:t xml:space="preserve">   cadáveres,  con  el  riesgo  inminente  para  los  responsables  de   ser</w:t>
        <w:br/>
        <w:t xml:space="preserve">   descubiertos, se deriva que era delincuencia organizada y se infiere  que</w:t>
        <w:br/>
        <w:t xml:space="preserve">   fueron funcionarios del Estado, o particulares que simplemente gozaban de</w:t>
        <w:br/>
        <w:t xml:space="preserve">   la protección de aquéllos. Teniendo en cuenta este  supuesto,  el  perito</w:t>
        <w:br/>
        <w:t xml:space="preserve">   indicó que “el mantenimiento deliberado de la investigación en  el  fuero</w:t>
        <w:br/>
        <w:t xml:space="preserve">   estatal,  a  pesar  de  existir  fundados  indicios  que   atribuían   la</w:t>
        <w:br/>
        <w:t xml:space="preserve">   competencia  al  fuero  federal,  tenía  otra   consecuencia   igualmente</w:t>
        <w:br/>
        <w:t xml:space="preserve">   determinante  de  impunidad:  impidió  la  aplicación  de  la   normativa</w:t>
        <w:br/>
        <w:t xml:space="preserve">   específica y la  utilización  de  los  medios  legales  y  materiales  de</w:t>
        <w:br/>
        <w:t xml:space="preserve">   investigación prevenidos para  el  crimen  organizado,  que  no  son  sin</w:t>
        <w:br/>
        <w:t xml:space="preserve">   embargo, aplicables a la delincuencia ordinaria”. Agregó que lo  anterior</w:t>
        <w:br/>
        <w:t xml:space="preserve">   generó que el caso quedara en manos de “las mismas autoridades  estatales</w:t>
        <w:br/>
        <w:t xml:space="preserve">   que manifestaban tan escasa diligencia”[395].</w:t>
        <w:br/>
        <w:br/>
        <w:br/>
        <w:t>362. El Estado no presentó alegatos sobre este punto. Sin embargo, anexó  un</w:t>
        <w:br/>
        <w:t xml:space="preserve">   informe en el que alude a diversos criterios que regulan la atracción  de</w:t>
        <w:br/>
        <w:t xml:space="preserve">   casos ante el fuero federal. En dicho informe  se  menciona  el  convenio</w:t>
        <w:br/>
        <w:t xml:space="preserve">   entre  la  PGR  y  la  PGJCH  para  adelantar   acciones   conjuntas   de</w:t>
        <w:br/>
        <w:t xml:space="preserve">   investigación, un proyecto de reforma constitucional en la materia  y  el</w:t>
        <w:br/>
        <w:t xml:space="preserve">   establecimiento de la Fiscalía Especial que investigaría  los  homicidios</w:t>
        <w:br/>
        <w:t xml:space="preserve">   de mujeres que fueran de competencia federal[396].</w:t>
        <w:br/>
        <w:br/>
        <w:br/>
        <w:t>363. La Corte observa que la prueba testimonial y  pericial  presentada  por</w:t>
        <w:br/>
        <w:t xml:space="preserve">   los representantes se refiere, en primer lugar,  a  que  dicha  atracción</w:t>
        <w:br/>
        <w:t xml:space="preserve">   tenía que ocurrir por la falta de capacidad técnica de las autoridades de</w:t>
        <w:br/>
        <w:t xml:space="preserve">   Chihuahua. La Corte no encuentra argumentos respecto al  derecho  interno</w:t>
        <w:br/>
        <w:t xml:space="preserve">   que le permitan analizar la atribución de competencia  al  fuero  federal</w:t>
        <w:br/>
        <w:t xml:space="preserve">   como consecuencia de las irregularidades que han sido constatadas  en  el</w:t>
        <w:br/>
        <w:t xml:space="preserve">   presente caso. En segundo lugar, no se argumenta cuáles son esos fundados</w:t>
        <w:br/>
        <w:t xml:space="preserve">   indicios que atribuían competencia al fuero federal, más allá de presumir</w:t>
        <w:br/>
        <w:t xml:space="preserve">   que la impunidad del caso implica la participación de agentes estatales o</w:t>
        <w:br/>
        <w:t xml:space="preserve">   del  crimen  organizado.  Tampoco  se  elaboran  argumentos  respecto  al</w:t>
        <w:br/>
        <w:t xml:space="preserve">   funcionamiento  de  la  atracción  al  fuero  federal.   En   suma,   los</w:t>
        <w:br/>
        <w:t xml:space="preserve">   representantes no adelantan argumentación sobre prueba y derecho  interno</w:t>
        <w:br/>
        <w:t xml:space="preserve">   aplicable que permita analizar en qué sentido la falta  de  atracción  de</w:t>
        <w:br/>
        <w:t xml:space="preserve">   los delitos y la no aplicación de medios legales  correspondientes  a  la</w:t>
        <w:br/>
        <w:t xml:space="preserve">   delincuencia organizada  contribuyó  a  la  ineficacia  de  los  procesos</w:t>
        <w:br/>
        <w:t xml:space="preserve">   judiciales impulsados.</w:t>
        <w:br/>
        <w:br/>
        <w:br/>
        <w:br/>
        <w:br/>
        <w:br/>
        <w:t xml:space="preserve">           c)    Alegadas irregularidades relacionadas con la fragmentación</w:t>
        <w:br/>
        <w:t xml:space="preserve">                 de los casos y la falta de investigación de los  mismos  en</w:t>
        <w:br/>
        <w:t xml:space="preserve">                 el marco de su contexto</w:t>
        <w:br/>
        <w:br/>
        <w:br/>
        <w:t>364.  Los  representantes  alegaron  que  la  “individualiza[ción]   de   la</w:t>
        <w:br/>
        <w:t xml:space="preserve">   investigación de los homicidios” deviene en  “falta  de  búsqueda  de  la</w:t>
        <w:br/>
        <w:t xml:space="preserve">   verdad y […] justicia para las víctimas”. Indicaron que “es poco  creíble</w:t>
        <w:br/>
        <w:t xml:space="preserve">   que una sola persona […] pueda estar involucrada” en el homicidio “y  que</w:t>
        <w:br/>
        <w:t xml:space="preserve">   no tenga relación alguna con los homicidios  de  las  otras  7  mujeres”.</w:t>
        <w:br/>
        <w:t xml:space="preserve">   Agregaron  que  “no  es  creíble”  que  “únicamente”  esa  persona  “haya</w:t>
        <w:br/>
        <w:t xml:space="preserve">   asesinado a Esmeralda, la haya ido a arrojar  a  un  lugar  donde  ya  se</w:t>
        <w:br/>
        <w:t xml:space="preserve">   encontraban otros 7 cuerpos en circunstancias similares y haya  realizado</w:t>
        <w:br/>
        <w:t xml:space="preserve">   alguna acción para acelerar el proceso de descomposición […] en la  parte</w:t>
        <w:br/>
        <w:t xml:space="preserve">   superior de [su] cuerpo”. Asimismo, alegaron que “el caso sub  judice  no</w:t>
        <w:br/>
        <w:t xml:space="preserve">   puede ser  analizado  de  manera  descontextualizada  de  este  marco  de</w:t>
        <w:br/>
        <w:t xml:space="preserve">   violaciones graves y sistemáticas contra niñas  y  mujeres  vivida  desde</w:t>
        <w:br/>
        <w:t xml:space="preserve">   hace 16 años en Ciudad Juárez”.</w:t>
        <w:br/>
        <w:br/>
        <w:br/>
        <w:t>365. El Estado indicó que “el  elemento  común  en  los  tres  casos  es  el</w:t>
        <w:br/>
        <w:t xml:space="preserve">   hallazgo de los cuerpos en el mismo predio”. A partir de ese hecho, alegó</w:t>
        <w:br/>
        <w:t xml:space="preserve">   que “se hizo un examen concreto de las circunstancias de los casos” y “se</w:t>
        <w:br/>
        <w:t xml:space="preserve">   les dio un tratamiento individualizado dentro de  la  investigación,  sin</w:t>
        <w:br/>
        <w:t xml:space="preserve">   descartar otros posibles  rasgos  comunes,  pero  igualmente  sin  forzar</w:t>
        <w:br/>
        <w:t xml:space="preserve">   vínculos entre ellos”, ya que “se advirtieron  detalles  particulares  en</w:t>
        <w:br/>
        <w:t xml:space="preserve">   cada caso que no posibilitaban una investigación en conjunto, so pena  de</w:t>
        <w:br/>
        <w:t xml:space="preserve">   propiciar confusión entre elementos distintos, que a  la  postre  hubiese</w:t>
        <w:br/>
        <w:t xml:space="preserve">   redundado negativamente en los resultados”.  Además,  señaló  que  “[p]or</w:t>
        <w:br/>
        <w:t xml:space="preserve">   metodología de investigación delictiva, jamás se inicia con  el  supuesto</w:t>
        <w:br/>
        <w:t xml:space="preserve">   de que dos casos son similares,  pues  eso  constituiría  una  distorsión</w:t>
        <w:br/>
        <w:t xml:space="preserve">   subjetiva en el análisis”.</w:t>
        <w:br/>
        <w:br/>
        <w:br/>
        <w:t>366. La jurisprudencia de  la  Corte  ha  señalado  que  ciertas  líneas  de</w:t>
        <w:br/>
        <w:t xml:space="preserve">   investigación, cuando eluden el análisis de los patrones sistemáticos  en</w:t>
        <w:br/>
        <w:t xml:space="preserve">   los que se enmarcan cierto tipo de violaciones a  los  derechos  humanos,</w:t>
        <w:br/>
        <w:t xml:space="preserve">   pueden generar ineficacia en las investigaciones[397].</w:t>
        <w:br/>
        <w:br/>
        <w:br/>
        <w:t>367.  En  este  caso,  la  Corte  observa  que  cuando  se  reiniciaron  las</w:t>
        <w:br/>
        <w:t xml:space="preserve">   investigaciones en marzo de 2006,  el  Ministerio  Público  decidió  “por</w:t>
        <w:br/>
        <w:t xml:space="preserve">   razones de método”, “desglosar todas las actuaciones  procesales”  en  un</w:t>
        <w:br/>
        <w:t xml:space="preserve">   legajo destinado a cada una de las ocho víctimas  halladas  en  el  campo</w:t>
        <w:br/>
        <w:t xml:space="preserve">   algodonero[398]. Según el testigo Caballero Rodríguez, el  motivo  de  la</w:t>
        <w:br/>
        <w:t xml:space="preserve">   individualización fue “establecer líneas de  investigación  concretas  en</w:t>
        <w:br/>
        <w:t xml:space="preserve">   cada caso”,  “con  independencia  de  que  sea  un  mismo  expediente  de</w:t>
        <w:br/>
        <w:t xml:space="preserve">   averiguación”[399].</w:t>
        <w:br/>
        <w:br/>
        <w:br/>
        <w:t>368. Los representantes no han presentado una clara argumentación  y  prueba</w:t>
        <w:br/>
        <w:t xml:space="preserve">   suficiente  que  demuestre  que   el   establecimiento   de   líneas   de</w:t>
        <w:br/>
        <w:t xml:space="preserve">   investigación concretas para cada  uno  de  los  ochos  casos  del  campo</w:t>
        <w:br/>
        <w:t xml:space="preserve">   algodonero pudo haber afectado la eficacia de las mismas. No obstante, el</w:t>
        <w:br/>
        <w:t xml:space="preserve">   Tribunal considera que  a  pesar  de  que  la  individualización  de  las</w:t>
        <w:br/>
        <w:t xml:space="preserve">   investigaciones puede, en teoría, incluso  favorecer  el  avance  de  las</w:t>
        <w:br/>
        <w:t xml:space="preserve">   mismas, el Estado debe ser conciente que éstas se enmarcan dentro  de  un</w:t>
        <w:br/>
        <w:t xml:space="preserve">   contexto de violencia  contra  la  mujer.  Por  ende,  debe  adoptar  las</w:t>
        <w:br/>
        <w:t xml:space="preserve">   providencias que sean necesarias para verificar si el homicidio  concreto</w:t>
        <w:br/>
        <w:t xml:space="preserve">   que investiga se relaciona o no con dicho contexto. La investigación  con</w:t>
        <w:br/>
        <w:t xml:space="preserve">   debida diligencia exige tomar en cuenta lo ocurrido en otros homicidios y</w:t>
        <w:br/>
        <w:t xml:space="preserve">   establecer algún tipo de relación entre ellos. Ello debe ser impulsado de</w:t>
        <w:br/>
        <w:t xml:space="preserve">   oficio, sin que sean las víctimas y  sus  familiares  quienes  tengan  la</w:t>
        <w:br/>
        <w:t xml:space="preserve">   carga de asumir tal iniciativa.</w:t>
        <w:br/>
        <w:br/>
        <w:br/>
        <w:t>369. En el presente caso, en las investigaciones por los  tres  crímenes  no</w:t>
        <w:br/>
        <w:t xml:space="preserve">   se encuentran decisiones del Ministerio Público  dirigidas  a  relacionar</w:t>
        <w:br/>
        <w:t xml:space="preserve">   estas  indagaciones  con  los  patrones  en  los  que  se  enmarcan   las</w:t>
        <w:br/>
        <w:t xml:space="preserve">   desapariciones de otras mujeres. Esto último fue ratificado por el agente</w:t>
        <w:br/>
        <w:t xml:space="preserve">   del Ministerio Público en la audiencia pública  del  presente  caso.  Por</w:t>
        <w:br/>
        <w:t xml:space="preserve">   todo lo anterior, la Corte considera que no es aceptable el argumento del</w:t>
        <w:br/>
        <w:t xml:space="preserve">   Estado en el sentido de que lo único en común entre los  ocho  casos  sea</w:t>
        <w:br/>
        <w:t xml:space="preserve">   que aparecieron en la misma zona, ni  es  admisible  que  no  exista  una</w:t>
        <w:br/>
        <w:t xml:space="preserve">   mínima valoración judicial de los efectos del  contexto  respecto  a  las</w:t>
        <w:br/>
        <w:t xml:space="preserve">   investigaciones por estos homicidios.</w:t>
        <w:br/>
        <w:br/>
        <w:br/>
        <w:t>370. Lo ocurrido  en  el  presente  caso  es  concordante  con  lo  señalado</w:t>
        <w:br/>
        <w:t xml:space="preserve">   previamente en el contexto respecto a que en  muchas  investigaciones  se</w:t>
        <w:br/>
        <w:t xml:space="preserve">   observa la falta de contemplación de las agresiones a mujeres como  parte</w:t>
        <w:br/>
        <w:t xml:space="preserve">   de un fenómeno generalizado de violencia de género. En este  sentido,  la</w:t>
        <w:br/>
        <w:t xml:space="preserve">   CNDH señaló en su informe del año 2003 que la FEIHM no estaba  estudiando</w:t>
        <w:br/>
        <w:t xml:space="preserve">   “el fenómeno de manera global, sino que, a cada asunto se le ha  otorgado</w:t>
        <w:br/>
        <w:t xml:space="preserve">   un tratamiento individual, al margen de las posibilidades  legales,  como</w:t>
        <w:br/>
        <w:t xml:space="preserve">   si se tratara de casos aislados plenamente diferenciados y no  de  manera</w:t>
        <w:br/>
        <w:t xml:space="preserve">   integral”[400]. Por su parte, la testigo  Delgadillo  Pérez  declaró  que</w:t>
        <w:br/>
        <w:t xml:space="preserve">   “[n]o  existe  una  estrategia  integral  en  la  investigación  de   los</w:t>
        <w:br/>
        <w:t xml:space="preserve">   homicidios a partir de patrones de violencia detectados  en  cada  caso”.</w:t>
        <w:br/>
        <w:t xml:space="preserve">   Agregó que “aunque sea una fiscalía especial, se  asigna  un  determinado</w:t>
        <w:br/>
        <w:t xml:space="preserve">   número de casos a cada agente del ministerio público”[401] y “no  existen</w:t>
        <w:br/>
        <w:t xml:space="preserve">   mesas de discusión sobre estrategias de investigación y determinación  de</w:t>
        <w:br/>
        <w:t xml:space="preserve">   los hechos a investigar, donde la titular de la fiscalía,  el  equipo  de</w:t>
        <w:br/>
        <w:t xml:space="preserve">   investigadores, los policías  judiciales  y  peritos,  puedan  tener  una</w:t>
        <w:br/>
        <w:t xml:space="preserve">   visión global de lo que ocurre en cada hecho denunciado”[402].</w:t>
        <w:br/>
        <w:br/>
        <w:br/>
        <w:br/>
        <w:br/>
        <w:br/>
        <w:t xml:space="preserve">           4.2.2.5.   Alegada falta de sanción a los funcionarios  públicos</w:t>
        <w:br/>
        <w:t xml:space="preserve">                    involucrados con irregularidades en el presente caso</w:t>
        <w:br/>
        <w:br/>
        <w:br/>
        <w:t>371. Los  representantes  alegaron  que  algunos  de  los  funcionarios  que</w:t>
        <w:br/>
        <w:t xml:space="preserve">   incurrieron en irregularidades, omisiones y negligencias en  el  presente</w:t>
        <w:br/>
        <w:t xml:space="preserve">   caso siguieron trabajando en la PGEC,  algunos  sólo  fueron  sancionados</w:t>
        <w:br/>
        <w:t xml:space="preserve">   administrativamente y con un “alcance muy limitado”, y  otros  no  fueron</w:t>
        <w:br/>
        <w:t xml:space="preserve">   investigados y sancionados.</w:t>
        <w:br/>
        <w:br/>
        <w:br/>
        <w:t>372. El Estado señaló que a partir de octubre de  2004  analizó  expedientes</w:t>
        <w:br/>
        <w:t xml:space="preserve">   de 255 homicidios de mujeres en Ciudad Juárez, a efecto  de  revisar  las</w:t>
        <w:br/>
        <w:t xml:space="preserve">   actuaciones  de  los  servidores   públicos   en   las   diligencias   de</w:t>
        <w:br/>
        <w:t xml:space="preserve">   investigación. Alegó que se consignaron veinte acciones  ante  tribunales</w:t>
        <w:br/>
        <w:t xml:space="preserve">   penales contra funcionarios públicos y  se  iniciaron  62  procedimientos</w:t>
        <w:br/>
        <w:t xml:space="preserve">   administrativos  ante  el  órgano  de   control   interno   gubernamental</w:t>
        <w:br/>
        <w:t xml:space="preserve">   (Secretaría  de  la  Contraloría  del  estado  de  Chihuahua).  En  estos</w:t>
        <w:br/>
        <w:t xml:space="preserve">   procedimientos administrativos, quince funcionarios fueron inhabilitados,</w:t>
        <w:br/>
        <w:t xml:space="preserve">   cinco destituidos,  tres  suspendidos  y  dos  amonestados.  Actualmente,</w:t>
        <w:br/>
        <w:t xml:space="preserve">   quedan abiertos doce procedimientos administrativos.</w:t>
        <w:br/>
        <w:br/>
        <w:br/>
        <w:t>373. En otros casos el Tribunal se ha referido a  instancias  disciplinarias</w:t>
        <w:br/>
        <w:t xml:space="preserve">   de carácter  judicial  en  algunos  países,  otorgando  importante  valor</w:t>
        <w:br/>
        <w:t xml:space="preserve">   simbólico al mensaje de  reproche  que  puede  significar  este  tipo  de</w:t>
        <w:br/>
        <w:t xml:space="preserve">   sanciones respecto a funcionarios públicos  y  miembros  de  las  fuerzas</w:t>
        <w:br/>
        <w:t xml:space="preserve">   armadas[403].  Además,  el  Tribunal  resalta  la  importancia   de   las</w:t>
        <w:br/>
        <w:t xml:space="preserve">   actuaciones disciplinarias en orden a controlar la  actuación  de  dichos</w:t>
        <w:br/>
        <w:t xml:space="preserve">   funcionarios públicos, particularmente cuando las violaciones de derechos</w:t>
        <w:br/>
        <w:t xml:space="preserve">   humanos responden a patrones generalizados y sistemáticos.</w:t>
        <w:br/>
        <w:br/>
        <w:br/>
        <w:t>374. Sobre la relación de las acciones  disciplinarias  con  el  derecho  de</w:t>
        <w:br/>
        <w:t xml:space="preserve">   acceso a la justicia,  el  Tribunal  ha  señalado  que  en  los  procesos</w:t>
        <w:br/>
        <w:t xml:space="preserve">   disciplinarios se debe determinar las circunstancias en que se cometió la</w:t>
        <w:br/>
        <w:t xml:space="preserve">   infracción al deber  funcional  que  condujo  al  menoscabo  del  derecho</w:t>
        <w:br/>
        <w:t xml:space="preserve">   internacional de los derechos humanos[404].</w:t>
        <w:br/>
        <w:br/>
        <w:br/>
        <w:t>375. En el presente caso, el informe final de la Fiscalía Especial  para  la</w:t>
        <w:br/>
        <w:t xml:space="preserve">   Atención de Delitos Relacionados con los  Homicidios  de  Mujeres  en  el</w:t>
        <w:br/>
        <w:t xml:space="preserve">   Municipio de Juárez  incluye  una  lista  de  funcionarios  públicos  que</w:t>
        <w:br/>
        <w:t xml:space="preserve">   intervinieron  en  139  procesos  judiciales  relacionados   con   dichos</w:t>
        <w:br/>
        <w:t xml:space="preserve">   homicidios, así como del número de aquéllos con  posible  responsabilidad</w:t>
        <w:br/>
        <w:t xml:space="preserve">   penal y administrativa para  cada  caso.  Sin  embargo,  dicha  lista  no</w:t>
        <w:br/>
        <w:t xml:space="preserve">   incluye  ninguno   de   las   tres   ejecuciones   de   este   caso[405].</w:t>
        <w:br/>
        <w:t xml:space="preserve">   Adicionalmente,  el  Estado   presentó   un   informe   de   funcionarios</w:t>
        <w:br/>
        <w:t xml:space="preserve">   sancionados, indicando el nombre del funcionario y el expediente sobre el</w:t>
        <w:br/>
        <w:t xml:space="preserve">   cual se le atribuye posible responsabilidad, así como también  el  estado</w:t>
        <w:br/>
        <w:t xml:space="preserve">   procesal del caso. Sin embargo, la Corte  observa  que  en  esta  segunda</w:t>
        <w:br/>
        <w:t xml:space="preserve">   lista tampoco se menciona a funcionarios que hayan sido investigados  por</w:t>
        <w:br/>
        <w:t xml:space="preserve">   las irregularidades cometidas en la investigación de lo ocurrido con  las</w:t>
        <w:br/>
        <w:t xml:space="preserve">   jóvenes Herrera, González y Ramos[406].</w:t>
        <w:br/>
        <w:br/>
        <w:br/>
        <w:t>376. De igual forma, en un escrito presentado por  los  representantes  ante</w:t>
        <w:br/>
        <w:t xml:space="preserve">   la Procuradora General de Justicia del Estado de Chihuahua se incluyó una</w:t>
        <w:br/>
        <w:t xml:space="preserve">   lista de 25 funcionarios públicos que se alega deberían ser  investigados</w:t>
        <w:br/>
        <w:t xml:space="preserve">   por diversas omisiones, negligencias e irregularidades  relacionadas  con</w:t>
        <w:br/>
        <w:t xml:space="preserve">   el caso Campo Algodonero[407].  El  Estado  no  adelantó  alegato  alguno</w:t>
        <w:br/>
        <w:t xml:space="preserve">   respecto a las denuncias  efectuadas  por  los  representantes  en  dicho</w:t>
        <w:br/>
        <w:t xml:space="preserve">   escrito.</w:t>
        <w:br/>
        <w:br/>
        <w:br/>
        <w:t>377. El Tribunal resalta que las sanciones administrativas o penales  tienen</w:t>
        <w:br/>
        <w:t xml:space="preserve">   un  rol  importante  para  crear  la  clase  de  competencia  y   cultura</w:t>
        <w:br/>
        <w:t xml:space="preserve">   institucional adecuada  para  enfrentar  los  factores  que  explican  el</w:t>
        <w:br/>
        <w:t xml:space="preserve">   contexto de violencia contra la mujer que ha sido probado en el  presente</w:t>
        <w:br/>
        <w:t xml:space="preserve">   caso.  Si  se  permite  que  personas  responsables   de   estas   graves</w:t>
        <w:br/>
        <w:t xml:space="preserve">   irregularidades continúen en sus cargos, o peor aún, ocupen posiciones de</w:t>
        <w:br/>
        <w:t xml:space="preserve">   autoridad, se puede generar impunidad y crear las  condiciones  para  que</w:t>
        <w:br/>
        <w:t xml:space="preserve">   los factores que inciden en el  contexto  de  violencia  persistan  o  se</w:t>
        <w:br/>
        <w:t xml:space="preserve">   agraven.</w:t>
        <w:br/>
        <w:br/>
        <w:br/>
        <w:t>378. A partir de la información disponible en el expediente ante  la  Corte,</w:t>
        <w:br/>
        <w:t xml:space="preserve">   se concluye que no se  ha  investigado  a  ninguno  de  los  funcionarios</w:t>
        <w:br/>
        <w:t xml:space="preserve">   supuestamente responsables por las negligencias ocurridas en el  presente</w:t>
        <w:br/>
        <w:t xml:space="preserve">   caso. En concreto, no se han esclarecido las graves irregularidades en la</w:t>
        <w:br/>
        <w:t xml:space="preserve">   persecución de responsables y en el manejo de las evidencias  durante  la</w:t>
        <w:br/>
        <w:t xml:space="preserve">   primera etapa de la  investigación.  Ello  hace  aún  más  manifiesta  la</w:t>
        <w:br/>
        <w:t xml:space="preserve">   situación de indefensión de las víctimas, contribuye  a  la  impunidad  y</w:t>
        <w:br/>
        <w:t xml:space="preserve">   propicia la repetición crónica de las violaciones de los derechos humanos</w:t>
        <w:br/>
        <w:t xml:space="preserve">   de que se trata.</w:t>
        <w:br/>
        <w:br/>
        <w:br/>
        <w:br/>
        <w:br/>
        <w:br/>
        <w:t xml:space="preserve">           4.2.2.6.   Alegada negación de acceso al expediente y demoras  o</w:t>
        <w:br/>
        <w:t xml:space="preserve">                    negación de copias del mismo</w:t>
        <w:br/>
        <w:br/>
        <w:br/>
        <w:t>379. La Comisión alegó que los  familiares  “no  han  tenido  acceso  a  los</w:t>
        <w:br/>
        <w:t xml:space="preserve">   expedientes” ni  se  les  ha  permitido  fotocopiarlo.  Sin  embargo,  la</w:t>
        <w:br/>
        <w:t xml:space="preserve">   Comisión no precisó con claridad fechas  y  argumentos  sobre  prueba  al</w:t>
        <w:br/>
        <w:t xml:space="preserve">   respecto.</w:t>
        <w:br/>
        <w:br/>
        <w:br/>
        <w:t>380. Los representantes alegaron que “se ha negado de manera sistemática  el</w:t>
        <w:br/>
        <w:t xml:space="preserve">   acceso  al  [expediente]”.  Señalaron  que  en  diciembre  de   2004   la</w:t>
        <w:br/>
        <w:t xml:space="preserve">   Procuradora  de  Chihuahua  se  comprometió  a  entregar  copia  de   los</w:t>
        <w:br/>
        <w:t xml:space="preserve">   expedientes y que esto no sucedió. Alegaron que  la  misma  solicitud  se</w:t>
        <w:br/>
        <w:t xml:space="preserve">   realizó por escrito  durante  los  años  2005,  2006  y  2007  sin  tener</w:t>
        <w:br/>
        <w:t xml:space="preserve">   respuesta. Sin embargo, los representantes no presentaron copias de estas</w:t>
        <w:br/>
        <w:t xml:space="preserve">   solicitudes.</w:t>
        <w:br/>
        <w:br/>
        <w:br/>
        <w:t>381. Asimismo, los representantes alegaron que el 4 de  agosto  de  2006  se</w:t>
        <w:br/>
        <w:t xml:space="preserve">   reunieron con la Procuradora y el EAAF y solicitaron verbalmente copia de</w:t>
        <w:br/>
        <w:t xml:space="preserve">   las investigaciones realizadas  hasta  el  momento.  Precisaron  que  las</w:t>
        <w:br/>
        <w:t xml:space="preserve">   copias fueron entregadas a una de las madres un mes después, pero de  una</w:t>
        <w:br/>
        <w:t xml:space="preserve">   manera incompleta, por lo que solicitaron la parte  restante,  sin  tener</w:t>
        <w:br/>
        <w:t xml:space="preserve">   respuesta. Indicaron que el 13  de  septiembre  de  2006  los  familiares</w:t>
        <w:br/>
        <w:t xml:space="preserve">   solicitaron “las copias del expediente  o  permitir  su  lectura  en  las</w:t>
        <w:br/>
        <w:t xml:space="preserve">   oficinas de la Fiscalía,  ante  estas  dos  posibilidades  [la  autoridad</w:t>
        <w:br/>
        <w:t xml:space="preserve">   correspondiente] se negó argumentando que se  encontraba  integrando  las</w:t>
        <w:br/>
        <w:t xml:space="preserve">   investigaciones, debido a  algunos  sucesos  recientes  relacionados  con</w:t>
        <w:br/>
        <w:t xml:space="preserve">   estos homicidios”. Los representantes agregaron  que  al  menos  en  seis</w:t>
        <w:br/>
        <w:t xml:space="preserve">   ocasiones que solicitaron por escrito el expediente, éste les fue  negado</w:t>
        <w:br/>
        <w:t xml:space="preserve">   con el argumento de que "están investigando" y que  “el  derecho  de  las</w:t>
        <w:br/>
        <w:t xml:space="preserve">   víctimas a conocer sus propios expedientes no puede estar por  encima  de</w:t>
        <w:br/>
        <w:t xml:space="preserve">   las acciones de las autoridades investigadoras”. El Tribunal observa  que</w:t>
        <w:br/>
        <w:t xml:space="preserve">   los representantes no adelantaron argumentación en torno a si el  derecho</w:t>
        <w:br/>
        <w:t xml:space="preserve">   interno regula este tipo de restricciones en el acceso a la  información,</w:t>
        <w:br/>
        <w:t xml:space="preserve">   cómo operarían esas posibles restricciones en el presente caso, y por qué</w:t>
        <w:br/>
        <w:t xml:space="preserve">   dichas posibles restricciones son injustificadas o desproporcionadas.</w:t>
        <w:br/>
        <w:br/>
        <w:br/>
        <w:t>382.  Indicaron  además  que  solicitaron  copias  del  expediente  ante  la</w:t>
        <w:br/>
        <w:t xml:space="preserve">   Subprocuraduría   de   Investigación   Especializada   en    Delincuencia</w:t>
        <w:br/>
        <w:t xml:space="preserve">   Organizada. Obtuvieron como respuesta que “no se  pude  tener  acceso  al</w:t>
        <w:br/>
        <w:t xml:space="preserve">   expediente porque al investigarse delincuencia organizada la  información</w:t>
        <w:br/>
        <w:t xml:space="preserve">   es confidencial”. Agregaron que este  expediente  “se  mantiene  bajo  un</w:t>
        <w:br/>
        <w:t xml:space="preserve">   absoluto  hermetismo”.  La  Corte  observa  que   tampoco   se   presentó</w:t>
        <w:br/>
        <w:t xml:space="preserve">   argumentación  alguna  en  torno  al  derecho  interno  que  regule   las</w:t>
        <w:br/>
        <w:t xml:space="preserve">   restricciones en el acceso a información sobre investigaciones en torno a</w:t>
        <w:br/>
        <w:t xml:space="preserve">   delincuencia organizada.</w:t>
        <w:br/>
        <w:br/>
        <w:br/>
        <w:t>383. La falta de acceso al expediente, alegaron los representantes,  impidió</w:t>
        <w:br/>
        <w:t xml:space="preserve">   que “conoc[ieran] los avances en las  investigaciones  y  las  líneas  de</w:t>
        <w:br/>
        <w:t xml:space="preserve">   investigación que seguían las autoridades para fincar  responsabilidad  a</w:t>
        <w:br/>
        <w:t xml:space="preserve">   los probables responsables de estos hechos”, así  como  tampoco  permitió</w:t>
        <w:br/>
        <w:t xml:space="preserve">   que los familiares “ejerc[ieran] su derecho Constitucional  de  coadyuvar</w:t>
        <w:br/>
        <w:t xml:space="preserve">   en las investigaciones y en su caso de  apoyar  las  determinaciones  del</w:t>
        <w:br/>
        <w:t xml:space="preserve">   Ministerio Público”. La Corte observa que no se adelantó argumentación en</w:t>
        <w:br/>
        <w:t xml:space="preserve">   torno a cómo  se  regula  en  el  derecho  interno  dicho  derecho  a  la</w:t>
        <w:br/>
        <w:t xml:space="preserve">   coadyuvancia.</w:t>
        <w:br/>
        <w:br/>
        <w:br/>
        <w:t>384. El Estado alegó que “ha brindado [a los  familiares  de  las  víctimas]</w:t>
        <w:br/>
        <w:t xml:space="preserve">   toda la información relativa a  los  expedientes”  y  que  ellos  “y  sus</w:t>
        <w:br/>
        <w:t xml:space="preserve">   representantes  acreditados  en  el  expediente  tienen  acceso   a   las</w:t>
        <w:br/>
        <w:t xml:space="preserve">   investigaciones en todo momento”.</w:t>
        <w:br/>
        <w:br/>
        <w:br/>
        <w:t>385. El testigo  Caballero  Rodríguez  indicó  que  los  familiares  de  las</w:t>
        <w:br/>
        <w:t xml:space="preserve">   víctimas  tienen  acceso  regular  al  expediente  de  la  investigación,</w:t>
        <w:br/>
        <w:t xml:space="preserve">   pudiendo acceder a él, leerlo y fotocopiarlo. Señaló que “los  familiares</w:t>
        <w:br/>
        <w:t xml:space="preserve">   de [la joven  Ramos]  acceden  al  expediente  mediante  una  coadyuvante</w:t>
        <w:br/>
        <w:t xml:space="preserve">   representante”, la madre de la joven González “ha tenido contacto en  dos</w:t>
        <w:br/>
        <w:t xml:space="preserve">   ocasiones [con él y le]  ha  pedido  informes  del  expediente  incluidas</w:t>
        <w:br/>
        <w:t xml:space="preserve">   copias certificadas”, y en el caso de la joven Herrera “[la]  coadyuvante</w:t>
        <w:br/>
        <w:t xml:space="preserve">   […] no ha acudido [ante el Ministerio Público] para  información  en  ese</w:t>
        <w:br/>
        <w:t xml:space="preserve">   sentido”. Adicionalmente, hizo notar que se le entregó recientemente a la</w:t>
        <w:br/>
        <w:t xml:space="preserve">   coadyuvante  del  caso  de  la  joven  González  “la  totalidad  de   las</w:t>
        <w:br/>
        <w:t xml:space="preserve">   actuaciones que integran el expediente”[408].</w:t>
        <w:br/>
        <w:br/>
        <w:br/>
        <w:t>386. La Corte  nota  que  dentro  de  la  prueba  allegada  al  Tribunal  se</w:t>
        <w:br/>
        <w:t xml:space="preserve">   encuentran dos acuerdos de negación de copias. Uno de ellos establece que</w:t>
        <w:br/>
        <w:t xml:space="preserve">   “dichas copias […] serán expedidas”, pero se informa que “por el  momento</w:t>
        <w:br/>
        <w:t xml:space="preserve">   no  es  posible  da[r]  trámite  a  [la]  solicitud  por  encontrarse  el</w:t>
        <w:br/>
        <w:t xml:space="preserve">   expediente en una revisión en la Ciudad de Chihuahua” y se precisa que al</w:t>
        <w:br/>
        <w:t xml:space="preserve">   regresar el expediente  “se  le  dará  tramite  a  [la]  solicitud  y  se</w:t>
        <w:br/>
        <w:t xml:space="preserve">   entregaran las copias solicitadas a la brevedad  posible”[409].  El  otro</w:t>
        <w:br/>
        <w:t xml:space="preserve">   acuerdo  señala  que  no  consta  en  el  expediente   “facultades   como</w:t>
        <w:br/>
        <w:t xml:space="preserve">   representante” a la coadyuvante que solicitó la  copias[410].  Del  mismo</w:t>
        <w:br/>
        <w:t xml:space="preserve">   modo, se incluyen diversas solicitudes de copias y acuerdos de expedición</w:t>
        <w:br/>
        <w:t xml:space="preserve">   de copias[411].</w:t>
        <w:br/>
        <w:br/>
        <w:br/>
        <w:t>387. En conclusión, el Tribunal considera que no ha  sido  entregada  prueba</w:t>
        <w:br/>
        <w:t xml:space="preserve">   suficiente sobre la negación de acceso al  expediente  y  fotocopias  del</w:t>
        <w:br/>
        <w:t xml:space="preserve">   mismo. De otra parte, no  se  ofrecen  argumentos  en  torno  al  derecho</w:t>
        <w:br/>
        <w:t xml:space="preserve">   interno que regula la reserva de la  averiguación  previa  y  el  alegado</w:t>
        <w:br/>
        <w:t xml:space="preserve">   “derecho a la coadyuvancia”. Además, no se precisa el impacto  específico</w:t>
        <w:br/>
        <w:t xml:space="preserve">   que cada negación o dilación haya tenido en el ejercicio de sus  derechos</w:t>
        <w:br/>
        <w:t xml:space="preserve">   como parte civil. Por todo lo anterior, la Corte no cuenta con  elementos</w:t>
        <w:br/>
        <w:t xml:space="preserve">   para analizar dichos alegatos.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388.  A  manera  de  conclusión,  la  Corte  acepta  el  reconocimiento   de</w:t>
        <w:br/>
        <w:t xml:space="preserve">   responsabilidad por las irregularidades cometidas en la primera etapa  de</w:t>
        <w:br/>
        <w:t xml:space="preserve">   las investigaciones. Sin embargo, el Tribunal ha  constatado  que  en  la</w:t>
        <w:br/>
        <w:t xml:space="preserve">   segunda etapa de  las  mismas  no  se  han  subsanado  totalmente  dichas</w:t>
        <w:br/>
        <w:t xml:space="preserve">   falencias. Las irregularidades en el manejo  de  evidencias,  la  alegada</w:t>
        <w:br/>
        <w:t xml:space="preserve">   fabricación de culpables, el retraso en las investigaciones, la falta  de</w:t>
        <w:br/>
        <w:t xml:space="preserve">   líneas de investigación que tengan en cuenta  el  contexto  de  violencia</w:t>
        <w:br/>
        <w:t xml:space="preserve">   contra la mujer en el que se desenvolvieron las ejecuciones de  las  tres</w:t>
        <w:br/>
        <w:t xml:space="preserve">   víctimas  y  la  inexistencia  de  investigaciones  contra   funcionarios</w:t>
        <w:br/>
        <w:t xml:space="preserve">   públicos por su supuesta negligencia grave, vulneran el derecho de acceso</w:t>
        <w:br/>
        <w:t xml:space="preserve">   a la justicia, a una protección judicial  eficaz  y  el  derecho  de  los</w:t>
        <w:br/>
        <w:t xml:space="preserve">   familiares y de la sociedad a conocer la verdad de lo  ocurrido.  Además,</w:t>
        <w:br/>
        <w:t xml:space="preserve">   denota  un  incumplimiento  estatal  de  garantizar,  a  través  de   una</w:t>
        <w:br/>
        <w:t xml:space="preserve">   investigación seria y  adecuada,  los  derechos  a  la  vida,  integridad</w:t>
        <w:br/>
        <w:t xml:space="preserve">   personal y libertad personal de las  tres  víctimas.  Todo  ello  permite</w:t>
        <w:br/>
        <w:t xml:space="preserve">   concluir que en el presente caso existe impunidad y que  las  medidas  de</w:t>
        <w:br/>
        <w:t xml:space="preserve">   derecho interno adoptadas  han  sido  insuficientes  para  enfrentar  las</w:t>
        <w:br/>
        <w:t xml:space="preserve">   graves violaciones de derechos humanos ocurridas. El Estado  no  demostró</w:t>
        <w:br/>
        <w:t xml:space="preserve">   haber adoptado normas o implementado las medidas necesarias, conforme  al</w:t>
        <w:br/>
        <w:t xml:space="preserve">   artículo 2 de la Convención Americana y al artículo 7.c de la  Convención</w:t>
        <w:br/>
        <w:t xml:space="preserve">   Belém  do  Pará,  que  permitieran  a   las   autoridades   ofrecer   una</w:t>
        <w:br/>
        <w:t xml:space="preserve">   investigación con debida diligencia. Esta ineficacia  judicial  frente  a</w:t>
        <w:br/>
        <w:t xml:space="preserve">   casos individuales de violencia contra las mujeres propicia  un  ambiente</w:t>
        <w:br/>
        <w:t xml:space="preserve">   de impunidad que facilita y promueve  la  repetición  de  los  hechos  de</w:t>
        <w:br/>
        <w:t xml:space="preserve">   violencia en general y envía un mensaje según el cual la violencia contra</w:t>
        <w:br/>
        <w:t xml:space="preserve">   las mujeres puede ser tolerada y aceptada como parte del diario vivir.</w:t>
        <w:br/>
        <w:br/>
        <w:br/>
        <w:t>389. Por lo expuesto, el Tribunal concluye que el Estado  incumplió  con  su</w:t>
        <w:br/>
        <w:t xml:space="preserve">   deber de investigar -y con ello su  deber  de  garantizar-  los  derechos</w:t>
        <w:br/>
        <w:t xml:space="preserve">   consagrados en los artículos  4.1,  5.1,  5.2  y  7.1  de  la  Convención</w:t>
        <w:br/>
        <w:t xml:space="preserve">   Americana, en relación con los artículos 1.1 y 2 de la  misma  y  con  el</w:t>
        <w:br/>
        <w:t xml:space="preserve">   artículo 7.b y 7.c de la  Convención  Belém  do  Pará,  en  perjuicio  de</w:t>
        <w:br/>
        <w:t xml:space="preserve">   Claudia Ivette  González,  Laura  Berenice  Ramos  Monárrez  y  Esmeralda</w:t>
        <w:br/>
        <w:t xml:space="preserve">   Herrera Monreal. Por los mismos motivos, el Estado violó los derechos  de</w:t>
        <w:br/>
        <w:t xml:space="preserve">   acceso a la justicia y protección judicial, consagrados en los  artículos</w:t>
        <w:br/>
        <w:t xml:space="preserve">   8.1 y 25.1 de la Convención Americana, en relación con los artículos  1.1</w:t>
        <w:br/>
        <w:t xml:space="preserve">   y 2 de la misma y 7.b y 7.c de la Convención Belém do Para, en  perjuicio</w:t>
        <w:br/>
        <w:t xml:space="preserve">   de los familiares de las tres víctimas  identificados  en  el  párrafo  9</w:t>
        <w:br/>
        <w:t xml:space="preserve">   supra.</w:t>
        <w:br/>
        <w:br/>
        <w:br/>
        <w:br/>
        <w:br/>
        <w:br/>
        <w:t xml:space="preserve">      4.3.  Obligación de no discriminar: La violencia contra la mujer  como</w:t>
        <w:br/>
        <w:t xml:space="preserve">           discriminación</w:t>
        <w:br/>
        <w:br/>
        <w:br/>
        <w:t>390. La Comisión señaló que “[e]s esencial  entender  el  vínculo  entre  la</w:t>
        <w:br/>
        <w:t xml:space="preserve">   violencia contra las mujeres y la discriminación que  la  perpetúa,  para</w:t>
        <w:br/>
        <w:t xml:space="preserve">   apreciar el alcance del deber de debida diligencia en el presente  caso”.</w:t>
        <w:br/>
        <w:t xml:space="preserve">   Según la Comisión, “actitudes discriminatorias  contra  las  mujeres  por</w:t>
        <w:br/>
        <w:t xml:space="preserve">   parte de funcionarios estatales  influenciaron  en  la  investigación  de</w:t>
        <w:br/>
        <w:t xml:space="preserve">   estos asesinatos”.</w:t>
        <w:br/>
        <w:br/>
        <w:br/>
        <w:t>391. Los representantes señalaron que “más  allá  de  la  violencia  por  su</w:t>
        <w:br/>
        <w:t xml:space="preserve">   género,  las  niñas  y   las   mujeres   juarenses   sufren   una   doble</w:t>
        <w:br/>
        <w:t xml:space="preserve">   discriminación, ya que el origen humilde de Claudia, Laura  y  Esmeralda,</w:t>
        <w:br/>
        <w:t xml:space="preserve">   como  las  niñas  y  mujeres  asesinadas  o  que  son   reportadas   como</w:t>
        <w:br/>
        <w:t xml:space="preserve">   desaparecidas, así como de  las  madres  y  familias  de  estas  mujeres,</w:t>
        <w:br/>
        <w:t xml:space="preserve">   también genera una discriminación de clase  social”.  Añadieron  que  los</w:t>
        <w:br/>
        <w:t xml:space="preserve">   daños generados por los hechos del caso “se  intensifican  porque  tienen</w:t>
        <w:br/>
        <w:t xml:space="preserve">   como causa mantener la desigualdad y la discriminación de las mujeres”  y</w:t>
        <w:br/>
        <w:t xml:space="preserve">   que “entre otras condiciones de vulnerabilidad, los daños se amplían pues</w:t>
        <w:br/>
        <w:t xml:space="preserve">   la impunidad creada y propiciada desde el Estado  [m]exicano  sustenta  y</w:t>
        <w:br/>
        <w:t xml:space="preserve">   legitima los patrones de discriminación y violencia contra las mujeres”.</w:t>
        <w:br/>
        <w:br/>
        <w:br/>
        <w:t>392. El Estado señaló que “en las investigaciones por la desaparición y  los</w:t>
        <w:br/>
        <w:t xml:space="preserve">   homicidios de las jóvenes González, Herrera y Ramos no se han  encontrado</w:t>
        <w:br/>
        <w:t xml:space="preserve">   elementos que  permitan  suponer  […]  discriminación”.  Agregó  que  “ha</w:t>
        <w:br/>
        <w:t xml:space="preserve">   establecido los mecanismos  necesarios  para  que  las  personas  que  se</w:t>
        <w:br/>
        <w:t xml:space="preserve">   encuentran dentro de su jurisdicción […] puedan ejercer […] sus  derechos</w:t>
        <w:br/>
        <w:t xml:space="preserve">   sin ser objeto de discriminación alguna”. Sin embargo, reconoció ante  la</w:t>
        <w:br/>
        <w:t xml:space="preserve">   Corte que los homicidios  de  mujeres  en  Ciudad  Juárez  se  encuentran</w:t>
        <w:br/>
        <w:t xml:space="preserve">   influenciados por “una cultura de discriminación contra la mujer”.</w:t>
        <w:br/>
        <w:br/>
        <w:br/>
        <w:t>393.  Dada  la  controversia  entre  las  partes   y   la   ambigüedad   del</w:t>
        <w:br/>
        <w:t xml:space="preserve">   reconocimiento efectuado por el  Estado,  el  Tribunal  analizará  si  la</w:t>
        <w:br/>
        <w:t xml:space="preserve">   obligación  de  no  discriminar  contenida  en  el  artículo  1.1  de  la</w:t>
        <w:br/>
        <w:t xml:space="preserve">   Convención fue cumplida en el presente caso.</w:t>
        <w:br/>
        <w:br/>
        <w:br/>
        <w:t>394. Desde una perspectiva general la CEDAW define la discriminación  contra</w:t>
        <w:br/>
        <w:t xml:space="preserve">   la mujer como “toda distinción, exclusión a restricción basada en el sexo</w:t>
        <w:br/>
        <w:t xml:space="preserve">   que  tenga  por  objeto  o  por  resultado   menoscabar   o   anular   el</w:t>
        <w:br/>
        <w:t xml:space="preserve">   reconocimiento, goce o ejercicio por la mujer, independientemente  de  su</w:t>
        <w:br/>
        <w:t xml:space="preserve">   estado civil, sobre la base de la igualdad del hombre y la mujer, de  los</w:t>
        <w:br/>
        <w:t xml:space="preserve">   derechos humanos y las libertades fundamentales en las esferas  política,</w:t>
        <w:br/>
        <w:t xml:space="preserve">   económica, social, cultural y civil o en cualquier otra  esfera”.  En  el</w:t>
        <w:br/>
        <w:t xml:space="preserve">   ámbito  interamericano,  la  Convención  Belém  do  Pará  señala  que  la</w:t>
        <w:br/>
        <w:t xml:space="preserve">   violencia contra la mujer es “una  manifestación  de  las  relaciones  de</w:t>
        <w:br/>
        <w:t xml:space="preserve">   poder históricamente desiguales entre mujeres y hombres” y  reconoce  que</w:t>
        <w:br/>
        <w:t xml:space="preserve">   el derecho de toda mujer a una vida libre de violencia incluye el derecho</w:t>
        <w:br/>
        <w:t xml:space="preserve">   a ser libre de toda forma de discriminación.</w:t>
        <w:br/>
        <w:br/>
        <w:br/>
        <w:t>395. El CEDAW ha declarado que la definición de la discriminación contra  la</w:t>
        <w:br/>
        <w:t xml:space="preserve">   mujer “incluye la violencia basada en el sexo,  es  decir,  la  violencia</w:t>
        <w:br/>
        <w:t xml:space="preserve">   dirigida contra la mujer [i] porque es mujer o  [ii]  que  la  afecta  en</w:t>
        <w:br/>
        <w:t xml:space="preserve">   forma desproporcionada”. El CEDAW también ha señalado que “[l]a violencia</w:t>
        <w:br/>
        <w:t xml:space="preserve">   contra la mujer es una forma de discriminación que impide gravemente  que</w:t>
        <w:br/>
        <w:t xml:space="preserve">   goce de derechos y libertades en pie de igualdad con el hombre”[412].</w:t>
        <w:br/>
        <w:br/>
        <w:br/>
        <w:t>396. El Tribunal Europeo de Derechos Humanos declaró en  el  caso  Opuz  vs.</w:t>
        <w:br/>
        <w:t xml:space="preserve">   Turquía que “la falla del Estado de proteger  a  las  mujeres  contra  la</w:t>
        <w:br/>
        <w:t xml:space="preserve">   violencia doméstica viola el derecho de ellas a igual  protección  de  la</w:t>
        <w:br/>
        <w:t xml:space="preserve">   ley y esta falla no necesita ser intencional”. La Corte Europea consideró</w:t>
        <w:br/>
        <w:t xml:space="preserve">   que aunque la pasividad judicial general y discriminatoria en Turquía  no</w:t>
        <w:br/>
        <w:t xml:space="preserve">   era intencional, el hecho de que afectaba principalmente  a  las  mujeres</w:t>
        <w:br/>
        <w:t xml:space="preserve">   permitía concluir que la violencia sufrida por la peticionaria y su madre</w:t>
        <w:br/>
        <w:t xml:space="preserve">   podía considerarse violencia basada en género, lo cual es  una  forma  de</w:t>
        <w:br/>
        <w:t xml:space="preserve">   discriminación en contra de las mujeres. Para llegar a  esta  conclusión,</w:t>
        <w:br/>
        <w:t xml:space="preserve">   el Tribunal aplicó el principio según el cual una vez  que  se  demuestra</w:t>
        <w:br/>
        <w:t xml:space="preserve">   que la aplicación de una regla lleva  a  un  impacto  diferenciado  entre</w:t>
        <w:br/>
        <w:t xml:space="preserve">   mujeres y hombres, el Estado debe probar que se debe a factores objetivos</w:t>
        <w:br/>
        <w:t xml:space="preserve">   no relacionados con la discriminación. La Corte Europea constató  que  en</w:t>
        <w:br/>
        <w:t xml:space="preserve">   el lugar en que vivía la peticionaria se presentaba el número más alto de</w:t>
        <w:br/>
        <w:t xml:space="preserve">   víctimas de violencia doméstica, que las víctimas eran todas mujeres, que</w:t>
        <w:br/>
        <w:t xml:space="preserve">   la mayoría de las víctimas eran del  mismo  origen  y,  además,  que  las</w:t>
        <w:br/>
        <w:t xml:space="preserve">   mujeres víctimas enfrentaban problemas cuando denunciaban  la  violencia,</w:t>
        <w:br/>
        <w:t xml:space="preserve">   como el hecho que los  policías  no  investigaban  los  hechos  sino  que</w:t>
        <w:br/>
        <w:t xml:space="preserve">   asumían que dicha violencia era un “tema familiar”[413].</w:t>
        <w:br/>
        <w:br/>
        <w:br/>
        <w:t>397. En el caso del Penal Castro Castro Vs. Perú, la Corte  señaló  que  las</w:t>
        <w:br/>
        <w:t xml:space="preserve">   mujeres detenidas o arrestadas “no deben sufrir discriminación,  y  deben</w:t>
        <w:br/>
        <w:t xml:space="preserve">   ser protegidas de todas las  formas  de  violencia  o  explotación”,  que</w:t>
        <w:br/>
        <w:t xml:space="preserve">   “deben ser supervisadas y revisadas por  oficiales  femeninas”,  que  las</w:t>
        <w:br/>
        <w:t xml:space="preserve">   mujeres embarazadas y en lactancia “deben ser proveídas  con  condiciones</w:t>
        <w:br/>
        <w:t xml:space="preserve">   especiales”. Dicha discriminación incluye “la violencia  dirigida  contra</w:t>
        <w:br/>
        <w:t xml:space="preserve">   la mujer porque es mujer o que la afecta en  forma  desproporcionada”,  y</w:t>
        <w:br/>
        <w:t xml:space="preserve">   que abarca “actos que infligen daños o  sufrimientos  de  índole  física,</w:t>
        <w:br/>
        <w:t xml:space="preserve">   mental o sexual, amenazas de cometer esos actos, coacción y otras  formas</w:t>
        <w:br/>
        <w:t xml:space="preserve">   de privación de la libertad”[414].</w:t>
        <w:br/>
        <w:br/>
        <w:br/>
        <w:t>398. En el presente caso, el Tribunal constata que el Estado señaló ante  el</w:t>
        <w:br/>
        <w:t xml:space="preserve">   CEDAW que la “cultura de discriminación” de la mujer  “contribuyó  a  que</w:t>
        <w:br/>
        <w:t xml:space="preserve">   [los] homicidios [de mujeres en Ciudad Juárez] no  fueran  percibidos  en</w:t>
        <w:br/>
        <w:t xml:space="preserve">   sus inicios como un problema de  magnitud  importante  para  el  cual  se</w:t>
        <w:br/>
        <w:t xml:space="preserve">   requerían acciones inmediatas y contundentes por parte de las autoridades</w:t>
        <w:br/>
        <w:t xml:space="preserve">   competentes”. Además, el  Estado  también  señaló  que  esta  cultura  de</w:t>
        <w:br/>
        <w:t xml:space="preserve">   discriminación contra la mujer estaba basada “en una  concepción  errónea</w:t>
        <w:br/>
        <w:t xml:space="preserve">   de su inferioridad” (supra párr. 132).</w:t>
        <w:br/>
        <w:br/>
        <w:br/>
        <w:t>399. La Corte considera que estas declaraciones remitidas  como  prueba  por</w:t>
        <w:br/>
        <w:t xml:space="preserve">   el Estado, son coincidentes con su reconocimiento de  responsabilidad  en</w:t>
        <w:br/>
        <w:t xml:space="preserve">   el sentido de que en Ciudad Juárez existe una “cultura de discriminación”</w:t>
        <w:br/>
        <w:t xml:space="preserve">   que influenció en  los  homicidios  de  las  mujeres  en  Ciudad  Juárez.</w:t>
        <w:br/>
        <w:t xml:space="preserve">   Asimismo, la Corte observa que como ya fue establecido supra,  diferentes</w:t>
        <w:br/>
        <w:t xml:space="preserve">   informes internacionales hicieron la conexión entre la  violencia  contra</w:t>
        <w:br/>
        <w:t xml:space="preserve">   la mujer y la discriminación contra la mujer en Ciudad Juárez.</w:t>
        <w:br/>
        <w:br/>
        <w:br/>
        <w:t>400. De otro lado, al momento de  investigar  dicha  violencia,  ha  quedado</w:t>
        <w:br/>
        <w:t xml:space="preserve">   establecido que algunas autoridades mencionaron  que  las  víctimas  eran</w:t>
        <w:br/>
        <w:t xml:space="preserve">   “voladas” o que “se fueron con el novio”, lo cual, sumado a  la  inacción</w:t>
        <w:br/>
        <w:t xml:space="preserve">   estatal en el comienzo de la investigación,  permite  concluir  que  esta</w:t>
        <w:br/>
        <w:t xml:space="preserve">   indiferencia, por sus consecuencias respecto a  la  impunidad  del  caso,</w:t>
        <w:br/>
        <w:t xml:space="preserve">   reproduce la violencia que se  pretende  atacar,  sin  perjuicio  de  que</w:t>
        <w:br/>
        <w:t xml:space="preserve">   constituye en sí misma una discriminación en el acceso a la justicia.  La</w:t>
        <w:br/>
        <w:t xml:space="preserve">   impunidad de los delitos cometidos envía el mensaje de que  la  violencia</w:t>
        <w:br/>
        <w:t xml:space="preserve">   contra la mujer es  tolerada,  lo  que  favorece  su  perpetuación  y  la</w:t>
        <w:br/>
        <w:t xml:space="preserve">   aceptación  social  del  fenómeno,  el  sentimiento  y  la  sensación  de</w:t>
        <w:br/>
        <w:t xml:space="preserve">   inseguridad en las mujeres, así  como  una  persistente  desconfianza  de</w:t>
        <w:br/>
        <w:t xml:space="preserve">   éstas en el sistema  de  administración  de  justicia.  Al  respecto,  el</w:t>
        <w:br/>
        <w:t xml:space="preserve">   Tribunal resalta lo  precisado  por  la  Comisión  Interamericana  en  su</w:t>
        <w:br/>
        <w:t xml:space="preserve">   informe temático sobre “Acceso a la Justicia  para  Mujeres  Víctimas  de</w:t>
        <w:br/>
        <w:t xml:space="preserve">   Violencia” en el sentido de que</w:t>
        <w:br/>
        <w:br/>
        <w:br/>
        <w:t xml:space="preserve">      [l]a influencia de patrones socioculturales discriminatorios puede dar</w:t>
        <w:br/>
        <w:t xml:space="preserve">      como resultado una descalificación de la credibilidad  de  la  víctima</w:t>
        <w:br/>
        <w:t xml:space="preserve">      durante el proceso penal en casos de violencia y una  asunción  tácita</w:t>
        <w:br/>
        <w:t xml:space="preserve">      de responsabilidad de ella por los hechos, ya  sea  por  su  forma  de</w:t>
        <w:br/>
        <w:t xml:space="preserve">      vestir,  por  su  ocupación  laboral,  conducta  sexual,  relación   o</w:t>
        <w:br/>
        <w:t xml:space="preserve">      parentesco con el agresor, lo cual se traduce en inacción por parte de</w:t>
        <w:br/>
        <w:t xml:space="preserve">      los fiscales, policías y jueces ante denuncias  de  hechos  violentos.</w:t>
        <w:br/>
        <w:t xml:space="preserve">      Esta  influencia  también  puede  afectar   en   forma   negativa   la</w:t>
        <w:br/>
        <w:t xml:space="preserve">      investigación de los casos y la valoración de la prueba  subsiguiente,</w:t>
        <w:br/>
        <w:t xml:space="preserve">      que puede verse marcada por nociones estereotipadas  sobre  cuál  debe</w:t>
        <w:br/>
        <w:t xml:space="preserve">      ser   el   comportamiento   de   las   mujeres   en   sus   relaciones</w:t>
        <w:br/>
        <w:t xml:space="preserve">      interpersonales[415].</w:t>
        <w:br/>
        <w:br/>
        <w:br/>
        <w:t>401. En similar forma, el Tribunal considera que el  estereotipo  de  género</w:t>
        <w:br/>
        <w:t xml:space="preserve">   se refiere a una pre-concepción de atributos o características poseídas o</w:t>
        <w:br/>
        <w:t xml:space="preserve">   papeles  que  son  o  deberían  ser  ejecutados  por  hombres  y  mujeres</w:t>
        <w:br/>
        <w:t xml:space="preserve">   respectivamente. Teniendo en cuenta las manifestaciones efectuadas por el</w:t>
        <w:br/>
        <w:t xml:space="preserve">   Estado (supra párr. 398), es posible asociar la subordinación de la mujer</w:t>
        <w:br/>
        <w:t xml:space="preserve">   a prácticas basadas en estereotipos de género  socialmente  dominantes  y</w:t>
        <w:br/>
        <w:t xml:space="preserve">   socialmente  persistentes,  condiciones  que  se   agravan   cuando   los</w:t>
        <w:br/>
        <w:t xml:space="preserve">   estereotipos se reflejan, implícita  o  explícitamente,  en  políticas  y</w:t>
        <w:br/>
        <w:t xml:space="preserve">   prácticas, particularmente en  el  razonamiento  y  el  lenguaje  de  las</w:t>
        <w:br/>
        <w:t xml:space="preserve">   autoridades de policía judicial, como ocurrió en  el  presente  caso.  La</w:t>
        <w:br/>
        <w:t xml:space="preserve">   creación y uso de estereotipos se  convierte  en  una  de  las  causas  y</w:t>
        <w:br/>
        <w:t xml:space="preserve">   consecuencias de la violencia de género en contra de la mujer.</w:t>
        <w:br/>
        <w:br/>
        <w:br/>
        <w:t>402. Por ello, el Tribunal considera que en el presente  caso  la  violencia</w:t>
        <w:br/>
        <w:t xml:space="preserve">   contra la mujer constituyó una forma de discriminación y declara  que  el</w:t>
        <w:br/>
        <w:t xml:space="preserve">   Estado violó el deber de no discriminación contenido en el  artículo  1.1</w:t>
        <w:br/>
        <w:t xml:space="preserve">   de la Convención, en relación con el deber de garantía  de  los  derechos</w:t>
        <w:br/>
        <w:t xml:space="preserve">   consagrados en los artículos  4.1,  5.1,  5.2  y  7.1  de  la  Convención</w:t>
        <w:br/>
        <w:t xml:space="preserve">   Americana, en perjuicio  de  Laura  Berenice  Ramos  Monárrez,  Esmeralda</w:t>
        <w:br/>
        <w:t xml:space="preserve">   Herrera Monreal y Claudia Ivette González; así como en  relación  con  el</w:t>
        <w:br/>
        <w:t xml:space="preserve">   acceso a la justicia consagrado  en  los  artículos  8.1  y  25.1  de  la</w:t>
        <w:br/>
        <w:t xml:space="preserve">   Convención, en perjuicio de los familiares de las víctimas  identificados</w:t>
        <w:br/>
        <w:t xml:space="preserve">   en el párrafo 9 supra.</w:t>
        <w:br/>
        <w:br/>
        <w:br/>
        <w:br/>
        <w:br/>
        <w:br/>
        <w:t xml:space="preserve">      5.    Derechos de las niñas, artículo 19 de la Convención Americana</w:t>
        <w:br/>
        <w:br/>
        <w:br/>
        <w:t>403. La Comisión alegó que el Estado “tenía un deber reforzado  de  proteger</w:t>
        <w:br/>
        <w:t xml:space="preserve">   los derechos humanos de Laura Berenice Ramos y Esmeralda Herrera Monreal,</w:t>
        <w:br/>
        <w:t xml:space="preserve">   por dos factores, su minoría de edad y la obligación de  adoptar  medidas</w:t>
        <w:br/>
        <w:t xml:space="preserve">   especiales de cuidado, prevención y  garantía”.  Sin  embargo,  según  la</w:t>
        <w:br/>
        <w:t xml:space="preserve">   Comisión, “las instancias estatales encargadas de hacer cumplir la ley no</w:t>
        <w:br/>
        <w:t xml:space="preserve">   actuaron para prevenir que acontezcan hechos como los que aquí se analiza</w:t>
        <w:br/>
        <w:t xml:space="preserve">   ni para individualizar y sancionar a los responsables”  y  “las  agencias</w:t>
        <w:br/>
        <w:t xml:space="preserve">   estatales encargadas específicamente de la protección a  la  infancia  no</w:t>
        <w:br/>
        <w:t xml:space="preserve">   intervinieron de modo alguno ni en la prevención de estos  hechos  ni  en</w:t>
        <w:br/>
        <w:t xml:space="preserve">   proponer alguna clase de solución para el caso”.</w:t>
        <w:br/>
        <w:br/>
        <w:br/>
        <w:t>404. Para los representantes, las niñas Herrera y Ramos  “fueron  asesinadas</w:t>
        <w:br/>
        <w:t xml:space="preserve">   ocho años después de que se tuviera registro de los  primeros  homicidios</w:t>
        <w:br/>
        <w:t xml:space="preserve">   de niñas y mujeres en Ciudad Juárez. El Estado  tenía  la  obligación  de</w:t>
        <w:br/>
        <w:t xml:space="preserve">   adoptar  medidas  especiales  de  protección  para  garantizar  su  vida,</w:t>
        <w:br/>
        <w:t xml:space="preserve">   libertad e integridad personales”. Manifestaron que el Estado  “falló  en</w:t>
        <w:br/>
        <w:t xml:space="preserve">   adoptar medidas para prevenir la violencia comunitaria y para asegurar el</w:t>
        <w:br/>
        <w:t xml:space="preserve">   pleno goce de los derechos fundamentales de la niñez”.</w:t>
        <w:br/>
        <w:br/>
        <w:br/>
        <w:t>405. El Estado afirmó que “cumple con su  obligación  de  protección  a  los</w:t>
        <w:br/>
        <w:t xml:space="preserve">   niños con la adopción de medidas acordes con  su  situación  especial  de</w:t>
        <w:br/>
        <w:t xml:space="preserve">   vulnerabilidad”.  Además,  sostuvo   que   no   tendría   responsabilidad</w:t>
        <w:br/>
        <w:t xml:space="preserve">   internacional puesto que “no existió  participación  directa  de  agentes</w:t>
        <w:br/>
        <w:t xml:space="preserve">   estatales en los homicidios […], además de que  no  se  demostró  que  la</w:t>
        <w:br/>
        <w:t xml:space="preserve">   minoría de edad de las víctimas hubiera sido un factor relevante”, y  por</w:t>
        <w:br/>
        <w:t xml:space="preserve">   ha implementado “medidas especiales para asegurar la  plena  vigencia  de</w:t>
        <w:br/>
        <w:t xml:space="preserve">   los derechos del niño”.</w:t>
        <w:br/>
        <w:br/>
        <w:br/>
        <w:t>406. Como ya se ha establecido con anterioridad, en la época de los  hechos,</w:t>
        <w:br/>
        <w:t xml:space="preserve">   las  autoridades  públicas  tenían  conocimiento  de   un   contexto   de</w:t>
        <w:br/>
        <w:t xml:space="preserve">   desapariciones, violencia y homicidios contra  mujeres  jóvenes  y  niñas</w:t>
        <w:br/>
        <w:t xml:space="preserve">   (supra párr. 129).</w:t>
        <w:br/>
        <w:br/>
        <w:br/>
        <w:t>407. El experto independiente de las Naciones Unidas para el estudio  de  la</w:t>
        <w:br/>
        <w:t xml:space="preserve">   violencia contra los niños ha afirmado que  “[l]a  violencia  contra  los</w:t>
        <w:br/>
        <w:t xml:space="preserve">   niños se presenta bajo diversas formas y depende de una  amplia  gama  de</w:t>
        <w:br/>
        <w:t xml:space="preserve">   factores, desde las características personales de la víctima y el agresor</w:t>
        <w:br/>
        <w:t xml:space="preserve">   hasta  sus  entornos  culturales  y  físicos”.  El  grado  de  desarrollo</w:t>
        <w:br/>
        <w:t xml:space="preserve">   económico, el nivel social, la edad, el sexo y el género son  algunos  de</w:t>
        <w:br/>
        <w:t xml:space="preserve">   los muchos factores relacionados con el riesgo  de  la  violencia  letal.</w:t>
        <w:br/>
        <w:t xml:space="preserve">   Asimismo, ha manifestado que “la violencia sexual afecta principalmente a</w:t>
        <w:br/>
        <w:t xml:space="preserve">   los que han alcanzado la pubertad o la adolescencia”,  siendo  las  niñas</w:t>
        <w:br/>
        <w:t xml:space="preserve">   las más expuestas a sufrir este tipo de violencia[416].</w:t>
        <w:br/>
        <w:br/>
        <w:br/>
        <w:t>408. Esta Corte ha  establecido  que  los  niños  y  niñas  tienen  derechos</w:t>
        <w:br/>
        <w:t xml:space="preserve">   especiales a los que corresponden deberes específicos  por  parte  de  la</w:t>
        <w:br/>
        <w:t xml:space="preserve">   familia, la  sociedad  y  el  Estado.  Además,  su  condición  exige  una</w:t>
        <w:br/>
        <w:t xml:space="preserve">   protección especial que debe ser entendida como un  derecho  adicional  y</w:t>
        <w:br/>
        <w:t xml:space="preserve">   complementario a los demás derechos que la  Convención  reconoce  a  toda</w:t>
        <w:br/>
        <w:t xml:space="preserve">   persona[417]. La prevalencia del  interés  superior  del  niño  debe  ser</w:t>
        <w:br/>
        <w:t xml:space="preserve">   entendida como la necesidad de satisfacción de todos los derechos  de  la</w:t>
        <w:br/>
        <w:t xml:space="preserve">   infancia y la adolescencia, que obliga al Estado e irradia efectos en  la</w:t>
        <w:br/>
        <w:t xml:space="preserve">   interpretación de todos los demás derechos de  la  Convención  cuando  el</w:t>
        <w:br/>
        <w:t xml:space="preserve">   caso se refiera a menores de edad[418]. Asimismo, el Estado debe  prestar</w:t>
        <w:br/>
        <w:t xml:space="preserve">   especial atención a las necesidades  y  los  derechos  de  las  presuntas</w:t>
        <w:br/>
        <w:t xml:space="preserve">   víctimas en consideración a su  condición  de  niñas,  como  mujeres  que</w:t>
        <w:br/>
        <w:t xml:space="preserve">   pertenecen a un grupo en una situación vulnerable[419].</w:t>
        <w:br/>
        <w:br/>
        <w:br/>
        <w:t>409. En el presente  caso,  la  Corte  considera  que  el  Estado  tenía  la</w:t>
        <w:br/>
        <w:t xml:space="preserve">   obligación de adoptar todas las medidas positivas que  fueran  necesarias</w:t>
        <w:br/>
        <w:t xml:space="preserve">   para garantizar los derechos de las niñas desaparecidas. En concreto,  el</w:t>
        <w:br/>
        <w:t xml:space="preserve">   Estado tenía el deber de asegurar  que  fueran  encontradas  a  la  mayor</w:t>
        <w:br/>
        <w:t xml:space="preserve">   brevedad, una vez los familiares reportaron  su  ausencia,  especialmente</w:t>
        <w:br/>
        <w:t xml:space="preserve">   debido a que el Estado tenía conocimiento de la existencia de un contexto</w:t>
        <w:br/>
        <w:t xml:space="preserve">   específico en el que niñas estaban siendo desaparecidas.</w:t>
        <w:br/>
        <w:br/>
        <w:br/>
        <w:t>410. A pesar de la existencia  de  legislación  para  la  protección  de  la</w:t>
        <w:br/>
        <w:t xml:space="preserve">   niñez[420], así como de determinadas políticas estatales[421],  la  Corte</w:t>
        <w:br/>
        <w:t xml:space="preserve">   resalta que de la prueba aportada por el Estado no consta que, en el caso</w:t>
        <w:br/>
        <w:t xml:space="preserve">   concreto, esas medidas se  hayan  traducido  en  medidas  efectivas  para</w:t>
        <w:br/>
        <w:t xml:space="preserve">   iniciar una pronta búsqueda, activar todos los recursos para movilizar  a</w:t>
        <w:br/>
        <w:t xml:space="preserve">   las diferentes instituciones y desplegar mecanismos internos para obtener</w:t>
        <w:br/>
        <w:t xml:space="preserve">   información que permitiera localizar a las niñas con rapidez y,  una  vez</w:t>
        <w:br/>
        <w:t xml:space="preserve">   encontrados  los  cuerpos,  realizar  las  investigaciones,  procesar   y</w:t>
        <w:br/>
        <w:t xml:space="preserve">   sancionar a los responsables de forma eficaz y expedita.  En  definitiva,</w:t>
        <w:br/>
        <w:t xml:space="preserve">   el Estado no demostró tener mecanismos de reacción o  políticas  públicas</w:t>
        <w:br/>
        <w:t xml:space="preserve">   que dotaran a las instituciones involucradas de los mecanismos necesarios</w:t>
        <w:br/>
        <w:t xml:space="preserve">   para garantizar los derechos de las niñas.</w:t>
        <w:br/>
        <w:br/>
        <w:br/>
        <w:t>411. Consecuentemente, este  Tribunal  encuentra  que  el  Estado  violó  el</w:t>
        <w:br/>
        <w:t xml:space="preserve">   derecho consagrado en el artículo 19 de la Convención,  en  relación  con</w:t>
        <w:br/>
        <w:t xml:space="preserve">   los artículos 1.1 y 2  de  dicho  tratado,  en  perjuicio  de  las  niñas</w:t>
        <w:br/>
        <w:t xml:space="preserve">   Esmeralda Herrera Monreal y Laura Berenice Ramos Monárrez.</w:t>
        <w:br/>
        <w:br/>
        <w:br/>
        <w:br/>
        <w:br/>
        <w:br/>
        <w:t xml:space="preserve">      6.    Derecho a la  integridad  personal  de  los  familiares  de  las</w:t>
        <w:br/>
        <w:t xml:space="preserve">           víctimas</w:t>
        <w:br/>
        <w:br/>
        <w:br/>
        <w:t>412. Este Tribunal ha determinado que no subsiste controversia  en  torno  a</w:t>
        <w:br/>
        <w:t xml:space="preserve">   las alegadas violaciones al derecho consagrado en el artículo 5.1  de  la</w:t>
        <w:br/>
        <w:t xml:space="preserve">   Convención en perjuicio de  los  familiares  de  las  víctimas,  por  las</w:t>
        <w:br/>
        <w:t xml:space="preserve">   violaciones aceptadas  por  el  Estado  en  la  “primera  etapa”  de  las</w:t>
        <w:br/>
        <w:t xml:space="preserve">   investigaciones (supra párr. 20). Sin perjuicio de lo anterior, considera</w:t>
        <w:br/>
        <w:t xml:space="preserve">   oportuno precisar la entidad y alcance de tales violaciones.  Además,  se</w:t>
        <w:br/>
        <w:t xml:space="preserve">   determinará si hubo o no violación del artículo 5 de  la  Convención  por</w:t>
        <w:br/>
        <w:t xml:space="preserve">   hechos distintos a los reconocidos por el Estado.  En  este  sentido,  la</w:t>
        <w:br/>
        <w:t xml:space="preserve">   Corte analizará la afectación a la integridad psíquica  y  moral  de  los</w:t>
        <w:br/>
        <w:t xml:space="preserve">   familiares de  las  víctimas  por  los  hechos  acaecidos  a  éstas,  las</w:t>
        <w:br/>
        <w:t xml:space="preserve">   investigaciones llevadas a cabo para determinar lo ocurrido  y  el  trato</w:t>
        <w:br/>
        <w:t xml:space="preserve">   que las autoridades dieron a  los  familiares  y  a  los  restos  de  las</w:t>
        <w:br/>
        <w:t xml:space="preserve">   víctimas. Posteriormente, se  analizarán  las  alegadas  violaciones  por</w:t>
        <w:br/>
        <w:t xml:space="preserve">   actos de hostigamiento, amenazas e intimidaciones a los familiares de las</w:t>
        <w:br/>
        <w:t xml:space="preserve">   víctimas.</w:t>
        <w:br/>
        <w:br/>
        <w:br/>
        <w:br/>
        <w:br/>
        <w:br/>
        <w:t xml:space="preserve">      6.1.  Sufrimiento de los familiares por lo ocurrido con las víctimas y</w:t>
        <w:br/>
        <w:t xml:space="preserve">           por la búsqueda de la verdad</w:t>
        <w:br/>
        <w:br/>
        <w:br/>
        <w:t>413. La Comisión alegó que las madres de las víctimas  fueron  afectadas  en</w:t>
        <w:br/>
        <w:t xml:space="preserve">   su integridad psíquica y moral como consecuencia directa de la  repentina</w:t>
        <w:br/>
        <w:t xml:space="preserve">   desaparición de sus hijas, del desconocimiento de su paradero durante  un</w:t>
        <w:br/>
        <w:t xml:space="preserve">   periodo considerable de tiempo y de  la  falta  de  investigación  de  lo</w:t>
        <w:br/>
        <w:t xml:space="preserve">   ocurrido, así como por el tratamiento que recibieron  por  parte  de  las</w:t>
        <w:br/>
        <w:t xml:space="preserve">   autoridades, desde actitudes indiferentes hasta hostiles.</w:t>
        <w:br/>
        <w:br/>
        <w:br/>
        <w:t>414. Los representantes alegaron que  “[l]a  desaparición,  la  tortura,  el</w:t>
        <w:br/>
        <w:t xml:space="preserve">   asesinato, la  destrucción  de  sus  restos  y  la  falta  de  respuestas</w:t>
        <w:br/>
        <w:t xml:space="preserve">   apropiadas, oportunas y  eficaces  por  parte  de  las  autoridades  para</w:t>
        <w:br/>
        <w:t xml:space="preserve">   esclarecer las  circunstancias  de  la  muerte  de  [las  víctimas],  han</w:t>
        <w:br/>
        <w:t xml:space="preserve">   provocado en los familiares daños  considerables  a  su  salud  física  y</w:t>
        <w:br/>
        <w:t xml:space="preserve">   mental, a su calidad y proyecto de vida, a su sensación  de  bienestar  y</w:t>
        <w:br/>
        <w:t xml:space="preserve">   han vulnerado de manera importante su[s] sentimiento[s] de  dignidad,  de</w:t>
        <w:br/>
        <w:t xml:space="preserve">   seguridad y de pertenencia a una comunidad  donde  los  derechos  de  las</w:t>
        <w:br/>
        <w:t xml:space="preserve">   víctimas  son  reconocidos  y  respetados,  marcando  un  límite  a   sus</w:t>
        <w:br/>
        <w:t xml:space="preserve">   expectativas de vida”.</w:t>
        <w:br/>
        <w:br/>
        <w:br/>
        <w:t>415. La Corte ha declarado en otras oportunidades que los familiares de  las</w:t>
        <w:br/>
        <w:t xml:space="preserve">   víctimas de violaciones de los derechos humanos pueden  ser,  a  su  vez,</w:t>
        <w:br/>
        <w:t xml:space="preserve">   víctimas[422].</w:t>
        <w:br/>
        <w:br/>
        <w:br/>
        <w:t>416. En el caso de la joven Ramos, su madre declaró ante este Tribunal  que:</w:t>
        <w:br/>
        <w:br/>
        <w:br/>
        <w:br/>
        <w:br/>
        <w:t xml:space="preserve">      tuvieron que pasar cinco meses para que me pudieran mostrar el  cuerpo</w:t>
        <w:br/>
        <w:t xml:space="preserve">      de mi hija, y no era cuerpo, eran huesos […] y siempre me  decían  que</w:t>
        <w:br/>
        <w:t xml:space="preserve">      tenía que llevar un médico o un dentista y los  llevaba  y  nunca  nos</w:t>
        <w:br/>
        <w:t xml:space="preserve">      permitieron ver el cuerpo tampoco.</w:t>
        <w:br/>
        <w:br/>
        <w:br/>
        <w:t xml:space="preserve">      […]</w:t>
        <w:br/>
        <w:br/>
        <w:br/>
        <w:t xml:space="preserve">      Necesitaba saber si mi hija estaba  viva  [o]  muerta  [y]  necesitaba</w:t>
        <w:br/>
        <w:t xml:space="preserve">      reconocer ese cuerpo, por lo que le dije a la fiscal suplente  que  si</w:t>
        <w:br/>
        <w:t xml:space="preserve">      yo reconocía el cuerpo me lo entregaba como regalo de cumpleaños, y me</w:t>
        <w:br/>
        <w:t xml:space="preserve">      dijo que era muy cruel, pero que sí. El 20 de  marzo  logré  entrar  a</w:t>
        <w:br/>
        <w:t xml:space="preserve">      reconocer los huesos, y me dijeron que podía hacer lo que quisiera con</w:t>
        <w:br/>
        <w:t xml:space="preserve">      ellos[423].</w:t>
        <w:br/>
        <w:br/>
        <w:br/>
        <w:t xml:space="preserve">      […]</w:t>
        <w:br/>
        <w:br/>
        <w:br/>
        <w:t xml:space="preserve">      [Las investigaciones realizadas  por  la  autoridades]  fueron  nulas,</w:t>
        <w:br/>
        <w:t xml:space="preserve">      aunque yo les llevaba  líneas  precisas  de  investigación,  nunca  me</w:t>
        <w:br/>
        <w:t xml:space="preserve">      hicieron  caso,   trataban   de   darnos   mínimas   ayudas   que   no</w:t>
        <w:br/>
        <w:t xml:space="preserve">      reestablecía[n] el dolor que llevaba dentro, todo  lo  que  tenía  que</w:t>
        <w:br/>
        <w:t xml:space="preserve">      luchar para seguir investigando […].</w:t>
        <w:br/>
        <w:br/>
        <w:br/>
        <w:t xml:space="preserve">      [N]o es [sólo el] daño de que mi hija se perdió, nos dañaron a toda la</w:t>
        <w:br/>
        <w:t xml:space="preserve">      familia, mis hijos Claudia Ivonne  y  Jorge  Daniel,  ellos  necesitan</w:t>
        <w:br/>
        <w:t xml:space="preserve">      mucho apoyo psicológico porque les quitaron también una parte, […]  ya</w:t>
        <w:br/>
        <w:t xml:space="preserve">      no estamos completos, […] yo no necesito que me  den  una  palmada  de</w:t>
        <w:br/>
        <w:t xml:space="preserve">      pobrecita, yo necesitaba que buscaran a mi hija, que me  entregaran  a</w:t>
        <w:br/>
        <w:t xml:space="preserve">      mi hija, que me entregaran el reconocimiento de que era mi hija o  no.</w:t>
        <w:br/>
        <w:t xml:space="preserve">      Ahora les exijo […] retribúyanme toda mi vida, porque mi vida ya no es</w:t>
        <w:br/>
        <w:t xml:space="preserve">      la misma, eso es lo que yo les pido a estas personas  que  yo  sé  que</w:t>
        <w:br/>
        <w:t xml:space="preserve">      tienen el poder para poder hacer que ellos paguen todo el  daño,  todo</w:t>
        <w:br/>
        <w:t xml:space="preserve">      lo que nos han hecho[424].</w:t>
        <w:br/>
        <w:br/>
        <w:br/>
        <w:t>417. En el caso de la madre de la joven Herrera, en su declaración ante  la</w:t>
        <w:br/>
        <w:t xml:space="preserve">   Corte relató:</w:t>
        <w:br/>
        <w:br/>
        <w:br/>
        <w:t xml:space="preserve">      La actitud de las autoridades ha  sido  muy  mala  […]  nunca  se  han</w:t>
        <w:br/>
        <w:t xml:space="preserve">      dignado ni siquiera [en] llamarnos, en […] ocho años,  [para]  decirme</w:t>
        <w:br/>
        <w:t xml:space="preserve">      [cómo] van las investigaciones […] de todo me tengo  que  enterar  por</w:t>
        <w:br/>
        <w:t xml:space="preserve">      los medios de comunicación.</w:t>
        <w:br/>
        <w:br/>
        <w:br/>
        <w:t xml:space="preserve">      […]</w:t>
        <w:br/>
        <w:br/>
        <w:br/>
        <w:t xml:space="preserve">      El proceso de identificación de mi hija se hace hasta los cuatro  años</w:t>
        <w:br/>
        <w:t xml:space="preserve">      que yo pido una exhumación y un ADN […]. Ese proceso fue  muy  difícil</w:t>
        <w:br/>
        <w:t xml:space="preserve">      para mí y para mi familia, porque volvimos a  vivir  un  funeral,  una</w:t>
        <w:br/>
        <w:t xml:space="preserve">      exhumación, yo en varias ocasiones [intenté] quitarme la  vida  porque</w:t>
        <w:br/>
        <w:t xml:space="preserve">      para mí la vida no tenía sentido, porque yo no veía justicia […].  Mis</w:t>
        <w:br/>
        <w:t xml:space="preserve">      hijos más pequeños intentaron quitarse la vida, estuvieron internados.</w:t>
        <w:br/>
        <w:t xml:space="preserve">      Mi hija que era una niña de once años en ese  entonces,  […]  dibujaba</w:t>
        <w:br/>
        <w:t xml:space="preserve">      pesquisas y las pegaba por toda la casa  […]  porque  las  autoridades</w:t>
        <w:br/>
        <w:t xml:space="preserve">      nunca me elaboraron una pesquisa.</w:t>
        <w:br/>
        <w:br/>
        <w:br/>
        <w:t xml:space="preserve">      […]</w:t>
        <w:br/>
        <w:br/>
        <w:br/>
        <w:t xml:space="preserve">      Yo me pasaba las noches imaginándome lo que a  mi  hija  le  hicieron,</w:t>
        <w:br/>
        <w:t xml:space="preserve">      cómo me la violaban, cómo me la torturaban. Era una cosa horrible, que</w:t>
        <w:br/>
        <w:t xml:space="preserve">      yo no podía dormir, por estar imaginando. De igual manera,  por  estar</w:t>
        <w:br/>
        <w:t xml:space="preserve">      esperándola, yo tenía la esperanza y la ilusión de que mi hija  iba  a</w:t>
        <w:br/>
        <w:t xml:space="preserve">      aparecer, que algún día que yo llegara de mi trabajo me iban a  decir,</w:t>
        <w:br/>
        <w:t xml:space="preserve">      así como me decían Esmeralda no  aparece,  […]  Esmeralda  aquí  está.</w:t>
        <w:br/>
        <w:t xml:space="preserve">      Esmeralda ya apareció.</w:t>
        <w:br/>
        <w:br/>
        <w:br/>
        <w:t>418. La madre de la joven González declaró ante la Corte que:</w:t>
        <w:br/>
        <w:br/>
        <w:br/>
        <w:t xml:space="preserve">      [Y]o me afecté mucho, yo me enfermé, mi hermana se puso mala  también,</w:t>
        <w:br/>
        <w:t xml:space="preserve">      y también tuve  un  hijo  malo  de  cáncer,  a  él  le  afectó  cuando</w:t>
        <w:br/>
        <w:t xml:space="preserve">      encontramos el cadáver, a los dos meses […] falleció […]  en  nada  me</w:t>
        <w:br/>
        <w:t xml:space="preserve">      ha[n] ayudado [las autoridades] ni siquiera tienen avances […]. No […]</w:t>
        <w:br/>
        <w:t xml:space="preserve">      nos han respetado […] porque no han hallado a los culpables,  y  sigue</w:t>
        <w:br/>
        <w:t xml:space="preserve">      habiendo muchas muchachitas desaparecidas […]. No confío ya  en  ellos</w:t>
        <w:br/>
        <w:t xml:space="preserve">      […]. Tengo hijas y tengo  miedo  que  me  vuelva  a  pasar  porque  la</w:t>
        <w:br/>
        <w:t xml:space="preserve">      autoridad no hace nada […].</w:t>
        <w:br/>
        <w:br/>
        <w:br/>
        <w:t xml:space="preserve">      [para] que nos dieran información […] íbamos a diario y  […]  a  veces</w:t>
        <w:br/>
        <w:t xml:space="preserve">      […] tenían la puerta cerrada y no nos atendían, [nada más que  nuestra</w:t>
        <w:br/>
        <w:t xml:space="preserve">      fuerza eran los periodistas. […] Nos hicieron a mi  hija  y  a  mí  la</w:t>
        <w:br/>
        <w:t xml:space="preserve">      primera vez prueba de ADN y pasaron como tres meses y vinieron a hacer</w:t>
        <w:br/>
        <w:t xml:space="preserve">      otra prueba de ADN. La mandaron otra vez de  México  y  yo  les  dije:</w:t>
        <w:br/>
        <w:t xml:space="preserve">      “pues si ya habían hecho una ¿dónde está?”. [Respondieron] “No  señora</w:t>
        <w:br/>
        <w:t xml:space="preserve">      pues que se perdió, que se echó a perder” […].</w:t>
        <w:br/>
        <w:br/>
        <w:br/>
        <w:t xml:space="preserve">      Lo más difícil es la impotencia, [el] coraje  por  mis  hijas  que  me</w:t>
        <w:br/>
        <w:t xml:space="preserve">      quedan, eso es lo que ya no quiero que me pase[425].</w:t>
        <w:br/>
        <w:br/>
        <w:br/>
        <w:t>419. Del acervo probatorio se desprende que  tras  la  desaparición  de  las</w:t>
        <w:br/>
        <w:t xml:space="preserve">   tres  víctimas,  los  familiares  tuvieron   que   emprender   diferentes</w:t>
        <w:br/>
        <w:t xml:space="preserve">   actuaciones para buscar a las desaparecidas ante la  inactividad  de  las</w:t>
        <w:br/>
        <w:t xml:space="preserve">   autoridades, las cuales al mismo tiempo emitían juicios  reprochables  en</w:t>
        <w:br/>
        <w:t xml:space="preserve">   contra de las jóvenes, causando con ello sufrimiento  a  los  familiares.</w:t>
        <w:br/>
        <w:t xml:space="preserve">   Así, los informes periciales indicaron que los juicios emitidos  por  las</w:t>
        <w:br/>
        <w:t xml:space="preserve">   autoridades, en el sentido de que la culpabilidad de  las  desapariciones</w:t>
        <w:br/>
        <w:t xml:space="preserve">   radicaba en la conducta de las jóvenes, “producen confusión y angustia en</w:t>
        <w:br/>
        <w:t xml:space="preserve">   los familiares, especialmente en aquellos en [los] que les consta que  la</w:t>
        <w:br/>
        <w:t xml:space="preserve">   vida de sus hijas  no  concuerda  con  estas  versiones”[426].  Asimismo,</w:t>
        <w:br/>
        <w:t xml:space="preserve">   “[l]as madres insisten en el agravio experimentado por la negligencia  de</w:t>
        <w:br/>
        <w:t xml:space="preserve">   las autoridades y la inhumanidad con que han  sido  tratadas,  subrayando</w:t>
        <w:br/>
        <w:t xml:space="preserve">   […] el padecimiento agravado por ese maltrato, por desalentar la denuncia</w:t>
        <w:br/>
        <w:t xml:space="preserve">   que tal vez hubiera permitido encontrarlas con vida y  por  la  falta  de</w:t>
        <w:br/>
        <w:t xml:space="preserve">   información durante todo el proceso”[427].</w:t>
        <w:br/>
        <w:br/>
        <w:br/>
        <w:t>420. Por  otra  parte,  los  familiares  sufrieron  en  su  salud  mental  y</w:t>
        <w:br/>
        <w:t xml:space="preserve">   emocional por la falta de diligencia en la determinación de la  identidad</w:t>
        <w:br/>
        <w:t xml:space="preserve">   de los restos encontrados y la falta de información sobre las actuaciones</w:t>
        <w:br/>
        <w:t xml:space="preserve">   realizadas por parte de las autoridades. Así, “[l]a no identificación  de</w:t>
        <w:br/>
        <w:t xml:space="preserve">   los cuerpos [por el lapso de varios años]  ha  impedido  a  las  familias</w:t>
        <w:br/>
        <w:t xml:space="preserve">   vivir los ritos que acompañan la muerte y el entierro de su ser  querido,</w:t>
        <w:br/>
        <w:t xml:space="preserve">   alterando bruscamente su proceso  de  duelo.  No  han  podido  sanar  las</w:t>
        <w:br/>
        <w:t xml:space="preserve">   heridas, obligadas a vivir con un dolor permanente que  se  reaviva  cada</w:t>
        <w:br/>
        <w:t xml:space="preserve">   vez que las noticias anuncian el hallazgo de nuevos cadáveres”[428].</w:t>
        <w:br/>
        <w:br/>
        <w:br/>
        <w:t>421. La falta de investigaciones tendientes a hallar la  verdad,  juzgar  y,</w:t>
        <w:br/>
        <w:t xml:space="preserve">   en su caso, sancionar  a  los  responsables  “agrava  la  experiencia  de</w:t>
        <w:br/>
        <w:t xml:space="preserve">   impotencia, desamparo e indefensión de estas familias”[429].</w:t>
        <w:br/>
        <w:br/>
        <w:br/>
        <w:t>422.  El  Estado  reconoció  que  “las  irregularidades  admitidas  por   la</w:t>
        <w:br/>
        <w:t xml:space="preserve">   autoridad al inicio de las investigaciones de los [tres] homicidios  […],</w:t>
        <w:br/>
        <w:t xml:space="preserve">   afectaron directamente a los familiares […]. En  tal  virtud,  el  Estado</w:t>
        <w:br/>
        <w:t xml:space="preserve">   reconoce y acepta que el derecho a la integridad psíquica y moral de  los</w:t>
        <w:br/>
        <w:t xml:space="preserve">   familiares se vio vulnerado”.</w:t>
        <w:br/>
        <w:br/>
        <w:br/>
        <w:t>423. El Estado especificó el alcance de su allanamiento  en  los  siguientes</w:t>
        <w:br/>
        <w:t xml:space="preserve">   términos:</w:t>
        <w:br/>
        <w:br/>
        <w:br/>
        <w:t xml:space="preserve">      i) al momento en que los cuerpos fueron localizados,  las  autoridades</w:t>
        <w:br/>
        <w:t xml:space="preserve">      no tomaron las precauciones suficientes para resguardar  el  lugar  de</w:t>
        <w:br/>
        <w:t xml:space="preserve">      los hechos y los demás elementos  que  se  encontraron  en  el  mismo,</w:t>
        <w:br/>
        <w:t xml:space="preserve">      elementos que constituyen evidencias  materiales  de  los  homicidios.</w:t>
        <w:br/>
        <w:t xml:space="preserve">      Esta negligencia obstaculizó e indujo a errores en las investigaciones</w:t>
        <w:br/>
        <w:t xml:space="preserve">      iniciales de los homicidios, lo que provocó un  sufrimiento  adicional</w:t>
        <w:br/>
        <w:t xml:space="preserve">      en los familiares de las víctimas;</w:t>
        <w:br/>
        <w:br/>
        <w:br/>
        <w:t xml:space="preserve">      ii) los errores y negligencias en la integración  de  los  expedientes</w:t>
        <w:br/>
        <w:t xml:space="preserve">      contribuyeron de igual forma al retraso en  las  investigaciones  para</w:t>
        <w:br/>
        <w:t xml:space="preserve">      encontrar a los responsables de los homicidios. Esta cuestión afectó a</w:t>
        <w:br/>
        <w:t xml:space="preserve">      los familiares al no tener certeza sobre la seriedad, imparcialidad  y</w:t>
        <w:br/>
        <w:t xml:space="preserve">      exhaustividad  de  las  investigaciones  por  los  homicidios  de  las</w:t>
        <w:br/>
        <w:t xml:space="preserve">      victimas;</w:t>
        <w:br/>
        <w:br/>
        <w:br/>
        <w:t xml:space="preserve">      iii) el reinicio de las investigaciones de los homicidios se debió  en</w:t>
        <w:br/>
        <w:t xml:space="preserve">      parte a la necesidad de identificar a las víctimas, en virtud  de  que</w:t>
        <w:br/>
        <w:t xml:space="preserve">      los familiares habían expresado duda razonable sobre los  exámenes  de</w:t>
        <w:br/>
        <w:t xml:space="preserve">      identificación realizados, reconociendo “el sufrimiento de las  madres</w:t>
        <w:br/>
        <w:t xml:space="preserve">      […] al tener que identificar los cuerpos de sus hijas, cuando estos se</w:t>
        <w:br/>
        <w:t xml:space="preserve">      encontraban  en  un  alto  grado  de  descomposición  que  los   hacía</w:t>
        <w:br/>
        <w:t xml:space="preserve">      prácticamente irreconocibles”;</w:t>
        <w:br/>
        <w:br/>
        <w:br/>
        <w:t xml:space="preserve">      iv) el Estado es consciente del sufrimiento que causa a los familiares</w:t>
        <w:br/>
        <w:t xml:space="preserve">      de las víctimas el hecho de que  no  se  haya  identificado  hasta  el</w:t>
        <w:br/>
        <w:t xml:space="preserve">      momento a los responsables de los homicidios de las jóvenes  González,</w:t>
        <w:br/>
        <w:t xml:space="preserve">      Herrera y Ramos, y</w:t>
        <w:br/>
        <w:br/>
        <w:br/>
        <w:t xml:space="preserve">      v) que al inicio de  las  investigaciones  los  familiares  no  fueron</w:t>
        <w:br/>
        <w:t xml:space="preserve">      informados puntualmente de las indagatorias y de las  diligencias  que</w:t>
        <w:br/>
        <w:t xml:space="preserve">      las autoridades llevaban a  cabo  para  identificar  y  ubicar  a  los</w:t>
        <w:br/>
        <w:t xml:space="preserve">      responsables. Reprobó las  actitudes  insensibles  mostradas  por  los</w:t>
        <w:br/>
        <w:t xml:space="preserve">      funcionarios de la Procuraduría General  de  Justicia  del  estado  de</w:t>
        <w:br/>
        <w:t xml:space="preserve">      Chihuahua con  los  familiares.  Reprochó  la  insensibilidad  de  las</w:t>
        <w:br/>
        <w:t xml:space="preserve">      autoridades al entregar los cuerpos de las jóvenes González, Herrera y</w:t>
        <w:br/>
        <w:t xml:space="preserve">      Ramos a sus  familiares  y  lamentó  las  declaraciones  emitidas  por</w:t>
        <w:br/>
        <w:t xml:space="preserve">      funcionarios públicos en relación con los homicidios  de  las  jóvenes</w:t>
        <w:br/>
        <w:t xml:space="preserve">      González, Herrera y Ramos, que lastimaron  la  integridad  psíquica  y</w:t>
        <w:br/>
        <w:t xml:space="preserve">      moral de sus familiares.</w:t>
        <w:br/>
        <w:br/>
        <w:br/>
        <w:t>424. En virtud de lo expuesto, la Corte concluye  que  la  violación  de  la</w:t>
        <w:br/>
        <w:t xml:space="preserve">   integridad personal de los familiares de las víctimas se  ha  configurado</w:t>
        <w:br/>
        <w:t xml:space="preserve">   por las circunstancias sufridas durante todo el  proceso  desde  que  las</w:t>
        <w:br/>
        <w:t xml:space="preserve">   jóvenes Esmeralda  Herrera  Monreal,  Claudia  Ivette  González  y  Laura</w:t>
        <w:br/>
        <w:t xml:space="preserve">   Berenice Ramos Monárrez desaparecieron, así como por el contexto  general</w:t>
        <w:br/>
        <w:t xml:space="preserve">   en el que ocurrieron los hechos. La irregular y deficiente  actuación  de</w:t>
        <w:br/>
        <w:t xml:space="preserve">   las autoridades del Estado a  la  hora  de  buscar  el  paradero  de  las</w:t>
        <w:br/>
        <w:t xml:space="preserve">   víctimas una vez reportada su desaparición,  la  mala  diligencia  en  la</w:t>
        <w:br/>
        <w:t xml:space="preserve">   determinación de la identidad de los  restos,  de  las  circunstancias  y</w:t>
        <w:br/>
        <w:t xml:space="preserve">   causas de las muertes, el retraso en la  entrega  de  los  cadáveres,  la</w:t>
        <w:br/>
        <w:t xml:space="preserve">   ausencia de información sobre el desarrollo de las investigaciones  y  el</w:t>
        <w:br/>
        <w:t xml:space="preserve">   trato dado a los familiares durante todo el proceso de búsqueda de verdad</w:t>
        <w:br/>
        <w:t xml:space="preserve">   ha provocado en ellos un  gran  sufrimiento  y  angustia.  Todo  ello,  a</w:t>
        <w:br/>
        <w:t xml:space="preserve">   criterio del  Tribunal,  configura  un  trato  degradante,  contrario  al</w:t>
        <w:br/>
        <w:t xml:space="preserve">   artículo 5.1 y 5.2  de  la  Convención  Americana,  en  relación  con  el</w:t>
        <w:br/>
        <w:t xml:space="preserve">   artículo 1.1,  en  perjuicio  de  Irma  Monreal  Jaime,  Benigno  Herrera</w:t>
        <w:br/>
        <w:t xml:space="preserve">   Monreal, Adrián Herrera Monreal, Juan Antonio  Herrera  Monreal,  Cecilia</w:t>
        <w:br/>
        <w:t xml:space="preserve">   Herrera Monreal, Zulema Montijo Monreal,  Erick  Montijo  Monreal,  Juana</w:t>
        <w:br/>
        <w:t xml:space="preserve">   Ballín Castro, Irma Josefina González Rodríguez, Mayela  Banda  González,</w:t>
        <w:br/>
        <w:t xml:space="preserve">   Gema Iris González, Karla Arizbeth Hernández Banda, Jacqueline Hernández,</w:t>
        <w:br/>
        <w:t xml:space="preserve">   Carlos Hernández Llamas, Benita Monárrez Salgado,  Claudia  Ivonne  Ramos</w:t>
        <w:br/>
        <w:t xml:space="preserve">   Monárrez, Daniel Ramos Monárrez, Ramón Antonio Aragón  Monárrez,  Claudia</w:t>
        <w:br/>
        <w:t xml:space="preserve">   Dayana Bermúdez  Ramos,  Itzel  Arely  Bermúdez  Ramos,  Paola  Alexandra</w:t>
        <w:br/>
        <w:t xml:space="preserve">   Bermúdez Ramos, Atziri Geraldine Bermúdez Ramos.</w:t>
        <w:br/>
        <w:br/>
        <w:br/>
        <w:br/>
        <w:br/>
        <w:br/>
        <w:t xml:space="preserve">      6.2.   Amenazas,  intimidación  y  hostigamientos  sufridos  por   los</w:t>
        <w:br/>
        <w:t xml:space="preserve">           familiares</w:t>
        <w:br/>
        <w:br/>
        <w:br/>
        <w:t>425. La Comisión alegó que “las madres de Claudia Ivette, Esmeralda y  Laura</w:t>
        <w:br/>
        <w:t xml:space="preserve">   Berenice  […]  han  sido  víctimas  de  hostigamiento,  malos  tratos   e</w:t>
        <w:br/>
        <w:t xml:space="preserve">   intimidación por autoridades y agentes estatales de manera continua desde</w:t>
        <w:br/>
        <w:t xml:space="preserve">   la denuncia de las desapariciones hasta la actualidad”. Para la Comisión,</w:t>
        <w:br/>
        <w:t xml:space="preserve">   “la búsqueda de justicia en este caso conllevó a que las madres y algunos</w:t>
        <w:br/>
        <w:t xml:space="preserve">   miembros de sus familias sean víctimas de hostigamientos  y  amenazas  en</w:t>
        <w:br/>
        <w:t xml:space="preserve">   diferentes momentos a partir de que ocurrieron las desapariciones de  sus</w:t>
        <w:br/>
        <w:t xml:space="preserve">   hijas, poniéndose en riesgo sus vidas e integridad”.</w:t>
        <w:br/>
        <w:br/>
        <w:br/>
        <w:t>426. Los representantes afirmaron que “ante la  demanda  de  justicia  y  de</w:t>
        <w:br/>
        <w:t xml:space="preserve">   investigación por parte de las madres de Esmeralda, Laura, Claudia y  sus</w:t>
        <w:br/>
        <w:t xml:space="preserve">   familias,  la  respuesta  del  Estado  mexicano  fue   la   intimidación,</w:t>
        <w:br/>
        <w:t xml:space="preserve">   hostigamiento, formas sistemáticas de disuasión, hasta la violencia en su</w:t>
        <w:br/>
        <w:t xml:space="preserve">   contra: directa, hacia sus hijos o contra sus defensoras”.</w:t>
        <w:br/>
        <w:br/>
        <w:br/>
        <w:t>427.  El  Estado  destacó  que   “durante   las   investigaciones   por   la</w:t>
        <w:br/>
        <w:t xml:space="preserve">   desaparición,  la  ubicación  de  los  restos  y  las  indagatorias  para</w:t>
        <w:br/>
        <w:t xml:space="preserve">   encontrar  a  los  responsables  de  los  homicidios  de  Claudia  Ivette</w:t>
        <w:br/>
        <w:t xml:space="preserve">   González, Esmeralda Herrera Monreal y Laura Berenice Ramos  Monárrez,  no</w:t>
        <w:br/>
        <w:t xml:space="preserve">   se encuentran  elementos  que  demuestren  actos  de  desprecio  público,</w:t>
        <w:br/>
        <w:t xml:space="preserve">   persecución o discriminación en agravio de los familiares de  estas  tres</w:t>
        <w:br/>
        <w:t xml:space="preserve">   mujeres”. El Estado aseguró que “no se encuentran elementos que  permitan</w:t>
        <w:br/>
        <w:t xml:space="preserve">   demostrar acusaciones falsas o amenazas cometidas por agentes del  Estado</w:t>
        <w:br/>
        <w:t xml:space="preserve">   en contra de los familiares de las tres víctimas. Por  el  contrario,  el</w:t>
        <w:br/>
        <w:t xml:space="preserve">   Estado ha informado  a  la  Corte  que  los  familiares  de  las  jóvenes</w:t>
        <w:br/>
        <w:t xml:space="preserve">   González, Herrera y Ramos cuentan con todos los recursos contemplados  en</w:t>
        <w:br/>
        <w:t xml:space="preserve">   la legislación nacional para denunciar posibles acusaciones  o  amenazas.</w:t>
        <w:br/>
        <w:t xml:space="preserve">   No obstante, los familiares no han acudido a reportar  estas  actuaciones</w:t>
        <w:br/>
        <w:t xml:space="preserve">   con lo que las autoridades no cuentan con elementos para  investigar  las</w:t>
        <w:br/>
        <w:t xml:space="preserve">   mismas y sancionar a los responsables.</w:t>
        <w:br/>
        <w:br/>
        <w:br/>
        <w:t>428. La señora Monárrez declaró ante el Tribunal lo siguiente:</w:t>
        <w:br/>
        <w:br/>
        <w:br/>
        <w:t xml:space="preserve">      [por haber tomado el hueso de mi hija] empezaron seguimientos, carros,</w:t>
        <w:br/>
        <w:t xml:space="preserve">      identificados tanto por mí como por mi hija Claudia  Ivonne,  que  nos</w:t>
        <w:br/>
        <w:t xml:space="preserve">      seguían a todas partes, vehículos oficiales de la PGR.</w:t>
        <w:br/>
        <w:br/>
        <w:br/>
        <w:t xml:space="preserve">      […]</w:t>
        <w:br/>
        <w:br/>
        <w:br/>
        <w:t xml:space="preserve">      yo tuve que salir de mi país porque  en  alguna  ocasión  trataron  de</w:t>
        <w:br/>
        <w:t xml:space="preserve">      arrollarnos a mis dos hijos menores y a mí, y tuve que pedir asilo  en</w:t>
        <w:br/>
        <w:t xml:space="preserve">      los Estados Unidos porque después de que no  buscaron  a  mi  hija  yo</w:t>
        <w:br/>
        <w:t xml:space="preserve">      formé una organización que se llamó Integración de Madres  por  Juárez</w:t>
        <w:br/>
        <w:t xml:space="preserve">      […]</w:t>
        <w:br/>
        <w:br/>
        <w:br/>
        <w:t xml:space="preserve">      [E]stábamos siendo perseguidos, inclusive a mi  hija  Claudia  Ivonne,</w:t>
        <w:br/>
        <w:t xml:space="preserve">      ella se había quedado en México  cuando  yo  me  fui  a  pedir  asilo.</w:t>
        <w:br/>
        <w:t xml:space="preserve">      Tuvimos que llevar un proceso muy duro. Tuvimos que  estar  detenidos.</w:t>
        <w:br/>
        <w:t xml:space="preserve">      Yo duré tres semanas con mi niño de cinco años, que ahorita  él  tiene</w:t>
        <w:br/>
        <w:t xml:space="preserve">      un problema. Él no puede ver a las autoridades. Él no puede ver  a  un</w:t>
        <w:br/>
        <w:t xml:space="preserve">      uniformado porque les tiene pánico. Mi hija Claudia se quedó en México</w:t>
        <w:br/>
        <w:t xml:space="preserve">      porque no podían ayudarnos a todos a la vez. Se quedó con mis  nietas.</w:t>
        <w:br/>
        <w:t xml:space="preserve">      Trataron de sacarle a una de mis niñas de siete años de la escuela.  A</w:t>
        <w:br/>
        <w:t xml:space="preserve">      [Claudia] le pusieron una pistola en la cabeza y  le  dijeron  que  se</w:t>
        <w:br/>
        <w:t xml:space="preserve">      callara, que […] no siguiera diciendo nada porque si no [se] la iban a</w:t>
        <w:br/>
        <w:t xml:space="preserve">      quebrar […]</w:t>
        <w:br/>
        <w:br/>
        <w:br/>
        <w:t xml:space="preserve">      [Las autoridades llevaron a cabo actos de hostigamiento] porque  a  mí</w:t>
        <w:br/>
        <w:t xml:space="preserve">      no me pudieron comprar nunca, aún con todas las cosas  que  me  hacían</w:t>
        <w:br/>
        <w:t xml:space="preserve">      para tener miedo, […] por eso me fui. […]</w:t>
        <w:br/>
        <w:br/>
        <w:br/>
        <w:t xml:space="preserve">      Tuve que pedir a mucha gente que me ayudara. Tuve que vender comida en</w:t>
        <w:br/>
        <w:t xml:space="preserve">      la calle. Tuvimos que dormir en la calle.  Tuvimos  que  estar  en  un</w:t>
        <w:br/>
        <w:t xml:space="preserve">      lugar con los indigentes de la calle. Creo que mi familia  no  merecía</w:t>
        <w:br/>
        <w:t xml:space="preserve">      esto. Creo que las autoridades son tan culpables de haberme hecho  que</w:t>
        <w:br/>
        <w:t xml:space="preserve">      yo tuviera que emigrar para proteger la vida de mis  hijos  y  la  mía</w:t>
        <w:br/>
        <w:t xml:space="preserve">      propia […]. [M]e fui el 4 de septiembre de 2006 y mi hija […]  el  año</w:t>
        <w:br/>
        <w:t xml:space="preserve">      pasado, que fue cuando ya no pudo soportar más. […].</w:t>
        <w:br/>
        <w:br/>
        <w:br/>
        <w:t xml:space="preserve">      [Las  hostilidades  se  dieron]  desde  un  principio  que   mi   hija</w:t>
        <w:br/>
        <w:t xml:space="preserve">      desapareció, desde ahí yo me sentí atada de pies y manos[430].</w:t>
        <w:br/>
        <w:br/>
        <w:br/>
        <w:t>429. El 9 de julio de 2007 Claudia Ivonne  Ramos  Monárrez,  hermana  de  la</w:t>
        <w:br/>
        <w:t xml:space="preserve">   joven Ramos, declaró ante el Ministerio Público que:</w:t>
        <w:br/>
        <w:br/>
        <w:br/>
        <w:t xml:space="preserve">      el día dos de mayo  de  [2006]  present[é]  una  denuncia  sobre  unos</w:t>
        <w:br/>
        <w:t xml:space="preserve">      vehículos y personas que anduvieron en mi casa preguntando donde vivía</w:t>
        <w:br/>
        <w:t xml:space="preserve">      yo y con quien vivía y que hac[í]a y anduvieron investigando  mi  vida</w:t>
        <w:br/>
        <w:t xml:space="preserve">      […]. [L]a denuncia se hizo ante la Procuradura  y  ella  giró  ordenes</w:t>
        <w:br/>
        <w:t xml:space="preserve">      expresas a [una] funcionaria [quien] me tom[ó] declaración y  todo  se</w:t>
        <w:br/>
        <w:t xml:space="preserve">      hac[í]a en secrecía […] [hasta] la fecha no se  ha  investigado  nada;</w:t>
        <w:br/>
        <w:t xml:space="preserve">      [además] […] hace dos meses […] solicité por escrito una copia  de  la</w:t>
        <w:br/>
        <w:t xml:space="preserve">      denuncia que [inter]puse y me d[i] cuenta que no era  una  denuncia[,]</w:t>
        <w:br/>
        <w:t xml:space="preserve">      [sino que] me tomaron mi declaración como testimonio y lo anexaron  al</w:t>
        <w:br/>
        <w:t xml:space="preserve">      expediente […] de mi hermana Berenice Ramos […] [por lo que] vuelvo  a</w:t>
        <w:br/>
        <w:t xml:space="preserve">      solicitar se investigue[, por qué] estuvieron los judiciales y  carros</w:t>
        <w:br/>
        <w:t xml:space="preserve">      oficiales enfrente de mi domicilio[431].</w:t>
        <w:br/>
        <w:br/>
        <w:br/>
        <w:t>430.  La  familia  Ramos  Monárrez  solicitó   asilo   a   las   autoridades</w:t>
        <w:br/>
        <w:t xml:space="preserve">   estadounidenses. El Juez que decidió sobre la solicitud de asilo político</w:t>
        <w:br/>
        <w:t xml:space="preserve">   basó su decisión, inter alia,  en  la  declaración  de  varios  testigos,</w:t>
        <w:br/>
        <w:t xml:space="preserve">   quienes mencionaron que:</w:t>
        <w:br/>
        <w:br/>
        <w:br/>
        <w:t xml:space="preserve">      Hay varios grupos que han hablando  en  contra  el  femicidio.  Dichos</w:t>
        <w:br/>
        <w:t xml:space="preserve">      grupos han realizado protestas y marchas.  Uno  de  estos  grupos  fue</w:t>
        <w:br/>
        <w:t xml:space="preserve">      ‘Integración de Madres por Juárez’, la cual fue fundada  por  la  Sra.</w:t>
        <w:br/>
        <w:t xml:space="preserve">      Monarrez Salgado. [La declarante] intenta asistir a una reunión de  la</w:t>
        <w:br/>
        <w:t xml:space="preserve">      organización. Antes de llegar, unos  hombres  armados  asaltan  a  los</w:t>
        <w:br/>
        <w:t xml:space="preserve">      asistentes, por lo que  la reunión se cancela[432];</w:t>
        <w:br/>
        <w:br/>
        <w:br/>
        <w:t xml:space="preserve">      […]</w:t>
        <w:br/>
        <w:br/>
        <w:br/>
        <w:t xml:space="preserve">      Prevalece, claramente, un clima de miedo e intimidación en  contra  de</w:t>
        <w:br/>
        <w:t xml:space="preserve">      la gente que  habla  en  contra  de  los  asesinatos  y  la  falta  de</w:t>
        <w:br/>
        <w:t xml:space="preserve">      investigación relacionada con los homicidios de las jóvenes mujeres en</w:t>
        <w:br/>
        <w:t xml:space="preserve">      Ciudad Juárez [...].  La Sra. Monarrez Salgada se convirtió en una  de</w:t>
        <w:br/>
        <w:t xml:space="preserve">      los familiares de las victimas de femicidio que más se hace oír  a  la</w:t>
        <w:br/>
        <w:t xml:space="preserve">      hora de solicitar que la policía investigue estos crímenes  […].  [Ha]</w:t>
        <w:br/>
        <w:t xml:space="preserve">      públicamente cuestionado la competencia de la  policía,  su  nivel  de</w:t>
        <w:br/>
        <w:t xml:space="preserve">      compromiso para resolver  crímenes  y  ha  discutido  abiertamente  la</w:t>
        <w:br/>
        <w:t xml:space="preserve">      posible participación directa de la policía en el encubrimiento de los</w:t>
        <w:br/>
        <w:t xml:space="preserve">      femicidios. […]  Ha participado en  varias  entrevistas  nacionales  e</w:t>
        <w:br/>
        <w:t xml:space="preserve">      internacionales a través de distintas  radios, canales de televisión y</w:t>
        <w:br/>
        <w:t xml:space="preserve">      periódicos. […] Los funcionarios del gobierno y la gente  directamente</w:t>
        <w:br/>
        <w:t xml:space="preserve">      vinculada al él, están detrás de las amenazas y actos de intimidación,</w:t>
        <w:br/>
        <w:t xml:space="preserve">      dado su interés en silenciar el apoyo  a los homicidios y las críticas</w:t>
        <w:br/>
        <w:t xml:space="preserve">      respecto  del  manejo  de  los  casos  de  femicidio  por  parte   del</w:t>
        <w:br/>
        <w:t xml:space="preserve">      gobierno[433];</w:t>
        <w:br/>
        <w:br/>
        <w:br/>
        <w:t>431. Por último, el mismo juez  consideró  los  testimonios  de  la  familia</w:t>
        <w:br/>
        <w:t xml:space="preserve">   Ramos  Monarrez,  los  cuales  calificó   como   “consistentes   y   bien</w:t>
        <w:br/>
        <w:t xml:space="preserve">   fundamentados por la prueba documentada”[434]. En lo que respecta  a  las</w:t>
        <w:br/>
        <w:t xml:space="preserve">   declaraciones de la señora Monarrez señaló que:</w:t>
        <w:br/>
        <w:br/>
        <w:br/>
        <w:t xml:space="preserve">      A través de los medios de comunicación, la Sra. Monárrez Salgado acusó</w:t>
        <w:br/>
        <w:t xml:space="preserve">      públicamente a los funcionarios del gobierno de México, incluyendo  el</w:t>
        <w:br/>
        <w:t xml:space="preserve">      Gobernador y el Fiscal General del estado mexicano  de  Chihuahua,  de</w:t>
        <w:br/>
        <w:t xml:space="preserve">      ser cómplices de la muerte de su hija  y  la  subsiguiente  deficiente</w:t>
        <w:br/>
        <w:t xml:space="preserve">      investigación. […]</w:t>
        <w:br/>
        <w:br/>
        <w:br/>
        <w:t xml:space="preserve">      Después de identificar el cuerpo de su hija, la Sra. Monárrez  Salgado</w:t>
        <w:br/>
        <w:t xml:space="preserve">      empezó a recibir llamadas amenazantes. Las personas que la llamaron le</w:t>
        <w:br/>
        <w:t xml:space="preserve">      dijeron que si continuaba hablando, la iban a matar o le iban a  hacer</w:t>
        <w:br/>
        <w:t xml:space="preserve">      desaparecer a sus hijos. Las llamadas  telefónicas  fueron  continuas,</w:t>
        <w:br/>
        <w:t xml:space="preserve">      sin embargo, se intensificaron después de que la Corte  Interamericana</w:t>
        <w:br/>
        <w:t xml:space="preserve">      admitió el caso de los Asesinatos del Campo Algodonero;</w:t>
        <w:br/>
        <w:br/>
        <w:br/>
        <w:t xml:space="preserve">      Un día mientras caminaba hacia un funeral, la  Sra.  Monárrez  Salgado</w:t>
        <w:br/>
        <w:t xml:space="preserve">      notó que la seguía una camioneta. La camioneta aceleró  y  se  dirigió</w:t>
        <w:br/>
        <w:t xml:space="preserve">      rápidamente hacia ella. Ella pudo quitarse del  camino.  La  camioneta</w:t>
        <w:br/>
        <w:t xml:space="preserve">      dio vuelta a la manzana e intentó  atropellarla  nuevamente.  La  Sra.</w:t>
        <w:br/>
        <w:t xml:space="preserve">      Monárrez Salgado  pudo  evitar  el  segundo  ataque,  por  lo  que  la</w:t>
        <w:br/>
        <w:t xml:space="preserve">      camioneta se alejó. Luego se dirigió al funeral;</w:t>
        <w:br/>
        <w:br/>
        <w:br/>
        <w:t xml:space="preserve">      Al volver del funeral, se encontró con que alguien había entrado a  su</w:t>
        <w:br/>
        <w:t xml:space="preserve">      casa y  había revisado sus expedientes relacionados con la  muerte  de</w:t>
        <w:br/>
        <w:t xml:space="preserve">      su hija. Faltaban algunos documentos. Unas  semanas  después,  alguien</w:t>
        <w:br/>
        <w:t xml:space="preserve">      intentó entrar a su casa por segunda vez.</w:t>
        <w:br/>
        <w:br/>
        <w:br/>
        <w:t>432. De igual manera la señora Claudia Ivonne  Ramos  Monárrez  y  el  señor</w:t>
        <w:br/>
        <w:t xml:space="preserve">   Jorge Daniel Ramos Monárrez,  declararon  ante  el  juez  de  inmigración</w:t>
        <w:br/>
        <w:t xml:space="preserve">   determinados hechos  de  hostigamiento  que  les  condujeron  a  sentirse</w:t>
        <w:br/>
        <w:t xml:space="preserve">   amenazados y a ver peligrar su vida, por lo que solicitaron asilo  a  las</w:t>
        <w:br/>
        <w:t xml:space="preserve">   autoridades estadounidenses, el cual les fue otorgado[435].</w:t>
        <w:br/>
        <w:br/>
        <w:br/>
        <w:t>433. El Juez otorgó el asilo al constatar que  “en  el  transcurso  de  ocho</w:t>
        <w:br/>
        <w:t xml:space="preserve">   años, la familia Monárrez  Salgado  ha  tenido  que  enfrentar  actos  de</w:t>
        <w:br/>
        <w:t xml:space="preserve">   hostigamiento, amenazas y atentados en contra de sus vidas  que  llegaron</w:t>
        <w:br/>
        <w:t xml:space="preserve">   al nivel de persecución. Cada miembro de la  familia  sufrió  incidentes,</w:t>
        <w:br/>
        <w:t xml:space="preserve">   llegando a ser una seria amenaza en contra de sus vidas y por  lo  tanto,</w:t>
        <w:br/>
        <w:t xml:space="preserve">   ello constituiría acoso. Sin embargo, es  claro  que  han  sufrido  acoso</w:t>
        <w:br/>
        <w:t xml:space="preserve">   cuando  se  tiene  en  cuenta  el  efecto  acumulativo  de  los  años  de</w:t>
        <w:br/>
        <w:t xml:space="preserve">   intimidación, hostigamiento y ataques físicos”[436].</w:t>
        <w:br/>
        <w:br/>
        <w:br/>
        <w:t>434.  La  prueba  pericial  aportada  en  el  proceso  ante  la   Corte   ha</w:t>
        <w:br/>
        <w:t xml:space="preserve">   determinado, en cuanto a los familiares de la  joven  Ramos,  que  sufren</w:t>
        <w:br/>
        <w:t xml:space="preserve">   miedo sostenido  por  los  peligros  y  las  amenazas  diversas  que  han</w:t>
        <w:br/>
        <w:t xml:space="preserve">   padecido, reflejados en hechos que han puesto en peligro su  seguridad  y</w:t>
        <w:br/>
        <w:t xml:space="preserve">   su integridad en espacio público, sin  que  las  autoridades  hayan  dado</w:t>
        <w:br/>
        <w:t xml:space="preserve">   atención expedita  y  adecuada  a  sus  demandas.  También  han  padecido</w:t>
        <w:br/>
        <w:t xml:space="preserve">   sensaciones de soledad y aislamiento por la desconfianza creciente en las</w:t>
        <w:br/>
        <w:t xml:space="preserve">   autoridades[437].</w:t>
        <w:br/>
        <w:br/>
        <w:br/>
        <w:t>435. Del expediente  del  presente  caso  se  desprenden  ciertos  datos  en</w:t>
        <w:br/>
        <w:t xml:space="preserve">   referencia a la existencia de un  patrón  de  conductas  estatales  hacia</w:t>
        <w:br/>
        <w:t xml:space="preserve">   familiares  de  mujeres  víctimas  de  violencia  en  Ciudad  Juárez  que</w:t>
        <w:br/>
        <w:t xml:space="preserve">   consistían en tratos despectivos e irrespetuosos y hasta agresivos cuando</w:t>
        <w:br/>
        <w:t xml:space="preserve">   intentaban obtener información sobre las investigaciones[438], que además</w:t>
        <w:br/>
        <w:t xml:space="preserve">   generaban en la mayoría de los casos desconfianza y temor, por lo que  no</w:t>
        <w:br/>
        <w:t xml:space="preserve">   denunciaban los hechos. En algunos casos los familiares manifestaron  que</w:t>
        <w:br/>
        <w:t xml:space="preserve">   se les dijo que dejaran de realizar averiguaciones o llevar a cabo  otras</w:t>
        <w:br/>
        <w:t xml:space="preserve">   actividades en procura de justicia[439]. Asimismo, se  ha  reportado  que</w:t>
        <w:br/>
        <w:t xml:space="preserve">   “el hostigamiento y las amenazas a las familiares de las víctimas, a  sus</w:t>
        <w:br/>
        <w:t xml:space="preserve">   representantes y a  las  organizaciones  de  la  sociedad  civil,  se  ha</w:t>
        <w:br/>
        <w:t xml:space="preserve">   recrudecido en la misma medida en que la presión nacional e internacional</w:t>
        <w:br/>
        <w:t xml:space="preserve">   se han acrecentado”, haciéndolos responsables por esa dimensión  nacional</w:t>
        <w:br/>
        <w:t xml:space="preserve">   e internacional que ha tomado la situación[440].</w:t>
        <w:br/>
        <w:br/>
        <w:br/>
        <w:t>436. Con base en lo anterior, la Corte considera que del  acervo  probatorio</w:t>
        <w:br/>
        <w:t xml:space="preserve">   se  desprende  que  la  señora  Monárrez   sufrió   diversos   actos   de</w:t>
        <w:br/>
        <w:t xml:space="preserve">   hostigamiento desde la desaparición de su hija hasta que abandonó su país</w:t>
        <w:br/>
        <w:t xml:space="preserve">   para irse como asilada  a  Estados  Unidos,  circunstancias  que  también</w:t>
        <w:br/>
        <w:t xml:space="preserve">   sufrieron sus tres hijos y nietos.</w:t>
        <w:br/>
        <w:br/>
        <w:br/>
        <w:t>437. En lo que respecta a la familia Herrera, el 5  de  abril  de  2006,  la</w:t>
        <w:br/>
        <w:t xml:space="preserve">   señora Monreal Jaime declaró ante  la  Fiscalía  que  a  su  hijo  Adrián</w:t>
        <w:br/>
        <w:t xml:space="preserve">   Herrera Monreal, “lo interceptaron en su vehículo, llegaron dos patrullas</w:t>
        <w:br/>
        <w:t xml:space="preserve">   de la Policía Municipal y dos  camionetas  de  la  Policía  Judicial,  lo</w:t>
        <w:br/>
        <w:t xml:space="preserve">   bajaron, lo golpearon y se llevaron su  vehículo.  [O]cho  meses  después</w:t>
        <w:br/>
        <w:t xml:space="preserve">   apareció el auto desmantelado en un terreno de la Policía Judicial”[441].</w:t>
        <w:br/>
        <w:t xml:space="preserve">   Esta declaración es consistente con la vertida  ante  esta  Corte  en  la</w:t>
        <w:br/>
        <w:t xml:space="preserve">   audiencia pública[442] y con la prueba pericial aportada[443].</w:t>
        <w:br/>
        <w:br/>
        <w:br/>
        <w:t>438. Por otro lado, no  consta  cuestionamiento  específico  por  parte  del</w:t>
        <w:br/>
        <w:t xml:space="preserve">   Estado en contra de estos hechos alegados, ni el mismo ha aportado prueba</w:t>
        <w:br/>
        <w:t xml:space="preserve">   que desvirtúe la existencia de éstos. Por ende,  el  Tribunal  tiene  por</w:t>
        <w:br/>
        <w:t xml:space="preserve">   establecido la existencia de  actos  de  hostigamiento  contra  el  señor</w:t>
        <w:br/>
        <w:t xml:space="preserve">   Adrián Herrera Monreal.</w:t>
        <w:br/>
        <w:br/>
        <w:br/>
        <w:t>439. Por lo que respecta a la familia González, ni los representantes ni  la</w:t>
        <w:br/>
        <w:t xml:space="preserve">   Comisión  precisan   hechos   concretos   que   reflejen   los   alegados</w:t>
        <w:br/>
        <w:t xml:space="preserve">   hostigamientos  y  amenazas,  ni  construyeron  una   argumentación   con</w:t>
        <w:br/>
        <w:t xml:space="preserve">   fundamentos probatorios que le permita realizar a la Corte una conclusión</w:t>
        <w:br/>
        <w:t xml:space="preserve">   sobre el alegato.</w:t>
        <w:br/>
        <w:br/>
        <w:br/>
        <w:t>440. En  virtud  de  lo  expuesto,  la  Corte  concluye  que  los  actos  de</w:t>
        <w:br/>
        <w:t xml:space="preserve">   hostigamiento que sufrieron los familiares  configura  una  violación  al</w:t>
        <w:br/>
        <w:t xml:space="preserve">   derecho a la integridad personal consagrado en el artículo 5.1 y  5.2  de</w:t>
        <w:br/>
        <w:t xml:space="preserve">   la Convención Americana, en relación con el artículo 1.1 de la misma,  en</w:t>
        <w:br/>
        <w:t xml:space="preserve">   perjuicio de Adrián Herrera Monreal,  Benita  Monárrez  Salgado,  Claudia</w:t>
        <w:br/>
        <w:t xml:space="preserve">   Ivonne Ramos  Monárrez,  Daniel  Ramos  Monárrez,  Ramón  Antonio  Aragón</w:t>
        <w:br/>
        <w:t xml:space="preserve">   Monárrez, Claudia Dayana Bermúdez  Ramos,  Itzel  Arely  Bermúdez  Ramos,</w:t>
        <w:br/>
        <w:t xml:space="preserve">   Paola Alexandra Bermúdez Ramos y Atziri Geraldine Bermúdez Ramos.</w:t>
        <w:br/>
        <w:br/>
        <w:br/>
        <w:br/>
        <w:br/>
        <w:br/>
        <w:t xml:space="preserve">                                    VIII</w:t>
        <w:br/>
        <w:br/>
        <w:br/>
        <w:t xml:space="preserve"> ARTÍCULO 11[444] (PROTECCIÓN DE LA HONRA Y DE LA DIGNIDAD) DE LA CONVENCIÓN</w:t>
        <w:br/>
        <w:t xml:space="preserve">                                  AMERICANA</w:t>
        <w:br/>
        <w:br/>
        <w:br/>
        <w:t>441. Los representantes alegaron que “el Estado ha violado el derecho  a  la</w:t>
        <w:br/>
        <w:t xml:space="preserve">   dignidad y a la honra, previsto en el artículo 11 de la [Convención],  al</w:t>
        <w:br/>
        <w:t xml:space="preserve">   fomentar una actitud de desprecio por parte de  la  autoridad  hacia  las</w:t>
        <w:br/>
        <w:t xml:space="preserve">   víctimas, mediante  preguntas  y  observaciones  prejuiciosas  a  ciertos</w:t>
        <w:br/>
        <w:t xml:space="preserve">   familiares  al  momento  de  sus  denuncias,   así   como   al   realizar</w:t>
        <w:br/>
        <w:t xml:space="preserve">   declaraciones públicas ofensivas”. A criterio de los  representantes  “el</w:t>
        <w:br/>
        <w:t xml:space="preserve">   Estado al manifestar  de  manera  pública  una  actitud  de  desprecio  y</w:t>
        <w:br/>
        <w:t xml:space="preserve">   desprestigio hacia las víctimas, afecta directamente su dignidad y honra;</w:t>
        <w:br/>
        <w:t xml:space="preserve">   además, no cumple con su obligación de modificar los patrones  culturales</w:t>
        <w:br/>
        <w:t xml:space="preserve">   que fomentan la discriminación contra las mujeres ni de capacitar  a  las</w:t>
        <w:br/>
        <w:t xml:space="preserve">   autoridades encargadas de prevenir, sancionar y  erradicar  la  violencia</w:t>
        <w:br/>
        <w:t xml:space="preserve">   contra ellas, como lo establece el artículo 8 de la Convención  de  Belém</w:t>
        <w:br/>
        <w:t xml:space="preserve">   do Pará”. Por último consideraron que “[s]e estigmatizó y  ridiculizó  la</w:t>
        <w:br/>
        <w:t xml:space="preserve">   acción que llevaban a cabo las madres en reclamo de justicia”.</w:t>
        <w:br/>
        <w:br/>
        <w:br/>
        <w:t>442. El Estado sostuvo que “no se configuran violaciones  al  derecho  a  la</w:t>
        <w:br/>
        <w:t xml:space="preserve">   honra y dignidad reclamados por  los  peticionarios  en  agravio  de  los</w:t>
        <w:br/>
        <w:t xml:space="preserve">   familiares de [las tres mujeres]” ya que “durante las investigaciones por</w:t>
        <w:br/>
        <w:t xml:space="preserve">   la desaparición, la ubicación de  los  restos  y  las  indagatorias  para</w:t>
        <w:br/>
        <w:t xml:space="preserve">   encontrar a los responsables de  los  homicidios  […]  no  se  encuentran</w:t>
        <w:br/>
        <w:t xml:space="preserve">   elementos que  demuestren  actos  de  desprecio  público,  persecución  o</w:t>
        <w:br/>
        <w:t xml:space="preserve">   discriminación en agravio de los familiares de [las] tres mujeres”.</w:t>
        <w:br/>
        <w:br/>
        <w:br/>
        <w:t>443. El Tribunal procede a analizar estos alegatos, pese a que  la  Comisión</w:t>
        <w:br/>
        <w:t xml:space="preserve">   no presentó argumentos en este sentido, puesto que  se  cumplen  con  los</w:t>
        <w:br/>
        <w:t xml:space="preserve">   requisitos expuestos en el párrafo 232 supra.</w:t>
        <w:br/>
        <w:br/>
        <w:br/>
        <w:t>444. El artículo 11  de  la  Convención  reconoce  que  toda  persona  tiene</w:t>
        <w:br/>
        <w:t xml:space="preserve">   derecho al respeto a su honor, prohíbe todo ataque ilegal contra la honra</w:t>
        <w:br/>
        <w:t xml:space="preserve">   y reputación e impone a los Estados el deber de brindar la protección  de</w:t>
        <w:br/>
        <w:t xml:space="preserve">   la ley contra tales ataques. En términos generales, el derecho a la honra</w:t>
        <w:br/>
        <w:t xml:space="preserve">   se relaciona con la estima y valía propia, mientras que la reputación  se</w:t>
        <w:br/>
        <w:t xml:space="preserve">   refiere a la opinión que otros tienen de una persona[445].</w:t>
        <w:br/>
        <w:br/>
        <w:br/>
        <w:t>445. El Tribunal hace constar que los alegatos relacionados con la  supuesta</w:t>
        <w:br/>
        <w:t xml:space="preserve">   violación del artículo 11 de la Convención en perjuicio de las víctimas y</w:t>
        <w:br/>
        <w:t xml:space="preserve">   sus madres se refieren a hechos concernientes al trato que sufrieron como</w:t>
        <w:br/>
        <w:t xml:space="preserve">   consecuencia de la búsqueda de las jóvenes desaparecidas y  el  posterior</w:t>
        <w:br/>
        <w:t xml:space="preserve">   reclamo de justicia. Las consecuencias jurídicas de dichos hechos ya  han</w:t>
        <w:br/>
        <w:t xml:space="preserve">   sido examinadas en relación con el artículo 5 de la  Convención,  por  lo</w:t>
        <w:br/>
        <w:t xml:space="preserve">   que el Tribunal estima improcedente declarar una violación al artículo 11</w:t>
        <w:br/>
        <w:t xml:space="preserve">   convencional.</w:t>
        <w:br/>
        <w:br/>
        <w:br/>
        <w:br/>
        <w:br/>
        <w:br/>
        <w:t xml:space="preserve">                                     IX</w:t>
        <w:br/>
        <w:br/>
        <w:br/>
        <w:t xml:space="preserve">                                REPARACIONES</w:t>
        <w:br/>
        <w:br/>
        <w:br/>
        <w:t>446. Es un principio de Derecho Internacional  que  toda  violación  de  una</w:t>
        <w:br/>
        <w:t xml:space="preserve">   obligación internacional que haya producido daño  comporta  el  deber  de</w:t>
        <w:br/>
        <w:t xml:space="preserve">   repararlo adecuadamente[446]. Esa obligación se  regula  por  el  Derecho</w:t>
        <w:br/>
        <w:t xml:space="preserve">   Internacional[447]. En sus decisiones a este respecto,  la  Corte  se  ha</w:t>
        <w:br/>
        <w:t xml:space="preserve">   basado en el artículo 63.1 de la Convención Americana.</w:t>
        <w:br/>
        <w:br/>
        <w:br/>
        <w:t>447. De acuerdo con las consideraciones  sobre  el  fondo  expuestas  y  las</w:t>
        <w:br/>
        <w:t xml:space="preserve">   violaciones a la Convención declaradas en los capítulos  anteriores,  así</w:t>
        <w:br/>
        <w:t xml:space="preserve">   como a la luz de los criterios fijados en la jurisprudencia de  la  Corte</w:t>
        <w:br/>
        <w:t xml:space="preserve">   en  relación  con  la  naturaleza  y  alcances  de   la   obligación   de</w:t>
        <w:br/>
        <w:t xml:space="preserve">   reparar[448], la Corte procederá a analizar las pretensiones  presentadas</w:t>
        <w:br/>
        <w:t xml:space="preserve">   por la Comisión y por los representantes, y la postura del Estado, con el</w:t>
        <w:br/>
        <w:t xml:space="preserve">   objeto de disponer las medidas tendientes a reparar los daños.</w:t>
        <w:br/>
        <w:br/>
        <w:br/>
        <w:br/>
        <w:br/>
        <w:br/>
        <w:t xml:space="preserve">      1.    Parte lesionada</w:t>
        <w:br/>
        <w:br/>
        <w:br/>
        <w:t>448. La Corte reitera que aquéllos que han sido declarados víctimas  de  una</w:t>
        <w:br/>
        <w:t xml:space="preserve">   violación de un derecho reconocido  en  la  Convención  son  considerados</w:t>
        <w:br/>
        <w:t xml:space="preserve">   “parte lesionada”[449]. En este caso el Tribunal declaró  que  el  Estado</w:t>
        <w:br/>
        <w:t xml:space="preserve">   violó los derechos humanos de Claudia Ivette González, Esmeralda  Herrera</w:t>
        <w:br/>
        <w:t xml:space="preserve">   Monreal y Laura Berenice Ramos Monárrez, así como los de  sus  familiares</w:t>
        <w:br/>
        <w:t xml:space="preserve">   identificados en el párrafo 9 supra, por lo que serán  considerados  como</w:t>
        <w:br/>
        <w:t xml:space="preserve">   “parte lesionada” y beneficiarios de las reparaciones que se  ordenan  en</w:t>
        <w:br/>
        <w:t xml:space="preserve">   este capítulo.</w:t>
        <w:br/>
        <w:br/>
        <w:br/>
        <w:br/>
        <w:br/>
        <w:br/>
        <w:t xml:space="preserve">      2.    Alegada “doble reparación” de las medidas  solicitadas  por  los</w:t>
        <w:br/>
        <w:t xml:space="preserve">           representantes</w:t>
        <w:br/>
        <w:br/>
        <w:br/>
        <w:t>449.  El  Estado  manifestó  que  las  reparaciones  solicitadas   por   los</w:t>
        <w:br/>
        <w:t xml:space="preserve">   representantes “son excesivas, repetitivas y constituyen una solicitud de</w:t>
        <w:br/>
        <w:t xml:space="preserve">   doble reparación al referirse muchas de ellas a los mismos  conceptos  de</w:t>
        <w:br/>
        <w:t xml:space="preserve">   violación”. Agregó que “el determinar y otorgar por  separado  estas  […]</w:t>
        <w:br/>
        <w:t xml:space="preserve">   medidas de reparación  implicaría  una  carga  desproporcionada  para  el</w:t>
        <w:br/>
        <w:t xml:space="preserve">   Estado, pues éstas excederían el daño  causado”.  El  Estado  indicó  que</w:t>
        <w:br/>
        <w:t xml:space="preserve">   estas reparaciones “no pueden referirse al mismo concepto de violación” y</w:t>
        <w:br/>
        <w:t xml:space="preserve">   “deben tener en consideración los apoyos [médicos, económicos en especie,</w:t>
        <w:br/>
        <w:t xml:space="preserve">   psicológicos y legales] brindados”.</w:t>
        <w:br/>
        <w:br/>
        <w:br/>
        <w:t>450. La Corte recuerda que el concepto de “reparación integral”  (restitutio</w:t>
        <w:br/>
        <w:t xml:space="preserve">   in integrum) implica el reestablecimiento de la situación anterior  y  la</w:t>
        <w:br/>
        <w:t xml:space="preserve">   eliminación de los  efectos  que  la  violación  produjo,  así  como  una</w:t>
        <w:br/>
        <w:t xml:space="preserve">   indemnización como compensación por  los  daños  causados.  Sin  embargo,</w:t>
        <w:br/>
        <w:t xml:space="preserve">   teniendo en cuenta la situación de discriminación estructural en  la  que</w:t>
        <w:br/>
        <w:t xml:space="preserve">   se enmarcan los hechos ocurridos en el presente caso y que fue reconocida</w:t>
        <w:br/>
        <w:t xml:space="preserve">   por el Estado (supra párrs. 129 y 152), las reparaciones deben tener  una</w:t>
        <w:br/>
        <w:t xml:space="preserve">   vocación transformadora de dicha situación, de tal forma que  las  mismas</w:t>
        <w:br/>
        <w:t xml:space="preserve">   tengan un efecto no solo restitutivo sino  también  correctivo.  En  este</w:t>
        <w:br/>
        <w:t xml:space="preserve">   sentido, no es admisible una restitución a la misma situación estructural</w:t>
        <w:br/>
        <w:t xml:space="preserve">   de violencia y discriminación. Del mismo modo, la Corte recuerda  que  la</w:t>
        <w:br/>
        <w:t xml:space="preserve">   naturaleza y monto de la reparación ordenada dependen del daño ocasionado</w:t>
        <w:br/>
        <w:t xml:space="preserve">   en los planos tanto material como inmaterial. Las reparaciones no  pueden</w:t>
        <w:br/>
        <w:t xml:space="preserve">   implicar ni enriquecimiento ni empobrecimiento  para  la  víctima  o  sus</w:t>
        <w:br/>
        <w:t xml:space="preserve">   familiares,  y  deben  guardar  relación  directa  con  las   violaciones</w:t>
        <w:br/>
        <w:t xml:space="preserve">   declaradas. Una o más medidas pueden reparar un daño específico  sin  que</w:t>
        <w:br/>
        <w:t xml:space="preserve">   éstas se consideren una doble reparación.</w:t>
        <w:br/>
        <w:br/>
        <w:br/>
        <w:t>451.  Conforme  a  ello,  la  Corte  valorará  las  medidas  de   reparación</w:t>
        <w:br/>
        <w:t xml:space="preserve">   solicitadas por la Comisión y los representantes de forma que  éstas:  i)</w:t>
        <w:br/>
        <w:t xml:space="preserve">   se refieran directamente a las violaciones declaradas  por  el  Tribunal;</w:t>
        <w:br/>
        <w:t xml:space="preserve">   ii) reparen proporcionalmente los daños materiales e  inmateriales;  iii)</w:t>
        <w:br/>
        <w:t xml:space="preserve">   no signifiquen enriquecimiento ni empobrecimiento; iv)  reestablezcan  en</w:t>
        <w:br/>
        <w:t xml:space="preserve">   la mayor medida de lo posible a las víctimas en la situación  anterior  a</w:t>
        <w:br/>
        <w:t xml:space="preserve">   la violación en aquello en que no  se  interfiera  con  el  deber  de  no</w:t>
        <w:br/>
        <w:t xml:space="preserve">   discriminar; v)  se  orienten  a  identificar  y  eliminar  los  factores</w:t>
        <w:br/>
        <w:t xml:space="preserve">   causales de discriminación; vi)  se  adopten  desde  una  perspectiva  de</w:t>
        <w:br/>
        <w:t xml:space="preserve">   género, tomando en cuenta los impactos  diferenciados  que  la  violencia</w:t>
        <w:br/>
        <w:t xml:space="preserve">   causa en hombres  y  en  mujeres,  y  vii)  consideren  todos  los  actos</w:t>
        <w:br/>
        <w:t xml:space="preserve">   jurídicos y acciones alegadas por el Estado en el expediente tendientes a</w:t>
        <w:br/>
        <w:t xml:space="preserve">   reparar el daño ocasionado.</w:t>
        <w:br/>
        <w:br/>
        <w:br/>
        <w:br/>
        <w:br/>
        <w:br/>
        <w:t xml:space="preserve">      3.    Obligación de investigar los hechos e identificar, juzgar y,  en</w:t>
        <w:br/>
        <w:t xml:space="preserve">           su caso, sancionar a los responsables de las violaciones</w:t>
        <w:br/>
        <w:br/>
        <w:br/>
        <w:br/>
        <w:br/>
        <w:br/>
        <w:t xml:space="preserve">      3.1.  Identificación, proceso y sanción  de  los  responsables  de  la</w:t>
        <w:br/>
        <w:t xml:space="preserve">           desaparición, vejámenes y homicidio por razones de género de las</w:t>
        <w:br/>
        <w:t xml:space="preserve">           jóvenes González, Ramos y Herrera</w:t>
        <w:br/>
        <w:br/>
        <w:br/>
        <w:t>452. La Comisión indicó que “una reparación integral  exige  que  el  Estado</w:t>
        <w:br/>
        <w:t xml:space="preserve">   investigue  con  la  debida  diligencia,  en  forma  seria,  imparcial  y</w:t>
        <w:br/>
        <w:t xml:space="preserve">   exhaustiva, las desapariciones y posteriores asesinatos” de las  víctimas</w:t>
        <w:br/>
        <w:t xml:space="preserve">   con el propósito de “esclarecer la verdad histórica de los hechos”,  para</w:t>
        <w:br/>
        <w:t xml:space="preserve">   lo cual el  Estado  debería  “adoptar  todas  las  medidas  judiciales  y</w:t>
        <w:br/>
        <w:t xml:space="preserve">   administrativas necesarias con el  fin  de  completar  la  investigación,</w:t>
        <w:br/>
        <w:t xml:space="preserve">   localizar, juzgar y sancionar al o los autores intelectuales y materiales</w:t>
        <w:br/>
        <w:t xml:space="preserve">   de los hechos, e  informar  sobre  los  resultados”.  Los  representantes</w:t>
        <w:br/>
        <w:t xml:space="preserve">   coincidieron con esta solicitud.</w:t>
        <w:br/>
        <w:br/>
        <w:br/>
        <w:t>453. La Corte aceptó el reconocimiento de  responsabilidad  del  Estado  por</w:t>
        <w:br/>
        <w:t xml:space="preserve">   las irregularidades cometidas en la primera etapa de las investigaciones,</w:t>
        <w:br/>
        <w:t xml:space="preserve">   pero también concluyó que muchas de ellas no se subsanaron en la  segunda</w:t>
        <w:br/>
        <w:t xml:space="preserve">   etapa (supra párr. 388). El Tribunal concluyó que  en  el  presente  caso</w:t>
        <w:br/>
        <w:t xml:space="preserve">   existía impunidad y que esa impunidad es causa y a la vez consecuencia de</w:t>
        <w:br/>
        <w:t xml:space="preserve">   la serie de homicidios de mujeres por  razones  de  género  que  ha  sido</w:t>
        <w:br/>
        <w:t xml:space="preserve">   acreditada en el presente caso.</w:t>
        <w:br/>
        <w:br/>
        <w:br/>
        <w:t>454. La Corte considera  que  el  Estado  está  obligado  a  combatir  dicha</w:t>
        <w:br/>
        <w:t xml:space="preserve">   situación de impunidad por todos los  medios  disponibles,  ya  que  ésta</w:t>
        <w:br/>
        <w:t xml:space="preserve">   propicia  la  repetición  crónica  de   las   violaciones   de   derechos</w:t>
        <w:br/>
        <w:t xml:space="preserve">   humanos[450]. La ausencia de una investigación completa y efectiva  sobre</w:t>
        <w:br/>
        <w:t xml:space="preserve">   los hechos constituye una fuente de sufrimiento y angustia adicional para</w:t>
        <w:br/>
        <w:t xml:space="preserve">   las víctimas, quienes tienen  el  derecho  a  conocer  la  verdad  de  lo</w:t>
        <w:br/>
        <w:t xml:space="preserve">   ocurrido[451]. Dicho derecho a la verdad exige la determinación de la más</w:t>
        <w:br/>
        <w:t xml:space="preserve">   completa verdad histórica posible, lo cual incluye  la  determinación  de</w:t>
        <w:br/>
        <w:t xml:space="preserve">   los patrones de actuación  conjunta  y  de  todas  las  personas  que  de</w:t>
        <w:br/>
        <w:t xml:space="preserve">   diversas formas participaron en dichas violaciones[452].</w:t>
        <w:br/>
        <w:br/>
        <w:br/>
        <w:t>455. Por ello, la Corte dispone que el Estado debe conducir  eficazmente  el</w:t>
        <w:br/>
        <w:t xml:space="preserve">   proceso penal en curso y, de ser el caso, los que se  llegasen  a  abrir,</w:t>
        <w:br/>
        <w:t xml:space="preserve">   para identificar, procesar y sancionar a los  responsables  materiales  e</w:t>
        <w:br/>
        <w:t xml:space="preserve">   intelectuales de la desaparición, maltratos y privación de la vida de las</w:t>
        <w:br/>
        <w:t xml:space="preserve">   jóvenes González, Herrera y Ramos, conforme a las siguientes directrices:</w:t>
        <w:br/>
        <w:br/>
        <w:br/>
        <w:t xml:space="preserve">   i) se deberá remover todos los obstáculos de jure o de facto que  impidan</w:t>
        <w:br/>
        <w:t xml:space="preserve">      la  debida  investigación  de  los  hechos  y  el  desarrollo  de  los</w:t>
        <w:br/>
        <w:t xml:space="preserve">      respectivos procesos judiciales, y usar todos los  medios  disponibles</w:t>
        <w:br/>
        <w:t xml:space="preserve">      para  hacer  que  las  investigaciones  y  procesos  judiciales   sean</w:t>
        <w:br/>
        <w:t xml:space="preserve">      expeditos a fin de evitar la repetición de hechos iguales o análogos a</w:t>
        <w:br/>
        <w:t xml:space="preserve">      los del presente caso;</w:t>
        <w:br/>
        <w:br/>
        <w:br/>
        <w:t xml:space="preserve">  ii) la investigación deberá incluir una perspectiva de  género;  emprender</w:t>
        <w:br/>
        <w:t xml:space="preserve">      líneas de investigación específicas respecto a violencia sexual,  para</w:t>
        <w:br/>
        <w:t xml:space="preserve">      lo cuál se deben involucrar las  líneas  de  investigación  sobre  los</w:t>
        <w:br/>
        <w:t xml:space="preserve">      patrones respectivos en la zona; realizarse conforme  a  protocolos  y</w:t>
        <w:br/>
        <w:t xml:space="preserve">      manuales que cumplan con los lineamientos de esta  Sentencia;  proveer</w:t>
        <w:br/>
        <w:t xml:space="preserve">      regularmente de información a los familiares de las víctimas sobre los</w:t>
        <w:br/>
        <w:t xml:space="preserve">      avances en la investigación y darles pleno acceso a los expedientes, y</w:t>
        <w:br/>
        <w:t xml:space="preserve">      realizarse por funcionarios altamente capacitados en casos similares y</w:t>
        <w:br/>
        <w:t xml:space="preserve">      en atención a víctimas de discriminación  y  violencia  por  razón  de</w:t>
        <w:br/>
        <w:t xml:space="preserve">      género;</w:t>
        <w:br/>
        <w:br/>
        <w:br/>
        <w:t xml:space="preserve"> iii) deberá asegurarse que los  distintos  órganos  que  participen  en  el</w:t>
        <w:br/>
        <w:t xml:space="preserve">      procedimiento de investigación y los procesos judiciales  cuenten  con</w:t>
        <w:br/>
        <w:t xml:space="preserve">      los recursos humanos  y  materiales  necesarios  para  desempeñar  las</w:t>
        <w:br/>
        <w:t xml:space="preserve">      tareas de manera  adecuada,  independiente  e  imparcial,  y  que  las</w:t>
        <w:br/>
        <w:t xml:space="preserve">      personas que participen en la investigación cuenten  con  las  debidas</w:t>
        <w:br/>
        <w:t xml:space="preserve">      garantías de seguridad, y</w:t>
        <w:br/>
        <w:br/>
        <w:br/>
        <w:t xml:space="preserve">  iv) los resultados de los procesos  deberán  ser  públicamente  divulgados</w:t>
        <w:br/>
        <w:t xml:space="preserve">      para que la sociedad mexicana conozca los hechos objeto  del  presente</w:t>
        <w:br/>
        <w:t xml:space="preserve">      caso.</w:t>
        <w:br/>
        <w:br/>
        <w:br/>
        <w:br/>
        <w:br/>
        <w:br/>
        <w:t xml:space="preserve">      3.2.   Identificación,  proceso  y,  en  su  caso,  sanción   de   los</w:t>
        <w:br/>
        <w:t xml:space="preserve">           funcionarios que cometieron irregularidades</w:t>
        <w:br/>
        <w:br/>
        <w:br/>
        <w:t>456. La Comisión manifestó, de manera general, que “el  Estado  está  en  la</w:t>
        <w:br/>
        <w:t xml:space="preserve">   obligación de investigar y sancionar  a  todos  los  responsables  de  la</w:t>
        <w:br/>
        <w:t xml:space="preserve">   obstrucción de justicia, encubrimiento e impunidad que  han  imperado  en</w:t>
        <w:br/>
        <w:t xml:space="preserve">   relación con estos casos”.</w:t>
        <w:br/>
        <w:br/>
        <w:br/>
        <w:t>457. Los representantes solicitaron  la  realización  de  una  investigación</w:t>
        <w:br/>
        <w:t xml:space="preserve">   seria, exhaustiva e imparcial sobre los funcionarios que participaron  en</w:t>
        <w:br/>
        <w:t xml:space="preserve">   la investigación de los homicidios de las tres víctimas  del  2001  a  la</w:t>
        <w:br/>
        <w:t xml:space="preserve">   fecha, y que estos fueran sancionados de manera proporcional a la  lesión</w:t>
        <w:br/>
        <w:t xml:space="preserve">   y menoscabo producido. Asimismo, señalaron que muchos de los funcionarios</w:t>
        <w:br/>
        <w:t xml:space="preserve">   que participaron en  las  investigaciones  del  caso  “Campo  Algodonero”</w:t>
        <w:br/>
        <w:t xml:space="preserve">   habrían continuado  trabajando  en  el  estado  de  Chihuahua  y  habrían</w:t>
        <w:br/>
        <w:t xml:space="preserve">   cometido las mismas irregularidades, omisiones y negligencias.</w:t>
        <w:br/>
        <w:br/>
        <w:br/>
        <w:t>458. El Estado sólo reconoció “su responsabilidad en procesar y sancionar  a</w:t>
        <w:br/>
        <w:t xml:space="preserve">   los funcionarios públicos que cometieron [irregularidades] en  el  primer</w:t>
        <w:br/>
        <w:t xml:space="preserve">   periodo  de  las  investigaciones”,  y  alegó  haber  sancionado  a   los</w:t>
        <w:br/>
        <w:t xml:space="preserve">   funcionarios responsables incluyendo el “despido” de algunos de ellos.</w:t>
        <w:br/>
        <w:br/>
        <w:br/>
        <w:t>459. En el presente caso la Corte constató  que  no  había  sido  sancionada</w:t>
        <w:br/>
        <w:t xml:space="preserve">   ninguna de las  personas  que  incurrió  en  las  graves  irregularidades</w:t>
        <w:br/>
        <w:t xml:space="preserve">   ocurridas en la primera etapa de la investigación (supra párr. 378).</w:t>
        <w:br/>
        <w:br/>
        <w:br/>
        <w:t>460. El Tribunal considera que como  forma  de  combatir  la  impunidad,  el</w:t>
        <w:br/>
        <w:t xml:space="preserve">   Estado deberá, dentro de un plazo razonable, investigar,  por  intermedio</w:t>
        <w:br/>
        <w:t xml:space="preserve">   de las instituciones públicas competentes, a los funcionarios acusados de</w:t>
        <w:br/>
        <w:t xml:space="preserve">   irregularidades y, luego de un debido  proceso,  aplicará  las  sanciones</w:t>
        <w:br/>
        <w:t xml:space="preserve">   administrativas, disciplinarias  o  penales  correspondientes  a  quienes</w:t>
        <w:br/>
        <w:t xml:space="preserve">   fueran encontrados responsables.</w:t>
        <w:br/>
        <w:br/>
        <w:br/>
        <w:br/>
        <w:br/>
        <w:br/>
        <w:t xml:space="preserve">      3.3.  Investigación de las denuncias presentadas por las familiares de</w:t>
        <w:br/>
        <w:t xml:space="preserve">           víctimas que han sido hostigados y perseguidos</w:t>
        <w:br/>
        <w:br/>
        <w:br/>
        <w:t>461. Los representantes solicitaron que el Estado investigue  los  actos  de</w:t>
        <w:br/>
        <w:t xml:space="preserve">   hostigamiento e intimidación que fueron denunciados por la señora  Benita</w:t>
        <w:br/>
        <w:t xml:space="preserve">   Monárrez, su hija, Claudia Ivonne  Ramos  Monárrez,  y  el  señor  Adrián</w:t>
        <w:br/>
        <w:t xml:space="preserve">   Herrera Monreal, hermano de la joven Herrera, y que a  la  fecha  no  han</w:t>
        <w:br/>
        <w:t xml:space="preserve">   sido investigados por las autoridades.</w:t>
        <w:br/>
        <w:br/>
        <w:br/>
        <w:t>462. En virtud de que el Tribunal  constató  que  en  el  presente  caso  la</w:t>
        <w:br/>
        <w:t xml:space="preserve">   señora  Monárrez  sufrió  diversos  actos  de  hostigamiento   desde   la</w:t>
        <w:br/>
        <w:t xml:space="preserve">   desaparición de su hija hasta que abandonó su país para irse al  exterior</w:t>
        <w:br/>
        <w:t xml:space="preserve">   como asilada, circunstancias que también sufrieron sus otros tres hijos y</w:t>
        <w:br/>
        <w:t xml:space="preserve">   nietos, y que el señor Adrián Herrera Monreal sufrió  diversos  actos  de</w:t>
        <w:br/>
        <w:t xml:space="preserve">   hostigamiento, esta Corte ordena  al  Estado  que,  dentro  de  un  plazo</w:t>
        <w:br/>
        <w:t xml:space="preserve">   razonable, realice las investigaciones correspondientes y,  en  su  caso,</w:t>
        <w:br/>
        <w:t xml:space="preserve">   sancione a los responsables.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463. Los tres homicidios por razones de género del presente caso  ocurrieron</w:t>
        <w:br/>
        <w:t xml:space="preserve">   en un  contexto  de  discriminación  y  violencia  contra  la  mujer.  No</w:t>
        <w:br/>
        <w:t xml:space="preserve">   corresponde a la Corte atribuir responsabilidad al  Estado  sólo  por  el</w:t>
        <w:br/>
        <w:t xml:space="preserve">   contexto, pero no puede dejar de advertir  la  gran  importancia  que  el</w:t>
        <w:br/>
        <w:t xml:space="preserve">   esclarecimiento de la antedicha  situación  significa  para  las  medidas</w:t>
        <w:br/>
        <w:t xml:space="preserve">   generales de prevención que debería adoptar el Estado a fin  de  asegurar</w:t>
        <w:br/>
        <w:t xml:space="preserve">   el goce de los derechos humanos de las mujeres y niñas en México e invita</w:t>
        <w:br/>
        <w:t xml:space="preserve">   al Estado a considerarlo.</w:t>
        <w:br/>
        <w:br/>
        <w:br/>
        <w:br/>
        <w:br/>
        <w:br/>
        <w:t xml:space="preserve">      4.    Medidas de satisfacción y garantías de no repetición</w:t>
        <w:br/>
        <w:br/>
        <w:br/>
        <w:t>464. En este  apartado  el  Tribunal  determinará  las  medidas  que  buscan</w:t>
        <w:br/>
        <w:t xml:space="preserve">   reparar el daño inmaterial y  que  no  tienen  naturaleza  pecuniaria,  y</w:t>
        <w:br/>
        <w:t xml:space="preserve">   dispondrá medidas de alcance o repercusión pública.</w:t>
        <w:br/>
        <w:br/>
        <w:br/>
        <w:br/>
        <w:br/>
        <w:br/>
        <w:t xml:space="preserve">      4.1.  Medidas de satisfacción</w:t>
        <w:br/>
        <w:br/>
        <w:br/>
        <w:t>465. La Comisión señaló que la gravedad y naturaleza de  los  hechos  en  el</w:t>
        <w:br/>
        <w:t xml:space="preserve">   presente caso exigen  que  el  Estado  adopte  medidas  destinadas  a  la</w:t>
        <w:br/>
        <w:t xml:space="preserve">   dignificación de la memoria de las víctimas, por lo  que  solicitó  a  la</w:t>
        <w:br/>
        <w:t xml:space="preserve">   Corte que ordene al Estado  que:  i)  publique  a  través  de  medios  de</w:t>
        <w:br/>
        <w:t xml:space="preserve">   comunicación escrita, radio y televisión, la sentencia que  eventualmente</w:t>
        <w:br/>
        <w:t xml:space="preserve">   pronuncie el Tribunal;  ii)  realice  un  reconocimiento  público  de  su</w:t>
        <w:br/>
        <w:t xml:space="preserve">   responsabilidad internacional por  el  daño  causado  y  por  las  graves</w:t>
        <w:br/>
        <w:t xml:space="preserve">   violaciones  ocurridas,  de  la  forma  digna  y  significativa  que  los</w:t>
        <w:br/>
        <w:t xml:space="preserve">   objetivos de la reparación exigen, en consulta  con  las  madres  de  las</w:t>
        <w:br/>
        <w:t xml:space="preserve">   víctimas y sus representantes, y iii) establezca,  en  consulta  con  los</w:t>
        <w:br/>
        <w:t xml:space="preserve">   familiares de las víctimas, un  lugar  o  monumento  en  memoria  de  las</w:t>
        <w:br/>
        <w:t xml:space="preserve">   mismas.</w:t>
        <w:br/>
        <w:br/>
        <w:br/>
        <w:t>466. Los representantes concordaron con la  Comisión  y  solicitaron  además</w:t>
        <w:br/>
        <w:t xml:space="preserve">   que i) la publicación de los extractos de la sentencia que dicte la Corte</w:t>
        <w:br/>
        <w:t xml:space="preserve">   se realice en cuando menos dos diarios de circulación  nacional,  dos  de</w:t>
        <w:br/>
        <w:t xml:space="preserve">   circulación estatal en Chihuahua, dos de circulación internacional  y  en</w:t>
        <w:br/>
        <w:t xml:space="preserve">   el Diario Oficial de la  Federación;  ii)  en  cuanto  al  reconocimiento</w:t>
        <w:br/>
        <w:t xml:space="preserve">   público de responsabilidad, los representantes consideraron que el Estado</w:t>
        <w:br/>
        <w:t xml:space="preserve">   debería incluir a los tres órdenes de gobierno y  añadieron  que  debería</w:t>
        <w:br/>
        <w:t xml:space="preserve">   estar presente el Presidente de la República, el Gobernador del estado de</w:t>
        <w:br/>
        <w:t xml:space="preserve">   Chihuahua, el Procurador General de la República, el  Procurador  General</w:t>
        <w:br/>
        <w:t xml:space="preserve">   de Justicia de Chihuahua, el Presidente del Tribunal Superior de Justicia</w:t>
        <w:br/>
        <w:t xml:space="preserve">   y el Presidente de  la  Suprema  Corte  de  Justicia  de  la  Nación,  en</w:t>
        <w:br/>
        <w:t xml:space="preserve">   presencia de las familias de las víctimas, las organizaciones civiles que</w:t>
        <w:br/>
        <w:t xml:space="preserve">   han acompañado la denuncia internacional  del  feminicidio,  y  la  misma</w:t>
        <w:br/>
        <w:t xml:space="preserve">   deberá transmitirse por medios impresos, radio y televisión; iii) que  un</w:t>
        <w:br/>
        <w:t xml:space="preserve">   memorial se establezca en el predio donde fueron encontradas las víctimas</w:t>
        <w:br/>
        <w:t xml:space="preserve">   y otro en la Ciudad de México, y iv) que el día 6 de  noviembre  de  cada</w:t>
        <w:br/>
        <w:t xml:space="preserve">   año se conmemore como “Día  nacional  en  memoria  de  las  víctimas  del</w:t>
        <w:br/>
        <w:t xml:space="preserve">   feminicidio”.</w:t>
        <w:br/>
        <w:br/>
        <w:br/>
        <w:t>467. El Estado ofreció: i) el  reconocimiento  público  de  responsabilidad;</w:t>
        <w:br/>
        <w:t xml:space="preserve">   ii)  la  difusión  pública  en  medios  masivos   de   comunicación   del</w:t>
        <w:br/>
        <w:t xml:space="preserve">   reconocimiento de responsabilidad, y iii) la  realización  de  un  evento</w:t>
        <w:br/>
        <w:t xml:space="preserve">   público en el que se ofrezcan disculpas a los familiares de las  víctimas</w:t>
        <w:br/>
        <w:t xml:space="preserve">   por las irregularidades reconocidas por el Estado durante la  integración</w:t>
        <w:br/>
        <w:t xml:space="preserve">   inicial de las investigaciones de los homicidios y los daños sufridos por</w:t>
        <w:br/>
        <w:t xml:space="preserve">   los familiares de las víctimas.</w:t>
        <w:br/>
        <w:br/>
        <w:br/>
        <w:br/>
        <w:br/>
        <w:br/>
        <w:t xml:space="preserve">           4.1.1.     Publicación de la Sentencia</w:t>
        <w:br/>
        <w:br/>
        <w:br/>
        <w:t>468. Como lo ha dispuesto la Corte  en  otros  casos[453],  como  medida  de</w:t>
        <w:br/>
        <w:t xml:space="preserve">   satisfacción, el Estado deberá  publicar  en  el  Diario  Oficial  de  la</w:t>
        <w:br/>
        <w:t xml:space="preserve">   Federación, en un diario de amplia circulación nacional y en un diario de</w:t>
        <w:br/>
        <w:t xml:space="preserve">   amplia circulación en el estado de  Chihuahua,  por  una  sola  vez,  los</w:t>
        <w:br/>
        <w:t xml:space="preserve">   párrafos 113 a 136, 146 a 168, 171 a 181, 185 a 195, 198 a 209  y  212  a</w:t>
        <w:br/>
        <w:t xml:space="preserve">   221 de la Sentencia y los puntos resolutivos de la misma, sin  las  notas</w:t>
        <w:br/>
        <w:t xml:space="preserve">   al pie de página correspondientes. Adicionalmente, como ha sido  ordenado</w:t>
        <w:br/>
        <w:t xml:space="preserve">   por el Tribunal en ocasiones anteriores[454], la  presente  Sentencia  se</w:t>
        <w:br/>
        <w:t xml:space="preserve">   deberá publicar  íntegramente  en  una  página  electrónica  oficial  del</w:t>
        <w:br/>
        <w:t xml:space="preserve">   Estado, tanto federal como del estado de  Chihuahua.  Para  realizar  las</w:t>
        <w:br/>
        <w:t xml:space="preserve">   publicaciones en los diarios y en Internet  se  fija  el  plazo  de  seis</w:t>
        <w:br/>
        <w:t xml:space="preserve">   meses, a partir de la notificación de la presente Sentencia.</w:t>
        <w:br/>
        <w:br/>
        <w:br/>
        <w:br/>
        <w:br/>
        <w:br/>
        <w:t xml:space="preserve">           4.1.2.     Acto público  de  reconocimiento  de  responsabilidad</w:t>
        <w:br/>
        <w:t xml:space="preserve">                    internacional</w:t>
        <w:br/>
        <w:br/>
        <w:br/>
        <w:t>469. La Corte determinó que el reconocimiento de  responsabilidad  efectuado</w:t>
        <w:br/>
        <w:t xml:space="preserve">   por el Estado constituye una contribución positiva al desarrollo de  este</w:t>
        <w:br/>
        <w:t xml:space="preserve">   proceso y a la vigencia de los  principios  que  inspiran  la  Convención</w:t>
        <w:br/>
        <w:t xml:space="preserve">   Americana (supra párr. 26). No obstante, como en otros  casos[455],  para</w:t>
        <w:br/>
        <w:t xml:space="preserve">   que surta sus efectos plenos, el  Tribunal  estima  que  el  Estado  debe</w:t>
        <w:br/>
        <w:t xml:space="preserve">   realizar  un  acto   público   de   reconocimiento   de   responsabilidad</w:t>
        <w:br/>
        <w:t xml:space="preserve">   internacional, en relación con los hechos del presente caso, en  honor  a</w:t>
        <w:br/>
        <w:t xml:space="preserve">   la memoria de las jóvenes González, Herrera y Ramos.  En  dicho  acto  el</w:t>
        <w:br/>
        <w:t xml:space="preserve">   Estado deberá hacer referencia a  las  violaciones  de  derechos  humanos</w:t>
        <w:br/>
        <w:t xml:space="preserve">   declaradas en la presente Sentencia, hayan sido estas reconocidas por  el</w:t>
        <w:br/>
        <w:t xml:space="preserve">   Estado o no. El acto  deberá  llevarse  a  cabo  mediante  una  ceremonia</w:t>
        <w:br/>
        <w:t xml:space="preserve">   pública y ser transmitido a través de radio  y  televisión,  tanto  local</w:t>
        <w:br/>
        <w:t xml:space="preserve">   como  federal.  El  Estado  deberá  asegurar  la  participación  de   los</w:t>
        <w:br/>
        <w:t xml:space="preserve">   familiares de las jóvenes González, Herrera y Ramos, identificados en  el</w:t>
        <w:br/>
        <w:t xml:space="preserve">   párrafo  9  supra,  que  así  lo  deseen,  e  invitar  al  evento  a  las</w:t>
        <w:br/>
        <w:t xml:space="preserve">   organizaciones que representaron  a  los  familiares  en  las  instancias</w:t>
        <w:br/>
        <w:t xml:space="preserve">   nacionales e internacionales. La realización y demás particularidades  de</w:t>
        <w:br/>
        <w:t xml:space="preserve">   dicha ceremonia pública deben consultarse previa y  debidamente  con  los</w:t>
        <w:br/>
        <w:t xml:space="preserve">   familiares de las tres víctimas. En caso de disenso entre los  familiares</w:t>
        <w:br/>
        <w:t xml:space="preserve">   de las víctimas o entre los familiares y el Estado, la  Corte  resolverá.</w:t>
        <w:br/>
        <w:t xml:space="preserve">   Para cumplir con esta obligación el Estado cuenta con un plazo de un  año</w:t>
        <w:br/>
        <w:t xml:space="preserve">   a partir de la notificación de la presente Sentencia.</w:t>
        <w:br/>
        <w:br/>
        <w:br/>
        <w:t>470. En cuanto a las autoridades estatales que  deberán  estar  presentes  o</w:t>
        <w:br/>
        <w:t xml:space="preserve">   participar en dicho acto, el Tribunal, como lo ha hecho en  otros  casos,</w:t>
        <w:br/>
        <w:t xml:space="preserve">   señala que deberán ser de alto rango. Corresponderá al Estado  definir  a</w:t>
        <w:br/>
        <w:t xml:space="preserve">   quienes se encomienda tal tarea.</w:t>
        <w:br/>
        <w:br/>
        <w:br/>
        <w:br/>
        <w:br/>
        <w:br/>
        <w:t xml:space="preserve">           4.1.3.     Memoria de las víctimas de homicidio por  razones  de</w:t>
        <w:br/>
        <w:t xml:space="preserve">           género</w:t>
        <w:br/>
        <w:br/>
        <w:br/>
        <w:t>471. A criterio del Tribunal, en el  presente  caso  es  pertinente  que  el</w:t>
        <w:br/>
        <w:t xml:space="preserve">   Estado levante un  monumento  en  memoria  de  las  mujeres  víctimas  de</w:t>
        <w:br/>
        <w:t xml:space="preserve">   homicidio por razones  de  género  en  Ciudad  Juárez,  entre  ellas  las</w:t>
        <w:br/>
        <w:t xml:space="preserve">   víctimas de este caso, como forma de dignificarlas y  como  recuerdo  del</w:t>
        <w:br/>
        <w:t xml:space="preserve">   contexto de violencia que padecieron y que  el  Estado  se  compromete  a</w:t>
        <w:br/>
        <w:t xml:space="preserve">   evitar en el futuro. El monumento se develará en la misma ceremonia en la</w:t>
        <w:br/>
        <w:t xml:space="preserve">   que el Estado reconozca  públicamente  su  responsabilidad  internacional</w:t>
        <w:br/>
        <w:t xml:space="preserve">   (supra párr. 469) y deberá ser construido en el campo  algodonero  en  el</w:t>
        <w:br/>
        <w:t xml:space="preserve">   que fueron encontradas las víctimas de este caso.</w:t>
        <w:br/>
        <w:br/>
        <w:br/>
        <w:t>472. En vista de que  el  monumento  se  refiere  a  más  personas  que  las</w:t>
        <w:br/>
        <w:t xml:space="preserve">   consideradas víctimas en este caso, la decisión  del  tipo  de  monumento</w:t>
        <w:br/>
        <w:t xml:space="preserve">   corresponderá a las autoridades públicas, quienes consultarán el  parecer</w:t>
        <w:br/>
        <w:t xml:space="preserve">   de las organizaciones de la sociedad civil a través de  un  procedimiento</w:t>
        <w:br/>
        <w:t xml:space="preserve">   público y abierto, en  el  que  se  incluirá  a  las  organizaciones  que</w:t>
        <w:br/>
        <w:t xml:space="preserve">   representaron a las víctimas del presente caso.</w:t>
        <w:br/>
        <w:br/>
        <w:br/>
        <w:br/>
        <w:br/>
        <w:br/>
        <w:t xml:space="preserve">           4.1.4.     Día nacional en memoria de las víctimas</w:t>
        <w:br/>
        <w:br/>
        <w:br/>
        <w:t>473. La Corte considera suficiente, para  efectos  de  satisfacción  de  las</w:t>
        <w:br/>
        <w:t xml:space="preserve">   víctimas,  la  publicación  de  la  Sentencia  (supra  párr.   469),   el</w:t>
        <w:br/>
        <w:t xml:space="preserve">   reconocimiento  público  de  responsabilidad  (supra  párr.  470),  y  el</w:t>
        <w:br/>
        <w:t xml:space="preserve">   monumento que se construirá en memoria de las víctimas (supra párr. 472).</w:t>
        <w:br/>
        <w:t xml:space="preserve">   Por consiguiente, no estima necesario conceder la solicitud de que el día</w:t>
        <w:br/>
        <w:t xml:space="preserve">   6 de noviembre de cada año se conmemore como “Día nacional en memoria  de</w:t>
        <w:br/>
        <w:t xml:space="preserve">   las víctimas del feminicidio”, sin perjuicio de que una medida como  esta</w:t>
        <w:br/>
        <w:t xml:space="preserve">   pueda ser discutida por los canales pertinentes en el ámbito interno.</w:t>
        <w:br/>
        <w:br/>
        <w:br/>
        <w:br/>
        <w:br/>
        <w:br/>
        <w:t xml:space="preserve">      4.2.  Garantías de no repetición</w:t>
        <w:br/>
        <w:br/>
        <w:br/>
        <w:br/>
        <w:br/>
        <w:br/>
        <w:t xml:space="preserve">           4.2.1.      Sobre  la  solicitud  de  una   política   integral,</w:t>
        <w:br/>
        <w:t xml:space="preserve">                    coordinada y de largo  plazo  para  garantizar  que  los</w:t>
        <w:br/>
        <w:t xml:space="preserve">                    casos de violencia contra las mujeres sean prevenidos  e</w:t>
        <w:br/>
        <w:t xml:space="preserve">                    investigados, los responsables procesados y sancionados,</w:t>
        <w:br/>
        <w:t xml:space="preserve">                    y las víctimas reparadas</w:t>
        <w:br/>
        <w:br/>
        <w:br/>
        <w:t>474. La Comisión consideró que la Corte debía ordenar al Estado adoptar  una</w:t>
        <w:br/>
        <w:t xml:space="preserve">   “política integral y coordinada, respaldada con recursos adecuados,  para</w:t>
        <w:br/>
        <w:t xml:space="preserve">   garantizar  que  los  casos  de  violencia  contra   las   mujeres   sean</w:t>
        <w:br/>
        <w:t xml:space="preserve">   adecuadamente  prevenidos,  investigados,  sancionados  y  sus   víctimas</w:t>
        <w:br/>
        <w:t xml:space="preserve">   reparadas”.</w:t>
        <w:br/>
        <w:br/>
        <w:br/>
        <w:t>475. Los representantes solicitaron la creación  de  un  programa  de  largo</w:t>
        <w:br/>
        <w:t xml:space="preserve">   plazo que contara con los recursos necesarios y la  articulación  de  los</w:t>
        <w:br/>
        <w:t xml:space="preserve">   diversos actores sociales, en  coordinación  con  las  instituciones  del</w:t>
        <w:br/>
        <w:t xml:space="preserve">   Estado, con objetivos, metas, indicadores definidos que permitan  evaluar</w:t>
        <w:br/>
        <w:t xml:space="preserve">   periódicamente los avances  y  permitan  hacer  del  conocimiento  de  la</w:t>
        <w:br/>
        <w:t xml:space="preserve">   comunidad el trabajo realizado para conocer  la  verdad  de  los  hechos.</w:t>
        <w:br/>
        <w:t xml:space="preserve">   Consideraron también que  es  necesaria  una  evaluación  de  los  marcos</w:t>
        <w:br/>
        <w:t xml:space="preserve">   normativos que previenen y sancionan la violencia contra las mujeres, así</w:t>
        <w:br/>
        <w:t xml:space="preserve">   como de las políticas y modelos de atención a víctimas  de  violencia  de</w:t>
        <w:br/>
        <w:t xml:space="preserve">   género, y en particular de las familias de mujeres víctimas de homicidio,</w:t>
        <w:br/>
        <w:t xml:space="preserve">   conforme a los parámetros internacionales de  atención  a  las  víctimas.</w:t>
        <w:br/>
        <w:t xml:space="preserve">   Finalmente, solicitaron que el Estado elabore un  programa  permanente  y</w:t>
        <w:br/>
        <w:t xml:space="preserve">   transversal con mecanismos  de  evaluación  constante  e  indicadores  de</w:t>
        <w:br/>
        <w:t xml:space="preserve">   obstáculos y avances para erradicar la discriminación por  género  dentro</w:t>
        <w:br/>
        <w:t xml:space="preserve">   de la administración pública.</w:t>
        <w:br/>
        <w:br/>
        <w:br/>
        <w:t>476.  El  Estado  alegó  que  “ha  implementado  una  política  integral   y</w:t>
        <w:br/>
        <w:t xml:space="preserve">   coordinada, respaldada con recursos públicos adecuados,  para  garantizar</w:t>
        <w:br/>
        <w:t xml:space="preserve">   que  los  casos  específicos  de  violencia  contra  las   mujeres   sean</w:t>
        <w:br/>
        <w:t xml:space="preserve">   adecuadamente prevenidos, investigados, sancionados y reparados por quien</w:t>
        <w:br/>
        <w:t xml:space="preserve">   sea responsable”.</w:t>
        <w:br/>
        <w:br/>
        <w:br/>
        <w:t>477. La Corte observa que el Estado hizo un  recuento  de  todos  los  actos</w:t>
        <w:br/>
        <w:t xml:space="preserve">   jurídicos, instituciones y acciones emprendidas desde 2001  a  la  fecha,</w:t>
        <w:br/>
        <w:t xml:space="preserve">   tanto a  nivel  federal  como  local,  para  prevenir  e  investigar  los</w:t>
        <w:br/>
        <w:t xml:space="preserve">   homicidios  de  mujeres  en  Ciudad  Juárez,  así  como  de  los   apoyos</w:t>
        <w:br/>
        <w:t xml:space="preserve">   gubernamentales otorgados a las víctimas.</w:t>
        <w:br/>
        <w:br/>
        <w:br/>
        <w:t>478. En cuanto a políticas de investigación respecto a  estos  crímenes,  el</w:t>
        <w:br/>
        <w:t xml:space="preserve">   Estado explicó cómo, a lo largo  de  los  últimos  años,  han  funcionado</w:t>
        <w:br/>
        <w:t xml:space="preserve">   diversos tipos de Fiscalías, tanto a nivel  federal  y  estatal  como  de</w:t>
        <w:br/>
        <w:t xml:space="preserve">   carácter mixto. Estas políticas de investigación se  explican  con  mayor</w:t>
        <w:br/>
        <w:t xml:space="preserve">   profundidad al analizar la solicitud de reparaciones relacionadas con  la</w:t>
        <w:br/>
        <w:t xml:space="preserve">   atracción de casos al fuero federal (infra párrs. 515 a 518).</w:t>
        <w:br/>
        <w:br/>
        <w:br/>
        <w:t>479. Por otra parte, el Estado adoptó  en  2006  y  2007  diversas  leyes  y</w:t>
        <w:br/>
        <w:t xml:space="preserve">   reformas legislativas que tienen como objetivo mejorar el sistema  penal,</w:t>
        <w:br/>
        <w:t xml:space="preserve">   el acceso a la justicia y la prevención y sanción a la  violencia  contra</w:t>
        <w:br/>
        <w:t xml:space="preserve">   la mujer en el estado de Chihuahua: i) el nuevo Código Penal  del  estado</w:t>
        <w:br/>
        <w:t xml:space="preserve">   de Chihuahua[456]; ii) el nuevo  Código  de  Procedimientos  Penales  del</w:t>
        <w:br/>
        <w:t xml:space="preserve">   estado de Chihuahua[457]; iii) la Ley Estatal del Derecho de las  Mujeres</w:t>
        <w:br/>
        <w:t xml:space="preserve">   a una Vida Libre de Violencia[458]; iv) la Ley para Prevenir  y  Eliminar</w:t>
        <w:br/>
        <w:t xml:space="preserve">   la Discriminación[459], y v) la  Ley  Orgánica  del  Poder  Judicial  del</w:t>
        <w:br/>
        <w:t xml:space="preserve">   estado de Chihuahua[460].</w:t>
        <w:br/>
        <w:br/>
        <w:br/>
        <w:t>480. El Estado adoptó en 2006 la Ley de Atención y Protección a  Víctimas  u</w:t>
        <w:br/>
        <w:t xml:space="preserve">   Ofendidos  del  Delito  del  estado  de  Chihuahua   y   facultó   a   la</w:t>
        <w:br/>
        <w:t xml:space="preserve">   Subprocuraduría de Derechos Humanos y Atención a Víctimas del Delito para</w:t>
        <w:br/>
        <w:t xml:space="preserve">   realizar tareas en derechos humanos, acceso a la  justicia  y  reparación</w:t>
        <w:br/>
        <w:t xml:space="preserve">   para las víctimas[461]. Asimismo, el Estado se refirió a las reformas  de</w:t>
        <w:br/>
        <w:t xml:space="preserve">   2006 y 2007 del Ministerio Público  del  estado  de  Chihuahua  y  a  sus</w:t>
        <w:br/>
        <w:t xml:space="preserve">   siguientes órganos internos: i) la Agencia Estatal de Investigación;  ii)</w:t>
        <w:br/>
        <w:t xml:space="preserve">   el Centro de Estudios Penales y Forenses; iii) la Dirección de  Servicios</w:t>
        <w:br/>
        <w:t xml:space="preserve">   Periciales y Ciencias Forenses, y iv) la Dirección de Atención a Víctimas</w:t>
        <w:br/>
        <w:t xml:space="preserve">   de Violencia de Género y Violencia Familiar[462].</w:t>
        <w:br/>
        <w:br/>
        <w:br/>
        <w:t>481. Respecto a la  seguridad  pública,  México  señaló  que  el  estado  de</w:t>
        <w:br/>
        <w:t xml:space="preserve">   Chihuahua creó en el año 2005 el programa “Chihuahua Seguro”.  Entre  las</w:t>
        <w:br/>
        <w:t xml:space="preserve">   acciones seguidas en dicho programa se encuentran: i)  el  combate  a  la</w:t>
        <w:br/>
        <w:t xml:space="preserve">   impunidad; ii) la creación en 2005 de la  Fiscalía  Especial  de  Delitos</w:t>
        <w:br/>
        <w:t xml:space="preserve">   contra Mujeres en Ciudad Juárez, para una mejor atención  de  víctimas  y</w:t>
        <w:br/>
        <w:t xml:space="preserve">   número telefónico de denuncia ciudadana;  iii)  la  capacitación  de  las</w:t>
        <w:br/>
        <w:t xml:space="preserve">   corporaciones municipales, especialmente en  derechos  humanos,  equidad,</w:t>
        <w:br/>
        <w:t xml:space="preserve">   género; y iv) otras medidas para atender casos de  violencia  contra  las</w:t>
        <w:br/>
        <w:t xml:space="preserve">   mujeres en el ámbito  familiar[463].  El  Estado  aludió  a  una  Red  de</w:t>
        <w:br/>
        <w:t xml:space="preserve">   Atención a Víctimas del Delito  en  Chihuahua,  en  coordinación  con  la</w:t>
        <w:br/>
        <w:t xml:space="preserve">   CNDH[464].</w:t>
        <w:br/>
        <w:br/>
        <w:br/>
        <w:t>482. Del mismo modo, el Estado señaló que el Instituto  Chihuahuense  de  la</w:t>
        <w:br/>
        <w:t xml:space="preserve">   Mujer (en adelante “el ICHIMU”)  fue  creado  en  agosto  de  2002,  para</w:t>
        <w:br/>
        <w:t xml:space="preserve">   “impulsar la igualdad de oportunidades  en  la  educación,  capacitación,</w:t>
        <w:br/>
        <w:t xml:space="preserve">   salud, empleo, desarrollo, así como potenciar el pleno ejercicio  de  los</w:t>
        <w:br/>
        <w:t xml:space="preserve">   derechos de las mujeres y fomentar la cultura de  la  no  violencia  para</w:t>
        <w:br/>
        <w:t xml:space="preserve">   eliminar todas las formas de discriminación” y, conforme  al  decreto  de</w:t>
        <w:br/>
        <w:t xml:space="preserve">   creación  del  ICHIMU,  para  implementar  las  políticas  públicas   que</w:t>
        <w:br/>
        <w:t xml:space="preserve">   promuevan el desarrollo integral de las mujeres y su participación  plena</w:t>
        <w:br/>
        <w:t xml:space="preserve">   en la vida económica, social,  política,  familiar  y  cultural[465].  El</w:t>
        <w:br/>
        <w:t xml:space="preserve">   Estado  indicó  que   el   ICHIMU   trabaja   en   dos   vertientes:   la</w:t>
        <w:br/>
        <w:t xml:space="preserve">   institucionalización de la perspectiva de género y la  prevención  de  la</w:t>
        <w:br/>
        <w:t xml:space="preserve">   violencia hacia las mujeres.</w:t>
        <w:br/>
        <w:br/>
        <w:br/>
        <w:t>483. Dentro del marco de la  planeación  y  programación  en  el  estado  de</w:t>
        <w:br/>
        <w:t xml:space="preserve">   Chihuahua, la Corte observa que fue presentada  información  en  torno  a</w:t>
        <w:br/>
        <w:t xml:space="preserve">   cinco instrumentos que se reseñan a continuación: i) el Plan  Estatal  de</w:t>
        <w:br/>
        <w:t xml:space="preserve">   Desarrollo 2004-2010 de Chihuahua (en adelante “el PEDCH”); ii)  Programa</w:t>
        <w:br/>
        <w:t xml:space="preserve">   para Mejorar la Condición  de  la  Mujer;  iii)  Programa  Integral  para</w:t>
        <w:br/>
        <w:t xml:space="preserve">   Garantizar el Derecho de las Mujeres a una Vida Libre de  Violencia;  iv)</w:t>
        <w:br/>
        <w:t xml:space="preserve">   el Programa de Atención a Víctimas del Delito, y v) el Programa  Integral</w:t>
        <w:br/>
        <w:t xml:space="preserve">   de Seguridad Pública entre 2003 y 2004.</w:t>
        <w:br/>
        <w:br/>
        <w:br/>
        <w:t>484. El PEDCH considera las siguientes estrategias: i) impulsar espacios  de</w:t>
        <w:br/>
        <w:t xml:space="preserve">   participación y decisión para las mujeres, garantizando  su  colaboración</w:t>
        <w:br/>
        <w:t xml:space="preserve">   en iniciativas que permitan avanzar en la equidad de género; ii) reforzar</w:t>
        <w:br/>
        <w:t xml:space="preserve">   la sensibilización sobre la perspectiva de género en los ámbitos social y</w:t>
        <w:br/>
        <w:t xml:space="preserve">   gubernamental; iii) enfatizar la procuración e impartición de justicia en</w:t>
        <w:br/>
        <w:t xml:space="preserve">   la defensa y protección de la mujer y la familia; iv)  impulsar  reformas</w:t>
        <w:br/>
        <w:t xml:space="preserve">   jurídicas  que  protejan  a  la  mujer  en  situación  de  violencia;  v)</w:t>
        <w:br/>
        <w:t xml:space="preserve">   incrementar las acciones institucionales de formación e información en el</w:t>
        <w:br/>
        <w:t xml:space="preserve">   cuidado de la salud de  la  mujer,  y  vi)  promover  la  organización  y</w:t>
        <w:br/>
        <w:t xml:space="preserve">   desarrollo de proyectos productivos, que permitan diversificar fuentes de</w:t>
        <w:br/>
        <w:t xml:space="preserve">   empleo e ingreso de las mujeres, en especial los de mujeres  indígenas  y</w:t>
        <w:br/>
        <w:t xml:space="preserve">   los ubicados en zonas rurales y localidades urbanas marginadas[466].</w:t>
        <w:br/>
        <w:br/>
        <w:br/>
        <w:t>485. Conforme al Estado, el Programa para Mejorar la Condición de la  Mujer,</w:t>
        <w:br/>
        <w:t xml:space="preserve">   coordinado por el Consejo Estatal de Población del estado  de  Chihuahua,</w:t>
        <w:br/>
        <w:t xml:space="preserve">   tiene como objetivo fortalecer de manera interinstitucional las  acciones</w:t>
        <w:br/>
        <w:t xml:space="preserve">   y los esfuerzos encaminados  al  desarrollo  integral  de  la  mujer  que</w:t>
        <w:br/>
        <w:t xml:space="preserve">   generen condiciones e información que les permita ejercer a plenitud  sus</w:t>
        <w:br/>
        <w:t xml:space="preserve">   libertades y derechos.</w:t>
        <w:br/>
        <w:br/>
        <w:br/>
        <w:t>486. Además, según el  Estado,  el  Programa  Integral  para  Garantizar  el</w:t>
        <w:br/>
        <w:t xml:space="preserve">   Derecho de las Mujeres a una Vida Libre de Violencia, coordinado  por  el</w:t>
        <w:br/>
        <w:t xml:space="preserve">   Sistema Estatal para el Desarrollo Integral de la  Familia  de  Chihuahua</w:t>
        <w:br/>
        <w:t xml:space="preserve">   (en adelante  “el  DIF”),  promueve  una  cultura  de  no  violencia,  en</w:t>
        <w:br/>
        <w:t xml:space="preserve">   particular contra las  mujeres,  y  una  cultura  de  denuncia  de  actos</w:t>
        <w:br/>
        <w:t xml:space="preserve">   violentos cometidos contra  mujeres,  niñas,  niños  y  adultos  mayores,</w:t>
        <w:br/>
        <w:t xml:space="preserve">   incluyendo acciones dirigidas a los  pueblos  indígenas.  Dentro  de  las</w:t>
        <w:br/>
        <w:t xml:space="preserve">   acciones del DIF, el Estado destacó diversos programas,  foros,  jornadas</w:t>
        <w:br/>
        <w:t xml:space="preserve">   de información, talleres y  acciones[467].  El  Programa  de  Atención  a</w:t>
        <w:br/>
        <w:t xml:space="preserve">   Víctimas del Delito es aplicado desde 1998  por  la  FEIHM  (supra  párr.</w:t>
        <w:br/>
        <w:t xml:space="preserve">   270), pero fue reestructurado a principios  de  2004[468],  y  el  Estado</w:t>
        <w:br/>
        <w:t xml:space="preserve">   indicó que fue constituido para “crear un vínculo directo  de  asistencia</w:t>
        <w:br/>
        <w:t xml:space="preserve">   para la localización y apoyo entre las víctimas,  sus  familiares  y  las</w:t>
        <w:br/>
        <w:t xml:space="preserve">   instituciones estatales competentes”. Finalmente, el Estado indicó que el</w:t>
        <w:br/>
        <w:t xml:space="preserve">   Programa Integral de Seguridad Pública tuvo como objetivo la coordinación</w:t>
        <w:br/>
        <w:t xml:space="preserve">   de las fuerzas de seguridad de los tres órdenes de gobierno en el  estado</w:t>
        <w:br/>
        <w:t xml:space="preserve">   de Chihuahua.</w:t>
        <w:br/>
        <w:br/>
        <w:br/>
        <w:t>487. En cuanto a la competencia federal, la Subcomisión  de  Coordinación  y</w:t>
        <w:br/>
        <w:t xml:space="preserve">   Enlace para Prevenir y Erradicar  la  Violencia  contra  las  Mujeres  en</w:t>
        <w:br/>
        <w:t xml:space="preserve">   Ciudad Juárez (en adelante “la SCEPEVM”) fue creada el 6 de junio de 2003</w:t>
        <w:br/>
        <w:t xml:space="preserve">   para “analizar la situación de violencia contra  las  mujeres  en  Ciudad</w:t>
        <w:br/>
        <w:t xml:space="preserve">   Juárez y proponer una política pública integral, con líneas de acción  en</w:t>
        <w:br/>
        <w:t xml:space="preserve">   distintos ámbitos a favor de las niñas y mujeres de Ciudad Juárez” [469].</w:t>
        <w:br/>
        <w:br/>
        <w:br/>
        <w:t>488. El 22 de julio de 2003 la SCEPEVM anunció en Ciudad Juárez el  Programa</w:t>
        <w:br/>
        <w:t xml:space="preserve">   de  Acciones  de  Colaboración  del  Gobierno  Federal  para  Prevenir  y</w:t>
        <w:br/>
        <w:t xml:space="preserve">   Erradicar la Violencia contra las Mujeres de Ciudad Juárez (“Programa  de</w:t>
        <w:br/>
        <w:t xml:space="preserve">   las 40 acciones”). El Programa de las  40  acciones  “fue  diseñado  para</w:t>
        <w:br/>
        <w:t xml:space="preserve">   atender las múltiples causas vinculadas a los homicidios y desapariciones</w:t>
        <w:br/>
        <w:t xml:space="preserve">   de  mujeres  en  Ciudad  Juárez”,  y  “basa  sus  acciones  en  las  tres</w:t>
        <w:br/>
        <w:t xml:space="preserve">   principales áreas de acción que derivan de las  diversas  recomendaciones</w:t>
        <w:br/>
        <w:t xml:space="preserve">   recibidas: Procuración de Justicia y  Prevención  del  Delito,  Promoción</w:t>
        <w:br/>
        <w:t xml:space="preserve">   Social y Derechos Humanos de la Mujer” [470].</w:t>
        <w:br/>
        <w:br/>
        <w:br/>
        <w:t>489. La Corte observa que el Programa de las 40 acciones  se  basó  en  tres</w:t>
        <w:br/>
        <w:t xml:space="preserve">   principios fundamentales: i) coordinación, ii)  participación  social,  y</w:t>
        <w:br/>
        <w:t xml:space="preserve">   iii) la transparencia, y tenía tres ejes estratégicos: i) procuración  de</w:t>
        <w:br/>
        <w:t xml:space="preserve">   justicia y prevención del delito, con 15 acciones; ii) promoción  social,</w:t>
        <w:br/>
        <w:t xml:space="preserve">   con  14  acciones;  y  iii)  derechos  humanos  de  la  mujer,   con   11</w:t>
        <w:br/>
        <w:t xml:space="preserve">   acciones[471].</w:t>
        <w:br/>
        <w:br/>
        <w:br/>
        <w:t>490. Al Programa de las 40 acciones le  dio  seguimiento  la  Comisión  para</w:t>
        <w:br/>
        <w:t xml:space="preserve">   Ciudad Juárez (supra párr. 127), creada el 18 de febrero de 2004 como  un</w:t>
        <w:br/>
        <w:t xml:space="preserve">   órgano desconcentrado de la Secretaría de  Gobernación,  dependiente  del</w:t>
        <w:br/>
        <w:t xml:space="preserve">   Ejecutivo federal. La Comisión para  Ciudad  Juárez  empezó  a  operar  a</w:t>
        <w:br/>
        <w:t xml:space="preserve">   finales del 2003[472]. La actividad de la Comisión para Ciudad Juárez  se</w:t>
        <w:br/>
        <w:t xml:space="preserve">   concentraba en cuatro líneas de acción: i) atención directa  a  víctimas,</w:t>
        <w:br/>
        <w:t xml:space="preserve">   ii) verdad y justicia; iii) políticas públicas con perspectiva de género,</w:t>
        <w:br/>
        <w:t xml:space="preserve">   y iv) fortalecimiento del tejido social[473].  La  Comisión  para  Juárez</w:t>
        <w:br/>
        <w:t xml:space="preserve">   contaba con dos oficinas, una en Ciudad Juárez y  una  en  la  Ciudad  de</w:t>
        <w:br/>
        <w:t xml:space="preserve">   México, para el cumplimiento de sus funciones[474]. La Corte observa  que</w:t>
        <w:br/>
        <w:t xml:space="preserve">   la Comisión para Juárez fue sustituida en junio de 2009 por  la  Comisión</w:t>
        <w:br/>
        <w:t xml:space="preserve">   Nacional para Prevenir y Erradicar la Violencia contra las  Mujeres  para</w:t>
        <w:br/>
        <w:t xml:space="preserve">   atender la problemática de  la  violencia  contra  las  mujeres  a  nivel</w:t>
        <w:br/>
        <w:t xml:space="preserve">   nacional[475].</w:t>
        <w:br/>
        <w:br/>
        <w:br/>
        <w:t>491. Existe un fondo de apoyo económico que funciona en  Ciudad  Juárez,  el</w:t>
        <w:br/>
        <w:t xml:space="preserve">   cual  será  explicado  posteriormente  al  valorar  las   indemnizaciones</w:t>
        <w:br/>
        <w:t xml:space="preserve">   entregadas en el presente caso (infra párr. 556). Por otro lado, a  nivel</w:t>
        <w:br/>
        <w:t xml:space="preserve">   federal, el INMUJERES recibió en el 2008 un presupuesto de  poco  más  de</w:t>
        <w:br/>
        <w:t xml:space="preserve">   $529.000.000,00 (quinientos veintinueve millones de pesos mexicanos),  de</w:t>
        <w:br/>
        <w:t xml:space="preserve">   los  cuales  $290.000.000,00  (doscientos  noventa  millones   de   pesos</w:t>
        <w:br/>
        <w:t xml:space="preserve">   mexicanos) se destinaron a  estados  y  municipios  para  fortalecer  las</w:t>
        <w:br/>
        <w:t xml:space="preserve">   instancias de la mujer y organismos de la sociedad civil que trabajan  en</w:t>
        <w:br/>
        <w:t xml:space="preserve">   el tema. Entre las instancias, el Estado se refirió al Fondo de  Apoyo  a</w:t>
        <w:br/>
        <w:t xml:space="preserve">   los  Mecanismos  para  el  Adelanto  de  las  Mujeres  en  las  Entidades</w:t>
        <w:br/>
        <w:t xml:space="preserve">   Federativas para la Atención de las  Mujeres  Víctimas  de  Violencia  de</w:t>
        <w:br/>
        <w:t xml:space="preserve">   Género, que tuvo un presupuesto de $112.300.000,00 (ciento doce  millones</w:t>
        <w:br/>
        <w:t xml:space="preserve">   trescientos mil pesos mexicanos) que  se  suministró  a  los  estados  de</w:t>
        <w:br/>
        <w:t xml:space="preserve">   manera equitativa para fortalecer las iniciativas locales en  materia  de</w:t>
        <w:br/>
        <w:t xml:space="preserve">   combate a la violencia de género[476]. Los representantes y  la  Comisión</w:t>
        <w:br/>
        <w:t xml:space="preserve">   no contradijeron dichas cifras.</w:t>
        <w:br/>
        <w:br/>
        <w:br/>
        <w:t>492. A través del INMUJERES, entre otras actividades y acciones,  el  Estado</w:t>
        <w:br/>
        <w:t xml:space="preserve">   ha impartido diversos talleres y capacitaciones a funcionarios  públicos,</w:t>
        <w:br/>
        <w:t xml:space="preserve">   además de que ha fortalecido centros de atención y refugio para mujeres y</w:t>
        <w:br/>
        <w:t xml:space="preserve">   centros de atención a hombres violentos,  incluyendo  centros  en  Ciudad</w:t>
        <w:br/>
        <w:t xml:space="preserve">   Juárez [477]. El INMUJERES, creado en 2001, entre otras  actividades,  i)</w:t>
        <w:br/>
        <w:t xml:space="preserve">   diseñó políticas públicas de erradicación en medios  de  comunicación  de</w:t>
        <w:br/>
        <w:t xml:space="preserve">   mensajes  discriminatorios  o  violentos  contra  las   mujeres   o   con</w:t>
        <w:br/>
        <w:t xml:space="preserve">   estereotipos de género; ii) emitió publicidad para prevenir la  violencia</w:t>
        <w:br/>
        <w:t xml:space="preserve">   contra las mujeres en estaciones de radio  y  canales  de  televisión  en</w:t>
        <w:br/>
        <w:t xml:space="preserve">   Chihuahua; iii) realizó campañas de erradicación de violencia de  género;</w:t>
        <w:br/>
        <w:t xml:space="preserve">   iv) canalizó a víctimas con instituciones de apoyo a través del  servicio</w:t>
        <w:br/>
        <w:t xml:space="preserve">   de atención de violencia de género; v) financió el  proyecto  del  Centro</w:t>
        <w:br/>
        <w:t xml:space="preserve">   para el Desarrollo  Integral  de  la  Mujer  A.C.,  denominado  “Por  los</w:t>
        <w:br/>
        <w:t xml:space="preserve">   derechos de las Mujeres Víctimas del Feminicidio en Juárez”; vi) financió</w:t>
        <w:br/>
        <w:t xml:space="preserve">   en 2003, en coordinación con el Consejo Nacional de Ciencia y  Tecnología</w:t>
        <w:br/>
        <w:t xml:space="preserve">   (CONACYT) para elaborar un diagnóstico sobre la incidencia  de  violencia</w:t>
        <w:br/>
        <w:t xml:space="preserve">   de género en Ciudad Juárez, Chihuahua y en  cinco  entidades  federativas</w:t>
        <w:br/>
        <w:t xml:space="preserve">   más, y vii) elaboró el “Diagnóstico Geo-Socio-Económico de Ciudad  Juárez</w:t>
        <w:br/>
        <w:t xml:space="preserve">   y su Sociedad”. Los representantes y  la  Comisión  no  contradijeron  la</w:t>
        <w:br/>
        <w:t xml:space="preserve">   existencia y alcances de estos proyectos y acciones.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493.  La  Corte  observa  que  en  sus  escritos  ni  la  Comisión  ni   los</w:t>
        <w:br/>
        <w:t xml:space="preserve">   representantes objetaron la existencia o  validez  de  los  organismos  y</w:t>
        <w:br/>
        <w:t xml:space="preserve">   programas  referidos  por  el  Estado   anteriormente,   así   como   las</w:t>
        <w:br/>
        <w:t xml:space="preserve">   valoraciones que el Estado hizo de cada uno de ellos. Tampoco la Comisión</w:t>
        <w:br/>
        <w:t xml:space="preserve">   o  los  representantes  argumentaron  suficientemente  cuáles   son   las</w:t>
        <w:br/>
        <w:t xml:space="preserve">   deficiencias prácticas de las acciones desarrolladas por el Estado  hasta</w:t>
        <w:br/>
        <w:t xml:space="preserve">   la fecha, ni precisaron en qué forma las medidas adoptadas por el Estado,</w:t>
        <w:br/>
        <w:t xml:space="preserve">   en su conjunto, no pueden ser considerarlas como una “política integral y</w:t>
        <w:br/>
        <w:t xml:space="preserve">   coordinada”. Al respecto, el Tribunal recuerda que conforme  al  artículo</w:t>
        <w:br/>
        <w:t xml:space="preserve">   34.1 del Reglamento, es deber de la Comisión expresar en la  demanda  sus</w:t>
        <w:br/>
        <w:t xml:space="preserve">   pretensiones de reparaciones  y  costas,  así  como  sus  fundamentos  de</w:t>
        <w:br/>
        <w:t xml:space="preserve">   derecho y sus  conclusiones  pertinentes.  Este  deber  de  motivación  y</w:t>
        <w:br/>
        <w:t xml:space="preserve">   fundamentación no se cumple con solicitudes genéricas a  las  que  no  se</w:t>
        <w:br/>
        <w:t xml:space="preserve">   adjunta prueba o argumentación, de hechos o derecho, que permita analizar</w:t>
        <w:br/>
        <w:t xml:space="preserve">   su finalidad, razonabilidad y  alcance.  Lo  mismo  es  aplicable  a  los</w:t>
        <w:br/>
        <w:t xml:space="preserve">   representantes.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494. El Tribunal valora los  esfuerzos  del  Estado  mexicano  para  adecuar</w:t>
        <w:br/>
        <w:t xml:space="preserve">   formalmente su legislación, otros actos jurídicos e instituciones y  para</w:t>
        <w:br/>
        <w:t xml:space="preserve">   realizar diversas acciones orientadas a combatir la violencia  por  razón</w:t>
        <w:br/>
        <w:t xml:space="preserve">   de género, tanto en el estado de Chihuahua como a nivel federal, así como</w:t>
        <w:br/>
        <w:t xml:space="preserve">   su esfuerzo por adecuar su sistema judicial  en  materia  penal  a  nivel</w:t>
        <w:br/>
        <w:t xml:space="preserve">   local y federal.  Estos  avances  constituyen  indicadores  estructurales</w:t>
        <w:br/>
        <w:t xml:space="preserve">   relacionados con la adopción de normas que,  en  principio,  tienen  como</w:t>
        <w:br/>
        <w:t xml:space="preserve">   objetivo enfrentar la violencia y discriminación contra la  mujer  en  un</w:t>
        <w:br/>
        <w:t xml:space="preserve">   contexto como el que ha sido probado en el presente caso.</w:t>
        <w:br/>
        <w:br/>
        <w:br/>
        <w:t>495.  Sin  embargo,  la  Corte  no  cuenta  con  información  suficiente   y</w:t>
        <w:br/>
        <w:t xml:space="preserve">   actualizada para poder evaluar si a través  de  dichos  actos  jurídicos,</w:t>
        <w:br/>
        <w:t xml:space="preserve">   instituciones y acciones: i) se ha generado  una  efectiva  prevención  e</w:t>
        <w:br/>
        <w:t xml:space="preserve">   investigación de los casos de violencia contra la mujer y homicidios  por</w:t>
        <w:br/>
        <w:t xml:space="preserve">   razones  de  género;  ii)  los  responsables  han   sido   procesados   y</w:t>
        <w:br/>
        <w:t xml:space="preserve">   sancionados, y iii) las víctimas han sido  reparadas;  todo  ello  en  el</w:t>
        <w:br/>
        <w:t xml:space="preserve">   marco del contexto que ha sido probado en  el  presente  caso.  Así,  por</w:t>
        <w:br/>
        <w:t xml:space="preserve">   ejemplo, ninguna de las  partes  ofreció  información  precisa  sobre  la</w:t>
        <w:br/>
        <w:t xml:space="preserve">   ocurrencia de crímenes similares a los del presente caso entre  los  años</w:t>
        <w:br/>
        <w:t xml:space="preserve">   2006 a 2009[478]. En particular, el Tribunal no puede pronunciarse  sobre</w:t>
        <w:br/>
        <w:t xml:space="preserve">   la existencia de una política  integral  para  superar  la  situación  de</w:t>
        <w:br/>
        <w:t xml:space="preserve">   violencia contra la mujer, discriminación e  impunidad,  sin  información</w:t>
        <w:br/>
        <w:t xml:space="preserve">   sobre las  fallas  estructurales  que  atraviesan  estas  políticas,  los</w:t>
        <w:br/>
        <w:t xml:space="preserve">   problemas en sus procesos de implementación y  sus  resultados  sobre  el</w:t>
        <w:br/>
        <w:t xml:space="preserve">   goce efectivo de derechos por parte de las víctimas de  dicha  violencia.</w:t>
        <w:br/>
        <w:t xml:space="preserve">   Además, la Corte no cuenta con indicadores de resultado respecto  a  cómo</w:t>
        <w:br/>
        <w:t xml:space="preserve">   las políticas implementadas por el Estado puedan constituir  reparaciones</w:t>
        <w:br/>
        <w:t xml:space="preserve">   con perspectiva de género, en tanto: i) cuestionen y estén  en  capacidad</w:t>
        <w:br/>
        <w:t xml:space="preserve">   de modificar, a través de medidas especiales el status quo  que  causa  y</w:t>
        <w:br/>
        <w:t xml:space="preserve">   mantiene la violencia contra la mujer y los  homicidios  por  razones  de</w:t>
        <w:br/>
        <w:t xml:space="preserve">   género; ii) hayan constituido claramente un avance en  la  superación  de</w:t>
        <w:br/>
        <w:t xml:space="preserve">   las desigualdades jurídicas, políticas y sociales, formales o  de  facto,</w:t>
        <w:br/>
        <w:t xml:space="preserve">   que sean injustificadas por causar, fomentar o reproducir los factores de</w:t>
        <w:br/>
        <w:t xml:space="preserve">   discriminación  por  razón  de  género,  y  iii)   sensibilicen   a   los</w:t>
        <w:br/>
        <w:t xml:space="preserve">   funcionarios públicos y la sociedad sobre el impacto de los  factores  de</w:t>
        <w:br/>
        <w:t xml:space="preserve">   discriminación contra las mujeres en los ámbitos público y privado.</w:t>
        <w:br/>
        <w:br/>
        <w:br/>
        <w:t>496. Esta insuficiencia de argumentación  por  parte  de  la  Comisión,  los</w:t>
        <w:br/>
        <w:t xml:space="preserve">   representantes y el Estado, impide al Tribunal pronunciarse respecto a si</w:t>
        <w:br/>
        <w:t xml:space="preserve">   las políticas públicas actualmente  desarrolladas  constituyen  realmente</w:t>
        <w:br/>
        <w:t xml:space="preserve">   una garantía de no repetición en cuanto a  lo  ocurrido  en  el  presente</w:t>
        <w:br/>
        <w:t xml:space="preserve">   caso.</w:t>
        <w:br/>
        <w:br/>
        <w:br/>
        <w:br/>
        <w:br/>
        <w:br/>
        <w:t xml:space="preserve">           4.2.2.      Estandarización   de   los   protocolos,   criterios</w:t>
        <w:br/>
        <w:t xml:space="preserve">                    ministeriales de investigación, servicios  periciales  y</w:t>
        <w:br/>
        <w:t xml:space="preserve">                    de impartición de justicia, para combatir desapariciones</w:t>
        <w:br/>
        <w:t xml:space="preserve">                    y  homicidios  de  mujeres  y  los  distintos  tipos  de</w:t>
        <w:br/>
        <w:t xml:space="preserve">                    violencia contra las mujeres</w:t>
        <w:br/>
        <w:br/>
        <w:br/>
        <w:t>497. La Comisión solicitó, en general, que la Corte  ordene  al  Estado  que</w:t>
        <w:br/>
        <w:t xml:space="preserve">   fortalezca  su  capacidad  institucional  para  combatir  el  patrón   de</w:t>
        <w:br/>
        <w:t xml:space="preserve">   impunidad frente a casos de violencia contra las mujeres en Ciudad Juárez</w:t>
        <w:br/>
        <w:t xml:space="preserve">   a través de investigaciones penales efectivas, a las que  se  les  dé  un</w:t>
        <w:br/>
        <w:t xml:space="preserve">   seguimiento judicial constante, garantizando así la  adecuada  sanción  y</w:t>
        <w:br/>
        <w:t xml:space="preserve">   reparación.</w:t>
        <w:br/>
        <w:br/>
        <w:br/>
        <w:t>498. Los  representantes  señalaron  que  las  prácticas  de  procuración  e</w:t>
        <w:br/>
        <w:t xml:space="preserve">   impartición de justicia  deben  modificarse  desde  sus  raíces  y  deben</w:t>
        <w:br/>
        <w:t xml:space="preserve">   incluir todas las etapas de  investigación,  preservación  de  pruebas  y</w:t>
        <w:br/>
        <w:t xml:space="preserve">   evidencias, de resguardo del lugar de los hechos, de levantamiento de los</w:t>
        <w:br/>
        <w:t xml:space="preserve">   cuerpos, de la cadena de  custodia,  etc.  Solicitaron,  además,  que  se</w:t>
        <w:br/>
        <w:t xml:space="preserve">   estandarizara y armonizara el sistema de  justicia  penal  estatal  o  de</w:t>
        <w:br/>
        <w:t xml:space="preserve">   prevención e investigación del delito con las necesidades de  respeto  de</w:t>
        <w:br/>
        <w:t xml:space="preserve">   los derechos humanos de las mujeres, principalmente protocolos y manuales</w:t>
        <w:br/>
        <w:t xml:space="preserve">   de investigación.</w:t>
        <w:br/>
        <w:br/>
        <w:br/>
        <w:t>499. Respecto al Nuevo Código Penal del estado de Chihuahua,  vigente  desde</w:t>
        <w:br/>
        <w:t xml:space="preserve">   2007, el Estado señaló que se reformaron: i)  los  delitos  de  homicidio</w:t>
        <w:br/>
        <w:t xml:space="preserve">   doloso y secuestro en perjuicio de mujeres o menores de  edad,  de  forma</w:t>
        <w:br/>
        <w:t xml:space="preserve">   que si existe concurso de delitos, aún cuando  ello  exceda  la  pena  de</w:t>
        <w:br/>
        <w:t xml:space="preserve">   prisión de 60 años, deberá imponerse la pena  por  cada  delito;  ii)  el</w:t>
        <w:br/>
        <w:t xml:space="preserve">   delito de homicidio simple, de forma que si la víctima del delito es  una</w:t>
        <w:br/>
        <w:t xml:space="preserve">   mujer o un menor de edad se aplica una pena de 30 a 60 años en vez de una</w:t>
        <w:br/>
        <w:t xml:space="preserve">   pena de 8 a 20 años de prisión, además de la pena que se acumule por cada</w:t>
        <w:br/>
        <w:t xml:space="preserve">   delito adicional aunque se exceda la pena máxima de prisión de 60 años, y</w:t>
        <w:br/>
        <w:t xml:space="preserve">   iii) el delito de lesiones,  de  forma  que  si  se  causa  lesión  a  un</w:t>
        <w:br/>
        <w:t xml:space="preserve">   ascendiente,  descendiente,  hermano,  cónyuge,  concubina  o  concubino,</w:t>
        <w:br/>
        <w:t xml:space="preserve">   pareja, adoptante o adoptado, aumenta en una tercera parte  la  pena  que</w:t>
        <w:br/>
        <w:t xml:space="preserve">   corresponda. Finalmente, indicó que dicho código  castiga  los  actos  de</w:t>
        <w:br/>
        <w:t xml:space="preserve">   violencia familiar en términos de la  Ley  Estatal  del  Derecho  de  las</w:t>
        <w:br/>
        <w:t xml:space="preserve">   Mujeres a una Vida Libre de Violencia[479].</w:t>
        <w:br/>
        <w:br/>
        <w:br/>
        <w:t>500. Respecto al nuevo  Código  de  Procedimientos  Penales  del  estado  de</w:t>
        <w:br/>
        <w:t xml:space="preserve">   Chihuahua, vigente desde 2006, el Estado señaló que el mismo:  “establece</w:t>
        <w:br/>
        <w:t xml:space="preserve">   que no se aplicarán los criterios de oportunidad para el ejercicio de  la</w:t>
        <w:br/>
        <w:t xml:space="preserve">   acción penal  tratándose  de  delitos  contra  la  libertad  y  seguridad</w:t>
        <w:br/>
        <w:t xml:space="preserve">   sexuales, o de violencia familiar,  por  afectar  gravemente  el  interés</w:t>
        <w:br/>
        <w:t xml:space="preserve">   público”. Asimismo, dicho código  prevé  que  en  los  casos  de  delitos</w:t>
        <w:br/>
        <w:t xml:space="preserve">   sexuales y de violencia  familiar,  la  víctima  cuente  “con  asistencia</w:t>
        <w:br/>
        <w:t xml:space="preserve">   integral por parte de las  unidades  especializadas  de  la  Procuraduría</w:t>
        <w:br/>
        <w:t xml:space="preserve">   General de Justicia del estado de Chihuahua, quienes intervendrán con  la</w:t>
        <w:br/>
        <w:t xml:space="preserve">   debida  diligencia,  aplicando  los  protocolos  emitidos”.   Finalmente,</w:t>
        <w:br/>
        <w:t xml:space="preserve">   informó que se contempla la medida cautelar de separación  inmediata  del</w:t>
        <w:br/>
        <w:t xml:space="preserve">   probable delincuente del  domicilio  cuando  se  trate  de  agresiones  a</w:t>
        <w:br/>
        <w:t xml:space="preserve">   mujeres[480].</w:t>
        <w:br/>
        <w:br/>
        <w:br/>
        <w:t>501. El Estado adjuntó como prueba modelos de protocolos[481] y al  respecto</w:t>
        <w:br/>
        <w:t xml:space="preserve">   señaló que “para cada tipo de delito se sigue un protocolo específico. En</w:t>
        <w:br/>
        <w:t xml:space="preserve">   el caso de los homicidios  de  mujeres,  se  cuenta  con  los  protocolos</w:t>
        <w:br/>
        <w:t xml:space="preserve">   relativos a los delitos de  orden  sexual,  lesiones,  criminalística  de</w:t>
        <w:br/>
        <w:t xml:space="preserve">   campo, atención  a  víctimas,  atención  en  crisis  de  módulo,  química</w:t>
        <w:br/>
        <w:t xml:space="preserve">   forense, medicina forense,  homicidio,  suicidio  y  muerte  accidental”.</w:t>
        <w:br/>
        <w:t xml:space="preserve">   Afirmó  que  la  PGJCH  ha  difundido  ampliamente  el  contenido  de  la</w:t>
        <w:br/>
        <w:t xml:space="preserve">   Declaración sobre Eliminación de la Discriminación contra la Mujer, de la</w:t>
        <w:br/>
        <w:t xml:space="preserve">   Convención sobre la Eliminación de todas  las  Formas  de  Discriminación</w:t>
        <w:br/>
        <w:t xml:space="preserve">   contra la Mujer, y de la Convención Belém do Pará.</w:t>
        <w:br/>
        <w:br/>
        <w:br/>
        <w:t>502. La Corte  ha  ordenado  en  otros  casos  normalizar,  conforme  a  los</w:t>
        <w:br/>
        <w:t xml:space="preserve">   estándares internacionales, los parámetros para investigar,  realizar  el</w:t>
        <w:br/>
        <w:t xml:space="preserve">   análisis forense y juzgar[482]. El Tribunal estima  que  en  el  presente</w:t>
        <w:br/>
        <w:t xml:space="preserve">   caso  el  Estado  debe,  en  un  plazo  razonable,   continuar   con   la</w:t>
        <w:br/>
        <w:t xml:space="preserve">   estandarización   de   todos   sus   protocolos,   manuales,    criterios</w:t>
        <w:br/>
        <w:t xml:space="preserve">   ministeriales de investigación, servicios periciales y de impartición  de</w:t>
        <w:br/>
        <w:t xml:space="preserve">   justicia, utilizados para investigar todos los delitos que se  relacionen</w:t>
        <w:br/>
        <w:t xml:space="preserve">   con desapariciones, violencia sexual y homicidios de mujeres, conforme al</w:t>
        <w:br/>
        <w:t xml:space="preserve">   Protocolo de Estambul, el Manual  sobre  la  Prevención  e  Investigación</w:t>
        <w:br/>
        <w:t xml:space="preserve">   Efectiva  de  Ejecuciones  Extrajudiciales,  Arbitrarias  y  Sumarias  de</w:t>
        <w:br/>
        <w:t xml:space="preserve">   Naciones Unidas y los estándares internacionales de búsqueda de  personas</w:t>
        <w:br/>
        <w:t xml:space="preserve">   desaparecidas, con base en una perspectiva de  género.  Al  respecto,  se</w:t>
        <w:br/>
        <w:t xml:space="preserve">   deberá rendir un informe anual durante tres años.</w:t>
        <w:br/>
        <w:br/>
        <w:br/>
        <w:br/>
        <w:br/>
        <w:br/>
        <w:t xml:space="preserve">           4.2.3.      Implementación  de  un  programa   de   búsqueda   y</w:t>
        <w:br/>
        <w:t xml:space="preserve">                    localización de mujeres desaparecidas en  el  estado  de</w:t>
        <w:br/>
        <w:t xml:space="preserve">                    Chihuahua</w:t>
        <w:br/>
        <w:br/>
        <w:br/>
        <w:t>503. Los representantes solicitaron revisar, rediseñar  y  reestructurar  el</w:t>
        <w:br/>
        <w:t xml:space="preserve">   “Operativo Alba” con “la participación de expertos internacionales en  la</w:t>
        <w:br/>
        <w:t xml:space="preserve">   materia que permitan  […]  establecer  un  programa  de  investigación  y</w:t>
        <w:br/>
        <w:t xml:space="preserve">   documentación de  respuesta  inmediata  [que  cuente  con]  los  recursos</w:t>
        <w:br/>
        <w:t xml:space="preserve">   financieros   correspondientes   para   su   adecuado    funcionamiento”.</w:t>
        <w:br/>
        <w:t xml:space="preserve">   Argumentaron,  además,  que  “los  operativos  de  ‘reacción   inmediata’</w:t>
        <w:br/>
        <w:t xml:space="preserve">   [vigentes] no constituyen una medida efectiva para atender  de  inmediato</w:t>
        <w:br/>
        <w:t xml:space="preserve">   un reporte de desaparición o extravío y sobre  todo  que  no  constituyen</w:t>
        <w:br/>
        <w:t xml:space="preserve">   acciones adecuadas y efectivas que impidan la  realización  de  conductas</w:t>
        <w:br/>
        <w:t xml:space="preserve">   criminales en contra de las mujeres y las niñas de Ciudad Juárez”, debido</w:t>
        <w:br/>
        <w:t xml:space="preserve">   principalmente a que “los criterios para  clasificar  las  desapariciones</w:t>
        <w:br/>
        <w:t xml:space="preserve">   como de ‘Alto Riesgo’ no son claros ni  objetivos  y  revisten  criterios</w:t>
        <w:br/>
        <w:t xml:space="preserve">   discriminatorios”  o,  incluso,  debido   a   que   funcionarios   niegan</w:t>
        <w:br/>
        <w:t xml:space="preserve">   implementar las medidas urgentes sin una justificación plausible.</w:t>
        <w:br/>
        <w:br/>
        <w:br/>
        <w:t>504. La Corte observa que el 22 de julio de 2003  el  Estado  implementó  el</w:t>
        <w:br/>
        <w:t xml:space="preserve">   Operativo  Alba  con  el  “objetivo  [de]   establecer   una   vigilancia</w:t>
        <w:br/>
        <w:t xml:space="preserve">   extraordinaria sobre la ya existente en las zonas  de  alto  riesgo  para</w:t>
        <w:br/>
        <w:t xml:space="preserve">   mujeres y en  donde  hubo  hallazgos  […]  de  víctimas  de  homicidios”.</w:t>
        <w:br/>
        <w:t xml:space="preserve">   Posteriormente, el 12 de mayo de 2005 se puso en marcha el  Protocolo  de</w:t>
        <w:br/>
        <w:t xml:space="preserve">   Atención, Reacción y Coordinación entre autoridades federales,  estatales</w:t>
        <w:br/>
        <w:t xml:space="preserve">   y municipales en caso de extravío de mujeres y niñas en el  Municipio  de</w:t>
        <w:br/>
        <w:t xml:space="preserve">   Juárez o “Protocolo Alba”, donde se estableció, por acuerdo y consenso de</w:t>
        <w:br/>
        <w:t xml:space="preserve">   las instituciones participantes, un mecanismo  de  atención,  reacción  y</w:t>
        <w:br/>
        <w:t xml:space="preserve">   coordinación entre autoridades de los tres ámbitos de gobierno en caso de</w:t>
        <w:br/>
        <w:t xml:space="preserve">   extravío de mujeres y niñas en Ciudad Juárez. Para  octubre  de  2006  el</w:t>
        <w:br/>
        <w:t xml:space="preserve">   protocolo se había “activado en 8 ocasiones, [desde su creación]  de  las</w:t>
        <w:br/>
        <w:t xml:space="preserve">   cuales ha permitido ubicar  a  7  mujeres  y  2  niños  en  situación  de</w:t>
        <w:br/>
        <w:t xml:space="preserve">   desaparición o extravío”[483].</w:t>
        <w:br/>
        <w:br/>
        <w:br/>
        <w:t>505. El Tribunal valora positivamente la creación  del  “Operativo  Alba”  y</w:t>
        <w:br/>
        <w:t xml:space="preserve">   del “Protocolo Alba” como una  forma  de  brindar  mayor  atención  a  la</w:t>
        <w:br/>
        <w:t xml:space="preserve">   desaparición de mujeres en Ciudad Juárez. Sin embargo, observa que dichos</w:t>
        <w:br/>
        <w:t xml:space="preserve">   programas de búsqueda únicamente se ponen en marcha  cuando  se  presenta</w:t>
        <w:br/>
        <w:t xml:space="preserve">   una desaparición de “alto riesgo”, criterio que según diversos  informes,</w:t>
        <w:br/>
        <w:t xml:space="preserve">   sólo se satisfacía cuando se presentaban  reportes  con  “características</w:t>
        <w:br/>
        <w:t xml:space="preserve">   específicas”[484] a saber: “existe certeza de que [las mujeres] no tenían</w:t>
        <w:br/>
        <w:t xml:space="preserve">   motivos para abandonar el hogar”, se trata de una  niña[485],  “la  joven</w:t>
        <w:br/>
        <w:t xml:space="preserve">   [tuviera]  una  rutina  estable”[486]   y   que   el   reporte   “tuviera</w:t>
        <w:br/>
        <w:t xml:space="preserve">   características vinculadas con los homicidios ‘seriales’”[487].</w:t>
        <w:br/>
        <w:br/>
        <w:br/>
        <w:t>506. La Corte considera que el Protocolo Alba, o cualquier otro  dispositivo</w:t>
        <w:br/>
        <w:t xml:space="preserve">   análogo  en  Chihuahua,  debe  seguir,  entre   otros,   los   siguientes</w:t>
        <w:br/>
        <w:t xml:space="preserve">   parámetros: i) implementar búsquedas de oficio  y  sin  dilación  alguna,</w:t>
        <w:br/>
        <w:t xml:space="preserve">   cuando se presenten casos de desaparición, como una  medida  tendiente  a</w:t>
        <w:br/>
        <w:t xml:space="preserve">   proteger la vida, libertad  personal  y  la  integridad  personal  de  la</w:t>
        <w:br/>
        <w:t xml:space="preserve">   persona  desaparecida;  ii)  establecer  un  trabajo   coordinado   entre</w:t>
        <w:br/>
        <w:t xml:space="preserve">   diferentes cuerpos de seguridad para dar con el paradero de  la  persona;</w:t>
        <w:br/>
        <w:t xml:space="preserve">   iii) eliminar cualquier obstáculo de hecho o  de  derecho  que  le  reste</w:t>
        <w:br/>
        <w:t xml:space="preserve">   efectividad a la búsqueda o que haga  imposible  su  inicio  como  exigir</w:t>
        <w:br/>
        <w:t xml:space="preserve">   investigaciones o procedimientos preliminares; iv) asignar  los  recursos</w:t>
        <w:br/>
        <w:t xml:space="preserve">   humanos, económicos, logísticos, científicos o de  cualquier  índole  que</w:t>
        <w:br/>
        <w:t xml:space="preserve">   sean necesarios para el éxito de la búsqueda; v) confrontar el reporte de</w:t>
        <w:br/>
        <w:t xml:space="preserve">   desaparición con la base de datos de personas desaparecidas  referida  en</w:t>
        <w:br/>
        <w:t xml:space="preserve">   la sección 4.2.4 infra, y vi) priorizar  las  búsquedas  en  áreas  donde</w:t>
        <w:br/>
        <w:t xml:space="preserve">   razonablemente sea más probable encontrar a la persona  desaparecida  sin</w:t>
        <w:br/>
        <w:t xml:space="preserve">   descartar arbitrariamente otras posibilidades o áreas de  búsqueda.  Todo</w:t>
        <w:br/>
        <w:t xml:space="preserve">   lo anterior deberá ser aún más urgente y riguroso cuando la  desaparecida</w:t>
        <w:br/>
        <w:t xml:space="preserve">   sea un niña. Al respecto, se deberá rendir un informe anual durante  tres</w:t>
        <w:br/>
        <w:t xml:space="preserve">   años.</w:t>
        <w:br/>
        <w:br/>
        <w:br/>
        <w:t>507. De otra parte, la Comisión para Ciudad Juárez informó que en  marzo  de</w:t>
        <w:br/>
        <w:t xml:space="preserve">   2005 creó la página  electrónica  www.mujeresdesaparecidascdjuarez.gob.mx</w:t>
        <w:br/>
        <w:t xml:space="preserve">   donde  se  encuentran  datos  de  algunas  mujeres,   jóvenes   y   niñas</w:t>
        <w:br/>
        <w:t xml:space="preserve">   desaparecidas en Ciudad Juárez[488]. La  Corte  nota  que  la  página  ha</w:t>
        <w:br/>
        <w:t xml:space="preserve">   dejado de actualizarse desde diciembre de 2006.</w:t>
        <w:br/>
        <w:br/>
        <w:br/>
        <w:t>508. Al respecto, y teniendo en cuenta que una red  informática  en  la  que</w:t>
        <w:br/>
        <w:t xml:space="preserve">   cualquier persona pueda suministrar información sobre una  mujer  o  niña</w:t>
        <w:br/>
        <w:t xml:space="preserve">   desaparecida puede ser útil  para  localizarla,  la  Corte,  como  lo  ha</w:t>
        <w:br/>
        <w:t xml:space="preserve">   dispuesto en otras ocasiones[489],  ordena  la  creación  de  una  página</w:t>
        <w:br/>
        <w:t xml:space="preserve">   electrónica que contendrá la información personal necesaria de todas  las</w:t>
        <w:br/>
        <w:t xml:space="preserve">   mujeres, jóvenes y niñas que desaparecieron en Chihuahua desde 1993 y que</w:t>
        <w:br/>
        <w:t xml:space="preserve">   continúan desaparecidas. Dicha página  electrónica  deberá  permitir  que</w:t>
        <w:br/>
        <w:t xml:space="preserve">   cualquier individuo se comunique por cualquier medio con las autoridades,</w:t>
        <w:br/>
        <w:t xml:space="preserve">   inclusive de  manera  anónima,  a  efectos  de  proporcionar  información</w:t>
        <w:br/>
        <w:t xml:space="preserve">   relevante sobre el paradero de la mujer o  niña  desaparecida  o,  en  su</w:t>
        <w:br/>
        <w:t xml:space="preserve">   caso, de sus restos. La información contenida en  la  página  electrónica</w:t>
        <w:br/>
        <w:t xml:space="preserve">   deberá actualizarse permanentemente.</w:t>
        <w:br/>
        <w:br/>
        <w:br/>
        <w:br/>
        <w:br/>
        <w:br/>
        <w:t>4 Confrontación de información  genética  de  cuerpos  no  identificados  de</w:t>
        <w:br/>
        <w:t xml:space="preserve">                    mujeres o niñas privadas de la  vida  en  Chihuahua  con</w:t>
        <w:br/>
        <w:t xml:space="preserve">                    personas desaparecidas a nivel nacional</w:t>
        <w:br/>
        <w:br/>
        <w:br/>
        <w:t>509. Los representantes solicitaron que se cree una base de  datos  a  nivel</w:t>
        <w:br/>
        <w:t xml:space="preserve">   nacional para facilitar la identificación de las personas reportadas como</w:t>
        <w:br/>
        <w:t xml:space="preserve">   desaparecidas. También afirmaron que es necesario implementar una base de</w:t>
        <w:br/>
        <w:t xml:space="preserve">   datos  nacional  que  permita  confrontar  la  información  de   personas</w:t>
        <w:br/>
        <w:t xml:space="preserve">   desaparecidas con información de personas que han  sido  encontradas  sin</w:t>
        <w:br/>
        <w:t xml:space="preserve">   vida y que se han registrado como no identificadas.</w:t>
        <w:br/>
        <w:br/>
        <w:br/>
        <w:t>510. El Estado específicamente no se pronunció  al  respecto.  Sin  embargo,</w:t>
        <w:br/>
        <w:t xml:space="preserve">   hizo referencia al denominado  “Programa  de  Identidad  Humana”,  cuando</w:t>
        <w:br/>
        <w:t xml:space="preserve">   propuso a los familiares de las víctimas que participaran en el EAAF  con</w:t>
        <w:br/>
        <w:t xml:space="preserve">   la finalidad de confirmar la identidad de los cuerpos encontrados  en  el</w:t>
        <w:br/>
        <w:t xml:space="preserve">   campo algodonero.</w:t>
        <w:br/>
        <w:br/>
        <w:br/>
        <w:t>511. Si bien el Tribunal observa que el Estado creó un registro de datos  de</w:t>
        <w:br/>
        <w:t xml:space="preserve">   mujeres desaparecidas en el Municipio de Juárez y un banco  de  datos  en</w:t>
        <w:br/>
        <w:t xml:space="preserve">   genética forense[490], la Corte no tiene  elementos  probatorios  que  le</w:t>
        <w:br/>
        <w:t xml:space="preserve">   permitan concluir que el Estado  creó  una  base  de  datos  de  personas</w:t>
        <w:br/>
        <w:t xml:space="preserve">   desaparecidas a nivel nacional. Por otro lado, si bien la  Corte  observa</w:t>
        <w:br/>
        <w:t xml:space="preserve">   que existe un banco de datos en genética forense con información genética</w:t>
        <w:br/>
        <w:t xml:space="preserve">   de algunos familiares de víctimas de homicidio por razón de género  y  de</w:t>
        <w:br/>
        <w:t xml:space="preserve">   algunos cuerpos encontrados[491], al Tribunal no le consta que el  Estado</w:t>
        <w:br/>
        <w:t xml:space="preserve">   hubiese confrontado la  información  de  mujeres  desaparecidas  a  nivel</w:t>
        <w:br/>
        <w:t xml:space="preserve">   nacional, así como la información genética de familiares de esas personas</w:t>
        <w:br/>
        <w:t xml:space="preserve">   desaparecidas con la información genética  extraída  de  los  cuerpos  de</w:t>
        <w:br/>
        <w:t xml:space="preserve">   cualquier mujer o niña privada de la vida y no identificada en Chihuahua.</w:t>
        <w:br/>
        <w:t xml:space="preserve">   Tampoco obra  en  el  expediente  información  que  permita  a  la  Corte</w:t>
        <w:br/>
        <w:t xml:space="preserve">   determinar la suficiencia de los datos contenidos en las referidas bases,</w:t>
        <w:br/>
        <w:t xml:space="preserve">   así como la eficacia y los resultados  que  dichas  bases  de  datos  han</w:t>
        <w:br/>
        <w:t xml:space="preserve">   tenido dentro de la investigación de las desapariciones y  homicidios  de</w:t>
        <w:br/>
        <w:t xml:space="preserve">   mujeres en Ciudad Juárez.</w:t>
        <w:br/>
        <w:br/>
        <w:br/>
        <w:t>512. La Corte estima que la racionalidad de  crear  una  base  de  datos  de</w:t>
        <w:br/>
        <w:t xml:space="preserve">   mujeres y niñas desaparecidas a  nivel  nacional  y  la  actualización  y</w:t>
        <w:br/>
        <w:t xml:space="preserve">   confrontación de la información genética  proveniente  de  familiares  de</w:t>
        <w:br/>
        <w:t xml:space="preserve">   personas desaparecidas y  de  cuerpos  no  identificados  responde  a  la</w:t>
        <w:br/>
        <w:t xml:space="preserve">   posibilidad de que los cuerpos de algunas mujeres o niñas encontradas  en</w:t>
        <w:br/>
        <w:t xml:space="preserve">   Chihuahua  pertenezcan  a  personas  desaparecidas  en  otras   entidades</w:t>
        <w:br/>
        <w:t xml:space="preserve">   federativas, incluso, otros países. Por ello, como  lo  ha  dispuesto  en</w:t>
        <w:br/>
        <w:t xml:space="preserve">   otros casos[492], la Corte ordena: i) la creación o actualización de  una</w:t>
        <w:br/>
        <w:t xml:space="preserve">   base de datos que contenga la información personal disponible de  mujeres</w:t>
        <w:br/>
        <w:t xml:space="preserve">   y niñas desaparecidas a nivel nacional; ii) la creación  o  actualización</w:t>
        <w:br/>
        <w:t xml:space="preserve">   de una base de datos con  la  información  personal  que  sea  necesaria,</w:t>
        <w:br/>
        <w:t xml:space="preserve">   principalmente genética y muestras celulares, de los  familiares  de  las</w:t>
        <w:br/>
        <w:t xml:space="preserve">   personas desaparecidas que consientan –o que así lo ordene un juez-  para</w:t>
        <w:br/>
        <w:t xml:space="preserve">   que el Estado almacene dicha información personal únicamente  con  objeto</w:t>
        <w:br/>
        <w:t xml:space="preserve">   de  localizar  a  la  persona  desaparecida,  y  iii)   la   creación   o</w:t>
        <w:br/>
        <w:t xml:space="preserve">   actualización de una base de datos con la información genética y muestras</w:t>
        <w:br/>
        <w:t xml:space="preserve">   celulares proveniente de  los  cuerpos  de  cualquier  mujer  o  niña  no</w:t>
        <w:br/>
        <w:t xml:space="preserve">   identificada que fuera privada de la vida en el estado de  Chihuahua.  El</w:t>
        <w:br/>
        <w:t xml:space="preserve">   Estado en todo momento deberá proteger los datos personales contenidos en</w:t>
        <w:br/>
        <w:t xml:space="preserve">   dichas bases de datos.</w:t>
        <w:br/>
        <w:br/>
        <w:br/>
        <w:br/>
        <w:br/>
        <w:br/>
        <w:t xml:space="preserve">           4.2.5.     Creación de una figura legislativa  para  atraer  los</w:t>
        <w:br/>
        <w:t xml:space="preserve">                    casos  del  fuero  común  al  fuero  federal  cuando  se</w:t>
        <w:br/>
        <w:t xml:space="preserve">                    presenten  condiciones  de  impunidad  o  se   acrediten</w:t>
        <w:br/>
        <w:t xml:space="preserve">                    irregularidades de fondo en las averiguaciones previas</w:t>
        <w:br/>
        <w:br/>
        <w:br/>
        <w:t>513. Los representantes señalaron que es necesario contar con  un  mecanismo</w:t>
        <w:br/>
        <w:t xml:space="preserve">   legal contenido en las leyes nacionales para  facilitar  y  encuadrar  la</w:t>
        <w:br/>
        <w:t xml:space="preserve">   atracción de los casos del fuero común al fuero federal, debido a que  en</w:t>
        <w:br/>
        <w:t xml:space="preserve">   este caso “uno de los principales problemas que  permitieron  y  permiten</w:t>
        <w:br/>
        <w:t xml:space="preserve">   aún las violaciones a los derechos humanos de las víctimas  de  violencia</w:t>
        <w:br/>
        <w:t xml:space="preserve">   contra las mujeres y feminicidio es la imposibilidad de que la Federación</w:t>
        <w:br/>
        <w:t xml:space="preserve">   intervenga,  revise  y  en  su  caso  corrija   las   irregularidades   y</w:t>
        <w:br/>
        <w:t xml:space="preserve">   deficiencias de los expedientes integrados en el fuero común”.  Indicaron</w:t>
        <w:br/>
        <w:t xml:space="preserve">   que si bien a nivel federal se creó en el 2004 la Comisión para  Prevenir</w:t>
        <w:br/>
        <w:t xml:space="preserve">   y Erradicar la Violencia contra las Mujeres de Ciudad Juárez, ésta  nunca</w:t>
        <w:br/>
        <w:t xml:space="preserve">   tuvo facultades legales para proponer o para corregir las actuaciones  de</w:t>
        <w:br/>
        <w:t xml:space="preserve">   los funcionarios del fuero común. Asimismo, especificaron que  aunque  se</w:t>
        <w:br/>
        <w:t xml:space="preserve">   hubiera creado en 2004 la Fiscalía Especial para la Atención  de  Delitos</w:t>
        <w:br/>
        <w:t xml:space="preserve">   relacionados con los Homicidios de Mujeres  en  el  Municipio  de  Ciudad</w:t>
        <w:br/>
        <w:t xml:space="preserve">   Juárez, ésta sólo revisó las averiguaciones previas que se tenían  en  el</w:t>
        <w:br/>
        <w:t xml:space="preserve">   fuero común en lo que respecta  a  negligencias  y  responsabilidades  de</w:t>
        <w:br/>
        <w:t xml:space="preserve">   funcionarios que en ellas  habían  participado,  sin  revisar,  proponer,</w:t>
        <w:br/>
        <w:t xml:space="preserve">   coadyuvar o corregir deficiencias que  había  encontrado  puesto  que  su</w:t>
        <w:br/>
        <w:t xml:space="preserve">   mandato no lo facultaba para ello.</w:t>
        <w:br/>
        <w:br/>
        <w:br/>
        <w:t>514. El Estado informó que el 29 de agosto de 2003  fue  creada  la  Agencia</w:t>
        <w:br/>
        <w:t xml:space="preserve">   Mixta del Ministerio Público en el Municipio de Ciudad Juárez, Chihuahua,</w:t>
        <w:br/>
        <w:t xml:space="preserve">   para la Investigación de Homicidios de Mujeres y de los  Delitos  Conexos</w:t>
        <w:br/>
        <w:t xml:space="preserve">   (en adelante “la Agencia Mixta”), mediante un  convenio  de  colaboración</w:t>
        <w:br/>
        <w:t xml:space="preserve">   entre la PGR y la PGCH. Conforme a la prueba aportada por las partes,  el</w:t>
        <w:br/>
        <w:t xml:space="preserve">   objeto de la Agencia Mixta era perseguir los delitos dentro de  un  marco</w:t>
        <w:br/>
        <w:t xml:space="preserve">   de plena colaboración  y  coordinación  entre  las  dos  procuradurías  e</w:t>
        <w:br/>
        <w:t xml:space="preserve">   instrumentar acciones conjuntas  en  las  investigaciones  encaminadas  a</w:t>
        <w:br/>
        <w:t xml:space="preserve">   esclarecer los homicidios de mujeres  en  dicho  municipio.  La  Fiscalía</w:t>
        <w:br/>
        <w:t xml:space="preserve">   Especial Federal para Juárez coordinaba y supervisaba  la  representación</w:t>
        <w:br/>
        <w:t xml:space="preserve">   del Ministerio  Público  de  la  Federación  que  conformaba  la  Agencia</w:t>
        <w:br/>
        <w:t xml:space="preserve">   Mixta[493].</w:t>
        <w:br/>
        <w:br/>
        <w:br/>
        <w:t>515. El 30 de enero de 2004 se creó la Fiscalía Especial  a  nivel  federal.</w:t>
        <w:br/>
        <w:t xml:space="preserve">   Conforme lo alegado por el Estado,  la  Fiscalía  Especial  Federal  para</w:t>
        <w:br/>
        <w:t xml:space="preserve">   Juárez dependía de la PGR y “era competente  para  dirigir,  coordinar  y</w:t>
        <w:br/>
        <w:t xml:space="preserve">   supervisar las investigaciones de los delitos relacionados con homicidios</w:t>
        <w:br/>
        <w:t xml:space="preserve">   de mujeres del  municipio  de  Juárez,  Chihuahua,  en  ejercicio  de  la</w:t>
        <w:br/>
        <w:t xml:space="preserve">   facultad de atracción en aquéllos que tuvieran conexión con algún  delito</w:t>
        <w:br/>
        <w:t xml:space="preserve">   federal”. Dicha afirmación no fue controvertida por  la  Comisión  o  los</w:t>
        <w:br/>
        <w:t xml:space="preserve">   representantes. Entre las funciones de la Fiscalía Especial se encontraba</w:t>
        <w:br/>
        <w:t xml:space="preserve">   la de “revisar […] e investigar cada uno de los expedientes que contienen</w:t>
        <w:br/>
        <w:t xml:space="preserve">   información sobre homicidios y desapariciones de  mujeres,  e  investigar</w:t>
        <w:br/>
        <w:t xml:space="preserve">   con responsabilidad los casos en que encuentren pruebas  de  negligencia,</w:t>
        <w:br/>
        <w:t xml:space="preserve">   ineficiencia o tolerancia por parte de  servidores  públicos,  a  fin  de</w:t>
        <w:br/>
        <w:t xml:space="preserve">   evitar la impunidad y sancionar a aquéllos que hayan  dejado  de  cumplir</w:t>
        <w:br/>
        <w:t xml:space="preserve">   con su deber”[494]. La Corte observa que la Fiscalía Especial  desarrolló</w:t>
        <w:br/>
        <w:t xml:space="preserve">   cuatro  programas  específicos  dentro  de  su  plan   de   trabajo:   i)</w:t>
        <w:br/>
        <w:t xml:space="preserve">   sistematización de la información sobre homicidios de mujeres  y  delitos</w:t>
        <w:br/>
        <w:t xml:space="preserve">   relacionados; ii) atención a delitos relacionados  con  homicidios;  iii)</w:t>
        <w:br/>
        <w:t xml:space="preserve">   atención  a  denuncias  de  mujeres  desaparecidas,  y  iv)  atención   a</w:t>
        <w:br/>
        <w:t xml:space="preserve">   víctimas[495].</w:t>
        <w:br/>
        <w:br/>
        <w:br/>
        <w:t>516. La Fiscalía Especial concluyó su actuación en el  2006  al  haber  sido</w:t>
        <w:br/>
        <w:t xml:space="preserve">   abrogado el acuerdo de creación de 2004[496]. La PGR  entregó  el  16  de</w:t>
        <w:br/>
        <w:t xml:space="preserve">   febrero de 2006 a la CNDH el informe final de la  Fiscalía  Especial.  La</w:t>
        <w:br/>
        <w:t xml:space="preserve">   CNDH afirmó que  “no  se  reportó  en  el  informe  final  ningún  avance</w:t>
        <w:br/>
        <w:t xml:space="preserve">   significativo a los 3  reportes  anteriores,  de  los  que  incluso  esta</w:t>
        <w:br/>
        <w:t xml:space="preserve">   Comisión Nacional dio cuenta puntual en su Informe de evaluación  del  23</w:t>
        <w:br/>
        <w:t xml:space="preserve">   de agosto de 2005”[497].</w:t>
        <w:br/>
        <w:br/>
        <w:br/>
        <w:t>517. La Fiscalía Especial fue sustituida posteriormente  en  dos  ocasiones:</w:t>
        <w:br/>
        <w:t xml:space="preserve">   el 16 de febrero de 2006 por la Fiscalía Especial  para  la  Atención  de</w:t>
        <w:br/>
        <w:t xml:space="preserve">   Delitos Relacionados con Actos de Violencia contra las Mujeres,  adscrita</w:t>
        <w:br/>
        <w:t xml:space="preserve">   a la Oficina del Procurador General de la República,  con  el  objeto  de</w:t>
        <w:br/>
        <w:t xml:space="preserve">   atender delitos relacionados con actos de violencia contra las mujeres en</w:t>
        <w:br/>
        <w:t xml:space="preserve">   el país[498]; y el 31 de enero de 2008 por la Fiscalía Especial para  los</w:t>
        <w:br/>
        <w:t xml:space="preserve">   Delitos de Violencia contra las Mujeres y  Trata  de  Personas,  adscrita</w:t>
        <w:br/>
        <w:t xml:space="preserve">   también a la  Oficina  del  Procurador  General  de  la  República,  para</w:t>
        <w:br/>
        <w:t xml:space="preserve">   investigar y perseguir  delitos  federales  relacionados  con  hechos  de</w:t>
        <w:br/>
        <w:t xml:space="preserve">   violencia contra las mujeres, así como los de trata de personas[499].</w:t>
        <w:br/>
        <w:br/>
        <w:br/>
        <w:t>518. A nivel local, en agosto de 2005 el estado  de  Chihuahua  modificó  el</w:t>
        <w:br/>
        <w:t xml:space="preserve">   objeto de creación de  la  FEIHM,  ya  que  según  el  Estado  “antes  se</w:t>
        <w:br/>
        <w:t xml:space="preserve">   concentraba exclusivamente  en  los  homicidios  que  tuviesen  un  móvil</w:t>
        <w:br/>
        <w:t xml:space="preserve">   sexual”, incluyendo desde  esa  fecha  “todos  los  casos  de  homicidios</w:t>
        <w:br/>
        <w:t xml:space="preserve">   dolosos en los que las víctimas fuesen mujeres”[500].</w:t>
        <w:br/>
        <w:br/>
        <w:br/>
        <w:t>519. La Corte observa que  la  actividad  de  la  Fiscalía  Especial  estuvo</w:t>
        <w:br/>
        <w:t xml:space="preserve">   limitada a sistematizar la información de los homicidios  de  mujeres  en</w:t>
        <w:br/>
        <w:t xml:space="preserve">   Ciudad Juárez y sólo a investigar los delitos que pertenecieran al  fuero</w:t>
        <w:br/>
        <w:t xml:space="preserve">   federal[501]. El Tribunal tampoco tiene información actualizada sobre  el</w:t>
        <w:br/>
        <w:t xml:space="preserve">   funcionamiento y efectividad de la renovada FEIHM.</w:t>
        <w:br/>
        <w:br/>
        <w:br/>
        <w:t>520. Los  representantes  no  sustentaron  su  solicitud  de  reparación  en</w:t>
        <w:br/>
        <w:t xml:space="preserve">   argumentos claros, pertinentes  y  suficientes  sobre  los  problemas  de</w:t>
        <w:br/>
        <w:t xml:space="preserve">   acceso a la justicia que se derivarían del derecho interno aplicable a la</w:t>
        <w:br/>
        <w:t xml:space="preserve">   figura de atracción al  fuero  federal.  Tampoco  argumentaron  sobre  la</w:t>
        <w:br/>
        <w:t xml:space="preserve">   prueba específica en torno a las políticas diseñadas por el  Estado  para</w:t>
        <w:br/>
        <w:t xml:space="preserve">   solucionar la problemática sobre la materia  durante  los  últimos  años.</w:t>
        <w:br/>
        <w:t xml:space="preserve">   Ello  le  impide  al  Tribunal  pronunciarse  sobre  esta  solicitud   de</w:t>
        <w:br/>
        <w:t xml:space="preserve">   reparación.</w:t>
        <w:br/>
        <w:br/>
        <w:br/>
        <w:br/>
        <w:br/>
        <w:br/>
        <w:t xml:space="preserve">           4.2.6.     Prohibición a todo  funcionario  de  discriminar  por</w:t>
        <w:br/>
        <w:t xml:space="preserve">                    razón de género</w:t>
        <w:br/>
        <w:br/>
        <w:br/>
        <w:t>521. Los representantes solicitaron la prohibición expresa  y  sancionada  a</w:t>
        <w:br/>
        <w:t xml:space="preserve">   todo funcionario presente o futuro dentro de los tres niveles de gobierno</w:t>
        <w:br/>
        <w:t xml:space="preserve">   que declarare o actuare despreciando o minimizando las violaciones a  los</w:t>
        <w:br/>
        <w:t xml:space="preserve">   derechos de las mujeres, en particular la negación o minimización  de  la</w:t>
        <w:br/>
        <w:t xml:space="preserve">   existencia de  violencia  contra  las  mujeres  dentro  del  contexto  de</w:t>
        <w:br/>
        <w:t xml:space="preserve">   homicidios por motivos de género  en  Ciudad  Juárez.  Señalaron  que  en</w:t>
        <w:br/>
        <w:t xml:space="preserve">   distintos  momentos  históricos,  el  Estado  mexicano  ha  insistido  en</w:t>
        <w:br/>
        <w:t xml:space="preserve">   reducir, desvirtuar y minimizar las causas y efectos de los homicidios  y</w:t>
        <w:br/>
        <w:t xml:space="preserve">   desapariciones de cientos de mujeres en esa ciudad, y  agregaron  que  la</w:t>
        <w:br/>
        <w:t xml:space="preserve">   actitud de las autoridades ha sido notoriamente discriminatoria.</w:t>
        <w:br/>
        <w:br/>
        <w:br/>
        <w:t>522. El Estado informó sobre la Ley General para la Igualdad  entre  Mujeres</w:t>
        <w:br/>
        <w:t xml:space="preserve">   y Hombres,  publicada  en  el  2006,  que  tiene  por  objeto  regular  y</w:t>
        <w:br/>
        <w:t xml:space="preserve">   garantizar  la  igualdad  entre  mujeres  y  hombres   y   proponer   los</w:t>
        <w:br/>
        <w:t xml:space="preserve">   lineamientos y mecanismos institucionales que orienten al Estado mexicano</w:t>
        <w:br/>
        <w:t xml:space="preserve">   hacia el cumplimiento de la igualdad sustantiva en los ámbitos público  y</w:t>
        <w:br/>
        <w:t xml:space="preserve">   privado, promoviendo el empoderamiento de las mujeres.  La  ley  creó  el</w:t>
        <w:br/>
        <w:t xml:space="preserve">   Sistema Nacional para la Igualdad entre Mujeres y Hombres,  instalado  en</w:t>
        <w:br/>
        <w:t xml:space="preserve">   el 2007 y, dentro del marco de aplicación de la misma, se puso en  marcha</w:t>
        <w:br/>
        <w:t xml:space="preserve">   el Programa Nacional para la  Igualdad  entre  Mujeres  y  Hombres  2008-</w:t>
        <w:br/>
        <w:t xml:space="preserve">   2012[502]. Por su parte, el Programa  Nacional  para  la  Igualdad  entre</w:t>
        <w:br/>
        <w:t xml:space="preserve">   Mujeres y Hombres 2008-2012 fue presentado en el 2008  dentro  del  marco</w:t>
        <w:br/>
        <w:t xml:space="preserve">   del Plan Nacional de Desarrollo 2007-2012[503] y  el  Estado  indicó  que</w:t>
        <w:br/>
        <w:t xml:space="preserve">   “contribuye  al  logro  de  los  objetivos,  estrategias  y   prioridades</w:t>
        <w:br/>
        <w:t xml:space="preserve">   nacionales en materia de igualdad sustantiva entre  mujeres  y  hombres”.</w:t>
        <w:br/>
        <w:t xml:space="preserve">   Este programa lo dirige el INMUJERES. La ley  ha  sido  replicada  en  el</w:t>
        <w:br/>
        <w:t xml:space="preserve">   estado de Chihuahua desde el 2007 al publicar  la  Ley  para  Prevenir  y</w:t>
        <w:br/>
        <w:t xml:space="preserve">   Eliminar la Discriminación del estado de Chihuahua[504].</w:t>
        <w:br/>
        <w:br/>
        <w:br/>
        <w:t>523. Por su parte, el Estado alegó que la  Ley  General  de  Acceso  de  las</w:t>
        <w:br/>
        <w:t xml:space="preserve">   Mujeres a una Vida Libre de Violencia, publicada en 2007, establece  “las</w:t>
        <w:br/>
        <w:t xml:space="preserve">   bases para la prevención, atención y erradicación de la violencia  contra</w:t>
        <w:br/>
        <w:t xml:space="preserve">   las mujeres de cualquier edad en el ámbito público y privado”,  así  como</w:t>
        <w:br/>
        <w:t xml:space="preserve">   los “preceptos rectores para que las mujeres cuenten  con  acceso  a  una</w:t>
        <w:br/>
        <w:t xml:space="preserve">   vida libre de violencia en el ámbito federal y local:  igualdad  jurídica</w:t>
        <w:br/>
        <w:t xml:space="preserve">   entre la mujer y el hombre; respeto a la dignidad humana de las  mujeres;</w:t>
        <w:br/>
        <w:t xml:space="preserve">   la no discriminación y libertad de las  mujeres”.  Añadió  que  esta  ley</w:t>
        <w:br/>
        <w:t xml:space="preserve">   “identifica los mecanismos para la prevención, protección y asistencia  a</w:t>
        <w:br/>
        <w:t xml:space="preserve">   las mujeres y niñas para erradicar la violencia en su contra y  contempla</w:t>
        <w:br/>
        <w:t xml:space="preserve">   la obligación de los órganos de seguridad pública de los estados, de  los</w:t>
        <w:br/>
        <w:t xml:space="preserve">   municipios y de la federación, así como de los órganos de impartición  de</w:t>
        <w:br/>
        <w:t xml:space="preserve">   justicia, de brindar una atención adecuada  y  especial  a  las  víctimas</w:t>
        <w:br/>
        <w:t xml:space="preserve">   mujeres”[505]. Finalmente, la Ley para la Protección de los  Derechos  de</w:t>
        <w:br/>
        <w:t xml:space="preserve">   Niñas, Niños y Adolescentes prevé que la protección de sus derechos tiene</w:t>
        <w:br/>
        <w:t xml:space="preserve">   como objetivo asegurarles un desarrollo pleno e integral, lo que  implica</w:t>
        <w:br/>
        <w:t xml:space="preserve">   la oportunidad de formarse física, mental, emocional, social y moralmente</w:t>
        <w:br/>
        <w:t xml:space="preserve">   en condiciones de igualdad[506].</w:t>
        <w:br/>
        <w:br/>
        <w:br/>
        <w:t>524. Asimismo, México reguló en el estado de Chihuahua un tipo delictivo  de</w:t>
        <w:br/>
        <w:t xml:space="preserve">   discriminación y una sanción administrativa  para  funcionarios  públicos</w:t>
        <w:br/>
        <w:t xml:space="preserve">   que discriminen conforme a la Ley Federal  de  Responsabilidades  de  los</w:t>
        <w:br/>
        <w:t xml:space="preserve">   Servidores Públicos[507].</w:t>
        <w:br/>
        <w:br/>
        <w:br/>
        <w:t>525.  Los  representantes  no  argumentaron  en  torno  a   los   vacíos   e</w:t>
        <w:br/>
        <w:t xml:space="preserve">   insuficiencias que tendrían este tipo de normas,  programas  y  acciones,</w:t>
        <w:br/>
        <w:t xml:space="preserve">   razón por la cual el Tribunal no cuenta con elementos  para  pronunciarse</w:t>
        <w:br/>
        <w:t xml:space="preserve">   sobre su solicitud.</w:t>
        <w:br/>
        <w:br/>
        <w:br/>
        <w:br/>
        <w:br/>
        <w:br/>
        <w:t xml:space="preserve">           4.2.7.     Ley para regular los  apoyos  para  las  víctimas  de</w:t>
        <w:br/>
        <w:t xml:space="preserve">                    homicidios por razones de género</w:t>
        <w:br/>
        <w:br/>
        <w:br/>
        <w:t>526. Los representantes solicitaron al Tribunal “la creación  de  una  [l]ey</w:t>
        <w:br/>
        <w:t xml:space="preserve">   que regule […] objetivamente los apoyos específicos para las víctimas del</w:t>
        <w:br/>
        <w:t xml:space="preserve">   feminicidio, así como  los  estándares  mínimos  para  el  seguimiento  y</w:t>
        <w:br/>
        <w:t xml:space="preserve">   evaluación de dichos apoyos”. Dicha solicitud la justificaron  en  virtud</w:t>
        <w:br/>
        <w:t xml:space="preserve">   de que  los  apoyos,  de  carácter  social  o  de  compensación  general,</w:t>
        <w:br/>
        <w:t xml:space="preserve">   implementados por el Estado a la fecha, no pueden estar  al  arbitrio  de</w:t>
        <w:br/>
        <w:t xml:space="preserve">   los funcionarios  en  turno,  y  porque  los  apoyos  no  se  fijaron  ni</w:t>
        <w:br/>
        <w:t xml:space="preserve">   establecieron con base en criterios  internacionales  de  reparación  del</w:t>
        <w:br/>
        <w:t xml:space="preserve">   daño sino bajo criterios políticos y de gobierno.</w:t>
        <w:br/>
        <w:br/>
        <w:br/>
        <w:t>527. El Estado no se pronunció al respecto específicamente. Sin embargo,  la</w:t>
        <w:br/>
        <w:t xml:space="preserve">   Corte observa que al brindar el Estado los apoyos a los que este Tribunal</w:t>
        <w:br/>
        <w:t xml:space="preserve">   se  referirá  más  adelante,  les  dio  el  carácter  de  indemnizaciones</w:t>
        <w:br/>
        <w:t xml:space="preserve">   adicionales a las que ofreció en su escrito de  contestación  de  demanda</w:t>
        <w:br/>
        <w:t xml:space="preserve">   (infra párr. 550), e incluso afirmó que el contacto  de  las  autoridades</w:t>
        <w:br/>
        <w:t xml:space="preserve">   mantenido con los familiares de las  víctimas  debía  tomarse  “como  una</w:t>
        <w:br/>
        <w:t xml:space="preserve">   muestra de la buena fe del Estado para reparar las consecuencias  de  las</w:t>
        <w:br/>
        <w:t xml:space="preserve">   irregularidades aceptadas por las autoridades en un primer momento de las</w:t>
        <w:br/>
        <w:t xml:space="preserve">   investigaciones sobre los homicidios de las tres mujeres”.</w:t>
        <w:br/>
        <w:br/>
        <w:br/>
        <w:t>528. La Corte observa que la titular  de  la  Comisión  para  Ciudad  Juárez</w:t>
        <w:br/>
        <w:t xml:space="preserve">   reconoció que al crearse el Fondo de Auxilio Económico  a  Familiares  de</w:t>
        <w:br/>
        <w:t xml:space="preserve">   las Víctimas de Homicidio de Mujeres en el 2005 (infra párr. 557)  no  se</w:t>
        <w:br/>
        <w:t xml:space="preserve">   le consideró como una forma de reparación del daño; el tipo de auxilio se</w:t>
        <w:br/>
        <w:t xml:space="preserve">   brindó en consideración de las conductas delictivas del homicida y no  de</w:t>
        <w:br/>
        <w:t xml:space="preserve">   las responsabilidades del Estado; y los apoyos estaban condicionados a la</w:t>
        <w:br/>
        <w:t xml:space="preserve">   promoción de juicios civiles o familiares[508].</w:t>
        <w:br/>
        <w:br/>
        <w:br/>
        <w:t>529. El Tribunal considera que no puede confundirse  la  prestación  de  los</w:t>
        <w:br/>
        <w:t xml:space="preserve">   servicios sociales  que  el  Estado  brinda  a  los  individuos  con  las</w:t>
        <w:br/>
        <w:t xml:space="preserve">   reparaciones a las que tienen derecho  las  víctimas  de  violaciones  de</w:t>
        <w:br/>
        <w:t xml:space="preserve">   derechos humanos, en razón del daño específico generado por la violación.</w:t>
        <w:br/>
        <w:t xml:space="preserve">   En tal sentido, el Tribunal no considerará como parte de las reparaciones</w:t>
        <w:br/>
        <w:t xml:space="preserve">   que el Estado alega haber realizado, los apoyos  gubernamentales  que  no</w:t>
        <w:br/>
        <w:t xml:space="preserve">   hayan sido dirigidos específicamente a reparar la  falta  de  prevención,</w:t>
        <w:br/>
        <w:t xml:space="preserve">   impunidad y discriminación atribuibles al Estado en el presente caso.</w:t>
        <w:br/>
        <w:br/>
        <w:br/>
        <w:t>530. Por otra parte, la Corte considera que no puede indicar al Estado  cómo</w:t>
        <w:br/>
        <w:t xml:space="preserve">   regular los apoyos que brinde a las personas como parte de un programa de</w:t>
        <w:br/>
        <w:t xml:space="preserve">   asistencia social, por lo que se abstiene de pronunciarse respecto a esta</w:t>
        <w:br/>
        <w:t xml:space="preserve">   solicitud de los representantes.</w:t>
        <w:br/>
        <w:br/>
        <w:br/>
        <w:br/>
        <w:br/>
        <w:br/>
        <w:t xml:space="preserve">           4.2.8.     Capacitación con perspectiva de género a funcionarios</w:t>
        <w:br/>
        <w:t xml:space="preserve">                    públicos y población en general del Estado de Chihuahua</w:t>
        <w:br/>
        <w:br/>
        <w:br/>
        <w:t>531. La  Comisión  solicitó  al  Tribunal  que  ordene  al  Estado  realizar</w:t>
        <w:br/>
        <w:t xml:space="preserve">   programas de capacitación para funcionarios públicos en todas  las  ramas</w:t>
        <w:br/>
        <w:t xml:space="preserve">   de la administración de la justicia y la policía, y políticas  integrales</w:t>
        <w:br/>
        <w:t xml:space="preserve">   de  prevención.  Asimismo,  solicitó  se  ordene  la  implementación   de</w:t>
        <w:br/>
        <w:t xml:space="preserve">   políticas públicas y programas institucionales destinados a  superar  los</w:t>
        <w:br/>
        <w:t xml:space="preserve">   estereotipos sobre el rol de las mujeres en la sociedad de Ciudad  Juárez</w:t>
        <w:br/>
        <w:t xml:space="preserve">   y promover la erradicación de patrones  socioculturales  discriminatorios</w:t>
        <w:br/>
        <w:t xml:space="preserve">   que impiden el acceso pleno de las mujeres a la justicia.</w:t>
        <w:br/>
        <w:br/>
        <w:br/>
        <w:t>532. Los representantes  reconocieron  que,  si  bien  el  Estado  ha  hecho</w:t>
        <w:br/>
        <w:t xml:space="preserve">   esfuerzos importantes en materia de capacitación a funcionarios públicos,</w:t>
        <w:br/>
        <w:t xml:space="preserve">   sobretodo a aquéllos cuya labor impacta  directamente  en  los  casos  de</w:t>
        <w:br/>
        <w:t xml:space="preserve">   desapariciones y homicidios de mujeres, dichos esfuerzos no han sido  del</w:t>
        <w:br/>
        <w:t xml:space="preserve">   todo  satisfactorios,  al  no  haberse   desarrollado   una   perspectiva</w:t>
        <w:br/>
        <w:t xml:space="preserve">   transversal de género y no incorporar la perspectiva de género en toda la</w:t>
        <w:br/>
        <w:t xml:space="preserve">   actividad desarrollada por las autoridades del Estado. Agregaron que  los</w:t>
        <w:br/>
        <w:t xml:space="preserve">   funcionarios  que  comparecieron  a  la  audiencia,  si  bien  han   sido</w:t>
        <w:br/>
        <w:t xml:space="preserve">   capacitados, “no entienden  de  qué  se  tratan  los  contenidos  de  las</w:t>
        <w:br/>
        <w:t xml:space="preserve">   Convenciones […] respecto de los derechos" de las víctimas.</w:t>
        <w:br/>
        <w:br/>
        <w:br/>
        <w:t>533.  El  Estado  señaló  que  “está  conciente  de   que   parte   de   las</w:t>
        <w:br/>
        <w:t xml:space="preserve">   irregularidades  cometidas  al  inicio  de  la  investigación   por   los</w:t>
        <w:br/>
        <w:t xml:space="preserve">   homicidios de Claudia Ivette González, Esmeralda Herrera Monreal y  Laura</w:t>
        <w:br/>
        <w:t xml:space="preserve">   Berenice Ramos Monárrez se debieron a la falta  de  capacitación  de  los</w:t>
        <w:br/>
        <w:t xml:space="preserve">   funcionarios públicos que estuvieron involucrados  en  las  mismas”.  Sin</w:t>
        <w:br/>
        <w:t xml:space="preserve">   embargo, el Estado alegó que la  Procuraduría  General  de  Justicia  del</w:t>
        <w:br/>
        <w:t xml:space="preserve">   estado de Chihuahua diseñó, a partir de octubre de 2004, en  coordinación</w:t>
        <w:br/>
        <w:t xml:space="preserve">   con las instituciones  y  universidades  locales  e  internacionales,  un</w:t>
        <w:br/>
        <w:t xml:space="preserve">   programa de capacitación en el que invirtió más de 14 millones  de  pesos</w:t>
        <w:br/>
        <w:t xml:space="preserve">   para la especialización en técnicas y procedimientos de  investigación  y</w:t>
        <w:br/>
        <w:t xml:space="preserve">   profesionalización en materia pericial. La Corte no cuenta con constancia</w:t>
        <w:br/>
        <w:t xml:space="preserve">   de la inversión del referido capital. Dicho programa  incluye  “maestrías</w:t>
        <w:br/>
        <w:t xml:space="preserve">   con la colaboración de universidades españolas y la Comisión Nacional  de</w:t>
        <w:br/>
        <w:t xml:space="preserve">   Derechos Humanos”[509].  A  través  del  Centro  de  Estudios  Penales  y</w:t>
        <w:br/>
        <w:t xml:space="preserve">   Forenses  en  el  2005,  se  implementaron  más  de  122   programas   de</w:t>
        <w:br/>
        <w:t xml:space="preserve">   capacitación que significaron una inversión superior de  12  millones  de</w:t>
        <w:br/>
        <w:t xml:space="preserve">   pesos[510].  El  Tribunal  observa  que  no  existe  constancia  de   tal</w:t>
        <w:br/>
        <w:t xml:space="preserve">   inversión.</w:t>
        <w:br/>
        <w:br/>
        <w:br/>
        <w:t>534. En cuanto a temas de capacitación, la Ley Orgánica del  Poder  Judicial</w:t>
        <w:br/>
        <w:t xml:space="preserve">   del estado de Chihuahua da especial importancia, a partir de 2006,  a  la</w:t>
        <w:br/>
        <w:t xml:space="preserve">   formación en derechos humanos y equidad de género de los funcionarios que</w:t>
        <w:br/>
        <w:t xml:space="preserve">   integran el Poder Judicial estadual o de Chihuahua[511].</w:t>
        <w:br/>
        <w:br/>
        <w:br/>
        <w:t>535. El Estado afirmó que capacitó con perspectiva de género a  funcionarios</w:t>
        <w:br/>
        <w:t xml:space="preserve">   públicos de los estados de la República mexicana, entre ellos  al  estado</w:t>
        <w:br/>
        <w:t xml:space="preserve">   de Chihuahua, a través de los Cursos de Formación de Multiplicadores  del</w:t>
        <w:br/>
        <w:t xml:space="preserve">   Subprograma de Equidad  de  Género[512].  También  mencionó  que  ofreció</w:t>
        <w:br/>
        <w:t xml:space="preserve">   capacitación a funcionarios  públicos  federales  dentro  del  marco  del</w:t>
        <w:br/>
        <w:t xml:space="preserve">   programa de Sensibilización con Perspectiva de Género  impartido  por  el</w:t>
        <w:br/>
        <w:t xml:space="preserve">   INMUJERES, así como del Subprograma de Equidad de Género  a  funcionarios</w:t>
        <w:br/>
        <w:t xml:space="preserve">   públicos de la Secretaría de  Seguridad  Pública  del  Gobierno  Federal.</w:t>
        <w:br/>
        <w:t xml:space="preserve">   Asimismo, indicó que en el 2003 y en el 2004 capacitó a  personal  de  la</w:t>
        <w:br/>
        <w:t xml:space="preserve">   Secretaría de Seguridad Pública en temas básicos y  especializados  sobre</w:t>
        <w:br/>
        <w:t xml:space="preserve">   Derechos Humanos y Seguridad Pública. El Estado  no  exhibió  prueba  que</w:t>
        <w:br/>
        <w:t xml:space="preserve">   acreditara cuáles funcionarios públicos fueron capacitados.</w:t>
        <w:br/>
        <w:br/>
        <w:br/>
        <w:t>536. El Estado mencionó que bajo el Plan Nacional de  Desarrollo  2007-2012,</w:t>
        <w:br/>
        <w:t xml:space="preserve">   dentro de la estrategia 5.4 relativa a “combatir y  sancionar  con  mayor</w:t>
        <w:br/>
        <w:t xml:space="preserve">   severidad  la  violencia  de  género”,  el  Gobierno  Federal  pondrá  en</w:t>
        <w:br/>
        <w:t xml:space="preserve">   operación  programas  de  “sensibilización  y  capacitación  dirigidos  a</w:t>
        <w:br/>
        <w:t xml:space="preserve">   policías, médicos, ministerios públicos y jueces, y a  todo  el  personal</w:t>
        <w:br/>
        <w:t xml:space="preserve">   encargado de las labores de protección  y  atención  a  las  mujeres  que</w:t>
        <w:br/>
        <w:t xml:space="preserve">   sufren de violencia en todas sus manifestaciones”[513].</w:t>
        <w:br/>
        <w:br/>
        <w:br/>
        <w:t>537. El Estado igualmente se refirió a los siguientes  cursos  implementados</w:t>
        <w:br/>
        <w:t xml:space="preserve">   en 2007: un “Diplomado Internacional Género y Sistema Penal”, en  el  que</w:t>
        <w:br/>
        <w:t xml:space="preserve">   asistieron 41 funcionarios  públicos[514];  un  “Diplomado  de  Violencia</w:t>
        <w:br/>
        <w:t xml:space="preserve">   Familiar y Derechos Humanos”, el cual  reunió  a  69  integrantes  de  la</w:t>
        <w:br/>
        <w:t xml:space="preserve">   Procuraduría[515]; el curso “Bases y Principios de Alta  Especialidad  en</w:t>
        <w:br/>
        <w:t xml:space="preserve">   Derecho Procesal  y  Género”[516];  el  curso  “Violencia  Doméstica,  un</w:t>
        <w:br/>
        <w:t xml:space="preserve">   Problema  de  Todos”,  dirigido  al  personal  del  centro  de   justicia</w:t>
        <w:br/>
        <w:t xml:space="preserve">   alternativa Unidad de Atención Temprana y Unidad Especializada de Delitos</w:t>
        <w:br/>
        <w:t xml:space="preserve">   Contra la Libertad, Seguridad Sexual y contra la Familia[517].  En  2008,</w:t>
        <w:br/>
        <w:t xml:space="preserve">   el Estado aludió al curso “Peritajes Forenses en  caso  de  Violencia  de</w:t>
        <w:br/>
        <w:t xml:space="preserve">   Género”, el cual fue dirigido a psicólogos de la “Dirección de Atención a</w:t>
        <w:br/>
        <w:t xml:space="preserve">   Victimas”[518].  Asimismo,  existe  en  el   estado   de   Chihuahua   la</w:t>
        <w:br/>
        <w:t xml:space="preserve">   “Licenciatura en  Procuración  de  Justicia”  cuyo  programa  de  estudio</w:t>
        <w:br/>
        <w:t xml:space="preserve">   contempla la materia “Perspectiva de Género”[519].</w:t>
        <w:br/>
        <w:br/>
        <w:br/>
        <w:t>538. La Corte observa que la testigo Castro Romero declaró que en  los  días</w:t>
        <w:br/>
        <w:t xml:space="preserve">   14 de octubre y 26 de noviembre de 2005 se  llevó  a  cabo  el  diplomado</w:t>
        <w:br/>
        <w:t xml:space="preserve">   “Género y Derechos  Humanos”,  impartido  por  la  red  de  instituciones</w:t>
        <w:br/>
        <w:t xml:space="preserve">   públicas que atienden a mujeres en situación de violencia. Asimismo, hizo</w:t>
        <w:br/>
        <w:t xml:space="preserve">   referencia al seminario sobre  “Derecho  Internacional  de  los  Derechos</w:t>
        <w:br/>
        <w:t xml:space="preserve">   Humanos, estrategias de Litigio” en el cual participaron alrededor de “60</w:t>
        <w:br/>
        <w:t xml:space="preserve">   personas, entre ellas la Subprocuradura de la Zona Norte  de  la  PGJE  y</w:t>
        <w:br/>
        <w:t xml:space="preserve">   personal de la FEVIM”[520].</w:t>
        <w:br/>
        <w:br/>
        <w:br/>
        <w:t>539. Además, el testigo Caballero Rodríguez, agente del  Ministerio  Público</w:t>
        <w:br/>
        <w:t xml:space="preserve">   a cargo de las investigaciones  en  el  presente  caso,  manifestó  haber</w:t>
        <w:br/>
        <w:t xml:space="preserve">   recibido capacitación, entre otros temas, en relación con  la  Convención</w:t>
        <w:br/>
        <w:t xml:space="preserve">   Americana y la Convención Belem do Pará[521].</w:t>
        <w:br/>
        <w:br/>
        <w:br/>
        <w:t>540. La Corte valora positivamente todas las capacitaciones con  perspectiva</w:t>
        <w:br/>
        <w:t xml:space="preserve">   de género que el Estado ha realizado a funcionarios públicos a partir del</w:t>
        <w:br/>
        <w:t xml:space="preserve">   año 2004, así como el posible destino de cuantiosos  recursos  destinados</w:t>
        <w:br/>
        <w:t xml:space="preserve">   para dicha finalidad. Sin  embargo,  la  capacitación,  como  sistema  de</w:t>
        <w:br/>
        <w:t xml:space="preserve">   formación continua, se debe extender durante  un  lapso  importante  para</w:t>
        <w:br/>
        <w:t xml:space="preserve">   cumplir sus objetivos[522]. Además, la Corte señala que una  capacitación</w:t>
        <w:br/>
        <w:t xml:space="preserve">   con perspectiva de género implica no solo un aprendizaje de  las  normas,</w:t>
        <w:br/>
        <w:t xml:space="preserve">   sino el desarrollo de capacidades para reconocer  la  discriminación  que</w:t>
        <w:br/>
        <w:t xml:space="preserve">   sufren  las  mujeres  en  su   vida   cotidiana.   En   particular,   las</w:t>
        <w:br/>
        <w:t xml:space="preserve">   capacitaciones deben generar que todos los  funcionarios  reconozcan  las</w:t>
        <w:br/>
        <w:t xml:space="preserve">   afectaciones  que  generan  en  las  mujeres  las  ideas  y  valoraciones</w:t>
        <w:br/>
        <w:t xml:space="preserve">   estereotipadas en lo que respecta al alcance y contenido de los  derechos</w:t>
        <w:br/>
        <w:t xml:space="preserve">   humanos.</w:t>
        <w:br/>
        <w:br/>
        <w:br/>
        <w:t>541. En  consecuencia,  sin  perjuicio  de  la  existencia  de  programas  y</w:t>
        <w:br/>
        <w:t xml:space="preserve">   capacitaciones  dirigidas  a  funcionarios  públicos  encargados  de   la</w:t>
        <w:br/>
        <w:t xml:space="preserve">   impartición de justicia en Ciudad Juárez, así como de cursos  en  materia</w:t>
        <w:br/>
        <w:t xml:space="preserve">   de derechos humanos y género, el Tribunal ordena que el  Estado  continúe</w:t>
        <w:br/>
        <w:t xml:space="preserve">   implementando programas y cursos permanentes de educación y  capacitación</w:t>
        <w:br/>
        <w:t xml:space="preserve">   en: i) derechos humanos y género;  ii)  perspectiva  de  género  para  la</w:t>
        <w:br/>
        <w:t xml:space="preserve">   debida diligencia en la conducción de averiguaciones previas  y  procesos</w:t>
        <w:br/>
        <w:t xml:space="preserve">   judiciales relacionados con discriminación,  violencia  y  homicidios  de</w:t>
        <w:br/>
        <w:t xml:space="preserve">   mujeres por razones de género, y iii) superación de estereotipos sobre el</w:t>
        <w:br/>
        <w:t xml:space="preserve">   rol social de las mujeres.</w:t>
        <w:br/>
        <w:br/>
        <w:br/>
        <w:t>542. Los  programas  y  cursos  estarán  destinados  a  policías,  fiscales,</w:t>
        <w:br/>
        <w:t xml:space="preserve">   jueces, militares, funcionarios encargados de la  atención  y  asistencia</w:t>
        <w:br/>
        <w:t xml:space="preserve">   legal a víctimas del delito y a cualquier funcionario  público,  tanto  a</w:t>
        <w:br/>
        <w:t xml:space="preserve">   nivel local como federal, que participe directa o  indirectamente  en  la</w:t>
        <w:br/>
        <w:t xml:space="preserve">   prevención, investigación, procesamiento, sanción y reparación. Dentro de</w:t>
        <w:br/>
        <w:t xml:space="preserve">   dichos programas permanentes deberá hacerse una  especial  mención  a  la</w:t>
        <w:br/>
        <w:t xml:space="preserve">   presente Sentencia y  a  los  instrumentos  internacionales  de  derechos</w:t>
        <w:br/>
        <w:t xml:space="preserve">   humanos, específicamente, a los relativos  a  violencia  por  razones  de</w:t>
        <w:br/>
        <w:t xml:space="preserve">   género, entre ellos la Convención Belém do Pará y la  CEDAW,  tomando  en</w:t>
        <w:br/>
        <w:t xml:space="preserve">   cuenta cómo ciertas  normas  o  prácticas  en  el  derecho  interno,  sea</w:t>
        <w:br/>
        <w:t xml:space="preserve">   intencionalmente o por sus resultados, tienen efectos discriminatorios en</w:t>
        <w:br/>
        <w:t xml:space="preserve">   la vida cotidiana de las mujeres. Los programas deberán  también  incluir</w:t>
        <w:br/>
        <w:t xml:space="preserve">   estudios sobre el Protocolo de Estambul y el Manual sobre la Prevención e</w:t>
        <w:br/>
        <w:t xml:space="preserve">   Investigación Efectiva  de  Ejecuciones  Extrajudiciales,  Arbitrarias  y</w:t>
        <w:br/>
        <w:t xml:space="preserve">   Sumarias de  Naciones  Unidas.  El  Estado  deberá  informar  anualmente,</w:t>
        <w:br/>
        <w:t xml:space="preserve">   durante  tres  años,  sobre   la   implementación   de   los   cursos   y</w:t>
        <w:br/>
        <w:t xml:space="preserve">   capacitaciones.</w:t>
        <w:br/>
        <w:br/>
        <w:br/>
        <w:t>543. Además, teniendo en cuenta la situación de discriminación en contra  de</w:t>
        <w:br/>
        <w:t xml:space="preserve">   la mujer reconocida por el Estado,  es  necesario  que  éste  realice  un</w:t>
        <w:br/>
        <w:t xml:space="preserve">   programa de educación destinado a la población en general del  estado  de</w:t>
        <w:br/>
        <w:t xml:space="preserve">   Chihuahua, con el fin de superar dicha situación. A tal efecto, el Estado</w:t>
        <w:br/>
        <w:t xml:space="preserve">   deberá presentar un informe anual por tres años, en el  que  indique  las</w:t>
        <w:br/>
        <w:t xml:space="preserve">   acciones que se han realizado con tal fin.</w:t>
        <w:br/>
        <w:br/>
        <w:br/>
        <w:br/>
        <w:br/>
        <w:br/>
        <w:t xml:space="preserve">      5.    Rehabilitación</w:t>
        <w:br/>
        <w:br/>
        <w:br/>
        <w:t>544.  La  Comisión  manifestó  que   “México   debe   adoptar   medidas   de</w:t>
        <w:br/>
        <w:t xml:space="preserve">   rehabilitación para los familiares de las  víctimas”,  las  cuales  deben</w:t>
        <w:br/>
        <w:t xml:space="preserve">   incluir “medidas de rehabilitación psicológica y médica.”</w:t>
        <w:br/>
        <w:br/>
        <w:br/>
        <w:t>545. Los representantes solicitaron “que  el  Estado  [m]exicano  brinde  la</w:t>
        <w:br/>
        <w:t xml:space="preserve">   asistencia médica y  psicológica  desde  dos  instituciones  de  carácter</w:t>
        <w:br/>
        <w:t xml:space="preserve">   federal para garantizar un servicio de calidad o  […]  que  garantice  la</w:t>
        <w:br/>
        <w:t xml:space="preserve">   remuneración de los especialistas que atiendan a las familias  hasta  que</w:t>
        <w:br/>
        <w:t xml:space="preserve">   […] se concluya con los […] tratamientos”. Lo anterior debido a que  “las</w:t>
        <w:br/>
        <w:t xml:space="preserve">   violaciones a los derechos humanos  cometidas  en  contra  de  [las  tres</w:t>
        <w:br/>
        <w:t xml:space="preserve">   víctimas] han tenido repercusiones de fuerte impacto en  sus  […]  madres</w:t>
        <w:br/>
        <w:t xml:space="preserve">   [,]  al  haber  sufrido  ellas  […]  otras  violaciones  a  los  derechos</w:t>
        <w:br/>
        <w:t xml:space="preserve">   fundamentales”. Además, afirmaron que “las familias de la  víctimas”  han</w:t>
        <w:br/>
        <w:t xml:space="preserve">   padecido “problemas físicos y psicológicos”.</w:t>
        <w:br/>
        <w:br/>
        <w:br/>
        <w:t>546. El Estado afirmó  que  brindó  atención  médica  y  psicológica  a  los</w:t>
        <w:br/>
        <w:t xml:space="preserve">   familiares de las víctimas a través de  “[l]a  Dirección  de  Atención  a</w:t>
        <w:br/>
        <w:t xml:space="preserve">   Víctimas  del  Delito,  dependiente  de   la   PGJCH”,   del   “Instituto</w:t>
        <w:br/>
        <w:t xml:space="preserve">   Chihuahuense de la Mujer”, de “[l]a  Secretaría  de  Fomento  Social  del</w:t>
        <w:br/>
        <w:t xml:space="preserve">   Estado de Chihuahua […]” y del “Centro de prevención y atención a mujeres</w:t>
        <w:br/>
        <w:t xml:space="preserve">   y familias en situación de violencia”.</w:t>
        <w:br/>
        <w:br/>
        <w:br/>
        <w:t>547. La Corte observa que el Estado presentó diversas listas elaboradas  por</w:t>
        <w:br/>
        <w:t xml:space="preserve">   organismos estatales[523] referentes a  la  supuesta  atención  médica  y</w:t>
        <w:br/>
        <w:t xml:space="preserve">   psicológica proporcionada a  los  familiares  de  las  víctimas.  También</w:t>
        <w:br/>
        <w:t xml:space="preserve">   observa que la testigo  Camberos  Revilla  afirmó  que  las  tres  madres</w:t>
        <w:br/>
        <w:t xml:space="preserve">   recibieron  tratamiento  médico  y  que  el  Estado  ofreció  tratamiento</w:t>
        <w:br/>
        <w:t xml:space="preserve">   psicológico a las señoras González  y  Monreal,  aunque  esta  última  se</w:t>
        <w:br/>
        <w:t xml:space="preserve">   rehusó a recibirlo[524]. La testigo Galindo afirmó que la  Secretaría  de</w:t>
        <w:br/>
        <w:t xml:space="preserve">   Fomento Social del estado de Chihuahua apoyó  con  medicinas  y  servicio</w:t>
        <w:br/>
        <w:t xml:space="preserve">   médico a los familiares de las jóvenes Ramos y González[525]. Conforme  a</w:t>
        <w:br/>
        <w:t xml:space="preserve">   la declaración de la testigo Castro  Romero,  la  señora  González  y  la</w:t>
        <w:br/>
        <w:t xml:space="preserve">   señora Monreal participaron en terapias grupales denominadas “Del Dolor a</w:t>
        <w:br/>
        <w:t xml:space="preserve">   la Esperanza”[526]. También consta que en la audiencia pública la  señora</w:t>
        <w:br/>
        <w:t xml:space="preserve">   González afirmó que el Estado le proporcionó asistencia médica[527].</w:t>
        <w:br/>
        <w:br/>
        <w:br/>
        <w:t>548. Si bien este Tribunal valora la asistencia médica y psicológica que  el</w:t>
        <w:br/>
        <w:t xml:space="preserve">   Estado ha brindado a algunas de las víctimas, el Estado no  demostró  que</w:t>
        <w:br/>
        <w:t xml:space="preserve">   cada uno de los familiares hubiesen recibido  o  sigan  recibiendo  algún</w:t>
        <w:br/>
        <w:t xml:space="preserve">   tratamiento psicológico, psiquiátrico o médico, y no acreditó la  calidad</w:t>
        <w:br/>
        <w:t xml:space="preserve">   de las terapias o las consultas y el progreso obtenido por los  pacientes</w:t>
        <w:br/>
        <w:t xml:space="preserve">   a la fecha.</w:t>
        <w:br/>
        <w:br/>
        <w:br/>
        <w:t>549. Por lo tanto, la  Corte,  como  medida  de  rehabilitación,  ordena  al</w:t>
        <w:br/>
        <w:t xml:space="preserve">   Estado que brinde atención médica, psicológica o  psiquiátrica  gratuita,</w:t>
        <w:br/>
        <w:t xml:space="preserve">   de forma inmediata,  adecuada  y  efectiva,  a  través  de  instituciones</w:t>
        <w:br/>
        <w:t xml:space="preserve">   estatales de salud especializadas, a todos  los  familiares  considerados</w:t>
        <w:br/>
        <w:t xml:space="preserve">   víctimas por este Tribunal en el caso sub judice, si éstos así lo desean.</w:t>
        <w:br/>
        <w:t xml:space="preserve">   El Estado deberá asegurar que los profesionales de las  instituciones  de</w:t>
        <w:br/>
        <w:t xml:space="preserve">   salud especializadas que  sean  asignados  para  el  tratamiento  de  las</w:t>
        <w:br/>
        <w:t xml:space="preserve">   víctimas valoren debidamente las condiciones psicológicas  y  físicas  de</w:t>
        <w:br/>
        <w:t xml:space="preserve">   cada víctima y tengan la experiencia y formación suficiente  para  tratar</w:t>
        <w:br/>
        <w:t xml:space="preserve">   tanto los problemas de salud físicos que padezcan los familiares como los</w:t>
        <w:br/>
        <w:t xml:space="preserve">   traumas psicológicos  ocasionados  como  resultado  de  la  violencia  de</w:t>
        <w:br/>
        <w:t xml:space="preserve">   género, la falta de  respuesta  estatal  y  la  impunidad.  Asimismo,  el</w:t>
        <w:br/>
        <w:t xml:space="preserve">   tratamiento debe prestarse por el tiempo que sea necesario e  incluir  el</w:t>
        <w:br/>
        <w:t xml:space="preserve">   suministro de todos los medicamentos que eventualmente requieran[528].</w:t>
        <w:br/>
        <w:br/>
        <w:br/>
        <w:br/>
        <w:br/>
        <w:br/>
        <w:t xml:space="preserve">      6.    Indemnizaciones</w:t>
        <w:br/>
        <w:br/>
        <w:br/>
        <w:t>550. El Estado informó que como resultado del reconocimiento de  violaciones</w:t>
        <w:br/>
        <w:t xml:space="preserve">   parciales al derecho a la integridad psíquica y moral de los  familiares,</w:t>
        <w:br/>
        <w:t xml:space="preserve">   ha otorgado, a través de sus autoridades locales y federales,  una  serie</w:t>
        <w:br/>
        <w:t xml:space="preserve">   de apoyos para  reparar  dichas  violaciones[529].  Asimismo,  el  Estado</w:t>
        <w:br/>
        <w:t xml:space="preserve">   solicitó a la Corte que “analice los  datos  que  se  exponen  sobre  los</w:t>
        <w:br/>
        <w:t xml:space="preserve">   apoyos materiales otorgados a los familiares de [las tres víctimas] a fin</w:t>
        <w:br/>
        <w:t xml:space="preserve">   de determinar que se ha  cumplido  con  la  obligación  internacional  de</w:t>
        <w:br/>
        <w:t xml:space="preserve">   indemnizar a las víctimas por el reconocimiento de responsabilidad en  la</w:t>
        <w:br/>
        <w:t xml:space="preserve">   violación parcial de los derechos […] mencionados”.</w:t>
        <w:br/>
        <w:br/>
        <w:br/>
        <w:t>551.  Los  representantes  señalaron  que  “el  único  apoyo  extraordinario</w:t>
        <w:br/>
        <w:t xml:space="preserve">   entregado a las familias de las víctimas […] es el denominado  ‘Fondo  de</w:t>
        <w:br/>
        <w:t xml:space="preserve">   Auxilio Económico a Familiares de las Víctimas de Homicidio de  Mujeres’,</w:t>
        <w:br/>
        <w:t xml:space="preserve">   creado en el 2005 ex profeso para indemnizar a las familias víctimas  del</w:t>
        <w:br/>
        <w:t xml:space="preserve">   feminicidio de Ciudad Juárez”, y  que  “dichas  cantidades  son  las  que</w:t>
        <w:br/>
        <w:t xml:space="preserve">   reconocen  las  familias  de  las  víctimas  como  indemnización  o  pago</w:t>
        <w:br/>
        <w:t xml:space="preserve">   extraordinario por concepto de reparación de daño material, sin que hayan</w:t>
        <w:br/>
        <w:t xml:space="preserve">   estado [de] acuerdo en los requisitos, procedimientos y condiciones  para</w:t>
        <w:br/>
        <w:t xml:space="preserve">   su entrega, pues se les pedía antes de la  entrega  que  ‘aceptaran’  los</w:t>
        <w:br/>
        <w:t xml:space="preserve">   restos de sus hijas y [que] ‘desistieran’ de  buscar  confronta  genética</w:t>
        <w:br/>
        <w:t xml:space="preserve">   que demostrara claramente su correspondencia filial”.</w:t>
        <w:br/>
        <w:br/>
        <w:br/>
        <w:t>552. Los representantes reconocieron la entrega por parte del Estado de  los</w:t>
        <w:br/>
        <w:t xml:space="preserve">   siguientes  recursos  provenientes  del  Fondo  de  Auxilio  Económico  a</w:t>
        <w:br/>
        <w:t xml:space="preserve">   Familiares de las Víctimas de Homicidio de Mujeres (en adelante “el Fondo</w:t>
        <w:br/>
        <w:t xml:space="preserve">   de Apoyos”), a las siguientes personas:</w:t>
        <w:br/>
        <w:br/>
        <w:t>|Familiar                                     |Monto             |</w:t>
        <w:br/>
        <w:t>|Esmeralda Herrera Monreal                                       |</w:t>
        <w:br/>
        <w:t>|Irma Monreal Jaime                           |$136,656.00 pesos |</w:t>
        <w:br/>
        <w:t>|Benigno Herrera Monreal                      |$34,164.00 pesos  |</w:t>
        <w:br/>
        <w:t>|Adrián Herrera Monreal                       |$34,164.00 pesos  |</w:t>
        <w:br/>
        <w:t>|Juan Antonio Herrera Monreal                 |$34,164.00 pesos  |</w:t>
        <w:br/>
        <w:t>|Cecilia Herrera Monreal                      |$34,164.00 pesos  |</w:t>
        <w:br/>
        <w:t>|Claudia Ivette González                                         |</w:t>
        <w:br/>
        <w:t>|Irma Josefina González Rodríguez             |$273,312.00 pesos |</w:t>
        <w:br/>
        <w:t>|Laura Berenice Ramos Monárrez                                   |</w:t>
        <w:br/>
        <w:t>|Benita Monárrez Salgado                      |$136,656.00 pesos |</w:t>
        <w:br/>
        <w:t>|Daniel Ramos Canales[530]                    |$136,656.00 pesos |</w:t>
        <w:br/>
        <w:br/>
        <w:br/>
        <w:t>553. Los representantes también indicaron de forma general  que  los  apoyos</w:t>
        <w:br/>
        <w:t xml:space="preserve">   otorgados por el  Estado  “incluye[n]  apoyos  en  especie  y  apoyos  de</w:t>
        <w:br/>
        <w:t xml:space="preserve">   carácter social que han sido otorgados algunos a petición expresa de  los</w:t>
        <w:br/>
        <w:t xml:space="preserve">   familiares de las víctimas y otros que forman parte de programas de apoyo</w:t>
        <w:br/>
        <w:t xml:space="preserve">   social que actualmente presta el Gobierno del Estado de  Chihuahua  y  el</w:t>
        <w:br/>
        <w:t xml:space="preserve">   Gobierno Federa[l] a favor  de  las  víctimas  de  violencia  contra  las</w:t>
        <w:br/>
        <w:t xml:space="preserve">   mujeres y feminicidio de Ciudad Juárez”. Asimismo, afirmaron que incluyen</w:t>
        <w:br/>
        <w:t xml:space="preserve">   “otros programas sociales que están a disposición y para el beneficio  de</w:t>
        <w:br/>
        <w:t xml:space="preserve">   la sociedad en general pretendiendo  acreditar  que  todos  ellos  forman</w:t>
        <w:br/>
        <w:t xml:space="preserve">   parte de una reparación  material  integral  otorgada  a  las  víctimas”.</w:t>
        <w:br/>
        <w:t xml:space="preserve">   Finalmente,  señalaron  que  “algunos  apoyos  fueron  destinados  a  las</w:t>
        <w:br/>
        <w:t xml:space="preserve">   familias como parte de un financiamiento para proyectos  productivos  con</w:t>
        <w:br/>
        <w:t xml:space="preserve">   participación de los gobiernos estatal y federal […]  sin  mencionar  que</w:t>
        <w:br/>
        <w:t xml:space="preserve">   esos apoyos forman parte de una política pública del Gobierno Federal  de</w:t>
        <w:br/>
        <w:t xml:space="preserve">   apoyo a personas que deseen emprender un negocio y que se  encuentran  en</w:t>
        <w:br/>
        <w:t xml:space="preserve">   una situación económica desfavorable”.</w:t>
        <w:br/>
        <w:br/>
        <w:br/>
        <w:t>554. La Corte observa que entre los apoyos probados que el Estado  otorgó  a</w:t>
        <w:br/>
        <w:t xml:space="preserve">   las víctimas se encuentran: i) los  recursos  del  Fondo  de  Apoyos  que</w:t>
        <w:br/>
        <w:t xml:space="preserve">   representan el 50% o más, dependiendo del caso, del valor  total  de  los</w:t>
        <w:br/>
        <w:t xml:space="preserve">   apoyos que alega el  Estado  haber  otorgado  a  los  familiares  de  las</w:t>
        <w:br/>
        <w:t xml:space="preserve">   víctimas[531]; ii) apoyos para vivienda  con  recursos  provenientes  del</w:t>
        <w:br/>
        <w:t xml:space="preserve">   Instituto de la Vivienda del estado de Chihuahua  (IVI)  para  la  señora</w:t>
        <w:br/>
        <w:t xml:space="preserve">   González y el señor Adrián Herrera Monreal, que según el Estado ascienden</w:t>
        <w:br/>
        <w:t xml:space="preserve">   a la cantidad de de $114.200,00  (ciento  catorce  mil  doscientos  pesos</w:t>
        <w:br/>
        <w:t xml:space="preserve">   mexicanos), respectivamente[532], y apoyo consistente en un  contrato  de</w:t>
        <w:br/>
        <w:t xml:space="preserve">   compraventa celebrado con el IVI por el que la señora  Monárrez  adquirió</w:t>
        <w:br/>
        <w:t xml:space="preserve">   el inmueble por la cantidad de un $1,00  (un  peso  mexicano)[533];  iii)</w:t>
        <w:br/>
        <w:t xml:space="preserve">   apoyos para proyectos productivos provenientes de un programa  coordinado</w:t>
        <w:br/>
        <w:t xml:space="preserve">   por el Gobierno federal a través de la Secretaría  de  Desarrollo  Social</w:t>
        <w:br/>
        <w:t xml:space="preserve">   (SEDESOL) por la cantidad de $ 60.000,00 (sesenta mil pesos mexicanos)  y</w:t>
        <w:br/>
        <w:t xml:space="preserve">   de $83.000,00 (ochenta y tres mil pesos mexicanos) entregados a la señora</w:t>
        <w:br/>
        <w:t xml:space="preserve">   Monárrez y a la señora  Monreal,  respectivamente[534],  y  iv)  diversos</w:t>
        <w:br/>
        <w:t xml:space="preserve">   apoyos consistentes en despensas, otros donativos en especie y dinero  en</w:t>
        <w:br/>
        <w:t xml:space="preserve">   efectivo[535].</w:t>
        <w:br/>
        <w:br/>
        <w:br/>
        <w:t>555. La Corte  observa  que  diversos  apoyos  otorgados  por  el  Instituto</w:t>
        <w:br/>
        <w:t xml:space="preserve">   Chihuahuense de la Mujer no se encuentran probados. Si bien el Estado los</w:t>
        <w:br/>
        <w:t xml:space="preserve">   relacionó y existen diversos testimonios de  autoridades  de  haber  sido</w:t>
        <w:br/>
        <w:t xml:space="preserve">   otorgados, dentro del  acervo  probatorio  no  existen  comprobantes  que</w:t>
        <w:br/>
        <w:t xml:space="preserve">   permitan  a  este  Tribunal  corroborar  que  fueron  recibidos  por  los</w:t>
        <w:br/>
        <w:t xml:space="preserve">   familiares de las víctimas[536].</w:t>
        <w:br/>
        <w:br/>
        <w:br/>
        <w:t>556. En el año de 2004, la PGR  celebró  un  contrato  de  mandato  con  una</w:t>
        <w:br/>
        <w:t xml:space="preserve">   institución de crédito para administrar el Fondo de Auxilio  Económico  a</w:t>
        <w:br/>
        <w:t xml:space="preserve">   los Familiares de las Víctimas de Homicidio de Mujeres en el Municipio de</w:t>
        <w:br/>
        <w:t xml:space="preserve">   Juárez, Chihuahua (en adelante “el  Fondo  de  Apoyos”).  En  su  primera</w:t>
        <w:br/>
        <w:t xml:space="preserve">   sesión ordinaria del 29 de junio de 2005, el Consejo  Asesor  emitió  los</w:t>
        <w:br/>
        <w:t xml:space="preserve">   “Lineamientos generales a los que habrá de sujetarse  la  administración,</w:t>
        <w:br/>
        <w:t xml:space="preserve">   aplicación y entrega de los recursos que, en vía de auxilio económico, se</w:t>
        <w:br/>
        <w:t xml:space="preserve">   otorgarán a familiares de las víctimas de  homicidio  de  mujeres  en  el</w:t>
        <w:br/>
        <w:t xml:space="preserve">   Municipio de Juárez, Chihuahua”[537].</w:t>
        <w:br/>
        <w:br/>
        <w:br/>
        <w:t>557. La Corte observa que conforme los lineamientos  del  Fondo  de  Apoyos,</w:t>
        <w:br/>
        <w:t xml:space="preserve">   “el auxilio económico que se otorgará a los familiares  de  las  víctimas</w:t>
        <w:br/>
        <w:t xml:space="preserve">   con  cargo  al  Fondo,  en  términos  de  la  legislación  aplicable,  no</w:t>
        <w:br/>
        <w:t xml:space="preserve">   constituye indemnización o  reparación  del  daño”[538].  Asimismo,  esta</w:t>
        <w:br/>
        <w:t xml:space="preserve">   Corte observa que el día 11  de  noviembre  de  2005  el  mandatario  del</w:t>
        <w:br/>
        <w:t xml:space="preserve">   referido fondo entregó un cheque a las  personas  referidas,  haciéndoles</w:t>
        <w:br/>
        <w:t xml:space="preserve">   declarar lo siguiente:</w:t>
        <w:br/>
        <w:br/>
        <w:br/>
        <w:t xml:space="preserve">      agrega, bajo protesta de decir verdad, haber recibido los restos de su</w:t>
        <w:br/>
        <w:t xml:space="preserve">      hija quien en vida  se  llamara  [nombre  de  cada  una  de  las  tres</w:t>
        <w:br/>
        <w:t xml:space="preserve">      víctimas], por lo que no solicitará ante las  autoridades  competentes</w:t>
        <w:br/>
        <w:t xml:space="preserve">      ningún estudio de ADN o diligencia diversa al respecto, toda  vez  que</w:t>
        <w:br/>
        <w:t xml:space="preserve">      los  restos  humanos  que  se  les  entregaron   en   su   oportunidad</w:t>
        <w:br/>
        <w:t xml:space="preserve">      corresponden indubitablemente a los de la hija[539].</w:t>
        <w:br/>
        <w:br/>
        <w:br/>
        <w:t>558. El Tribunal sostiene que de  ninguna  manera  podría  considerar  estos</w:t>
        <w:br/>
        <w:t xml:space="preserve">   recursos como una forma de reparación por daño material a  las  víctimas,</w:t>
        <w:br/>
        <w:t xml:space="preserve">   ya  que  el  propio  Estado  reconoció  que  los  mismos  no  pueden  ser</w:t>
        <w:br/>
        <w:t xml:space="preserve">   considerados como una forma de reparación y porque fueron otorgados  bajo</w:t>
        <w:br/>
        <w:t xml:space="preserve">   la condición de que los familiares desconocieran su derecho de  acceso  a</w:t>
        <w:br/>
        <w:t xml:space="preserve">   la justicia y conocimiento de la verdad. En  virtud  del  principio  nemo</w:t>
        <w:br/>
        <w:t xml:space="preserve">   auditur propriam turpitudinem allegans (nadie puede alegar a su favor  su</w:t>
        <w:br/>
        <w:t xml:space="preserve">   propia torpeza o dolo), el cual ha sido recogido por el artículo 27 de la</w:t>
        <w:br/>
        <w:t xml:space="preserve">   Convención de Viena sobre el Derecho de los Tratados y la  jurisprudencia</w:t>
        <w:br/>
        <w:t xml:space="preserve">   de la Corte[540], el Estado no puede invocar en su beneficio un  convenio</w:t>
        <w:br/>
        <w:t xml:space="preserve">   celebrado con las víctimas que incumple con la Convención para justificar</w:t>
        <w:br/>
        <w:t xml:space="preserve">   que las ha reparado.</w:t>
        <w:br/>
        <w:br/>
        <w:br/>
        <w:t>559. En cuanto a los apoyos para  vivienda  con  recursos  provenientes  del</w:t>
        <w:br/>
        <w:t xml:space="preserve">   IVI, consistentes en dos “pies de casa” y a  los  apoyos  para  proyectos</w:t>
        <w:br/>
        <w:t xml:space="preserve">   productivos provenientes  de  un  programa  coordinado  por  el  Gobierno</w:t>
        <w:br/>
        <w:t xml:space="preserve">   federal a través de la Secretaría  de  Desarrollo  Social  (SEDESOL),  la</w:t>
        <w:br/>
        <w:t xml:space="preserve">   Corte se remite a lo expuesto en el párrafo 529 y, consiguientemente,  no</w:t>
        <w:br/>
        <w:t xml:space="preserve">   las considera parte de la indemnización debida a las víctimas[541].</w:t>
        <w:br/>
        <w:br/>
        <w:br/>
        <w:t>560. Finalmente, en lo referente al apoyo  consistente  en  un  contrato  de</w:t>
        <w:br/>
        <w:t xml:space="preserve">   compraventa celebrado con el IVI por el que la señora  Monárrez  adquirió</w:t>
        <w:br/>
        <w:t xml:space="preserve">   el inmueble referido  en  el  párr.  554,  así  como  a  diversos  apoyos</w:t>
        <w:br/>
        <w:t xml:space="preserve">   consistentes en  despensas,  otros  donativos  en  especie  y  dinero  en</w:t>
        <w:br/>
        <w:t xml:space="preserve">   efectivo, la Corte los tomará en cuenta para efectos del cálculo  de  las</w:t>
        <w:br/>
        <w:t xml:space="preserve">   indemnizaciones.</w:t>
        <w:br/>
        <w:br/>
        <w:br/>
        <w:br/>
        <w:br/>
        <w:br/>
        <w:t xml:space="preserve">      6.1.  Daño material</w:t>
        <w:br/>
        <w:br/>
        <w:br/>
        <w:br/>
        <w:br/>
        <w:br/>
        <w:t xml:space="preserve">           6.1.1.     Daño emergente</w:t>
        <w:br/>
        <w:br/>
        <w:br/>
        <w:t>561. Los representantes señalaron que, “con motivo de las  desapariciones  y</w:t>
        <w:br/>
        <w:t xml:space="preserve">   posteriores muertes de Esmeralda, Claudia Ivette y  Laura  Berenice,  las</w:t>
        <w:br/>
        <w:t xml:space="preserve">   respectivas familias de cada una de ellas tuvieron que hacer una serie de</w:t>
        <w:br/>
        <w:t xml:space="preserve">   gastos  extraordinarios,  […]  recalcando  que  éstos  no  se   limitaron</w:t>
        <w:br/>
        <w:t xml:space="preserve">   solamente a los gastos  funerarios  y  de  inhumación  de  los  cuerpos”.</w:t>
        <w:br/>
        <w:t xml:space="preserve">   Indicaron que, “desde el momento de las desapariciones de cada una de las</w:t>
        <w:br/>
        <w:t xml:space="preserve">   víctimas las familias tuvieron que realizar diversos gastos, consistentes</w:t>
        <w:br/>
        <w:t xml:space="preserve">   en  impresi[ones]  y  copias  de  volantes   […]   para   publicitar   su</w:t>
        <w:br/>
        <w:t xml:space="preserve">   desaparición”, de  igual  manera  tuvieron  que  sufragar  los  “viáticos</w:t>
        <w:br/>
        <w:t xml:space="preserve">   extraordinarios de varios miembros de las familias […], para ayudar en su</w:t>
        <w:br/>
        <w:t xml:space="preserve">   localización” y hacer “pagos extraordinarios de teléfono y otros diversos</w:t>
        <w:br/>
        <w:t xml:space="preserve">   erogados durante las semanas en que estuvieron desaparecidas”.  Señalaron</w:t>
        <w:br/>
        <w:t xml:space="preserve">   que a pesar de que no cuentan con los  comprobantes  respectivos  de  los</w:t>
        <w:br/>
        <w:t xml:space="preserve">   gastos, consideran pertinente que  la  Corte  otorgue  una  indemnización</w:t>
        <w:br/>
        <w:t xml:space="preserve">   general  por  cada  semana  de  desaparición  hasta  el  momento  de   la</w:t>
        <w:br/>
        <w:t xml:space="preserve">   localización de los cuerpos de US$ 150,00 (ciento  cincuenta  dólares  de</w:t>
        <w:br/>
        <w:t xml:space="preserve">   los Estados Unidos de América) distribuidos de la siguiente manera: i)  a</w:t>
        <w:br/>
        <w:t xml:space="preserve">   la joven Herrera, US$ 150,00 (ciento cincuenta  dólares  de  los  Estados</w:t>
        <w:br/>
        <w:t xml:space="preserve">   Unidos de América); ii) a la  joven  González,  US$  600,00  (seiscientos</w:t>
        <w:br/>
        <w:t xml:space="preserve">   dólares de los Estados Unidos de América), y iii) a la joven  Ramos,  US$</w:t>
        <w:br/>
        <w:t xml:space="preserve">   1.050,00 (mil cincuenta dólares de los Estados Unidos de América).</w:t>
        <w:br/>
        <w:br/>
        <w:br/>
        <w:t>562.  Los  representantes  reconocieron  que  el  Estado  otorgó  un   apoyo</w:t>
        <w:br/>
        <w:t xml:space="preserve">   extraordinario por concepto de pago de servicios  funerarios  en  el  año</w:t>
        <w:br/>
        <w:t xml:space="preserve">   2004 y 2006 para cubrir “una parte de los gastos  erogados  a  la  señora</w:t>
        <w:br/>
        <w:t xml:space="preserve">   Monreal y a la señora González en el año 2001”, estimados en  $  2.600,00</w:t>
        <w:br/>
        <w:t xml:space="preserve">   (dos mil seiscientos pesos mexicanos) y $ 6.500,00 (seis  mil  quinientos</w:t>
        <w:br/>
        <w:t xml:space="preserve">   pesos  mexicanos),  respectivamente.  Respecto  a  la  señora   Monárrez,</w:t>
        <w:br/>
        <w:t xml:space="preserve">   señalaron que “no hay constancia de que [el]  apoyo  extraordinario  haya</w:t>
        <w:br/>
        <w:t xml:space="preserve">   sido entregado”.</w:t>
        <w:br/>
        <w:br/>
        <w:br/>
        <w:t>563. Sin exhibir comprobantes de los gastos funerarios,  los  representantes</w:t>
        <w:br/>
        <w:t xml:space="preserve">   solicitaron fijar por concepto de daño emergente derivado de  los  gastos</w:t>
        <w:br/>
        <w:t xml:space="preserve">   funerarios de las familias de las víctimas las sumas de: i) US$  1.000,00</w:t>
        <w:br/>
        <w:t xml:space="preserve">   (mil dólares de los Estados Unidos de America) para la señora Monreal,  y</w:t>
        <w:br/>
        <w:t xml:space="preserve">   compensar los gastos que no fueron debidamente cubiertos por el Estado en</w:t>
        <w:br/>
        <w:t xml:space="preserve">   el año 2006; ii) US$ 1.000,00 (mil  dólares  de  los  Estados  Unidos  de</w:t>
        <w:br/>
        <w:t xml:space="preserve">   America) para la señora González, y compensar los gastos  que  no  fueron</w:t>
        <w:br/>
        <w:t xml:space="preserve">   cubiertos por el Estado  en  el  año  2004,  y  iii)  US$  1.300,00  (mil</w:t>
        <w:br/>
        <w:t xml:space="preserve">   trescientos dólares de los Estados Unidos  de  América)  para  la  señora</w:t>
        <w:br/>
        <w:t xml:space="preserve">   Monárrez, y compensar los gastos realizados y que no  fueron  compensados</w:t>
        <w:br/>
        <w:t xml:space="preserve">   en ningún momento por el Estado.</w:t>
        <w:br/>
        <w:br/>
        <w:br/>
        <w:t>564. El Estado presentó una propuesta de reparación frente  a  cada  una  de</w:t>
        <w:br/>
        <w:t xml:space="preserve">   las víctimas y respecto al  daño  emergente  estableció  que  los  gastos</w:t>
        <w:br/>
        <w:t xml:space="preserve">   erogados por los familiares de las  víctimas,  como  consecuencia  de  su</w:t>
        <w:br/>
        <w:t xml:space="preserve">   muerte, se podrían englobar en $ 10.000,00  (diez  mil  pesos  mexicanos)</w:t>
        <w:br/>
        <w:t xml:space="preserve">   para cada  víctima,  teniendo  en  cuenta  lo  que  el  concepto  “gastos</w:t>
        <w:br/>
        <w:t xml:space="preserve">   funerarios” equivaldría  en  Ciudad  Juárez.  Asimismo,  anunció  que  la</w:t>
        <w:br/>
        <w:t xml:space="preserve">   Procuraduría General de Justicia del estado de Chihuahua  entregó  a  los</w:t>
        <w:br/>
        <w:t xml:space="preserve">   familiares de la joven Herrera por  el  concepto  de  pago  de  servicios</w:t>
        <w:br/>
        <w:t xml:space="preserve">   funerarios en 2006 un total de $ 3.300,00  (tres  mil  trescientos  pesos</w:t>
        <w:br/>
        <w:t xml:space="preserve">   mexicanos)[542], y anteriormente el Instituto Chihuahuense  de  la  Mujer</w:t>
        <w:br/>
        <w:t xml:space="preserve">   otorgó en el 2004 a la señora Monreal y sus  familiares  un  total  de  $</w:t>
        <w:br/>
        <w:t xml:space="preserve">   6.500,00 (seis mil quinientos pesos mexicanos) por concepto de apoyo para</w:t>
        <w:br/>
        <w:t xml:space="preserve">   gastos funerarios[543].</w:t>
        <w:br/>
        <w:br/>
        <w:br/>
        <w:t>565. Ante la falta de presentación  de  comprobantes  que  prueben  que  los</w:t>
        <w:br/>
        <w:t xml:space="preserve">   gastos funerarios  ascendieron  a  las  cantidades  solicitadas  por  los</w:t>
        <w:br/>
        <w:t xml:space="preserve">   representantes  y  teniendo  en  cuenta  que:   i)   los   representantes</w:t>
        <w:br/>
        <w:t xml:space="preserve">   reconocieron que la señora Monreal y  la  señora  González  recibieron  $</w:t>
        <w:br/>
        <w:t xml:space="preserve">   2,600.00 (dos mil seiscientos pesos mexicanos) y  $  6,500.00  (seis  mil</w:t>
        <w:br/>
        <w:t xml:space="preserve">   quinientos pesos mexicanos), respectivamente; ii) la falta de prueba  del</w:t>
        <w:br/>
        <w:t xml:space="preserve">   Estado de haber otorgado apoyo alguno por concepto de gastos funerarios a</w:t>
        <w:br/>
        <w:t xml:space="preserve">   la señora Monárrez, y iii) el reconocimiento del Estado de que en  Ciudad</w:t>
        <w:br/>
        <w:t xml:space="preserve">   Juárez los gastos funerarios  equivalen  a  $10.000,00  (diez  mil  pesos</w:t>
        <w:br/>
        <w:t xml:space="preserve">   mexicanos), este Tribunal considera, en equidad, que le sean entregados a</w:t>
        <w:br/>
        <w:t xml:space="preserve">   la señora Monreal US$ 550,00 (quinientos cincuenta dólares de los Estados</w:t>
        <w:br/>
        <w:t xml:space="preserve">   Unidos de América), a la señora González US$ 250,00 (doscientos cincuenta</w:t>
        <w:br/>
        <w:t xml:space="preserve">   dólares de los Estados Unidos de América) y  a  la  señora  Monárrez  US$</w:t>
        <w:br/>
        <w:t xml:space="preserve">   750,00 (setecientos cincuenta dólares de los Estados Unidos  de  América)</w:t>
        <w:br/>
        <w:t xml:space="preserve">   por concepto de gastos funerarios.</w:t>
        <w:br/>
        <w:br/>
        <w:br/>
        <w:t>566. Respecto a los gastos extraordinarios, dado que: i) los  representantes</w:t>
        <w:br/>
        <w:t xml:space="preserve">   no señalaron por qué el Tribunal debía ordenar al Estado  indemnizar  los</w:t>
        <w:br/>
        <w:t xml:space="preserve">   gastos extraordinarios, diferentes a los funerarios, en  que  incurrieron</w:t>
        <w:br/>
        <w:t xml:space="preserve">   los familiares de las víctimas, tomando como  base  para  el  cálculo  la</w:t>
        <w:br/>
        <w:t xml:space="preserve">   cantidad de US $150,00 (ciento cincuenta dólares de los Estados Unidos de</w:t>
        <w:br/>
        <w:t xml:space="preserve">   América) por cada semana de desaparición hasta la fecha  de  localización</w:t>
        <w:br/>
        <w:t xml:space="preserve">   de los cuerpos; ii) en la audiencia dos de  las  madres  reconocieron  de</w:t>
        <w:br/>
        <w:t xml:space="preserve">   forma general haber realizado gastos diferentes a los funerarios[544],  y</w:t>
        <w:br/>
        <w:t xml:space="preserve">   iii) el Estado no controvirtió esta solicitud  de  gastos  concretamente,</w:t>
        <w:br/>
        <w:t xml:space="preserve">   sino que se limitó a proponer sólo una indemnización por el  concepto  de</w:t>
        <w:br/>
        <w:t xml:space="preserve">   “gastos funerarios”; la Corte decide otorgar, en equidad, por concepto de</w:t>
        <w:br/>
        <w:t xml:space="preserve">   gastos de búsqueda: i)  US  $150,00  (ciento  cincuenta  dólares  de  los</w:t>
        <w:br/>
        <w:t xml:space="preserve">   Estados  Unidos  de  América)  a  la  señora  Monreal;  ii)  US   $600,00</w:t>
        <w:br/>
        <w:t xml:space="preserve">   (seiscientos dólares de los  Estados  Unidos  de  América)  a  la  señora</w:t>
        <w:br/>
        <w:t xml:space="preserve">   González; y, iii) $1.050,00 (mil cincuenta dólares de los Estados  Unidos</w:t>
        <w:br/>
        <w:t xml:space="preserve">   de América) a la señora Monárrez.</w:t>
        <w:br/>
        <w:br/>
        <w:br/>
        <w:t>567. Las indemnizaciones fijadas en el  párrafo  anterior  serán  entregadas</w:t>
        <w:br/>
        <w:t xml:space="preserve">   directamente a sus destinatarias.</w:t>
        <w:br/>
        <w:br/>
        <w:br/>
        <w:br/>
        <w:br/>
        <w:br/>
        <w:t xml:space="preserve">           6.1.2.     Lucro cesante o pérdida de ingresos</w:t>
        <w:br/>
        <w:br/>
        <w:br/>
        <w:t>568. Los representantes alegaron que  un  cálculo  “más  exacto”  del  lucro</w:t>
        <w:br/>
        <w:t xml:space="preserve">   cesante exige tener en cuenta cierto tipo  de  “incremento[s]  anual[es]”</w:t>
        <w:br/>
        <w:t xml:space="preserve">   respecto al “salario diario” y al “salario actualizado” que percibían las</w:t>
        <w:br/>
        <w:t xml:space="preserve">   víctimas.  Asimismo,  aludieron  a  conceptos  tales  como   “factor   de</w:t>
        <w:br/>
        <w:t xml:space="preserve">   integración” y “salario progresivo de los años  subsecuentes”.  Indicaron</w:t>
        <w:br/>
        <w:t xml:space="preserve">   que  se  deberían  integrar  todos  los  “factores”  que  la   Corte   ha</w:t>
        <w:br/>
        <w:t xml:space="preserve">   desarrollado en  su  jurisprudencia  y  que  están  relacionados  con  la</w:t>
        <w:br/>
        <w:t xml:space="preserve">   “ponderación de la edad al momento de la muerte, los años faltantes  para</w:t>
        <w:br/>
        <w:t xml:space="preserve">   completar la expectativa de vida promedio del  país  en  cuestión”  y  un</w:t>
        <w:br/>
        <w:t xml:space="preserve">   “estimado” de los salarios que se pagan por el “tipo de  labor  realizada</w:t>
        <w:br/>
        <w:t xml:space="preserve">   por  las  víctimas”,   así   como   su   “preparación   y   oportunidades</w:t>
        <w:br/>
        <w:t xml:space="preserve">   profesionales”. Señalaron que no se debería descontar “el 25% por  gastos</w:t>
        <w:br/>
        <w:t xml:space="preserve">   personales que pudiera[n] haber erogado la[s] víctima[s]”, en  virtud  de</w:t>
        <w:br/>
        <w:t xml:space="preserve">   que en el caso Bámaca Velásquez Vs. Guatemala, “el Tribunal  no  descontó</w:t>
        <w:br/>
        <w:t xml:space="preserve">   esa cantidad”. Finalmente, desarrollaron una  fórmula  para  calcular  el</w:t>
        <w:br/>
        <w:t xml:space="preserve">   lucro cesante mediante la cual calcularon las cantidades debidas  a  cada</w:t>
        <w:br/>
        <w:t xml:space="preserve">   víctima por dicho concepto[545].</w:t>
        <w:br/>
        <w:br/>
        <w:br/>
        <w:t>569. Los representantes argumentaron que la joven Herrera, trabajaba en  una</w:t>
        <w:br/>
        <w:t xml:space="preserve">   “casa como empleada”, percibía un salario mensual de $ 3.000,00 (tres mil</w:t>
        <w:br/>
        <w:t xml:space="preserve">   pesos mexicanos) y que al momento de su muerte contaba  con  15  años  de</w:t>
        <w:br/>
        <w:t xml:space="preserve">   edad. Calcularon, conforme a su fórmula, que el  monto  total  dejado  de</w:t>
        <w:br/>
        <w:t xml:space="preserve">   percibir por la joven Herrera ascendía a $ 15.520.085,59 (quince millones</w:t>
        <w:br/>
        <w:t xml:space="preserve">   quinientos veinte mil ochenta y cinco pesos mexicanos  con  59/100),  que</w:t>
        <w:br/>
        <w:t xml:space="preserve">   equivaldrían, según su criterio, a US$ 958.029,97 (novecientos  cincuenta</w:t>
        <w:br/>
        <w:t xml:space="preserve">   y ocho mil veintinueve dólares de  los  Estados  Unidos  de  América  con</w:t>
        <w:br/>
        <w:t xml:space="preserve">   97/100), tomando como referencia el tipo de cambio del 20 de  febrero  de</w:t>
        <w:br/>
        <w:t xml:space="preserve">   2008.</w:t>
        <w:br/>
        <w:br/>
        <w:br/>
        <w:t>570. En relación a  la  joven  González,  los  representantes  alegaron  que</w:t>
        <w:br/>
        <w:t xml:space="preserve">   trabajaba en una “maquiladora” y que al momento de  su  muerte  tenía  20</w:t>
        <w:br/>
        <w:t xml:space="preserve">   años de edad y ganaba un salario mensual de $  2.000,00  (dos  mil  pesos</w:t>
        <w:br/>
        <w:t xml:space="preserve">   mexicanos). Conforme a su fórmula,  señalaron  que  el  monto  dejado  de</w:t>
        <w:br/>
        <w:t xml:space="preserve">   percibir ascendía a $ 7.593.561,83 (siete millones quinientos  noventa  y</w:t>
        <w:br/>
        <w:t xml:space="preserve">   tres mil quinientos sesenta y un pesos mexicanos con 83/100) equivalentes</w:t>
        <w:br/>
        <w:t xml:space="preserve">   a US$ 703.107,57 (setecientos  tres  mil  ciento  siete  dólares  de  los</w:t>
        <w:br/>
        <w:t xml:space="preserve">   Estados Unidos de América con 57/100).</w:t>
        <w:br/>
        <w:br/>
        <w:br/>
        <w:t>571. Respecto a la joven Ramos, los representantes señalaron que al  momento</w:t>
        <w:br/>
        <w:t xml:space="preserve">   de su  desaparición  contaba  con  17  años  de  edad,  trabajaba  en  un</w:t>
        <w:br/>
        <w:t xml:space="preserve">   restaurante como cajera, y percibía un  salario  mensual  de  $  4.600,00</w:t>
        <w:br/>
        <w:t xml:space="preserve">   (cuatro  mil  seiscientos  pesos  mexicanos).  Conforme  a  su   fórmula,</w:t>
        <w:br/>
        <w:t xml:space="preserve">   señalaron que el monto que dejó de percibir esta  víctima  ascendía  a  $</w:t>
        <w:br/>
        <w:t xml:space="preserve">   20.400.026,75  (veinte  millones  cuatrocientos  mil   veintiséis   pesos</w:t>
        <w:br/>
        <w:t xml:space="preserve">   mexicanos con 75/100),  equivalentes  a  US  $  1.888.891,36  (un  millón</w:t>
        <w:br/>
        <w:t xml:space="preserve">   ochocientos ochenta y ocho mil ochocientos noventa y un  dólares  de  los</w:t>
        <w:br/>
        <w:t xml:space="preserve">   Estados Unidos de América con 36/100).</w:t>
        <w:br/>
        <w:br/>
        <w:br/>
        <w:t>572. Los representantes informaron en sus  alegatos  finales  que  el  total</w:t>
        <w:br/>
        <w:t xml:space="preserve">   dejado de percibir por la joven Herrera  en  su  equivalente  en  dólares</w:t>
        <w:br/>
        <w:t xml:space="preserve">   americanos al tipo de cambio del 12 de junio de 2009 es de US$ 772.143,56</w:t>
        <w:br/>
        <w:t xml:space="preserve">   (setecientos setenta y dos mil ciento cuarenta  y  tres  dólares  de  los</w:t>
        <w:br/>
        <w:t xml:space="preserve">   Estados Unidos de América con 56/100), y el de  las  jóvenes  González  y</w:t>
        <w:br/>
        <w:t xml:space="preserve">   Ramos US$ 566,683.71 (quinientos sesenta y seis mil seiscientos ochenta y</w:t>
        <w:br/>
        <w:t xml:space="preserve">   tres dólares  de  los  Estados  Unidos  de  América  con  71/100)  y  US$</w:t>
        <w:br/>
        <w:t xml:space="preserve">   1.522.390,00 (un millón  quinientos  veintidós  mil  trescientos  noventa</w:t>
        <w:br/>
        <w:t xml:space="preserve">   dólares de los Estados Unidos de América), respectivamente.</w:t>
        <w:br/>
        <w:br/>
        <w:br/>
        <w:t>573. Por su parte, el Estado informó que la joven Herrera se dedicaba  a  la</w:t>
        <w:br/>
        <w:t xml:space="preserve">   “limpieza doméstica” y que en el  Estado  de  Chihuahua  el  estándar  de</w:t>
        <w:br/>
        <w:t xml:space="preserve">   ingresos que se percibe por este tipo de  servicios  es  de  $  31.200,00</w:t>
        <w:br/>
        <w:t xml:space="preserve">   (treinta y un mil  doscientos  pesos  mexicanos)  anuales,  es  decir,  $</w:t>
        <w:br/>
        <w:t xml:space="preserve">   2.600,00 (dos mil  seiscientos  pesos  mexicanos)  mensuales.  El  Estado</w:t>
        <w:br/>
        <w:t xml:space="preserve">   refirió que la muerte de la joven Herrera ocurrió en noviembre  de  2001,</w:t>
        <w:br/>
        <w:t xml:space="preserve">   en cuya fecha el promedio de esperanza de vida en México para mujeres era</w:t>
        <w:br/>
        <w:t xml:space="preserve">   de 76.7  años  de  acuerdo  con  el  Instituto  Nacional  de  Información</w:t>
        <w:br/>
        <w:t xml:space="preserve">   Estadística y Geografía de México (INEGI)[546] y que teniendo  en  cuenta</w:t>
        <w:br/>
        <w:t xml:space="preserve">   que la víctima tenía 15 años de edad cuando ocurrió su muerte, el  Estado</w:t>
        <w:br/>
        <w:t xml:space="preserve">   consideró que lo que dejarían de percibir los familiares  de  la  víctima</w:t>
        <w:br/>
        <w:t xml:space="preserve">   como consecuencia de la muerte de la joven Herrera es de  $  1.903.200,00</w:t>
        <w:br/>
        <w:t xml:space="preserve">   (un millón novecientos tres mil doscientos pesos mexicanos).</w:t>
        <w:br/>
        <w:br/>
        <w:br/>
        <w:t>574. Respecto a la joven González el Estado alegó que se tiene  conocimiento</w:t>
        <w:br/>
        <w:t xml:space="preserve">   que laboraba en una “empresa maquiladora” y estableció  que  haciendo  un</w:t>
        <w:br/>
        <w:t xml:space="preserve">   estimado de lo que percibía en el momento  de  su  muerte  y  de  lo  que</w:t>
        <w:br/>
        <w:t xml:space="preserve">   actualmente percibiría por prestar este tipo de servicios  laborales,  su</w:t>
        <w:br/>
        <w:t xml:space="preserve">   salario integral  aproximado  era  de  $  31.200,00  (treinta  y  un  mil</w:t>
        <w:br/>
        <w:t xml:space="preserve">   doscientos pesos mexicanos) anuales. Teniendo en cuenta la  esperanza  de</w:t>
        <w:br/>
        <w:t xml:space="preserve">   vida en México y considerando que la víctima tenía 20 años al momento  de</w:t>
        <w:br/>
        <w:t xml:space="preserve">   su muerte,  el  Estado  indicó  que  lo  que  dejarían  de  percibir  los</w:t>
        <w:br/>
        <w:t xml:space="preserve">   familiares de la joven González asciende  a  $  1.747.200,00  (un  millón</w:t>
        <w:br/>
        <w:t xml:space="preserve">   setecientos cuarenta y siete mil doscientos pesos mexicanos).</w:t>
        <w:br/>
        <w:br/>
        <w:br/>
        <w:t>575. En relación a la joven Ramos el Estado alegó que tenía conocimiento  de</w:t>
        <w:br/>
        <w:t xml:space="preserve">   que “no laboraba” antes de morir. Sin embargo,  el  Estado  consideró  en</w:t>
        <w:br/>
        <w:t xml:space="preserve">   este caso la misma percepción anual que se ha considerado  para  las  dos</w:t>
        <w:br/>
        <w:t xml:space="preserve">   víctimas anteriores, esto es de $ 31.200,00 (treinta y un mil  doscientos</w:t>
        <w:br/>
        <w:t xml:space="preserve">   pesos mexicanos) anuales. El Estado, teniendo en cuenta la  esperanza  de</w:t>
        <w:br/>
        <w:t xml:space="preserve">   vida y que la víctima tenía 17 años cuando ocurrió su  muerte,  consideró</w:t>
        <w:br/>
        <w:t xml:space="preserve">   que  lo  que  han  dejado  de  percibir  los  familiares  asciende  a   $</w:t>
        <w:br/>
        <w:t xml:space="preserve">   1.840.800,00  (un  millón  ochocientos  cuarenta  mil  ochocientos  pesos</w:t>
        <w:br/>
        <w:t xml:space="preserve">   mexicanos).</w:t>
        <w:br/>
        <w:br/>
        <w:br/>
        <w:t>576. La Corte observa que:  i)  tanto  el  promedio  de  esperanza  de  vida</w:t>
        <w:br/>
        <w:t xml:space="preserve">   presentado por los representantes como el presentado  por  el  Estado  se</w:t>
        <w:br/>
        <w:t xml:space="preserve">   refieren, en última instancia, a una  misma  fuente  nacional,  al  haber</w:t>
        <w:br/>
        <w:t xml:space="preserve">   obtenido los datos del INEGI y el Programa de  Naciones  Unidas  para  el</w:t>
        <w:br/>
        <w:t xml:space="preserve">   Desarrollo del Consejo Nacional de Población de México (CONAPO); ii)  los</w:t>
        <w:br/>
        <w:t xml:space="preserve">   promedios de esperanza de vida difieren en  1.2  años,  siendo  menor  el</w:t>
        <w:br/>
        <w:t xml:space="preserve">   propuesto por el Estado. Sin embargo, conforme a los indicadores  básicos</w:t>
        <w:br/>
        <w:t xml:space="preserve">   de la CONAPO, el promedio de esperanza de vida de mujeres en el estado de</w:t>
        <w:br/>
        <w:t xml:space="preserve">   Chihuahua en el 2001 era de 76.97; iii) que las  edades  de  las  jóvenes</w:t>
        <w:br/>
        <w:t xml:space="preserve">   Herrera, González y Ramos eran 15, 20 y 17 años de edad al momento de  su</w:t>
        <w:br/>
        <w:t xml:space="preserve">   desaparición, y iv) que tanto el salario  mensual  de  cada  una  de  las</w:t>
        <w:br/>
        <w:t xml:space="preserve">   víctimas  propuesto  por  los  representantes  como  el  salario  mensual</w:t>
        <w:br/>
        <w:t xml:space="preserve">   propuesto por el Estado no tienen sustento probatorio.</w:t>
        <w:br/>
        <w:br/>
        <w:br/>
        <w:t>577. En virtud de  lo  anterior,  la  Corte  concluye  que  el  ofrecimiento</w:t>
        <w:br/>
        <w:t xml:space="preserve">   estatal realizado para compensar por el lucro cesante (supra  párr.  573,</w:t>
        <w:br/>
        <w:t xml:space="preserve">   574 y 575) es adecuado. Por tanto, lo  toma  en  cuenta  y,  en  equidad,</w:t>
        <w:br/>
        <w:t xml:space="preserve">   decide fijar las siguientes cantidades que el Estado deberá otorgar:</w:t>
        <w:br/>
        <w:br/>
        <w:t>|Víctima                          |Monto                     |</w:t>
        <w:br/>
        <w:t>|Esmeralda Herrera Monreal        |US $145.500,00            |</w:t>
        <w:br/>
        <w:t>|Claudia Ivette González          |US $134.000,00            |</w:t>
        <w:br/>
        <w:t>|Laura Berenice Ramos Monárrez    |US $140.500,00            |</w:t>
        <w:br/>
        <w:br/>
        <w:br/>
        <w:t>578. Dichas  cantidades  serán  repartidas  conforme  al  derecho  sucesorio</w:t>
        <w:br/>
        <w:t xml:space="preserve">   vigente en la actualidad en el estado de Chihuahua, México.</w:t>
        <w:br/>
        <w:br/>
        <w:br/>
        <w:br/>
        <w:br/>
        <w:br/>
        <w:t xml:space="preserve">      6.2.  Daño inmaterial</w:t>
        <w:br/>
        <w:br/>
        <w:br/>
        <w:t>579. En su jurisprudencia, el Tribunal ha  determinado  diversas  formas  en</w:t>
        <w:br/>
        <w:t xml:space="preserve">   que el daño inmaterial puede ser reparado[547].</w:t>
        <w:br/>
        <w:br/>
        <w:br/>
        <w:br/>
        <w:br/>
        <w:br/>
        <w:t xml:space="preserve">           6.2.1.     Daño moral</w:t>
        <w:br/>
        <w:br/>
        <w:br/>
        <w:t>580.  Los  representantes  enunciaron  en  su   escrito   las   afectaciones</w:t>
        <w:br/>
        <w:t xml:space="preserve">   inmateriales sufridas por las familiares de las víctimas y  cuantificaron</w:t>
        <w:br/>
        <w:t xml:space="preserve">   el daño moral en las siguientes cantidades:  i)  US$  120.000,00  (ciento</w:t>
        <w:br/>
        <w:t xml:space="preserve">   veinte mil dólares de los Estados Unidos de América) para las  madres  de</w:t>
        <w:br/>
        <w:t xml:space="preserve">   Esmeralda Herrera Monreal  y  Laura  Berenice  Ramos  Monárrez;  ii)  US$</w:t>
        <w:br/>
        <w:t xml:space="preserve">   150.000,00 (ciento  cincuenta  mil  dólares  de  los  Estados  Unidos  de</w:t>
        <w:br/>
        <w:t xml:space="preserve">   América) para la madre de Claudia Ivette  González;  iii)  US$  50.000,00</w:t>
        <w:br/>
        <w:t xml:space="preserve">   (cincuenta mil dólares de los Estados Unidos de América) para cada uno de</w:t>
        <w:br/>
        <w:t xml:space="preserve">   los hermanos de las víctimas, y iv) 25.000,00 (veinticinco mil dólares de</w:t>
        <w:br/>
        <w:t xml:space="preserve">   los Estados Unidos de América) para cada uno del resto de familiares.</w:t>
        <w:br/>
        <w:br/>
        <w:br/>
        <w:t>581. El  Estado  ofreció  otorgar  como  reparación  compensatoria  por  los</w:t>
        <w:br/>
        <w:t xml:space="preserve">   sufrimientos causados a los familiares de las tres víctimas, en virtud de</w:t>
        <w:br/>
        <w:t xml:space="preserve">   las  irregularidades  cometidas  por  los   funcionarios   públicos   que</w:t>
        <w:br/>
        <w:t xml:space="preserve">   participaron durante las investigaciones de los tres  casos  hasta  antes</w:t>
        <w:br/>
        <w:t xml:space="preserve">   del 2004, la cantidad de US $10.000,00 (diez mil dólares de  los  Estados</w:t>
        <w:br/>
        <w:t xml:space="preserve">   Unidos de América con 00/100) a cada familiar o su equivalente  en  pesos</w:t>
        <w:br/>
        <w:t xml:space="preserve">   mexicanos.</w:t>
        <w:br/>
        <w:br/>
        <w:br/>
        <w:t>582. La jurisprudencia internacional ha establecido reiteradamente  que  una</w:t>
        <w:br/>
        <w:t xml:space="preserve">   sentencia declaratoria de violación de derechos  constituye  per  se  una</w:t>
        <w:br/>
        <w:t xml:space="preserve">   forma  de  reparación[548].  No  obstante,  la  Corte  estima  pertinente</w:t>
        <w:br/>
        <w:t xml:space="preserve">   determinar el pago de una compensación por concepto de daños inmateriales</w:t>
        <w:br/>
        <w:t xml:space="preserve">   a favor de los familiares de  las  jóvenes  Herrera,  González  y  Ramos,</w:t>
        <w:br/>
        <w:t xml:space="preserve">   considerados víctimas de la violación al  artículo  5  de  la  Convención</w:t>
        <w:br/>
        <w:t xml:space="preserve">   Americana, en conexión con el artículo 1.1 de la misma.</w:t>
        <w:br/>
        <w:br/>
        <w:br/>
        <w:t>583.  La  Corte  concluyó  que  los  familiares  experimentaron   y   siguen</w:t>
        <w:br/>
        <w:t xml:space="preserve">   experimentando afectaciones en su integridad psíquica y  moral  debido  a</w:t>
        <w:br/>
        <w:t xml:space="preserve">   tres causas: i) la privación de la libertad, vejámenes y muerte  sufridos</w:t>
        <w:br/>
        <w:t xml:space="preserve">   por las jóvenes Herrera, González y Ramos; ii) las irregularidades en  la</w:t>
        <w:br/>
        <w:t xml:space="preserve">   investigación  de  las  autoridades  y   la   impunidad;   y   iii)   los</w:t>
        <w:br/>
        <w:t xml:space="preserve">   hostigamientos sufridos por los familiares indicados en  el  párrafo  440</w:t>
        <w:br/>
        <w:t xml:space="preserve">   supra.</w:t>
        <w:br/>
        <w:br/>
        <w:br/>
        <w:t>584. Teniendo en cuenta lo anterior, así como lo expuesto en el párrafo  560</w:t>
        <w:br/>
        <w:t xml:space="preserve">   supra, y considerando que es razonable el ofrecimiento estatal  de  pagar</w:t>
        <w:br/>
        <w:t xml:space="preserve">   US $10.000,00 (diez mil dólares de los Estados Unidos de América) a  cada</w:t>
        <w:br/>
        <w:t xml:space="preserve">   uno de los familiares de las víctimas, la  Corte  decide  partir  de  esa</w:t>
        <w:br/>
        <w:t xml:space="preserve">   cantidad y i) incluir a los familiares declarados víctimas en  este  caso</w:t>
        <w:br/>
        <w:t xml:space="preserve">   que no estaban considerados en el ofrecimiento estatal;  ii)  incrementar</w:t>
        <w:br/>
        <w:t xml:space="preserve">   tal cantidad en US$ 1.000,00  (mil  dólares  de  los  Estados  Unidos  de</w:t>
        <w:br/>
        <w:t xml:space="preserve">   América) para cada uno de los familiares, como forma de reparación por el</w:t>
        <w:br/>
        <w:t xml:space="preserve">   daño moral que produjeron las violaciones no reconocidas por  el  Estado;</w:t>
        <w:br/>
        <w:t xml:space="preserve">   iii) incrementar la cantidad  resultante  en  US$  4.000,00  (cuatro  mil</w:t>
        <w:br/>
        <w:t xml:space="preserve">   dólares de los Estados Unidos de América) a favor  de  las  tres  madres,</w:t>
        <w:br/>
        <w:t xml:space="preserve">   puesto que en ellas recayó la búsqueda de justicia;  iv)  incrementar  la</w:t>
        <w:br/>
        <w:t xml:space="preserve">   cantidad resultante en US$ 1.000,00 (mil dólares de los Estados Unidos de</w:t>
        <w:br/>
        <w:t xml:space="preserve">   América) a favor de Adrián Herrera Monreal, Claudia Ivonne y Daniel Ramos</w:t>
        <w:br/>
        <w:t xml:space="preserve">   Monárrez; Ramón Antonio Aragón Monárrez, y Claudia Dayana, Itzel Arely  y</w:t>
        <w:br/>
        <w:t xml:space="preserve">   Paola Alexandra  Bermúdez  Ramos  por  los  actos  de  hostigamiento  que</w:t>
        <w:br/>
        <w:t xml:space="preserve">   padecieron, y iv) incrementar la  cantidad  resultante  en  US$  3.000,00</w:t>
        <w:br/>
        <w:t xml:space="preserve">   (tres mil dólares de los Estados Unidos de América) a favor de la  señora</w:t>
        <w:br/>
        <w:t xml:space="preserve">   Benita Ramos Salgado, por los actos de hostigamiento que padeció.</w:t>
        <w:br/>
        <w:br/>
        <w:br/>
        <w:t>585. Asimismo, aunque los  representantes  no  lo  hubieren  solicitado,  el</w:t>
        <w:br/>
        <w:t xml:space="preserve">   Tribunal considera que es oportuno ordenar al Estado que indemnice a  las</w:t>
        <w:br/>
        <w:t xml:space="preserve">   jóvenes Herrera, Ramos y  González  por  la  falta  de  garantía  de  sus</w:t>
        <w:br/>
        <w:t xml:space="preserve">   derechos a la vida, integridad personal y libertad personal.  Para  fijar</w:t>
        <w:br/>
        <w:t xml:space="preserve">   la  cantidad  correspondiente,  la  Corte  tiene  en   consideración   su</w:t>
        <w:br/>
        <w:t xml:space="preserve">   jurisprudencia  en  casos  similares[549];  el  contexto  en  el  que  se</w:t>
        <w:br/>
        <w:t xml:space="preserve">   produjeron los hechos; la  edad  de  las  víctimas  y  las  consiguientes</w:t>
        <w:br/>
        <w:t xml:space="preserve">   obligaciones especiales del Estado para la protección de la niñez,  y  la</w:t>
        <w:br/>
        <w:t xml:space="preserve">   violencia  por  razones  de  género  que  sufrieron  las  tres  víctimas.</w:t>
        <w:br/>
        <w:t xml:space="preserve">   Consiguientemente, fija en equidad la cantidad de US$ 38.000,00  (treinta</w:t>
        <w:br/>
        <w:t xml:space="preserve">   y ocho mil dólares de los Estados Unidos de América) a favor  de  Claudia</w:t>
        <w:br/>
        <w:t xml:space="preserve">   Ivette González y US$ 40.000,00 (cuarenta  mil  dólares  de  los  Estados</w:t>
        <w:br/>
        <w:t xml:space="preserve">   Unidos de América) para cada una de las niñas Esmeralda Herrera Monreal y</w:t>
        <w:br/>
        <w:t xml:space="preserve">   Laura  Berenice  Ramos  Monárrez.  Dichas  cantidades  serán   repartidas</w:t>
        <w:br/>
        <w:t xml:space="preserve">   conforme al derecho sucesorio vigente en la actualidad en  el  estado  de</w:t>
        <w:br/>
        <w:t xml:space="preserve">   Chihuahua, México.</w:t>
        <w:br/>
        <w:br/>
        <w:br/>
        <w:t>586. Consecuentemente, el Estado deberá entregar las siguientes cantidades:</w:t>
        <w:br/>
        <w:br/>
        <w:t>|Víctima                            |Parentesco   |Monto        |</w:t>
        <w:br/>
        <w:t>|Esmeralda Herrera Monreal          |             |US$40.000,00 |</w:t>
        <w:br/>
        <w:t>|Irma Monreal Jaime                 |Madre        |US$15.000,00 |</w:t>
        <w:br/>
        <w:t>|Benigno Herrera Monreal            |Hermano      |US$11.000,00 |</w:t>
        <w:br/>
        <w:t>|Adrián Herrera Monreal             |Hermano      |US$12.000,00 |</w:t>
        <w:br/>
        <w:t>|Juan Antonio Herrera Monreal       |Hermano      |US$11.000,00 |</w:t>
        <w:br/>
        <w:t>|Cecilia Herrera Monreal            |Hermana      |US$11.000,00 |</w:t>
        <w:br/>
        <w:t>|Zulema Montijo Monreal             |Hermana      |US$11.000,00 |</w:t>
        <w:br/>
        <w:t>|Erick Montijo Monreal              |Hermano      |US$11.000,00 |</w:t>
        <w:br/>
        <w:t>|Juana Ballín Castro                |Cuñada       |US$11.000,00 |</w:t>
        <w:br/>
        <w:t>|Claudia Ivette González            |             |US$38.000,00 |</w:t>
        <w:br/>
        <w:t>|Irma Josefina González Rodríguez   |Madre        |US$15.000,00 |</w:t>
        <w:br/>
        <w:t>|Mayela Banda González              |Hermana      |US$11.000,00 |</w:t>
        <w:br/>
        <w:t>|Gema Iris González                 |Hermana      |US$11.000,00 |</w:t>
        <w:br/>
        <w:t>|Karla Arizbeth Hernández Banda     |Sobrina      |US$11.000,00 |</w:t>
        <w:br/>
        <w:t>|Jacqueline Hernández               |Sobrina      |US$11.000,00 |</w:t>
        <w:br/>
        <w:t>|Carlos Hernández Llamas            |Cuñado       |US$11.000,00 |</w:t>
        <w:br/>
        <w:t>|Laura Berenice Ramos Monárrez      |             |US$40.000,00 |</w:t>
        <w:br/>
        <w:t>|Benita Monárrez Salgado            |Madre        |US$18.000,00 |</w:t>
        <w:br/>
        <w:t>|Claudia Ivonne Ramos Monárrez      |Hermana      |US$12.000,00 |</w:t>
        <w:br/>
        <w:t>|Daniel Ramos Monárrez              |Hermano      |US$12.000,00 |</w:t>
        <w:br/>
        <w:t>|Ramón Antonio Aragón Monárrez      |Hermano      |US$12.000,00 |</w:t>
        <w:br/>
        <w:t>|Claudia Dayana Bermúdez Ramos      |Sobrina      |US$12.000,00 |</w:t>
        <w:br/>
        <w:t>|Itzel Arely Bermúdez Ramos         |Sobrina      |US$12.000,00 |</w:t>
        <w:br/>
        <w:t>|Paola Alexandra Bermúdez Ramos     |Sobrina      |US$12.000,00 |</w:t>
        <w:br/>
        <w:t>|Atziri Geraldine Bermúdez Ramos    |Sobrina      |US$12.000,00 |</w:t>
        <w:br/>
        <w:br/>
        <w:br/>
        <w:br/>
        <w:t xml:space="preserve">           6.2.2.     Daño al proyecto de vida de las víctimas</w:t>
        <w:br/>
        <w:br/>
        <w:br/>
        <w:t>587. Los representantes alegaron que las jóvenes Herrera, González  y  Ramos</w:t>
        <w:br/>
        <w:t xml:space="preserve">   sufrieron daños a su proyecto de vida por diversas causas.</w:t>
        <w:br/>
        <w:br/>
        <w:br/>
        <w:t>588. La Comisión y el Estado no realizaron alegatos al respecto.</w:t>
        <w:br/>
        <w:br/>
        <w:br/>
        <w:t>589. Además de que los representantes no  argumentaron  suficientemente  por</w:t>
        <w:br/>
        <w:t xml:space="preserve">   qué los actos del Estado afectaron el proyecto de  vida  de  las  jóvenes</w:t>
        <w:br/>
        <w:t xml:space="preserve">   Herrera, González y Ramos, la Corte sostiene que la reparación  por  daño</w:t>
        <w:br/>
        <w:t xml:space="preserve">   al proyecto de vida  no  procede  cuando  la  víctima  falleció,  al  ser</w:t>
        <w:br/>
        <w:t xml:space="preserve">   imposible reponer las expectativas de realización que razonablemente toda</w:t>
        <w:br/>
        <w:t xml:space="preserve">   persona tiene. Por tal razón, el Tribunal se abstiene de realizar mayores</w:t>
        <w:br/>
        <w:t xml:space="preserve">   consideraciones al respecto.</w:t>
        <w:br/>
        <w:br/>
        <w:br/>
        <w:br/>
        <w:br/>
        <w:br/>
        <w:t xml:space="preserve">      Costas y gastos</w:t>
        <w:br/>
        <w:br/>
        <w:br/>
        <w:t>590. Como ya lo ha  señalado  la  Corte  en  oportunidades  anteriores,  las</w:t>
        <w:br/>
        <w:t xml:space="preserve">   costas y gastos están comprendidos  dentro  del  concepto  de  reparación</w:t>
        <w:br/>
        <w:t xml:space="preserve">   consagrado en el artículo 63.1 de la Convención Americana[550].</w:t>
        <w:br/>
        <w:br/>
        <w:br/>
        <w:t>591. La Comisión solicitó que se ordene al Estado el pago de  las  costas  y</w:t>
        <w:br/>
        <w:t xml:space="preserve">   gastos razonables y necesarios debidamente probados, que se  originen  en</w:t>
        <w:br/>
        <w:t xml:space="preserve">   la tramitación del presente caso tanto en el ámbito interno como ante  el</w:t>
        <w:br/>
        <w:t xml:space="preserve">   Sistema Interamericano.</w:t>
        <w:br/>
        <w:br/>
        <w:br/>
        <w:t>592. Los representantes solicitaron el pago de gastos y costas originados  a</w:t>
        <w:br/>
        <w:t xml:space="preserve">   nivel nacional y a  nivel  internacional  en  la  tramitación  del  caso,</w:t>
        <w:br/>
        <w:t xml:space="preserve">   conforme a los montos estimados de la siguiente manera:</w:t>
        <w:br/>
        <w:br/>
        <w:br/>
        <w:t xml:space="preserve">      a.    La Asociación Nacional  de  Abogados  Democráticos  A.C.  (ANAD)</w:t>
        <w:br/>
        <w:t xml:space="preserve">      estimó sus costas y gastos, por concepto de  viajes  a  la  Ciudad  de</w:t>
        <w:br/>
        <w:t xml:space="preserve">      México,  viajes  a  Washington  DC,   viáticos   por   alojamiento   y</w:t>
        <w:br/>
        <w:t xml:space="preserve">      alimentación entre los años 2005 y 2008  en  Ciudad  Juárez,  pago  de</w:t>
        <w:br/>
        <w:t xml:space="preserve">      honorarios de abogados y otros gastos, por un total de  US  $44.776,11</w:t>
        <w:br/>
        <w:t xml:space="preserve">      (cuarenta y cuatro mil setecientos  setenta  y  seis  dólares  de  los</w:t>
        <w:br/>
        <w:t xml:space="preserve">      Estados Unidos de América con 11/100).</w:t>
        <w:br/>
        <w:br/>
        <w:br/>
        <w:t xml:space="preserve">      b.    El Centro para el Desarrollo  Integral  de  la  Mujer  (CEDIMAC)</w:t>
        <w:br/>
        <w:t xml:space="preserve">      estimó sus costas y gastos por concepto  de  investigación  entre  los</w:t>
        <w:br/>
        <w:t xml:space="preserve">      años 2003 a  2007,  representación  legal  y  gastos  de  intervención</w:t>
        <w:br/>
        <w:t xml:space="preserve">      psicológica y  atención  clínica,  por  un  total  de  US  $205.351,85</w:t>
        <w:br/>
        <w:t xml:space="preserve">      (doscientos cinco mil  trescientos  cincuenta  y  un  dólares  de  los</w:t>
        <w:br/>
        <w:t xml:space="preserve">      Estados Unidos de América con 85/100).</w:t>
        <w:br/>
        <w:br/>
        <w:br/>
        <w:t xml:space="preserve">      c.    El Comité de América Latina y el Caribe para la Defensa  de  los</w:t>
        <w:br/>
        <w:t xml:space="preserve">      Derechos de la Mujer (CLADEM), estimó sus costas y gastos por concepto</w:t>
        <w:br/>
        <w:t xml:space="preserve">      de viajes aéreos a  la  ciudad  de  México,  viajes  a  la  ciudad  de</w:t>
        <w:br/>
        <w:t xml:space="preserve">      Washington DC, pago de honorarios profesionales y otros gastos, por un</w:t>
        <w:br/>
        <w:t xml:space="preserve">      total de US $14.490,74 (catorce mil cuatrocientos noventa  dólares  de</w:t>
        <w:br/>
        <w:t xml:space="preserve">      los Estados Unidos de América con 74/100).</w:t>
        <w:br/>
        <w:br/>
        <w:br/>
        <w:t xml:space="preserve">      d.    La Red Ciudadana de la No Violencia y  Dignidad  Humana,  estimó</w:t>
        <w:br/>
        <w:t xml:space="preserve">      sus costas y gastos por un total de US $33.230,00 (treinta y tres  mil</w:t>
        <w:br/>
        <w:t xml:space="preserve">      doscientos treinta dólares de los  Estados  Unidos  de  América),  por</w:t>
        <w:br/>
        <w:t xml:space="preserve">      concepto de consulta ciudadana realizada en marzo de 2002,  traslados,</w:t>
        <w:br/>
        <w:t xml:space="preserve">      hospedaje y alimentación en los viajes realizados a ciudad de  México,</w:t>
        <w:br/>
        <w:t xml:space="preserve">      durante el periodo comprendido entre los años 2003 y 2005, viaje a  la</w:t>
        <w:br/>
        <w:t xml:space="preserve">      ciudad de Washington DC en octubre de 2006, honorarios profesionales y</w:t>
        <w:br/>
        <w:t xml:space="preserve">      otros gastos.</w:t>
        <w:br/>
        <w:br/>
        <w:br/>
        <w:t>593. El Estado  señaló  que  “los  gastos  y  costas  a  nivel  interno  que</w:t>
        <w:br/>
        <w:t xml:space="preserve">   familiares de la[s] víctima[s] pudieron haber costeado, fueron  cubiertos</w:t>
        <w:br/>
        <w:t xml:space="preserve">   por el Estado”. Asimismo, indicó que las costas  y  gastos  que  hubieren</w:t>
        <w:br/>
        <w:t xml:space="preserve">   erogado a nivel internacional son desconocidas por el Estado. A pesar  de</w:t>
        <w:br/>
        <w:t xml:space="preserve">   ello el Estado estimó que si las madres de cada víctima hubieren asistido</w:t>
        <w:br/>
        <w:t xml:space="preserve">   en tres ocasiones a reuniones en la sede de la Comisión, entre gastos  de</w:t>
        <w:br/>
        <w:t xml:space="preserve">   transporte y hospedaje, el monto a recibir por cada una  ascendería  a  $</w:t>
        <w:br/>
        <w:t xml:space="preserve">   81.500.00 (ochenta y un mil quinientos pesos mexicanos), aproximadamente.</w:t>
        <w:br/>
        <w:t xml:space="preserve">   Finalmente, el Estado añadió que no puede  reconocer  como  víctimas  del</w:t>
        <w:br/>
        <w:t xml:space="preserve">   procedimiento a las organizaciones representantes  de  las  víctimas,  de</w:t>
        <w:br/>
        <w:t xml:space="preserve">   manera que no pueden obtener a su favor sumas monetarias, ya que sólo las</w:t>
        <w:br/>
        <w:t xml:space="preserve">   víctimas pueden recibir como reparación el reembolso  de  gastos,  y  que</w:t>
        <w:br/>
        <w:t xml:space="preserve">   recibir la cantidad total de US $284.498,00 (doscientos ochenta y  cuatro</w:t>
        <w:br/>
        <w:t xml:space="preserve">   mil cuatrocientos noventa  y  ocho  dólares  de  los  Estados  Unidos  de</w:t>
        <w:br/>
        <w:t xml:space="preserve">   América) “resulta[ba] absurda y contraria a la equidad toda vez que e[ra]</w:t>
        <w:br/>
        <w:t xml:space="preserve">   superior al monto de compensación solicitado para cada una  de  las  tres</w:t>
        <w:br/>
        <w:t xml:space="preserve">   víctimas en el presente caso”.</w:t>
        <w:br/>
        <w:br/>
        <w:br/>
        <w:t>594. El Tribunal precisa que las  costas  y  gastos,  a  diferencia  de  las</w:t>
        <w:br/>
        <w:t xml:space="preserve">   medidas de indemnización, no se otorgan a  quienes  han  sido  declaradas</w:t>
        <w:br/>
        <w:t xml:space="preserve">   víctimas, porque las costas no son una indemnización. Dependiendo de  las</w:t>
        <w:br/>
        <w:t xml:space="preserve">   circunstancias del caso, corresponde  su  otorgamiento  a  la  persona  o</w:t>
        <w:br/>
        <w:t xml:space="preserve">   institución que representó a la víctima. El reembolso se justifica en  la</w:t>
        <w:br/>
        <w:t xml:space="preserve">   necesidad de no generar  un  perjuicio  económico  para  quienes  no  han</w:t>
        <w:br/>
        <w:t xml:space="preserve">   cometido la violación. La carga corresponde al Estado en el evento en que</w:t>
        <w:br/>
        <w:t xml:space="preserve">   se constate su responsabilidad internacional en la materia.</w:t>
        <w:br/>
        <w:br/>
        <w:br/>
        <w:t>595. Los  representantes  de  las  víctimas  no  aportaron  ningún  elemento</w:t>
        <w:br/>
        <w:t xml:space="preserve">   probatorio que comprobara los gastos que fueron alegados. Al respecto, el</w:t>
        <w:br/>
        <w:t xml:space="preserve">   Tribunal ha  señalado  que  “las  pretensiones  de  las  víctimas  o  sus</w:t>
        <w:br/>
        <w:t xml:space="preserve">   representantes en materia de costas y  gastos,  y  las  pruebas  que  las</w:t>
        <w:br/>
        <w:t xml:space="preserve">   sustentan, deben presentarse a la Corte en el primer momento procesal que</w:t>
        <w:br/>
        <w:t xml:space="preserve">   se les concede, esto es, en el escrito de solicitudes y  argumentos,  sin</w:t>
        <w:br/>
        <w:t xml:space="preserve">   perjuicio  de  que  tales  pretensiones  se  actualicen  en  un   momento</w:t>
        <w:br/>
        <w:t xml:space="preserve">   posterior, conforme a las nuevas costas y gastos en que se haya incurrido</w:t>
        <w:br/>
        <w:t xml:space="preserve">   con ocasión del procedimiento ante esta Corte”[551].</w:t>
        <w:br/>
        <w:br/>
        <w:br/>
        <w:t>596. La Corte observa que  el  Estado  hizo  un  ofrecimiento  de  pago  por</w:t>
        <w:br/>
        <w:t xml:space="preserve">   concepto de gastos y costas por la cantidad  de  $244.500,00  (doscientos</w:t>
        <w:br/>
        <w:t xml:space="preserve">   cuarenta y  cuatro  mil  quinientos  pesos  mexicanos)  por  concepto  de</w:t>
        <w:br/>
        <w:t xml:space="preserve">   reuniones de las madres de las jóvenes Herrera, Ramos y González ante  la</w:t>
        <w:br/>
        <w:t xml:space="preserve">   Comisión  Interamericana.  Asimismo,  el   Tribunal   observa   que   los</w:t>
        <w:br/>
        <w:t xml:space="preserve">   representantes no efectuaron manifestación  alguna  en  relación  con  la</w:t>
        <w:br/>
        <w:t xml:space="preserve">   afirmación del Estado según la cual se habrían cubierto  las  costas  del</w:t>
        <w:br/>
        <w:t xml:space="preserve">   fuero  interno.  Sin  embargo,  el  Tribunal  también  advierte  que  los</w:t>
        <w:br/>
        <w:t xml:space="preserve">   representantes de las víctimas incurrieron en gastos para  asistir  a  la</w:t>
        <w:br/>
        <w:t xml:space="preserve">   audiencia pública del caso celebrada en la ciudad de Santiago, Chile, así</w:t>
        <w:br/>
        <w:t xml:space="preserve">   como gastos relativos al ejercicio de su representación legal, tales como</w:t>
        <w:br/>
        <w:t xml:space="preserve">   la remisión de sus escritos, gastos de comunicación, entre otros, durante</w:t>
        <w:br/>
        <w:t xml:space="preserve">   el proceso ante este Tribunal. Teniendo en cuenta lo anterior y  ante  la</w:t>
        <w:br/>
        <w:t xml:space="preserve">   falta de comprobantes de estos gastos,  determina,  en  equidad,  que  el</w:t>
        <w:br/>
        <w:t xml:space="preserve">   Estado debe entregar la cantidad de US$ 45.000,00 (cuarenta y  cinco  mil</w:t>
        <w:br/>
        <w:t xml:space="preserve">   dólares de los Estados Unidos de América) a las  madres  de  las  jóvenes</w:t>
        <w:br/>
        <w:t xml:space="preserve">   Herrera, Ramos y González quienes entregarán, en su caso, la cantidad que</w:t>
        <w:br/>
        <w:t xml:space="preserve">   estimen adecuada a sus representantes, por concepto de costas  y  gastos.</w:t>
        <w:br/>
        <w:t xml:space="preserve">   Este monto incluye los gastos futuros en que puedan incurrir  durante  la</w:t>
        <w:br/>
        <w:t xml:space="preserve">   supervisión del cumplimiento de esta Sentencia  y  deberá  ser  entregado</w:t>
        <w:br/>
        <w:t xml:space="preserve">   dentro de un año a partir de la notificación de la presente Sentencia.</w:t>
        <w:br/>
        <w:br/>
        <w:br/>
        <w:br/>
        <w:br/>
        <w:br/>
        <w:t xml:space="preserve">      Modalidad de cumplimiento de los pagos ordenados</w:t>
        <w:br/>
        <w:br/>
        <w:br/>
        <w:t>597. El pago de la  indemnización  por  daño  material  e  inmaterial  y  el</w:t>
        <w:br/>
        <w:t xml:space="preserve">   reintegro de costas y gastos establecidos en la presente Sentencia  serán</w:t>
        <w:br/>
        <w:t xml:space="preserve">   hechos directamente a las personas indicadas en la misma, en el plazo  de</w:t>
        <w:br/>
        <w:t xml:space="preserve">   un año, contado a partir de su notificación, considerando lo indicado  en</w:t>
        <w:br/>
        <w:t xml:space="preserve">   los párrafos 578 y 585 de la misma. En caso  de  fallecimiento  de  algún</w:t>
        <w:br/>
        <w:t xml:space="preserve">   beneficiario con anterioridad al  pago  de  las  cantidades  respectivas,</w:t>
        <w:br/>
        <w:t xml:space="preserve">   éstas se entregarán a sus derechohabientes, conforme al  derecho  interno</w:t>
        <w:br/>
        <w:t xml:space="preserve">   aplicable.</w:t>
        <w:br/>
        <w:br/>
        <w:br/>
        <w:t>598. El Estado deberá cumplir con las obligaciones  monetarias  mediante  el</w:t>
        <w:br/>
        <w:t xml:space="preserve">   pago en dólares de los Estados Unidos de  América  o  su  equivalente  en</w:t>
        <w:br/>
        <w:t xml:space="preserve">   moneda nacional, utilizando para el cálculo respectivo el tipo de  cambio</w:t>
        <w:br/>
        <w:t xml:space="preserve">   que se encuentre vigente en la bolsa de Nueva York, el  día  anterior  al</w:t>
        <w:br/>
        <w:t xml:space="preserve">   pago.</w:t>
        <w:br/>
        <w:br/>
        <w:br/>
        <w:t>599. Si por causas atribuibles a los beneficiarios de las indemnizaciones  o</w:t>
        <w:br/>
        <w:t xml:space="preserve">   a sus derechohabientes  no  fuese  posible  el  pago  de  las  cantidades</w:t>
        <w:br/>
        <w:t xml:space="preserve">   determinadas dentro del plazo indicado, el Estado consignará dicho  monto</w:t>
        <w:br/>
        <w:t xml:space="preserve">   a su favor en una cuenta o certificado de  depósito  en  una  institución</w:t>
        <w:br/>
        <w:t xml:space="preserve">   financiera mexicana  solvente,  y  en  las  condiciones  financieras  más</w:t>
        <w:br/>
        <w:t xml:space="preserve">   favorables que permitan la legislación y la práctica bancaria. Si al cabo</w:t>
        <w:br/>
        <w:t xml:space="preserve">   de 10 años el monto asignado no ha sido reclamado, las  cantidades  serán</w:t>
        <w:br/>
        <w:t xml:space="preserve">   devueltas al Estado con los intereses devengados.</w:t>
        <w:br/>
        <w:br/>
        <w:br/>
        <w:t>600. Las cantidades asignadas en la presente Sentencia bajo el  concepto  de</w:t>
        <w:br/>
        <w:t xml:space="preserve">   indemnizaciones y reintegro de costas y gastos, no podrán ser afectadas o</w:t>
        <w:br/>
        <w:t xml:space="preserve">   condicionadas por motivos fiscales actuales o futuros. Por ende,  deberán</w:t>
        <w:br/>
        <w:t xml:space="preserve">   ser entregadas a  los  beneficiarios  en  forma  íntegra  conforme  a  lo</w:t>
        <w:br/>
        <w:t xml:space="preserve">   establecido en esta Sentencia.</w:t>
        <w:br/>
        <w:br/>
        <w:br/>
        <w:t>601. En caso de que el Estado incurriera en mora, deberá  pagar  un  interés</w:t>
        <w:br/>
        <w:t xml:space="preserve">   sobre la cantidad adecuada, correspondiente al interés bancario moratorio</w:t>
        <w:br/>
        <w:t xml:space="preserve">   en México.</w:t>
        <w:br/>
        <w:br/>
        <w:br/>
        <w:br/>
        <w:br/>
        <w:br/>
        <w:t xml:space="preserve">                                      X</w:t>
        <w:br/>
        <w:br/>
        <w:br/>
        <w:t xml:space="preserve">                             PUNTOS RESOLUTIVOS</w:t>
        <w:br/>
        <w:br/>
        <w:br/>
        <w:t>602. 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t>por unanimidad,</w:t>
        <w:br/>
        <w:br/>
        <w:br/>
        <w:t xml:space="preserve">   1. Aceptar  parcialmente  la  excepción  preliminar  interpuesta  por  el</w:t>
        <w:br/>
        <w:t xml:space="preserve">      Estado, de conformidad con  los  párrafos  31  y  80  de  la  presente</w:t>
        <w:br/>
        <w:t xml:space="preserve">      Sentencia y, por ende, declarar que: i) tiene competencia  contenciosa</w:t>
        <w:br/>
        <w:t xml:space="preserve">      en razón de  la  materia  para  conocer  de  alegadas  violaciones  al</w:t>
        <w:br/>
        <w:t xml:space="preserve">      artículo 7 de la Convención Belém do Pará, y ii) no tiene  competencia</w:t>
        <w:br/>
        <w:t xml:space="preserve">      contenciosa  en  razón  de  la  materia  para  conocer  de   supuestas</w:t>
        <w:br/>
        <w:t xml:space="preserve">      violaciones a los artículos 8 y 9 de dicho instrumento internacional.</w:t>
        <w:br/>
        <w:br/>
        <w:br/>
        <w:t xml:space="preserve">   2. Aceptar el reconocimiento  parcial  de  responsabilidad  internacional</w:t>
        <w:br/>
        <w:t xml:space="preserve">      efectuado por el Estado, en los términos de los párrafos 20 a 30 de la</w:t>
        <w:br/>
        <w:t xml:space="preserve">      presente Sentencia.</w:t>
        <w:br/>
        <w:br/>
        <w:br/>
        <w:br/>
        <w:br/>
        <w:br/>
        <w:t>DECLARA,</w:t>
        <w:br/>
        <w:br/>
        <w:br/>
        <w:t>por unanimidad, que,</w:t>
        <w:br/>
        <w:br/>
        <w:br/>
        <w:t xml:space="preserve">   3.  No  puede  atribuir  al  Estado  responsabilidad  internacional   por</w:t>
        <w:br/>
        <w:t xml:space="preserve">      violaciones a los derechos sustantivos consagrados en los artículos  4</w:t>
        <w:br/>
        <w:t xml:space="preserve">      (Derecho a la Vida), 5 (Derecho a la Integridad Personal) y 7 (Derecho</w:t>
        <w:br/>
        <w:t xml:space="preserve">      a la Libertad Personal) de  la  Convención  Americana  sobre  Derechos</w:t>
        <w:br/>
        <w:t xml:space="preserve">      Humanos, derivadas del incumplimiento  de  la  obligación  de  respeto</w:t>
        <w:br/>
        <w:t xml:space="preserve">      contenida en el artículo 1.1 de  la  misma,  de  conformidad  con  los</w:t>
        <w:br/>
        <w:t xml:space="preserve">      párrafos 238 a 242 de esta Sentencia.</w:t>
        <w:br/>
        <w:br/>
        <w:br/>
        <w:t xml:space="preserve">   4. El Estado violó los derechos a la vida, integridad personal y libertad</w:t>
        <w:br/>
        <w:t xml:space="preserve">      personal reconocidos en los artículos  4.1,  5.1,  5.2  y  7.1  de  la</w:t>
        <w:br/>
        <w:t xml:space="preserve">      Convención  Americana,  en  relación  con  la  obligación  general  de</w:t>
        <w:br/>
        <w:t xml:space="preserve">      garantía contemplada en el artículo 1.1 y  la  obligación  de  adoptar</w:t>
        <w:br/>
        <w:t xml:space="preserve">      disposiciones de derecho interno contemplada en el artículo  2  de  la</w:t>
        <w:br/>
        <w:t xml:space="preserve">      misma, así como con las obligaciones contempladas en el artículo 7.b y</w:t>
        <w:br/>
        <w:t xml:space="preserve">      7.c de la Convención Belém do Pará, en  perjuicio  de  Claudia  Ivette</w:t>
        <w:br/>
        <w:t xml:space="preserve">      González, Laura Berenice Ramos Monárrez y Esmeralda  Herrera  Monreal,</w:t>
        <w:br/>
        <w:t xml:space="preserve">      en los términos de los párrafos 243 a 286 de la presente Sentencia.</w:t>
        <w:br/>
        <w:br/>
        <w:br/>
        <w:t xml:space="preserve">   5. El Estado incumplió con su deber de investigar -y con ello su deber de</w:t>
        <w:br/>
        <w:t xml:space="preserve">      garantizar- los derechos a la vida,  integridad  personal  y  libertad</w:t>
        <w:br/>
        <w:t xml:space="preserve">      personal, consagrados en los artículos 4.1,  5.1,  5.2  y  7.1  de  la</w:t>
        <w:br/>
        <w:t xml:space="preserve">      Convención Americana, en relación con los artículos  1.1  y  2  de  la</w:t>
        <w:br/>
        <w:t xml:space="preserve">      misma y con el artículo 7.b y 7.c de la Convención Belém do  Pará,  en</w:t>
        <w:br/>
        <w:t xml:space="preserve">      perjuicio de Claudia Ivette González, Laura Berenice Ramos Monárrez  y</w:t>
        <w:br/>
        <w:t xml:space="preserve">      Esmeralda Herrera Monreal. Por los mismos motivos, el Estado violó los</w:t>
        <w:br/>
        <w:t xml:space="preserve">      derechos de acceso a la justicia y protección judicial, consagrados en</w:t>
        <w:br/>
        <w:t xml:space="preserve">      los artículos 8.1 y 25.1 de la Convención Americana, en  relación  con</w:t>
        <w:br/>
        <w:t xml:space="preserve">      los artículos 1.1 y 2 de la misma y 7.b y 7.c de la  Convención  Belém</w:t>
        <w:br/>
        <w:t xml:space="preserve">      do Pará, en perjuicio de: Irma Monreal Jaime, Benigno Herrera Monreal,</w:t>
        <w:br/>
        <w:t xml:space="preserve">      Adrián Herrera Monreal, Juan Antonio Herrera Monreal, Cecilia  Herrera</w:t>
        <w:br/>
        <w:t xml:space="preserve">      Monreal, Zulema Montijo Monreal, Erick Montijo Monreal,  Juana  Ballín</w:t>
        <w:br/>
        <w:t xml:space="preserve">      Castro, Irma Josefina González Rodríguez, Mayela Banda González,  Gema</w:t>
        <w:br/>
        <w:t xml:space="preserve">      Iris González, Karla Arizbeth Hernández Banda,  Jacqueline  Hernández,</w:t>
        <w:br/>
        <w:t xml:space="preserve">      Carlos Hernández Llamas, Benita Monárrez Salgado, Claudia Ivonne Ramos</w:t>
        <w:br/>
        <w:t xml:space="preserve">      Monárrez,  Daniel  Ramos  Monárrez,  Ramón  Antonio  Aragón  Monárrez,</w:t>
        <w:br/>
        <w:t xml:space="preserve">      Claudia Dayana Bermúdez  Ramos,  Itzel  Arely  Bermúdez  Ramos,  Paola</w:t>
        <w:br/>
        <w:t xml:space="preserve">      Alexandra  Bermúdez  Ramos  y  Atziri  Geraldine  Bermúdez  Ramos,  de</w:t>
        <w:br/>
        <w:t xml:space="preserve">      conformidad con los párrafos 287 a 389 de la presente Sentencia.</w:t>
        <w:br/>
        <w:br/>
        <w:br/>
        <w:t xml:space="preserve">   6. El Estado violó el deber de no discriminación contenido en el artículo</w:t>
        <w:br/>
        <w:t xml:space="preserve">      1.1 de la Convención Americana, en relación con el deber  de  garantía</w:t>
        <w:br/>
        <w:t xml:space="preserve">      de los derechos a la vida, integridad personal  y  libertad  personal,</w:t>
        <w:br/>
        <w:t xml:space="preserve">      consagrados en los artículos 4.1, 5.1, 5.2 y 7.1 de dicho tratado,  en</w:t>
        <w:br/>
        <w:t xml:space="preserve">      perjuicio de Laura Berenice Ramos Monárrez, Esmeralda Herrera  Monreal</w:t>
        <w:br/>
        <w:t xml:space="preserve">      y Claudia Ivette González; así como en relación con  el  acceso  a  la</w:t>
        <w:br/>
        <w:t xml:space="preserve">      justicia consagrado en los artículos  8.1  y  25.1  de  la  mencionada</w:t>
        <w:br/>
        <w:t xml:space="preserve">      Convención, en  perjuicio  de  Irma  Monreal  Jaime,  Benigno  Herrera</w:t>
        <w:br/>
        <w:t xml:space="preserve">      Monreal, Adrián Herrera Monreal, Juan Antonio Herrera Monreal, Cecilia</w:t>
        <w:br/>
        <w:t xml:space="preserve">      Herrera Monreal, Zulema Montijo Monreal, Erick Montijo Monreal,  Juana</w:t>
        <w:br/>
        <w:t xml:space="preserve">      Ballín  Castro,  Irma  Josefina  González  Rodríguez,   Mayela   Banda</w:t>
        <w:br/>
        <w:t xml:space="preserve">      González,  Gema  Iris  González,  Karla  Arizbeth   Hernández   Banda,</w:t>
        <w:br/>
        <w:t xml:space="preserve">      Jacqueline  Hernández,  Carlos  Hernández  Llamas,   Benita   Monárrez</w:t>
        <w:br/>
        <w:t xml:space="preserve">      Salgado, Claudia Ivonne Ramos Monárrez, Daniel Ramos  Monárrez,  Ramón</w:t>
        <w:br/>
        <w:t xml:space="preserve">      Antonio Aragón Monárrez, Claudia Dayana Bermúdez  Ramos,  Itzel  Arely</w:t>
        <w:br/>
        <w:t xml:space="preserve">      Bermúdez Ramos, Paola Alexandra  Bermúdez  Ramos  y  Atziri  Geraldine</w:t>
        <w:br/>
        <w:t xml:space="preserve">      Bermúdez Ramos, en los términos de  los  párrafos  390  a  402  de  la</w:t>
        <w:br/>
        <w:t xml:space="preserve">      presente Sentencia.</w:t>
        <w:br/>
        <w:br/>
        <w:br/>
        <w:t xml:space="preserve">   7. El Estado violó los derechos del niño, consagrados en el  artículo  19</w:t>
        <w:br/>
        <w:t xml:space="preserve">      de la Convención Americana, en relación con los artículos 1.1 y  2  de</w:t>
        <w:br/>
        <w:t xml:space="preserve">      la misma, en perjuicio de las niñas Esmeralda Herrera Monreal y  Laura</w:t>
        <w:br/>
        <w:t xml:space="preserve">      Berenice Ramos Monárrez, de conformidad con los párrafos 403 a 411  de</w:t>
        <w:br/>
        <w:t xml:space="preserve">      la presente Sentencia.</w:t>
        <w:br/>
        <w:br/>
        <w:br/>
        <w:t xml:space="preserve">   8. El Estado violó el derecho a la integridad personal ,consagrado en  el</w:t>
        <w:br/>
        <w:t xml:space="preserve">      artículo 5.1 y 5.2 de la Convención  Americana,  en  relación  con  el</w:t>
        <w:br/>
        <w:t xml:space="preserve">      artículo 1.1 de la misma, por los sufrimientos causados a Irma Monreal</w:t>
        <w:br/>
        <w:t xml:space="preserve">      Jaime, Benigno Herrera Monreal, Adrián Herrera Monreal,  Juan  Antonio</w:t>
        <w:br/>
        <w:t xml:space="preserve">      Herrera Monreal, Cecilia  Herrera  Monreal,  Zulema  Montijo  Monreal,</w:t>
        <w:br/>
        <w:t xml:space="preserve">      Erick Montijo Monreal, Juana Ballín  Castro,  Irma  Josefina  González</w:t>
        <w:br/>
        <w:t xml:space="preserve">      Rodríguez, Mayela Banda González, Gema Iris González,  Karla  Arizbeth</w:t>
        <w:br/>
        <w:t xml:space="preserve">      Hernández Banda, Jacqueline Hernández, Carlos Hernández Llamas, Benita</w:t>
        <w:br/>
        <w:t xml:space="preserve">      Monárrez  Salgado,  Claudia  Ivonne  Ramos  Monárrez,   Daniel   Ramos</w:t>
        <w:br/>
        <w:t xml:space="preserve">      Monárrez, Ramón  Antonio  Aragón  Monárrez,  Claudia  Dayana  Bermúdez</w:t>
        <w:br/>
        <w:t xml:space="preserve">      Ramos, Itzel Arely Bermúdez Ramos, Paola Alexandra  Bermúdez  Ramos  y</w:t>
        <w:br/>
        <w:t xml:space="preserve">      Atziri Geraldine Bermúdez Ramos, en los términos de los párrafos 413 a</w:t>
        <w:br/>
        <w:t xml:space="preserve">      424 de la presente Sentencia.</w:t>
        <w:br/>
        <w:br/>
        <w:br/>
        <w:t xml:space="preserve">   9. El Estado violó el derecho a la integridad personal, consagrado en  el</w:t>
        <w:br/>
        <w:t xml:space="preserve">      artículo 5.1 y 5.2 de la Convención  Americana,  en  relación  con  el</w:t>
        <w:br/>
        <w:t xml:space="preserve">      artículo 1.1 de la misma, por los actos de hostigamiento que sufrieron</w:t>
        <w:br/>
        <w:t xml:space="preserve">      Adrián Herrera Monreal, Benita Monárrez Salgado, Claudia Ivonne  Ramos</w:t>
        <w:br/>
        <w:t xml:space="preserve">      Monárrez,  Daniel  Ramos  Monárrez,  Ramón  Antonio  Aragón  Monárrez,</w:t>
        <w:br/>
        <w:t xml:space="preserve">      Claudia Dayana Bermúdez  Ramos,  Itzel  Arely  Bermúdez  Ramos,  Paola</w:t>
        <w:br/>
        <w:t xml:space="preserve">      Alexandra Bermúdez Ramos y Atziri Geraldine  Bermúdez  Ramos,  en  los</w:t>
        <w:br/>
        <w:t xml:space="preserve">      términos de los párrafos 425 a 440 de la presente Sentencia.</w:t>
        <w:br/>
        <w:br/>
        <w:br/>
        <w:t xml:space="preserve">  10. El Estado no violó el derecho a la protección de  la  honra  y  de  la</w:t>
        <w:br/>
        <w:t xml:space="preserve">      dignidad, consagrado en el artículo 11 de la Convención Americana,  en</w:t>
        <w:br/>
        <w:t xml:space="preserve">      los términos de los párrafos 441 a 445 de la presente Sentencia.</w:t>
        <w:br/>
        <w:br/>
        <w:br/>
        <w:br/>
        <w:br/>
        <w:br/>
        <w:t>Y, DISPONE</w:t>
        <w:br/>
        <w:br/>
        <w:br/>
        <w:t>por unanimidad, que,</w:t>
        <w:br/>
        <w:br/>
        <w:br/>
        <w:t xml:space="preserve">  11. Esta Sentencia constituye per se una forma de reparación.</w:t>
        <w:br/>
        <w:br/>
        <w:br/>
        <w:t xml:space="preserve">  12. El Estado deberá, conforme a los párrafos 452 a 455 de esta Sentencia,</w:t>
        <w:br/>
        <w:t xml:space="preserve">      conducir eficazmente el proceso penal en curso y, de ser el caso,  los</w:t>
        <w:br/>
        <w:t xml:space="preserve">      que se llegasen a abrir, para identificar, procesar  y,  en  su  caso,</w:t>
        <w:br/>
        <w:t xml:space="preserve">      sancionar  a  los  responsables  materiales  e  intelectuales  de   la</w:t>
        <w:br/>
        <w:t xml:space="preserve">      desaparición,  maltratos  y  privación  de  la  vida  de  las  jóvenes</w:t>
        <w:br/>
        <w:t xml:space="preserve">      González, Herrera y Ramos, conforme a las siguientes directrices:</w:t>
        <w:br/>
        <w:br/>
        <w:br/>
        <w:t xml:space="preserve">        i) se deberá remover todos los obstáculos de jure o  de  facto  que</w:t>
        <w:br/>
        <w:t xml:space="preserve">           impidan la debida investigación de los hechos y el desarrollo de</w:t>
        <w:br/>
        <w:t xml:space="preserve">           los respectivos procesos judiciales, y  usar  todos  los  medios</w:t>
        <w:br/>
        <w:t xml:space="preserve">           disponibles  para  hacer  que  las  investigaciones  y  procesos</w:t>
        <w:br/>
        <w:t xml:space="preserve">           judiciales sean expeditos a  fin  de  evitar  la  repetición  de</w:t>
        <w:br/>
        <w:t xml:space="preserve">           hechos iguales o análogos a los del presente caso;</w:t>
        <w:br/>
        <w:br/>
        <w:br/>
        <w:t xml:space="preserve">       ii) la investigación  deberá  incluir  una  perspectiva  de  género;</w:t>
        <w:br/>
        <w:t xml:space="preserve">           emprender  líneas  de  investigación  específicas   respecto   a</w:t>
        <w:br/>
        <w:t xml:space="preserve">           violencia sexual, para lo cuál se deben involucrar las líneas de</w:t>
        <w:br/>
        <w:t xml:space="preserve">           investigación  sobre  los  patrones  respectivos  en  la   zona;</w:t>
        <w:br/>
        <w:t xml:space="preserve">           realizarse conforme a protocolos y manuales que cumplan con  los</w:t>
        <w:br/>
        <w:t xml:space="preserve">           lineamientos  de  esta  Sentencia;   proveer   regularmente   de</w:t>
        <w:br/>
        <w:t xml:space="preserve">           información a los familiares de las víctimas sobre  los  avances</w:t>
        <w:br/>
        <w:t xml:space="preserve">           en la investigación y darles pleno acceso a los  expedientes,  y</w:t>
        <w:br/>
        <w:t xml:space="preserve">           realizarse  por  funcionarios  altamente  capacitados  en  casos</w:t>
        <w:br/>
        <w:t xml:space="preserve">           similares y en atención a víctimas de discriminación y violencia</w:t>
        <w:br/>
        <w:t xml:space="preserve">           por razón de género;</w:t>
        <w:br/>
        <w:br/>
        <w:br/>
        <w:t xml:space="preserve">      iii) deberá asegurarse que los distintos órganos que participen en el</w:t>
        <w:br/>
        <w:t xml:space="preserve">           procedimiento de investigación y los procesos judiciales cuenten</w:t>
        <w:br/>
        <w:t xml:space="preserve">           con los recursos humanos y materiales necesarios para desempeñar</w:t>
        <w:br/>
        <w:t xml:space="preserve">           las tareas de manera adecuada, independiente e imparcial, y  que</w:t>
        <w:br/>
        <w:t xml:space="preserve">           las personas que participen en la investigación cuenten con  las</w:t>
        <w:br/>
        <w:t xml:space="preserve">           debidas garantías de seguridad, y</w:t>
        <w:br/>
        <w:br/>
        <w:br/>
        <w:t xml:space="preserve">       iv)  los  resultados  de  los  procesos  deberán  ser   públicamente</w:t>
        <w:br/>
        <w:t xml:space="preserve">           divulgados para que la  sociedad  mexicana  conozca  los  hechos</w:t>
        <w:br/>
        <w:t xml:space="preserve">           objeto del presente caso.</w:t>
        <w:br/>
        <w:br/>
        <w:br/>
        <w:t xml:space="preserve">  13. El Estado deberá,  dentro  de  un  plazo  razonable,  investigar,  por</w:t>
        <w:br/>
        <w:t xml:space="preserve">      intermedio  de  las  instituciones   públicas   competentes,   a   los</w:t>
        <w:br/>
        <w:t xml:space="preserve">      funcionarios  acusados  de  irregularidades  y,  luego  de  un  debido</w:t>
        <w:br/>
        <w:t xml:space="preserve">      proceso, aplicará  las  sanciones  administrativas,  disciplinarias  o</w:t>
        <w:br/>
        <w:t xml:space="preserve">      penales correspondientes a quienes  fueran  encontrados  responsables,</w:t>
        <w:br/>
        <w:t xml:space="preserve">      conforme a lo expuesto en los párrafos 456 a 460 de esta Sentencia.</w:t>
        <w:br/>
        <w:br/>
        <w:br/>
        <w:t xml:space="preserve">  14.  El  Estado  deberá  realizar,  dentro  de  un  plazo  razonable,  las</w:t>
        <w:br/>
        <w:t xml:space="preserve">      investigaciones correspondientes  y,  en  su  caso,  sancionar  a  los</w:t>
        <w:br/>
        <w:t xml:space="preserve">      responsables de los hostigamientos de los que han sido  objeto  Adrián</w:t>
        <w:br/>
        <w:t xml:space="preserve">      Herrera  Monreal,  Benita  Monárrez  Salgado,  Claudia  Ivonne   Ramos</w:t>
        <w:br/>
        <w:t xml:space="preserve">      Monárrez,  Daniel  Ramos  Monárrez,  Ramón  Antonio  Aragón  Monárrez,</w:t>
        <w:br/>
        <w:t xml:space="preserve">      Claudia Dayana Bermúdez  Ramos,  Itzel  Arely  Bermúdez  Ramos,  Paola</w:t>
        <w:br/>
        <w:t xml:space="preserve">      Alexandra  Bermúdez  Ramos  y  Atziri  Geraldine  Bermúdez  Ramos,  de</w:t>
        <w:br/>
        <w:t xml:space="preserve">      conformidad con lo  expuesto  en  los  párrafos  461  y  462  de  esta</w:t>
        <w:br/>
        <w:t xml:space="preserve">      Sentencia.</w:t>
        <w:br/>
        <w:br/>
        <w:br/>
        <w:t xml:space="preserve">  15. El  Estado  deberá,  en  el  plazo  de  seis  meses  a  partir  de  la</w:t>
        <w:br/>
        <w:t xml:space="preserve">      notificación de la presente Sentencia, publicar en el  Diario  Oficial</w:t>
        <w:br/>
        <w:t xml:space="preserve">      de la Federación, en un diario de amplia circulación nacional y en  un</w:t>
        <w:br/>
        <w:t xml:space="preserve">      diario de amplia circulación en el estado de Chihuahua, por  una  sola</w:t>
        <w:br/>
        <w:t xml:space="preserve">      vez, los párrafos 113 a 136, 146 a 168, 171 a 181, 185 a  195,  198  a</w:t>
        <w:br/>
        <w:t xml:space="preserve">      209 y 212 a 221 de esta Sentencia  y  los  puntos  resolutivos  de  la</w:t>
        <w:br/>
        <w:t xml:space="preserve">      misma,  sin   las   notas   al   pie   de   página   correspondientes.</w:t>
        <w:br/>
        <w:t xml:space="preserve">      Adicionalmente, el Estado deberá, dentro del mismo plazo, publicar  la</w:t>
        <w:br/>
        <w:t xml:space="preserve">      presente Sentencia íntegramente en una página electrónica oficial  del</w:t>
        <w:br/>
        <w:t xml:space="preserve">      Estado. Todo ello de conformidad con el párrafo 468 de esta Sentencia.</w:t>
        <w:br/>
        <w:br/>
        <w:br/>
        <w:t xml:space="preserve">  16. El Estado deberá, en el plazo de un año a partir de la notificación de</w:t>
        <w:br/>
        <w:t xml:space="preserve">      esta  Sentencia,  realizar  un  acto  público  de  reconocimiento   de</w:t>
        <w:br/>
        <w:t xml:space="preserve">      responsabilidad internacional, en relación con los hechos del presente</w:t>
        <w:br/>
        <w:t xml:space="preserve">      caso, en  honor  a  la  memoria  de  Laura  Berenice  Ramos  Monárrez,</w:t>
        <w:br/>
        <w:t xml:space="preserve">      Esmeralda Herrera Monreal y Claudia Ivette González, en  los  términos</w:t>
        <w:br/>
        <w:t xml:space="preserve">      de los párrafos 469 y 470 de la presente Sentencia.</w:t>
        <w:br/>
        <w:br/>
        <w:br/>
        <w:t xml:space="preserve">  17. El Estado deberá, en el plazo de un año a partir de la notificación de</w:t>
        <w:br/>
        <w:t xml:space="preserve">      esta Sentencia, levantar  un  monumento  en  memoria  de  las  mujeres</w:t>
        <w:br/>
        <w:t xml:space="preserve">      víctimas de homicidio por razones de género en Ciudad Juárez,  en  los</w:t>
        <w:br/>
        <w:t xml:space="preserve">      términos de los párrafos 471  y  472  de  la  presente  Sentencia.  El</w:t>
        <w:br/>
        <w:t xml:space="preserve">      monumento se develará en la  misma  ceremonia  en  la  que  el  Estado</w:t>
        <w:br/>
        <w:t xml:space="preserve">      reconozca   públicamente   su   responsabilidad   internacional,    en</w:t>
        <w:br/>
        <w:t xml:space="preserve">      cumplimiento de lo ordenado en el punto resolutivo anterior.</w:t>
        <w:br/>
        <w:br/>
        <w:br/>
        <w:t xml:space="preserve">  18.  El  Estado  deberá,  en  un  plazo  razonable,   continuar   con   la</w:t>
        <w:br/>
        <w:t xml:space="preserve">      estandarización  de  todos   sus   protocolos,   manuales,   criterios</w:t>
        <w:br/>
        <w:t xml:space="preserve">      ministeriales de investigación, servicios periciales y de  impartición</w:t>
        <w:br/>
        <w:t xml:space="preserve">      de justicia, utilizados para  investigar  todos  los  delitos  que  se</w:t>
        <w:br/>
        <w:t xml:space="preserve">      relacionen  con  desapariciones,  violencia  sexual  y  homicidios  de</w:t>
        <w:br/>
        <w:t xml:space="preserve">      mujeres, conforme  al  Protocolo  de  Estambul,  el  Manual  sobre  la</w:t>
        <w:br/>
        <w:t xml:space="preserve">      Prevención e Investigación Efectiva  de  Ejecuciones  Extrajudiciales,</w:t>
        <w:br/>
        <w:t xml:space="preserve">      Arbitrarias  y  Sumarias  de  Naciones   Unidas   y   los   estándares</w:t>
        <w:br/>
        <w:t xml:space="preserve">      internacionales de búsqueda de personas desaparecidas, con base en una</w:t>
        <w:br/>
        <w:t xml:space="preserve">      perspectiva de género, conforme a lo dispuesto en los párrafos  497  a</w:t>
        <w:br/>
        <w:t xml:space="preserve">      502 de esta Sentencia. Al respecto, se deberá rendir un informe  anual</w:t>
        <w:br/>
        <w:t xml:space="preserve">      durante tres años.</w:t>
        <w:br/>
        <w:br/>
        <w:br/>
        <w:t xml:space="preserve">  19. El Estado deberá, en un plazo  razonable  y  de  conformidad  con  los</w:t>
        <w:br/>
        <w:t xml:space="preserve">      párrafos 503 a 506 de esta Sentencia, adecuar el Protocolo Alba, o  en</w:t>
        <w:br/>
        <w:t xml:space="preserve">      su defecto implementar un nuevo dispositivo análogo,  conforme  a  las</w:t>
        <w:br/>
        <w:t xml:space="preserve">      siguientes directrices, debiendo rendir un informe anual durante  tres</w:t>
        <w:br/>
        <w:t xml:space="preserve">      años:</w:t>
        <w:br/>
        <w:br/>
        <w:br/>
        <w:t xml:space="preserve">      i)    implementar búsquedas de oficio y sin dilación alguna, cuando se</w:t>
        <w:br/>
        <w:t xml:space="preserve">      presenten casos de desaparición, como una medida tendiente a  proteger</w:t>
        <w:br/>
        <w:t xml:space="preserve">      la vida, libertad personal y la  integridad  personal  de  la  persona</w:t>
        <w:br/>
        <w:t xml:space="preserve">      desaparecida;</w:t>
        <w:br/>
        <w:br/>
        <w:br/>
        <w:t xml:space="preserve">      ii)   establecer un trabajo coordinado  entre  diferentes  cuerpos  de</w:t>
        <w:br/>
        <w:t xml:space="preserve">      seguridad para dar con el paradero de la persona;</w:t>
        <w:br/>
        <w:br/>
        <w:br/>
        <w:t xml:space="preserve">      iii)  eliminar cualquier obstáculo de hecho o de derecho que le  reste</w:t>
        <w:br/>
        <w:t xml:space="preserve">      efectividad a la búsqueda o que haga imposible su inicio  como  exigir</w:t>
        <w:br/>
        <w:t xml:space="preserve">      investigaciones o procedimientos preliminares;</w:t>
        <w:br/>
        <w:br/>
        <w:br/>
        <w:t xml:space="preserve">      iv)    asignar   los   recursos   humanos,   económicos,   logísticos,</w:t>
        <w:br/>
        <w:t xml:space="preserve">      científicos o de cualquier índole que sean necesarios para el éxito de</w:t>
        <w:br/>
        <w:t xml:space="preserve">      la búsqueda;</w:t>
        <w:br/>
        <w:br/>
        <w:br/>
        <w:t xml:space="preserve">      v)    confrontar el reporte de desaparición con la base  de  datos  de</w:t>
        <w:br/>
        <w:t xml:space="preserve">      personas desaparecidas referida en los párrafos 509 a 512 supra, y</w:t>
        <w:br/>
        <w:br/>
        <w:br/>
        <w:t xml:space="preserve">      vi)   priorizar las búsquedas en áreas donde  razonablemente  sea  más</w:t>
        <w:br/>
        <w:t xml:space="preserve">      probable  encontrar  a   la   persona   desaparecida   sin   descartar</w:t>
        <w:br/>
        <w:t xml:space="preserve">      arbitrariamente otras posibilidades  o  áreas  de  búsqueda.  Todo  lo</w:t>
        <w:br/>
        <w:t xml:space="preserve">      anterior deberá ser aún más urgente y riguroso cuando la  desaparecida</w:t>
        <w:br/>
        <w:t xml:space="preserve">      sea una niña.</w:t>
        <w:br/>
        <w:br/>
        <w:br/>
        <w:t xml:space="preserve">  20. El Estado deberá crear, en un plazo de  seis  meses  a  partir  de  la</w:t>
        <w:br/>
        <w:t xml:space="preserve">      notificación de esta Sentencia,  una  página  electrónica  que  deberá</w:t>
        <w:br/>
        <w:t xml:space="preserve">      actualizarse  permanentemente  y  contendrá  la  información  personal</w:t>
        <w:br/>
        <w:t xml:space="preserve">      necesaria de todas las mujeres, jóvenes y niñas que desaparecieron  en</w:t>
        <w:br/>
        <w:t xml:space="preserve">      Chihuahua desde 1993  y  que  continúan  desaparecidas.  Dicha  página</w:t>
        <w:br/>
        <w:t xml:space="preserve">      electrónica deberá permitir que cualquier individuo se  comunique  por</w:t>
        <w:br/>
        <w:t xml:space="preserve">      cualquier medio con las autoridades, inclusive de  manera  anónima,  a</w:t>
        <w:br/>
        <w:t xml:space="preserve">      efectos de proporcionar información relevante sobre el paradero de  la</w:t>
        <w:br/>
        <w:t xml:space="preserve">      mujer o niña desaparecida o, en su caso, de sus restos, de conformidad</w:t>
        <w:br/>
        <w:t xml:space="preserve">      con los párrafos 507 y 508 de esta Sentencia.</w:t>
        <w:br/>
        <w:br/>
        <w:br/>
        <w:t xml:space="preserve">  21. El Estado  deberá,  dentro  del  plazo  de  un  año  a  partir  de  la</w:t>
        <w:br/>
        <w:t xml:space="preserve">      notificación de esta Sentencia y de conformidad con los párrafos 509 a</w:t>
        <w:br/>
        <w:t xml:space="preserve">      512 de la misma, crear o actualizar una base de datos que contenga:</w:t>
        <w:br/>
        <w:br/>
        <w:br/>
        <w:t xml:space="preserve">      i)     la  información  personal  disponible  de   mujeres   y   niñas</w:t>
        <w:br/>
        <w:t xml:space="preserve">      desaparecidas a nivel nacional;</w:t>
        <w:br/>
        <w:br/>
        <w:br/>
        <w:t xml:space="preserve">      ii)    la  información  personal  que  sea  necesaria,  principalmente</w:t>
        <w:br/>
        <w:t xml:space="preserve">      genética y muestras celulares,  de  los  familiares  de  las  personas</w:t>
        <w:br/>
        <w:t xml:space="preserve">      desaparecidas que consientan –o que así lo ordene un juez- para que el</w:t>
        <w:br/>
        <w:t xml:space="preserve">      Estado almacene dicha información personal únicamente  con  objeto  de</w:t>
        <w:br/>
        <w:t xml:space="preserve">      localizar a la persona desaparecida, y</w:t>
        <w:br/>
        <w:br/>
        <w:br/>
        <w:t xml:space="preserve">      iii)  la información genética y muestras celulares provenientes de los</w:t>
        <w:br/>
        <w:t xml:space="preserve">      cuerpos de cualquier mujer o niña no identificada que fuera privada de</w:t>
        <w:br/>
        <w:t xml:space="preserve">      la vida en el estado de Chihuahua.</w:t>
        <w:br/>
        <w:br/>
        <w:br/>
        <w:t xml:space="preserve">  22. El Estado debe continuar implementando programas y cursos  permanentes</w:t>
        <w:br/>
        <w:t xml:space="preserve">      de educación y capacitación en derechos humanos y género;  perspectiva</w:t>
        <w:br/>
        <w:t xml:space="preserve">      de género para la debida diligencia en la conducción de averiguaciones</w:t>
        <w:br/>
        <w:t xml:space="preserve">      previas  y  procesos  judiciales  relacionados   con   discriminación,</w:t>
        <w:br/>
        <w:t xml:space="preserve">      violencia y homicidios de mujeres por razones de género, y  superación</w:t>
        <w:br/>
        <w:t xml:space="preserve">      de estereotipos sobre  el  rol  social  de  las  mujeres  dirigidos  a</w:t>
        <w:br/>
        <w:t xml:space="preserve">      funcionarios públicos en los términos de los párrafos 531 a 542 de  la</w:t>
        <w:br/>
        <w:t xml:space="preserve">      presente Sentencia. El Estado deberá informar anualmente, durante tres</w:t>
        <w:br/>
        <w:t xml:space="preserve">      años, sobre la implementación de los cursos y capacitaciones.</w:t>
        <w:br/>
        <w:br/>
        <w:br/>
        <w:t xml:space="preserve">  23. El Estado deberá, dentro de un plazo razonable, realizar  un  programa</w:t>
        <w:br/>
        <w:t xml:space="preserve">      de educación destinado  a  la  población  en  general  del  estado  de</w:t>
        <w:br/>
        <w:t xml:space="preserve">      Chihuahua, con el fin de superar dicha situación.  A  tal  efecto,  el</w:t>
        <w:br/>
        <w:t xml:space="preserve">      Estado deberá presentar un informe anual por  tres  años,  en  el  que</w:t>
        <w:br/>
        <w:t xml:space="preserve">      indique las acciones que se han realizado con tal fin, en los términos</w:t>
        <w:br/>
        <w:t xml:space="preserve">      del párrafo 543 de la presente Sentencia.</w:t>
        <w:br/>
        <w:br/>
        <w:br/>
        <w:t xml:space="preserve">  24. El Estado debe brindar atención  médica,  psicológica  o  psiquiátrica</w:t>
        <w:br/>
        <w:t xml:space="preserve">      gratuita, de  forma  inmediata,  adecuada  y  efectiva,  a  través  de</w:t>
        <w:br/>
        <w:t xml:space="preserve">      instituciones estatales de salud especializadas, a Irma Monreal Jaime,</w:t>
        <w:br/>
        <w:t xml:space="preserve">      Benigno Herrera Monreal, Adrián Herrera Monreal, Juan Antonio  Herrera</w:t>
        <w:br/>
        <w:t xml:space="preserve">      Monreal,  Cecilia  Herrera  Monreal,  Zulema  Montijo  Monreal,  Erick</w:t>
        <w:br/>
        <w:t xml:space="preserve">      Montijo  Monreal,  Juana  Ballín  Castro,   Irma   Josefina   González</w:t>
        <w:br/>
        <w:t xml:space="preserve">      Rodríguez, Mayela Banda González, Gema Iris González,  Karla  Arizbeth</w:t>
        <w:br/>
        <w:t xml:space="preserve">      Hernández Banda, Jacqueline Hernández, Carlos Hernández Llamas, Benita</w:t>
        <w:br/>
        <w:t xml:space="preserve">      Monárrez  Salgado,  Claudia  Ivonne  Ramos  Monárrez,   Daniel   Ramos</w:t>
        <w:br/>
        <w:t xml:space="preserve">      Monárrez, Ramón  Antonio  Aragón  Monárrez,  Claudia  Dayana  Bermúdez</w:t>
        <w:br/>
        <w:t xml:space="preserve">      Ramos, Itzel Arely Bermúdez Ramos, Paola Alexandra  Bermúdez  Ramos  y</w:t>
        <w:br/>
        <w:t xml:space="preserve">      Atziri Geraldine Bermúdez Ramos,  si  éstos  así  lo  desean,  en  los</w:t>
        <w:br/>
        <w:t xml:space="preserve">      términos de los párrafos 544 a 549 de esta Sentencia.</w:t>
        <w:br/>
        <w:br/>
        <w:br/>
        <w:t xml:space="preserve">  25. El Estado  deberá,  dentro  del  plazo  de  un  año  a  partir  de  la</w:t>
        <w:br/>
        <w:t xml:space="preserve">      notificación de esta Sentencia, pagar las cantidades  fijadas  en  los</w:t>
        <w:br/>
        <w:t xml:space="preserve">      párrafos 565, 566, 577,  586  y  596  de  la  presente  Sentencia  por</w:t>
        <w:br/>
        <w:t xml:space="preserve">      concepto de indemnizaciones y compensaciones por  daños  materiales  e</w:t>
        <w:br/>
        <w:t xml:space="preserve">      inmateriales y el reintegro de costas  y  gastos,  según  corresponda,</w:t>
        <w:br/>
        <w:t xml:space="preserve">      bajo las condiciones y en los términos de los párrafos 597 a 601 de la</w:t>
        <w:br/>
        <w:t xml:space="preserve">      presente Sentencia.</w:t>
        <w:br/>
        <w:br/>
        <w:br/>
        <w:t xml:space="preserve">  26.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Americana, y dará por concluido  el  presente</w:t>
        <w:br/>
        <w:t xml:space="preserve">      caso una vez que el Estado haya dado cabal cumplimiento a lo dispuesto</w:t>
        <w:br/>
        <w:t xml:space="preserve">      en la misma. Dentro del plazo  de  un  año  contado  a  partir  de  la</w:t>
        <w:br/>
        <w:t xml:space="preserve">      notificación de esta Sentencia el Estado deberá rendir al Tribunal  un</w:t>
        <w:br/>
        <w:t xml:space="preserve">      informe sobre las medidas adoptadas para darle cumplimiento.</w:t>
        <w:br/>
        <w:br/>
        <w:br/>
        <w:br/>
        <w:br/>
        <w:t>La Jueza Cecilia Medina  Quiroga  y  el  Juez  Diego  García-Sayán  hicieron</w:t>
        <w:br/>
        <w:t>conocer a la Corte sus Votos Concurrentes, los cuales acompañan la  presente</w:t>
        <w:br/>
        <w:t>Sentencia.</w:t>
        <w:br/>
        <w:br/>
        <w:t>Redactada en español e inglés, haciendo fe  el  texto  en  español,  en  San</w:t>
        <w:br/>
        <w:t>José, Costa Rica, el 16 de noviembre de 2009.</w:t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    Manuel E. Ventura</w:t>
        <w:br/>
        <w:t>Robles</w:t>
        <w:br/>
        <w:br/>
        <w:br/>
        <w:br/>
        <w:br/>
        <w:br/>
        <w:t xml:space="preserve">              Margarette May Macaulay     Rhadys Abreu Blondet</w:t>
        <w:br/>
        <w:br/>
        <w:br/>
        <w:br/>
        <w:t xml:space="preserve">                         Rosa María Álvarez González</w:t>
        <w:br/>
        <w:t xml:space="preserve">                                Jueza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Presidenta</w:t>
        <w:br/>
        <w:br/>
        <w:br/>
        <w:br/>
        <w:br/>
        <w:t>Pablo Saavedra Alessandri</w:t>
        <w:br/>
        <w:t xml:space="preserve">        Secretario</w:t>
        <w:br/>
        <w:t xml:space="preserve">  VOTO CONCURRENTE DEL JUEZ DIEGO GARCIA-SAYAN EN RELACIÓN CON LA SENTENCIA</w:t>
        <w:br/>
        <w:t xml:space="preserve"> DE LA CORTE INTERAMERICANA DE DERECHOS HUMANOS EN EL CASO GONZÁLES Y OTRAS</w:t>
        <w:br/>
        <w:t xml:space="preserve">         (“CAMPO ALGODONERO”) Vs. MÉXICO, DE 16 DE NOVIEMBRE DE 2009</w:t>
        <w:br/>
        <w:br/>
        <w:br/>
        <w:t>1.    La violencia contra la mujer es un  drama  con  varias  dimensiones  y</w:t>
        <w:br/>
        <w:t>expresiones. Es, sin  duda,  una  de  las  manifestaciones  persistentes  de</w:t>
        <w:br/>
        <w:t>discriminación más extendidas en el mundo, que se refleja en un abanico  que</w:t>
        <w:br/>
        <w:t>va  desde  expresiones  sutiles  y  veladas  hasta  situaciones  cruentas  y</w:t>
        <w:br/>
        <w:t>violentas. Dentro de  esta  última  categoría  se  encuentra  obviamente  la</w:t>
        <w:br/>
        <w:t>violencia contra la mujer en  Ciudad  Juárez,  de  la  que  fueron  víctimas</w:t>
        <w:br/>
        <w:t>Claudia Ivette González, Esmeralda Herrera Monreal y  Laura  Berenice  Ramos</w:t>
        <w:br/>
        <w:t>Monárrez y a la que se refiere esta Sentencia emitida en el caso González  y</w:t>
        <w:br/>
        <w:t>otras (“Campo Algodonero”) Vs. México (en adelante “la Sentencia”). Como  lo</w:t>
        <w:br/>
        <w:t>dice la Corte Interamericana de Derechos  Humanos  (en  adelante  “la  Corte</w:t>
        <w:br/>
        <w:t>Interamericana”, “la Corte” o “el Tribunal”) en  la  Sentencia,  los  hechos</w:t>
        <w:br/>
        <w:t>descritos han sido influenciados “por una cultura de  discriminación  contra</w:t>
        <w:br/>
        <w:t>la mujer” (párr. 164). Esa cultura “ha incidido tanto en  los  motivos  como</w:t>
        <w:br/>
        <w:t>en  la  modalidad  de  los  crímenes,  así  como  en  la  respuesta  de  las</w:t>
        <w:br/>
        <w:t>autoridades frente a éstos” (párr. 164). Expresión de ello, de acuerdo a  la</w:t>
        <w:br/>
        <w:t>Sentencia, son “las respuestas ineficientes  y  las  actitudes  indiferentes</w:t>
        <w:br/>
        <w:t>documentadas en cuanto a la investigación de dichos  crímenes”  (párr.  164)</w:t>
        <w:br/>
        <w:t>sobre las cuales la Corte ha establecido  la  responsabilidad  internacional</w:t>
        <w:br/>
        <w:t>del Estado.</w:t>
        <w:br/>
        <w:br/>
        <w:t>2.    En cuanto a los hechos de  violencia  contra  las  mujeres  en  Ciudad</w:t>
        <w:br/>
        <w:t>Juárez, el Tribunal se pregunta en la Sentencia  si  los  actos  perpetrados</w:t>
        <w:br/>
        <w:t>contra las víctimas, que terminaron con la muerte de las  jóvenes  González,</w:t>
        <w:br/>
        <w:t>Herrera Monreal y Ramos Monárrez, son atribuibles al Estado (párr. 231).  La</w:t>
        <w:br/>
        <w:t>Corte  estableció  que  carecía  de  elementos   para   concluir   que   los</w:t>
        <w:br/>
        <w:t>perpetradores hubiesen sido agentes estatales (párr.  242)  y  concentró  su</w:t>
        <w:br/>
        <w:t>razonamiento en la eventual responsabilidad del Estado  por  omisión  en  el</w:t>
        <w:br/>
        <w:t>cumplimiento de su deber de garantía.</w:t>
        <w:br/>
        <w:br/>
        <w:t>3.    El tema del deber de  prevención  ha  sido  tratado  por  la  justicia</w:t>
        <w:br/>
        <w:t>internacional, en general, y por esta Corte,  en  particular,  con  enfoques</w:t>
        <w:br/>
        <w:t>claros dentro de la indudable complejidad del  problema.  La  jurisprudencia</w:t>
        <w:br/>
        <w:t>del Tribunal ha establecido criterios  precisos  y  fundamentales  sobre  el</w:t>
        <w:br/>
        <w:t>deber de prevención. Esos criterios son más específicos, por cierto,  cuando</w:t>
        <w:br/>
        <w:t>se trata de personas que se encuentran bajo custodia del Estado, como es  el</w:t>
        <w:br/>
        <w:t>caso de un centro donde se encontraban recluidos menores[552] o  situaciones</w:t>
        <w:br/>
        <w:t>en las que el Estado se encuentra en posición especial de  garante  como  es</w:t>
        <w:br/>
        <w:t>el caso de una comunidad indígena desplazada  por  haber  sido  víctima  del</w:t>
        <w:br/>
        <w:t>despojo de sus tierras[553].</w:t>
        <w:br/>
        <w:br/>
        <w:t>4.    En situaciones mas “acotadas” como  las  que  se  presentaron  en  los</w:t>
        <w:br/>
        <w:t>casos Ximenes Lopes Vs. Brasil o Yakye Axa Vs. Paraguay, los  criterios  del</w:t>
        <w:br/>
        <w:t>Tribunal han sido, en efecto,  más  específicos  pues  tienen  que  ver  con</w:t>
        <w:br/>
        <w:t>grupos humanos que ocupaban espacios que se encontraban  bajo  custodia  del</w:t>
        <w:br/>
        <w:t>Estado dadas las características específicas de los problemas en cada  caso.</w:t>
        <w:br/>
        <w:t>En el caso Ximenes Lopes la Corte estableció  que,  tratándose  de  personas</w:t>
        <w:br/>
        <w:t>con una discapacidad mental y que se encontraban bajo la custodia o  cuidado</w:t>
        <w:br/>
        <w:t>del  Estado[554],  éste  tenía  responsabilidad   internacional   al   haber</w:t>
        <w:br/>
        <w:t>incumplido “su deber de cuidar y de prevenir la vulneración de la vida y  de</w:t>
        <w:br/>
        <w:t>la integridad personal, así  como  su  deber  de  regular  y  fiscalizar  la</w:t>
        <w:br/>
        <w:t>atención médica de salud, los que constituyen deberes  especiales  derivados</w:t>
        <w:br/>
        <w:t>de la obligación de garantizar los derechos consagrados en los  artículos  4</w:t>
        <w:br/>
        <w:t>y 5 de la Convención Americana”[555]. En el caso Yakye Axa, por su lado,  al</w:t>
        <w:br/>
        <w:t>tratarse de una comunidad indígena desplazada de  su  territorio,  compuesta</w:t>
        <w:br/>
        <w:t>por un grupo identificable de familias y que se encontraba  temporalmente  y</w:t>
        <w:br/>
        <w:t>en condiciones muy precarias en un área colindante  con  una  carretera,  la</w:t>
        <w:br/>
        <w:t>Corte determinó que el Estado tenía “el deber de adoptar medidas  positivas,</w:t>
        <w:br/>
        <w:t>concretas  y  orientadas  a  la  satisfacción  del  derecho   a   una   vida</w:t>
        <w:br/>
        <w:t>digna”[556].</w:t>
        <w:br/>
        <w:br/>
        <w:t>5.    Tanto la Corte Europea de Derechos  Humanos  (en  adelante  “la  Corte</w:t>
        <w:br/>
        <w:t>Europea”) como la  Corte  Interamericana  han  ido  estableciendo  criterios</w:t>
        <w:br/>
        <w:t>precisos y rigurosos para definir el “deber de prevención” dentro de  marcos</w:t>
        <w:br/>
        <w:t>situacionales más amplios y generales.  La  Corte  Europea  ha  adoptado  al</w:t>
        <w:br/>
        <w:t>respecto decisiones desde  1998  a  través  de  las  cuales  se  analiza  la</w:t>
        <w:br/>
        <w:t>complejidad  del  tema  del  deber  de  prevención  y  se  enumeran  algunos</w:t>
        <w:br/>
        <w:t>criterios específicos para definirlo. Así, en el caso Osman vs. Reino  Unido</w:t>
        <w:br/>
        <w:t>la Corte Europea estableció  una  aproximación  cautelosa  para  definir  el</w:t>
        <w:br/>
        <w:t>deber de prevención mencionando algunos  criterios  específicos,  reiterados</w:t>
        <w:br/>
        <w:t>en posteriores y más recientes decisiones de ese mismo tribunal[557]:</w:t>
        <w:br/>
        <w:br/>
        <w:t xml:space="preserve">    Teniendo en cuenta las  dificultades  que  implica  la  planificación  y</w:t>
        <w:br/>
        <w:t xml:space="preserve">   adopción de políticas públicas en las sociedades modernas, para la Corte,</w:t>
        <w:br/>
        <w:t xml:space="preserve">   la impredictibilidad de la conducta humana y  las  opciones  de  carácter</w:t>
        <w:br/>
        <w:t xml:space="preserve">   operativo que deben ser tomadas en  función  de  las  prioridades  y  los</w:t>
        <w:br/>
        <w:t xml:space="preserve">   recursos disponibles, esa obligación positiva debe  ser  interpretada  de</w:t>
        <w:br/>
        <w:t xml:space="preserve">   forma  que  no  imponga  a  las  autoridades  una   carga   imposible   o</w:t>
        <w:br/>
        <w:t xml:space="preserve">   desproporcionada. […] En opinión de la Corte, cuando haya un  alegato  de</w:t>
        <w:br/>
        <w:t xml:space="preserve">   que las autoridades han violado su obligación  positiva  de  proteger  el</w:t>
        <w:br/>
        <w:t xml:space="preserve">   derecho a la vida […], debe ser establecido con claridad  que al  momento</w:t>
        <w:br/>
        <w:t xml:space="preserve">   de los hechos las autoridades  sabían,  o  debían  haber  sabido,  de  la</w:t>
        <w:br/>
        <w:t xml:space="preserve">   existencia de un riesgo real e inmediato para la vida de un  individuo  o</w:t>
        <w:br/>
        <w:t xml:space="preserve">   individuos identificados de ser víctimas de actos criminales de terceros,</w:t>
        <w:br/>
        <w:t xml:space="preserve">   y que tales autoridades no tomaron las medidas dentro del alcance de  sus</w:t>
        <w:br/>
        <w:t xml:space="preserve">   atribuciones que, apreciadas razonablemente, podían esperarse para evitar</w:t>
        <w:br/>
        <w:t xml:space="preserve">   dicho riesgo[558]</w:t>
        <w:br/>
        <w:br/>
        <w:t>6.    La Corte Europea, pues, pone énfasis en la  dificultad  de  garantizar</w:t>
        <w:br/>
        <w:t>el orden público, la impredictibilidad de la conducta humana y  la  vastedad</w:t>
        <w:br/>
        <w:t>de opciones  operacionales  para  determinar  prioridades  y  asignación  de</w:t>
        <w:br/>
        <w:t>recursos derivando, de ello, la conclusión de que la obligación de  prevenir</w:t>
        <w:br/>
        <w:t>no puede ser interpretada en un sentido que imponga una  carga  imposible  o</w:t>
        <w:br/>
        <w:t>desproporcionada al Estado. En esa perspectiva, enfatiza  la  obligación  de</w:t>
        <w:br/>
        <w:t>dar los “pasos apropiados” para proteger la vida de las personas  que  estén</w:t>
        <w:br/>
        <w:t>bajo  su  jurisdicción[559]  lo  que  supone  implementar   normas   penales</w:t>
        <w:br/>
        <w:t>adecuadas para disuadir la comisión de delitos  que  estén  respaldadas  por</w:t>
        <w:br/>
        <w:t>una maquinaria de aplicación de la ley en materia de  prevención,  represión</w:t>
        <w:br/>
        <w:t>y  sanción[560].  En  “algunas  circunstancias  bien  definidas”[561]   esta</w:t>
        <w:br/>
        <w:t>obligación  puede  implicar,  incluso,  la  obligación   positiva   de   las</w:t>
        <w:br/>
        <w:t>autoridades de tomar medidas operacionales preventivas para  proteger  a  un</w:t>
        <w:br/>
        <w:t>individuo cuya vida se encuentre bajo riesgo de sufrir actos  criminales  de</w:t>
        <w:br/>
        <w:t>otro individuo.</w:t>
        <w:br/>
        <w:br/>
        <w:t>7.    En línea y consonancia con la  jurisprudencia  de  la  Corte  Europea,</w:t>
        <w:br/>
        <w:t>esta  Corte  Interamericana  ha  ido  construyendo  sus  propios   criterios</w:t>
        <w:br/>
        <w:t>jurisprudenciales sobre el deber de prevención. Un  concepto  que  la  Corte</w:t>
        <w:br/>
        <w:t>mencionó - y reiteró - desde el caso Velásquez Rodríguez vs. Honduras en  la</w:t>
        <w:br/>
        <w:t>jurisprudencia fundacional del  Tribunal  en  1988,  es  que  el  Estado  se</w:t>
        <w:br/>
        <w:t>encuentra en la obligación de prevenir “razonablemente” las  violaciones  de</w:t>
        <w:br/>
        <w:t>los derechos humanos[562]. En casos más recientes, la Corte  ha  establecido</w:t>
        <w:br/>
        <w:t>cuáles son los componentes para  definir  y  precisar  el  contenido  de  la</w:t>
        <w:br/>
        <w:t>obligación “deber de  prevención”  en  línea  con  decisiones  de  la  Corte</w:t>
        <w:br/>
        <w:t>Europea, como las citadas.</w:t>
        <w:br/>
        <w:br/>
        <w:t>8.    En el caso Pueblo Bello vs. Colombia el Tribunal estableció  criterios</w:t>
        <w:br/>
        <w:t>claros a través de conceptos que fueron reiterados después en los  casos  de</w:t>
        <w:br/>
        <w:t>Comunidad Indígena Sawhoyamaxa vs. Paraguay[563]  y  en  Valle  Jaramillo  y</w:t>
        <w:br/>
        <w:t>otros vs. Colombia[564]. Así, en el caso Pueblo Bello  la  Corte  estableció</w:t>
        <w:br/>
        <w:t>que:</w:t>
        <w:br/>
        <w:br/>
        <w:t xml:space="preserve">   […] para la Corte es claro que un Estado no  puede  ser  responsable  por</w:t>
        <w:br/>
        <w:t xml:space="preserve">   cualquier violación  de  derechos  humanos  cometida  entre  particulares</w:t>
        <w:br/>
        <w:t xml:space="preserve">   dentro de su jurisdicción. En efecto,  el  carácter  erga  omnes  de  las</w:t>
        <w:br/>
        <w:t xml:space="preserve">   obligaciones convencionales de garantía a cargo de los Estados no implica</w:t>
        <w:br/>
        <w:t xml:space="preserve">   una responsabilidad ilimitada de los Estados frente a  cualquier  acto  o</w:t>
        <w:br/>
        <w:t xml:space="preserve">   hecho de particulares, pues sus deberes de adoptar medidas de  prevención</w:t>
        <w:br/>
        <w:t xml:space="preserve">   y protección de los particulares en sus relaciones entre sí se encuentran</w:t>
        <w:br/>
        <w:t xml:space="preserve">   condicionados al conocimiento de una situación de riesgo real e inmediato</w:t>
        <w:br/>
        <w:t xml:space="preserve">   para un individuo o grupo de individuos determinado y a las posibilidades</w:t>
        <w:br/>
        <w:t xml:space="preserve">   razonables de prevenir  o evitar ese riesgo. Es decir,  aunque  un  acto,</w:t>
        <w:br/>
        <w:t xml:space="preserve">   omisión o hecho de un particular  tenga  como  consecuencia  jurídica  la</w:t>
        <w:br/>
        <w:t xml:space="preserve">   violación de determinados derechos humanos de otro particular,  aquél  no</w:t>
        <w:br/>
        <w:t xml:space="preserve">   es automáticamente atribuible  al  Estado,  pues  debe  atenderse  a  las</w:t>
        <w:br/>
        <w:t xml:space="preserve">   circunstancias  particulares  del  caso  y  a  la  concreción  de  dichas</w:t>
        <w:br/>
        <w:t xml:space="preserve">   obligaciones de garantía[565]”.</w:t>
        <w:br/>
        <w:br/>
        <w:t>9.    La Corte ha establecido, pues,  que  no  existe  “una  responsabilidad</w:t>
        <w:br/>
        <w:t>ilimitada  de  los  Estados   frente   a   cualquier   acto   o   hecho   de</w:t>
        <w:br/>
        <w:t>particulares”[566] y que el deber de prevención tiene - en líneas  generales</w:t>
        <w:br/>
        <w:t>y fuera de las situaciones  especiales  en  las  que  el  Estado  tenga  una</w:t>
        <w:br/>
        <w:t>posición especial de garante – tres componentes que deben concurrir:  1)  el</w:t>
        <w:br/>
        <w:t>“conocimiento  de  una  situación  de  riesgo  real  e  inmediato”;  2)  “un</w:t>
        <w:br/>
        <w:t>individuo  o  grupo  de  individuos  determinado”,   y   3)   “posibilidades</w:t>
        <w:br/>
        <w:t>razonables de prevenir o evitar  ese  riesgo”[567].  Esos  conceptos  fueron</w:t>
        <w:br/>
        <w:t>acotados para referirse al “riesgo real e inmediato” en  los  casos  Ríos  y</w:t>
        <w:br/>
        <w:t>otros Vs. Venezuela[568] y Perozo y otros Vs. Venezuela[569].</w:t>
        <w:br/>
        <w:br/>
        <w:t>10.   Al resolver el presente caso la Corte recordó lo ya determinado en  el</w:t>
        <w:br/>
        <w:t>caso   Velásquez   Rodríguez   acerca   de   la   obligación   de   prevenir</w:t>
        <w:br/>
        <w:t>“razonablemente” (párr. 236) y reiteró los tres  criterios  integrantes  del</w:t>
        <w:br/>
        <w:t>deber de prevención establecidos en la jurisprudencia de esta Corte y de  la</w:t>
        <w:br/>
        <w:t>Corte Europea y recapitulados en el párrafo anterior.</w:t>
        <w:br/>
        <w:br/>
        <w:t>11.   El Tribunal concluyó en  este  caso,  así,  que  la  ausencia  de  una</w:t>
        <w:br/>
        <w:t>política general que debía haberse iniciado en 1998 es una falta del  Estado</w:t>
        <w:br/>
        <w:t>en el cumplimiento general de su  deber  de  prevención  (párr.  282).  Esta</w:t>
        <w:br/>
        <w:t>“política general” puede ser interpretada  haciendo  uso  de  los  criterios</w:t>
        <w:br/>
        <w:t>establecidos por la Corte Europea  en  el  caso  Osman  vs.  Turquía  en  el</w:t>
        <w:br/>
        <w:t>sentido de la necesidad de una política de seguridad pública orientada a  la</w:t>
        <w:br/>
        <w:t>prevención, la persecución y sanción  de  delitos,  como  aquellos  crímenes</w:t>
        <w:br/>
        <w:t>contra mujeres que se conocía se venían cometiendo en Ciudad Juárez, por  lo</w:t>
        <w:br/>
        <w:t>menos desde ese año, que es cuando la Comisión Nacional de Derechos  Humanos</w:t>
        <w:br/>
        <w:t>(ente federal) advirtió del patrón de  violencia  contra  la  mujer  en  esa</w:t>
        <w:br/>
        <w:t>localidad.</w:t>
        <w:br/>
        <w:br/>
        <w:t>12.   Simultáneamente la Corte determina,  sin  embargo,  que  “no  ha  sido</w:t>
        <w:br/>
        <w:t>establecido  que  [el  Estado]  tenía  conocimiento  de  un  riesgo  real  e</w:t>
        <w:br/>
        <w:t>inmediato para las víctimas de este caso” (párr. 282) antes de su  secuestro</w:t>
        <w:br/>
        <w:t>y desaparición. Distinto es el tratamiento que hace el Tribunal  en  lo  que</w:t>
        <w:br/>
        <w:t>la Sentencia llama el “segundo momento” que es desde  cuando  el  Estado  sí</w:t>
        <w:br/>
        <w:t>tuvo  conocimiento  del  riesgo  “real  e  inmediato”  sobre  un  “grupo  de</w:t>
        <w:br/>
        <w:t>individuos determinado”  que  es  cuando  las  tres  víctimas  identificadas</w:t>
        <w:br/>
        <w:t>desaparecieron presentándose, así, el peligro concreto y específico  de  que</w:t>
        <w:br/>
        <w:t>ellas fueran violentadas y privadas de la vida, frente a lo cual  el  Estado</w:t>
        <w:br/>
        <w:t>“no  demostró  haber  adoptado  las  medidas  razonables,  conforme  a   las</w:t>
        <w:br/>
        <w:t>circunstancias que rodeaban a los casos, para encontrar a las  víctimas  con</w:t>
        <w:br/>
        <w:t>vida” (párr. 284).</w:t>
        <w:br/>
        <w:br/>
        <w:t>13.   Al reiterar su jurisprudencia en materia del “deber de prevención”  la</w:t>
        <w:br/>
        <w:t>Corte ha enfatizado  las  características  y  componentes  fundamentales  de</w:t>
        <w:br/>
        <w:t>dicho deber de garantía, así  como  las  características  y  niveles  de  la</w:t>
        <w:br/>
        <w:t>responsabilidad internacional del Estado. Así,  aparece  la  combinación  de</w:t>
        <w:br/>
        <w:t>una obligación de diseñar y poner en marcha lo  que  en  esta  Sentencia  se</w:t>
        <w:br/>
        <w:t>denomina “una política general” de seguridad  pública  con  sus  respectivos</w:t>
        <w:br/>
        <w:t>espacios de prevención y persecución penal entendiendo las dificultades  que</w:t>
        <w:br/>
        <w:t>todo ello  tiene  en  cualquier  contexto  y,  peor  aún,  en  contextos  de</w:t>
        <w:br/>
        <w:t>criminalidad extendida y generalizada.</w:t>
        <w:br/>
        <w:br/>
        <w:t>14.   Pero, simultáneamente, la Corte establece los componentes  específicos</w:t>
        <w:br/>
        <w:t>del deber de prevención para  casos  determinados  en  una  perspectiva  que</w:t>
        <w:br/>
        <w:t>contribuye  a  que  no  se  diluyan  los  criterios   para   determinar   la</w:t>
        <w:br/>
        <w:t>responsabilidad internacional del Estado confundiéndola, eventualmente,  con</w:t>
        <w:br/>
        <w:t>el crimen común. Ello facilita que  no  se  diluyan  y  difuminen  conceptos</w:t>
        <w:br/>
        <w:t>fundamentales   como   los   de   “violación   de   derechos   humanos”    o</w:t>
        <w:br/>
        <w:t>“responsabilidad internacional de  los  Estados”  o  que  se  confundan  con</w:t>
        <w:br/>
        <w:t>hechos  muy   graves,   ciertamente,   pero   jurídicamente   diferentes   y</w:t>
        <w:br/>
        <w:t>distinguibles como la actividad criminal de individuos. Los componentes  del</w:t>
        <w:br/>
        <w:t>deber de prevención reiterados en esta Sentencia, de esta  forma,  ayudan  a</w:t>
        <w:br/>
        <w:t>prevenir que el día de mañana  los  actos  criminales  de  un  individuo  se</w:t>
        <w:br/>
        <w:t>puedan confundir con los deberes internacionales del Estado.</w:t>
        <w:br/>
        <w:br/>
        <w:t>15.   Los Estados están obligados a establecer políticas generales de  orden</w:t>
        <w:br/>
        <w:t>público que protejan a la población  de  la  violencia  delincuencial.  Esta</w:t>
        <w:br/>
        <w:t>obligación tiene  progresiva  y  decidida  prioridad  dado  el  contexto  de</w:t>
        <w:br/>
        <w:t>creciente criminalidad en la mayoría de países de la región.  Pero  de  ello</w:t>
        <w:br/>
        <w:t>no se deriva, como se dice con claridad en esta Sentencia, que  exista  “una</w:t>
        <w:br/>
        <w:t>responsabilidad ilimitada de los Estados frente a cualquier acto o hecho  de</w:t>
        <w:br/>
        <w:t>particulares” (párr. 280) ya que las medidas de prevención sobre las que  el</w:t>
        <w:br/>
        <w:t>Estado  puede  ser  declarado  internacionalmente  responsable  tienen   las</w:t>
        <w:br/>
        <w:t>características y  componentes  que  la  jurisprudencia  de  esta  Corte  ha</w:t>
        <w:br/>
        <w:t>desarrollado y que se reiteran en esta Sentencia.</w:t>
        <w:br/>
        <w:br/>
        <w:br/>
        <w:br/>
        <w:br/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Juez</w:t>
        <w:br/>
        <w:br/>
        <w:br/>
        <w:br/>
        <w:t>Pablo Saavedra Alessandri</w:t>
        <w:br/>
        <w:t xml:space="preserve">      Secretario</w:t>
        <w:br/>
        <w:br/>
        <w:t xml:space="preserve">   VOTO CONCURRENTE DE LA JUEZA CECILIA MEDINA QUIROGA EN RELACIÓN CON LA</w:t>
        <w:br/>
        <w:t xml:space="preserve">     SENTENCIA DE LA CORTE INTERAMERICANA DE DERECHOS HUMANOS EN EL CASO</w:t>
        <w:br/>
        <w:t xml:space="preserve">   González y otras (“Campo Algodonero”) vs. México, DE 16 DE NOVIEMBRE DE</w:t>
        <w:br/>
        <w:t xml:space="preserve">                                    2009.</w:t>
        <w:br/>
        <w:br/>
        <w:br/>
        <w:t>1. Aun cuando concuerdo con  la  decisión  de  la  Corte  Interamericana  de</w:t>
        <w:br/>
        <w:t xml:space="preserve">   Derechos Humanos (en adelante “Corte” o “Tribunal”) en este caso,  en  el</w:t>
        <w:br/>
        <w:t xml:space="preserve">   sentido de que existe una violación del artículo  5.2  de  la  Convención</w:t>
        <w:br/>
        <w:t xml:space="preserve">   Americana sobre Derechos Humanos (en adelante  “Convención  Americana”  o</w:t>
        <w:br/>
        <w:t xml:space="preserve">   “Convención”), no concuerdo  con  el  hecho  de  que  la  Corte  no  haya</w:t>
        <w:br/>
        <w:t xml:space="preserve">   calificado como  tortura  las  acciones  perpetradas  en  contra  de  las</w:t>
        <w:br/>
        <w:t xml:space="preserve">   víctimas.</w:t>
        <w:br/>
        <w:br/>
        <w:t>2. Desde un punto de vista práctico-jurídico no hay mayores  diferencias  en</w:t>
        <w:br/>
        <w:t xml:space="preserve">   calificar o no una conducta como  tortura.  Tanto  la  tortura  como  los</w:t>
        <w:br/>
        <w:t xml:space="preserve">   tratos crueles, inhumanos o degradantes son  violaciones  de  un  derecho</w:t>
        <w:br/>
        <w:t xml:space="preserve">   humano y todos estos actos se regulan prácticamente de la  misma  manera.</w:t>
        <w:br/>
        <w:t xml:space="preserve">   Sin perjuicio de esto,  la  Corte  no  ha  vacilado  en  otros  casos  en</w:t>
        <w:br/>
        <w:t xml:space="preserve">   calificar una conducta como tortura, a menudo sin mencionar  las  razones</w:t>
        <w:br/>
        <w:t xml:space="preserve">   por las cuales lo ha hecho y se advierte que el elemento principal es  el</w:t>
        <w:br/>
        <w:t xml:space="preserve">   de la severidad de la acción y cómo la misma afecta a la víctima.  Es  la</w:t>
        <w:br/>
        <w:t xml:space="preserve">   conducta, en general, la que determina  la  distinción  entre  tortura  y</w:t>
        <w:br/>
        <w:t xml:space="preserve">   otros  tratamientos  crueles,  inhumanos  o  degradantes.  La  razón   de</w:t>
        <w:br/>
        <w:t xml:space="preserve">   calificar un acto como tortura obedece al mayor estigma que se  asigna  a</w:t>
        <w:br/>
        <w:t xml:space="preserve">   éste en relación con otros también incompatibles con el artículo  5.2  de</w:t>
        <w:br/>
        <w:t xml:space="preserve">   la Convención.</w:t>
        <w:br/>
        <w:br/>
        <w:t>3. La Corte decidió explicitar  los  requisitos  que  se  exigían  para  que</w:t>
        <w:br/>
        <w:t xml:space="preserve">   hubiera tortura en el caso Bueno Alves Vs. Argentina, entendiendo que  se</w:t>
        <w:br/>
        <w:t xml:space="preserve">   está frente a un acto constitutivo de tortura cuando el maltrato  es:  a)</w:t>
        <w:br/>
        <w:t xml:space="preserve">   intencional; b) cause severos sufrimientos físicos o mentales,  y  c)  se</w:t>
        <w:br/>
        <w:t xml:space="preserve">   cometa con determinado fin o propósito[570].  Si  analizamos  estos  tres</w:t>
        <w:br/>
        <w:t xml:space="preserve">   elementos, veremos que el primero y el tercero pueden hallarse  presentes</w:t>
        <w:br/>
        <w:t xml:space="preserve">   en otros tratamientos incompatibles con el artículo 5.2 de la Convención.</w:t>
        <w:br/>
        <w:t xml:space="preserve">   La intencionalidad se refiere a la conciencia  del  sujeto  de  que  está</w:t>
        <w:br/>
        <w:t xml:space="preserve">   realizando un acto que va a causar un sufrimiento  o  un  sentimiento  de</w:t>
        <w:br/>
        <w:t xml:space="preserve">   humillación y el propósito se refiere a las razones  por  las  cuales  lo</w:t>
        <w:br/>
        <w:t xml:space="preserve">   ejecuta: dominación, discriminación, sadismo, logro de  alguna  acción  u</w:t>
        <w:br/>
        <w:t xml:space="preserve">   omisión de la víctima u otros. Ambos  elementos  pueden  existir  en  los</w:t>
        <w:br/>
        <w:t xml:space="preserve">   tratamientos crueles, inhumanos o  degradantes.  Por  lo  tanto,  lo  que</w:t>
        <w:br/>
        <w:t xml:space="preserve">   realmente distingue la tortura de otros tratos, en los términos en que se</w:t>
        <w:br/>
        <w:t xml:space="preserve">   formuló por la Corte  en  el  caso  Bueno  Alves,  es  la  severidad  del</w:t>
        <w:br/>
        <w:t xml:space="preserve">   sufrimiento físico o mental.</w:t>
        <w:br/>
        <w:br/>
        <w:t>4. La Corte Europea  de  Derechos  Humanos  (en  adelante  “Corte  Europea”)</w:t>
        <w:br/>
        <w:t xml:space="preserve">   adoptó precisamente esa posición. En este sentido, en el caso Irlanda Vs.</w:t>
        <w:br/>
        <w:t xml:space="preserve">   Reino Unido, decidió que la tortura se refiere a “un trato  inhumano  que</w:t>
        <w:br/>
        <w:t xml:space="preserve">   causa sufrimiento muy serio y cruel” [571].</w:t>
        <w:br/>
        <w:br/>
        <w:t>5. La Observación General 20  al  Artículo  7  del  Pacto  Internacional  de</w:t>
        <w:br/>
        <w:t xml:space="preserve">   Derechos Civiles y Políticos (en adelante  “el  Pacto”),  del  Comité  de</w:t>
        <w:br/>
        <w:t xml:space="preserve">   Derechos Humanos[572], sostiene que la  distinción  entre  las  distintas</w:t>
        <w:br/>
        <w:t xml:space="preserve">   formas de tratamiento a las que hace referencia el Pacto “depende  de  la</w:t>
        <w:br/>
        <w:t xml:space="preserve">   clase, propósito y severidad del tratamiento particular”[573]. Ese  mismo</w:t>
        <w:br/>
        <w:t xml:space="preserve">   Comité no hizo distinciones entre los diversos tipos de  conducta  cuando</w:t>
        <w:br/>
        <w:t xml:space="preserve">   sostuvo en la Observación señalada que:</w:t>
        <w:br/>
        <w:br/>
        <w:t xml:space="preserve">      La  finalidad  de  las  disposiciones  del  artículo   7   del   Pacto</w:t>
        <w:br/>
        <w:t xml:space="preserve">      Internacional de Derechos Civiles y Políticos es proteger la  dignidad</w:t>
        <w:br/>
        <w:t xml:space="preserve">      y la integridad física y mental de la persona. El Estado  Parte  tiene</w:t>
        <w:br/>
        <w:t xml:space="preserve">      el deber de brindar a toda persona, mediante medidas legislativas y de</w:t>
        <w:br/>
        <w:t xml:space="preserve">      otra índole, la protección necesaria contra los actos  prohibidos  por</w:t>
        <w:br/>
        <w:t xml:space="preserve">      el artículo 7, sean infligidos por personas que actúen en el desempeño</w:t>
        <w:br/>
        <w:t xml:space="preserve">      de sus funciones oficiales, al margen de dichas funciones o incluso  a</w:t>
        <w:br/>
        <w:t xml:space="preserve">      título privado[574]</w:t>
        <w:br/>
        <w:t>6.    Tampoco hizo distinción alguna la Corte Europea en  el  reciente  caso</w:t>
        <w:br/>
        <w:t>Opuz Vs. Turquía[575], donde sostuvo:</w:t>
        <w:br/>
        <w:br/>
        <w:t xml:space="preserve">      En  cuanto  a  la  cuestión  de  si  puede  considerarse   al   Estado</w:t>
        <w:br/>
        <w:t xml:space="preserve">      responsable, bajo el artículo 3, por los  malos  tratos  infligidos  a</w:t>
        <w:br/>
        <w:t xml:space="preserve">      personas por parte de actores no estatales, la Corte recuerda  que  la</w:t>
        <w:br/>
        <w:t xml:space="preserve">      obligación de  los  Estados  Partes  conforme  al  artículo  1  de  la</w:t>
        <w:br/>
        <w:t xml:space="preserve">      Convención de  asegurar  a  toda  persona  bajo  su  jurisdicción  los</w:t>
        <w:br/>
        <w:t xml:space="preserve">      derechos y libertades consagrados en la Convención, conjuntamente  con</w:t>
        <w:br/>
        <w:t xml:space="preserve">      el artículo 3, requiere de los Estados  que  tomen  medidas  diseñadas</w:t>
        <w:br/>
        <w:t xml:space="preserve">      para asegurar que los individuos bajo su jurisdicción no  sean  objeto</w:t>
        <w:br/>
        <w:t xml:space="preserve">      de  tortura  o  tratos  o  penas  crueles,  inhumanos  o  degradantes,</w:t>
        <w:br/>
        <w:t xml:space="preserve">      incluyendo malos tratos  perpetrados  por  individuos  privados  (ver,</w:t>
        <w:br/>
        <w:t xml:space="preserve">      mutatis mutandi, H.L.R. v. France, 29 April 1997, § 40, Reports  1997-</w:t>
        <w:br/>
        <w:t xml:space="preserve">      III). Particularmente, los niños y otros individuos vulnerables tienen</w:t>
        <w:br/>
        <w:t xml:space="preserve">      derecho a protección por parte  del  Estado,  en  forma  de  disuasión</w:t>
        <w:br/>
        <w:t xml:space="preserve">      efectiva, contra aquellas violaciones serias a la integridad  personal</w:t>
        <w:br/>
        <w:t xml:space="preserve">      (ver A. v. the United Kingdom, 23 September 1998, § 22, Reports  1998-</w:t>
        <w:br/>
        <w:t xml:space="preserve">      VI)[576].</w:t>
        <w:br/>
        <w:br/>
        <w:t>7.    Como puede observarse, ninguna de estas decisiones o  interpretaciones</w:t>
        <w:br/>
        <w:t>hace alusión al requisito de la exigencia de  la  participación  activa,  la</w:t>
        <w:br/>
        <w:t>aquiescencia o tolerancia, o la inacción de un agente  estatal.  Ese  es  un</w:t>
        <w:br/>
        <w:t>requisito  agregado  por  la  Convención  Interamericana  para  Prevenir   y</w:t>
        <w:br/>
        <w:t>Sancionar la Tortura (en adelante “la CIPST”) y por la Convención contra  la</w:t>
        <w:br/>
        <w:t>Tortura y  Otros  Tratos  o  Penas  Crueles,  Inhumanos  o  Degradantes  (en</w:t>
        <w:br/>
        <w:t>adelante  “Convención  contra   la   Tortura”).   Ambas   Convenciones   son</w:t>
        <w:br/>
        <w:t>posteriores a la Convención Americana,  habiendo entrado en vigor en 1987.</w:t>
        <w:br/>
        <w:br/>
        <w:t>8.    Si se leen los párrafos 218, 219, 220  y  230  de  este  fallo,  puede</w:t>
        <w:br/>
        <w:t>advertirse que las tres víctimas sufrieron graves agresiones físicas  y  muy</w:t>
        <w:br/>
        <w:t>probablemente violencia  sexual  de  algún  tipo  antes  de  su  muerte.  La</w:t>
        <w:br/>
        <w:t>descripción del  estado  de  los  cadáveres,  aunque  fue  hecha  de  manera</w:t>
        <w:br/>
        <w:t>ineficiente en los primeros momentos, muestra la  magnitud  del  tratamiento</w:t>
        <w:br/>
        <w:t>que se les infligió, de modo que los hechos permitían ser considerados  como</w:t>
        <w:br/>
        <w:t>actos de tortura.</w:t>
        <w:br/>
        <w:br/>
        <w:t>9.    No parece pues, haber justificación al hecho  de  que  el  tratamiento</w:t>
        <w:br/>
        <w:t>que se aplicó a las tres víctimas de este caso no se  haya  calificado  como</w:t>
        <w:br/>
        <w:t>tortura, salvo el hecho de  que  la  Corte  consideró  que  no  era  posible</w:t>
        <w:br/>
        <w:t>encontrar que un Estado pudiera ser responsable de un acto de tortura si  no</w:t>
        <w:br/>
        <w:t>había prueba de que éste hubiera sido perpetrado por agentes  del  Estado  o</w:t>
        <w:br/>
        <w:t>se hubiera llevado a cabo cuando un empleado o funcionario público  pudiendo</w:t>
        <w:br/>
        <w:t>impedir el acto no lo hubiera hecho (artículo 3.a[577] de la  CIPST)  o,  en</w:t>
        <w:br/>
        <w:t>los términos del artículo 1[578] de la  Convención  contra  la  Tortura,  el</w:t>
        <w:br/>
        <w:t>acto se hubiera realizado con la aquiescencia de un agente del Estado.</w:t>
        <w:br/>
        <w:br/>
        <w:t>10.   Con respecto a la formulación de  la  Convención  contra  la  Tortura,</w:t>
        <w:br/>
        <w:t>baste decir que el  propio  Comité  contra  la  Tortura,  creado  por  dicha</w:t>
        <w:br/>
        <w:t>Convención, ha sostenido que:</w:t>
        <w:br/>
        <w:br/>
        <w:t xml:space="preserve">      cuando las autoridades del Estado […] tienen  conocimiento  o  motivos</w:t>
        <w:br/>
        <w:t xml:space="preserve">      fundados para creer  que  sujetos  privados  o  actores  no  estatales</w:t>
        <w:br/>
        <w:t xml:space="preserve">      perpetran actos de tortura o malos  tratos  y  no  ejercen  la  debida</w:t>
        <w:br/>
        <w:t xml:space="preserve">      diligencia para impedir, investigar, enjuiciar  y  castigar  a  dichos</w:t>
        <w:br/>
        <w:t xml:space="preserve">      sujetos privados o actores no estatales […] el Estado  es  responsable</w:t>
        <w:br/>
        <w:t xml:space="preserve">      […] por consentir o tolerar esos actos  inaceptables.  La  negligencia</w:t>
        <w:br/>
        <w:t xml:space="preserve">      del Estado a la hora de  intervenir  para  poner  fin  a  esos  actos,</w:t>
        <w:br/>
        <w:t xml:space="preserve">      sancionar a los autores y ofrecer reparación  a  las  víctimas  de  la</w:t>
        <w:br/>
        <w:t xml:space="preserve">      tortura facilita y hace posible que los actores no  estatales  cometan</w:t>
        <w:br/>
        <w:t xml:space="preserve">      impunemente  actos  prohibidos  por  la  Convención,  por  lo  que  la</w:t>
        <w:br/>
        <w:t xml:space="preserve">      indiferencia o inacción del Estado constituye una forma de  incitación</w:t>
        <w:br/>
        <w:t xml:space="preserve">      y/o de autorización de hecho. El Comité ha aplicado este  principio  a</w:t>
        <w:br/>
        <w:t xml:space="preserve">      los casos en que los Estados Partes no han impedido actos de violencia</w:t>
        <w:br/>
        <w:t xml:space="preserve">      de género, como la violación, la violencia en el hogar, la  mutilación</w:t>
        <w:br/>
        <w:t xml:space="preserve">      genital femenina o la trata, o no han protegido a las víctimas[579].</w:t>
        <w:br/>
        <w:br/>
        <w:t>11.    También  el  Relator  especial  sobre  la  cuestión  de  la  tortura,</w:t>
        <w:br/>
        <w:t>refiriéndose al artículo 1 de la Convención contra la Tortura, que  consagra</w:t>
        <w:br/>
        <w:t>obligaciones similares al citado artículo 3 de la CIPST, señaló que</w:t>
        <w:br/>
        <w:br/>
        <w:t xml:space="preserve">       se ha utilizado con frecuencia para excluir del ámbito de  protección</w:t>
        <w:br/>
        <w:t xml:space="preserve">      que dispone la Convención la violencia contra la mujer al  margen  del</w:t>
        <w:br/>
        <w:t xml:space="preserve">      control directo del Estado.  No  obstante,  [dicho  artículo,]  cuando</w:t>
        <w:br/>
        <w:t xml:space="preserve">      habla de consentimiento o aquiescencia del funcionario público[,] hace</w:t>
        <w:br/>
        <w:t xml:space="preserve">      extensivas claramente las obligaciones del Estado a la esfera  privada</w:t>
        <w:br/>
        <w:t xml:space="preserve">      y debería entenderse que abarca la falta de protección por  parte  del</w:t>
        <w:br/>
        <w:t xml:space="preserve">      Estado de las personas que estén dentro de su jurisdicción  contra  la</w:t>
        <w:br/>
        <w:t xml:space="preserve">      tortura y los malos tratos por particulares[580].</w:t>
        <w:br/>
        <w:br/>
        <w:t>12.   En cuanto a la CIPST, tres puntos  son  pertinentes  de  destacar.  El</w:t>
        <w:br/>
        <w:t>primero es que la Convención Americana, vigente  desde  julio  de  1978,  no</w:t>
        <w:br/>
        <w:t>contiene  una  definición  de  esta  conducta  y  que  la  Corte  ha  debido</w:t>
        <w:br/>
        <w:t>construirla de acuerdo a sus facultades como órgano autorizado para dar  una</w:t>
        <w:br/>
        <w:t>interpretación auténtica de las disposiciones de ese tratado, por lo que  el</w:t>
        <w:br/>
        <w:t>concepto de tortura del  Tribunal,  explicitado  o  no  explicitado  en  los</w:t>
        <w:br/>
        <w:t>fallos,  pero  presente  en  la  mente  de  los  juzgadores,  no  debe   ser</w:t>
        <w:br/>
        <w:t>necesariamente igual al de dichas convenciones  y  no  debe  ineludiblemente</w:t>
        <w:br/>
        <w:t>ser aplicado.  El  segundo  es  que  no  todos  los  Estados  partes  de  la</w:t>
        <w:br/>
        <w:t>Convención Americana lo son de la CIPST, por  lo  que  la  Corte  hasta  hoy</w:t>
        <w:br/>
        <w:t>puede estar enfrentada a conocer de un caso de  tortura  sin  poder  aplicar</w:t>
        <w:br/>
        <w:t>esa Convención directamente. De  hecho,  en  este  fallo  no  se  aplica  la</w:t>
        <w:br/>
        <w:t>Convención Interamericana contra la Tortura, ni se utiliza para iluminar  la</w:t>
        <w:br/>
        <w:t>interpretación  de  las  normas  de  la  Convención  Americana.  El  tercero</w:t>
        <w:br/>
        <w:t>recuerda que el propio Tribunal determinó que, tras considerar  el  concepto</w:t>
        <w:br/>
        <w:t>de tortura desarrollado en el sistema  europeo  de  derechos  humanos  y  la</w:t>
        <w:br/>
        <w:t>definición prevista en la CIPST, había llegado a la conclusión  de  “que  se</w:t>
        <w:br/>
        <w:t>ha formado  un  verdadero  régimen  jurídico  internacional  de  prohibición</w:t>
        <w:br/>
        <w:t>absoluta  de  todas  las  formas  de  tortura”[581],   tanto   física   como</w:t>
        <w:br/>
        <w:t>psicológica[582].</w:t>
        <w:br/>
        <w:br/>
        <w:br/>
        <w:t>13.   Habiéndose formulado un corpus juris internacional, es procedente  ver</w:t>
        <w:br/>
        <w:t>cómo se aplica para dar la mayor protección a los derechos  humanos  de  los</w:t>
        <w:br/>
        <w:t>individuos. Quizás el mejor resumen de la posición que se pueda  adoptar  en</w:t>
        <w:br/>
        <w:t>este caso, que es un caso de violación grave de la integridad de  dos  niñas</w:t>
        <w:br/>
        <w:t>y una jóven mujer- de por sí pertenecientes a  un  sector  colocado  por  la</w:t>
        <w:br/>
        <w:t>sociedad en un estado de vulnerabilidad, que a su vez es  permitido  por  el</w:t>
        <w:br/>
        <w:t>Estado -, se encuentra en un fallo de la Corte Penal Internacional  para  la</w:t>
        <w:br/>
        <w:t>Ex-Yugoslavia (en adelante “Tribunal para la Ex-Yugoslavia”).</w:t>
        <w:br/>
        <w:br/>
        <w:br/>
        <w:t>14.    En el caso Prosecutor v. Dragoljub Kunarac,  Radomir  Kovac  y  Zoran</w:t>
        <w:br/>
        <w:t>Vukovic[583], el Tribunal para la Ex-Yugoslavia acude, en el párrafo 479,  a</w:t>
        <w:br/>
        <w:t>la jurisprudencia de la Corte Europea[584]  y,  en  el  párrafo  482,  a  su</w:t>
        <w:br/>
        <w:t>propia jurisprudencia[585] para sostener que la definición de la  Convención</w:t>
        <w:br/>
        <w:t>contra la Tortura no constituye una norma  de  derecho  consuetudinario.  La</w:t>
        <w:br/>
        <w:t>definición contenida en esa  Convención  sólo  puede  ser  utilizada  en  la</w:t>
        <w:br/>
        <w:t>medida en que otros instrumentos internacionales o leyes nacionales  no  den</w:t>
        <w:br/>
        <w:t>al individuo una protección más amplia o mejor. Ésto repite, por  lo  demás,</w:t>
        <w:br/>
        <w:t>una de las normas básicas de la aplicación de los instrumentos  de  derechos</w:t>
        <w:br/>
        <w:t>humanos que  se  encuentra  en  el  artículo  29.b.[586]  de  la  Convención</w:t>
        <w:br/>
        <w:t>Americana y en el artículo 5.2[587]  del  Pacto  Internacional  de  Derechos</w:t>
        <w:br/>
        <w:t>Civiles y Políticos.</w:t>
        <w:br/>
        <w:br/>
        <w:br/>
        <w:t>15.   El Tribunal para la Ex-Yugoslavia, después de examinar el conjunto  de</w:t>
        <w:br/>
        <w:t>normas y reglas que se refieren a la tortura, llega, por  una  parte,  a  la</w:t>
        <w:br/>
        <w:t>conclusión, que comparto, de que hay tres elementos en  la  tortura  que  no</w:t>
        <w:br/>
        <w:t>son objetados y  que  constituyen,  por  consiguiente,  jus  cogens:  i)  el</w:t>
        <w:br/>
        <w:t>sufrimiento o dolor severos,  físicos  o  mentales,  ya  sea  por  acción  u</w:t>
        <w:br/>
        <w:t>omisión; ii) la intencionalidad del acto y iii)  la  motivación  o  fin  del</w:t>
        <w:br/>
        <w:t>acto para conseguir algo[588].  Por  otra  parte,  hay  tres  elementos  que</w:t>
        <w:br/>
        <w:t>permanecen en contienda y, por lo tanto, no forman parte del jus cogens:  i)</w:t>
        <w:br/>
        <w:t>la lista de motivaciones por las cuales el acto se comete; ii) la  necesidad</w:t>
        <w:br/>
        <w:t>de que el acto se cometa en conexión con un  conflicto  armado;  y  iii)  el</w:t>
        <w:br/>
        <w:t>requisito de que el acto sea perpetrado o sea instigado por  un  agente  del</w:t>
        <w:br/>
        <w:t>Estado o se realice con su consentimiento o aquiescencia[589].</w:t>
        <w:br/>
        <w:br/>
        <w:t>16.   Todo este razonamiento me lleva  a  sostener  que  la  Corte  no  está</w:t>
        <w:br/>
        <w:t>obligada a aplicar o a guiarse ni por la definición de la CIPST  ni  por  la</w:t>
        <w:br/>
        <w:t>de la Convención contra la Tortura, sino que  debería  hacer  prevalecer  la</w:t>
        <w:br/>
        <w:t>concepción del jus cogens, puesto que ella  establece  la  mejor  protección</w:t>
        <w:br/>
        <w:t>para las víctimas de tortura. Recuerdo, por lo demás, que el artículo 16  de</w:t>
        <w:br/>
        <w:t>la CIPST dispone que esa Convención  “deja  a  salvo  lo  dispuesto  por  la</w:t>
        <w:br/>
        <w:t>Convención Americana sobre Derechos Humanos, por  otras  convenciones  sobre</w:t>
        <w:br/>
        <w:t>la materia y por el Estatuto  de  la  Comisión  Interamericana  de  Derechos</w:t>
        <w:br/>
        <w:t>Humanos respecto del delito de tortura”, de modo que interpretar la  tortura</w:t>
        <w:br/>
        <w:t>apartándose de dicha Convención no constituye un incumplimiento de la  misma</w:t>
        <w:br/>
        <w:t>sino , por el contrario, su aplicación fiel.</w:t>
        <w:br/>
        <w:br/>
        <w:t>17.   Si la Corte es independiente para definir la tortura y  por  lo  tanto</w:t>
        <w:br/>
        <w:t>no  necesita  integrar  como  un  elemento  del  concepto  de  la  misma  la</w:t>
        <w:br/>
        <w:t>participación por acción u omisión de un  agente  del  Estado  (ni  necesita</w:t>
        <w:br/>
        <w:t>tampoco interpretar de manera estrecha el concepto de  aquiescencia,  puesto</w:t>
        <w:br/>
        <w:t>que en este caso –  basándome  en  los  hechos  -  sostengo  que  usando  el</w:t>
        <w:br/>
        <w:t>concepto de aquiescencia del Comité contra  la  Tortura  había  aquiescencia</w:t>
        <w:br/>
        <w:t>del Estado) el único problema  que  debería  analizarse  es  si  es  posible</w:t>
        <w:br/>
        <w:t>atribuirle al Estado el no haber cumplido con su  obligación  de  garantizar</w:t>
        <w:br/>
        <w:t>la integridad personal de  las  víctimas  frente  a  la  posibilidad  de  la</w:t>
        <w:br/>
        <w:t>tortura. No necesito repetir lo que la Corte ha dicho en numerosos fallos  y</w:t>
        <w:br/>
        <w:t>que reitera en éste en cuanto a que la obligación de garantizar requiere  el</w:t>
        <w:br/>
        <w:t>deber de prevenir.</w:t>
        <w:br/>
        <w:br/>
        <w:t>18.   El fallo en este caso establece dos  momentos  en  que  el  Estado  no</w:t>
        <w:br/>
        <w:t>cumplió con ese deber  a  cabalidad.  El  primero  es  el  de  antes  de  la</w:t>
        <w:br/>
        <w:t>desaparición de las víctimas y no se refiere a la obligación de impedir  que</w:t>
        <w:br/>
        <w:t>esas tres víctimas fueran secuestradas; ello sería desproporcionado. Lo  que</w:t>
        <w:br/>
        <w:t>sí se  podía  exigir  es  que  desde  el  momento  en  que  el  Estado  tuvo</w:t>
        <w:br/>
        <w:t>conocimiento oficial (no menciono el no oficial), es  decir,  por  lo  menos</w:t>
        <w:br/>
        <w:t>desde el momento en que la Comisión Nacional de  Derechos  Humanos  advirtió</w:t>
        <w:br/>
        <w:t>oficialmente sobre la existencia del patrón de violencia contra las  mujeres</w:t>
        <w:br/>
        <w:t>en Ciudad Juárez, hubo una  ausencia  de  políticas  destinadas  a  intentar</w:t>
        <w:br/>
        <w:t>revertir la situación.</w:t>
        <w:br/>
        <w:br/>
        <w:t>19.   El segundo momento, que es el que me interesa para este  voto,  es  el</w:t>
        <w:br/>
        <w:t>lapso entre el  momento  en  que  las  tres  víctimas  desaparecieron  y  la</w:t>
        <w:br/>
        <w:t>respuesta del Estado frente a esa  desaparición,  que  fue,  de  acuerdo  al</w:t>
        <w:br/>
        <w:t>fallo, completamente tardía y hasta hoy insuficiente. La Corte  reconoce  en</w:t>
        <w:br/>
        <w:t>el párrafo 283 del fallo que el Estado “tuvo conocimiento de que existía  un</w:t>
        <w:br/>
        <w:t>riesgo real e inmediato de que las víctimas  fueran  agredidas  sexualmente,</w:t>
        <w:br/>
        <w:t>sometidas a vejámenes y asesinadas”, y  que,  por  consiguiente,  “considera</w:t>
        <w:br/>
        <w:t>que ante tal contexto surge un deber de debida diligencia estricta frente  a</w:t>
        <w:br/>
        <w:t>denuncias de desaparición de mujeres, respecto a  su  búsqueda  durante  las</w:t>
        <w:br/>
        <w:t>primeras horas y los primeros días”.</w:t>
        <w:br/>
        <w:br/>
        <w:t>20.   Si la  Corte  hubiera  concluído  que  el  Estado  era  en  este  caso</w:t>
        <w:br/>
        <w:t>responsable de la tortura  a  la  que  fueron  sometidas  las  víctimas,  el</w:t>
        <w:br/>
        <w:t>Tribunal hubiera seguido  la  tendencia  de  otros  órganos  de  supervisión</w:t>
        <w:br/>
        <w:t>internacionales, ya citados, que han venido instituyendo  una  tendencia  en</w:t>
        <w:br/>
        <w:t>cuanto a la responsabilidad de los Estados por actos  de  tortura  cometidos</w:t>
        <w:br/>
        <w:t>por agentes no estatales, lo que, estimo, hubiera constituido un  importante</w:t>
        <w:br/>
        <w:t>desarrollo y aclaración de un tema  sobre  el  cual  la  Corte  con  certeza</w:t>
        <w:br/>
        <w:t>deberá seguir ocupándose.</w:t>
        <w:br/>
        <w:br/>
        <w:br/>
        <w:br/>
        <w:br/>
        <w:br/>
        <w:br/>
        <w:br/>
        <w:t xml:space="preserve">                                                      Cecilia Medina Quiroga</w:t>
        <w:br/>
        <w:br/>
        <w:t xml:space="preserve">                                    Jueza</w:t>
        <w:br/>
        <w:br/>
        <w:t>Pablo Saavedra Alessandri</w:t>
        <w:br/>
        <w:t xml:space="preserve">      Secretario</w:t>
        <w:br/>
        <w:br/>
        <w:br/>
        <w:br/>
        <w:br/>
        <w:br/>
        <w:br/>
        <w:t>-----------------------</w:t>
        <w:br/>
        <w:br/>
        <w:t>[1]   El 15 de diciembre de 2007 el entonces Presidente de  la  Corte,  Juez</w:t>
        <w:br/>
        <w:t>Sergio García Ramírez, de nacionalidad mexicana, cedió la Presidencia  a  la</w:t>
        <w:br/>
        <w:t>Jueza Cecilia Medina Quiroga e informó al Tribunal de  su  inhibitoria  para</w:t>
        <w:br/>
        <w:t>conocer del presente caso. El Juez García Ramírez  expuso  las  razones  que</w:t>
        <w:br/>
        <w:t>sustentaron su inhibición, las cuales fueron aceptadas por el  Tribunal.  El</w:t>
        <w:br/>
        <w:t>21 de diciembre de 2007 se comunicó esta decisión al Estado y se le  informó</w:t>
        <w:br/>
        <w:t>que podría designar un juez ad hoc para que participara en la  consideración</w:t>
        <w:br/>
        <w:t>del presente caso. El 29 de febrero de 2008,  luego  de  dos  prórrogas,  el</w:t>
        <w:br/>
        <w:t>Estado designó a la señora Verónica Martínez Solares como jueza ad  hoc.  El</w:t>
        <w:br/>
        <w:t>18 de septiembre de  2008  los  representantes  de  las  presuntas  víctimas</w:t>
        <w:br/>
        <w:t>objetaron dicha designación señalando que la  señora  Martínez  Solares  “no</w:t>
        <w:br/>
        <w:t>re[unía]  uno  de  los  requisitos  que  establece  el  artículo  52  de  la</w:t>
        <w:br/>
        <w:t>[Convención Americana] para ser juez de la Corte Interamericana”. El  30  de</w:t>
        <w:br/>
        <w:t>octubre de 2008 la Corte emitió una Resolución  en  la  que  señaló  que  la</w:t>
        <w:br/>
        <w:t>señora Martínez Solares “no cumpl[ía] con  los  requisitos  para  participar</w:t>
        <w:br/>
        <w:t>como Jueza ad hoc en el presente caso”. En dicha Resolución la Corte  otorgó</w:t>
        <w:br/>
        <w:t>un plazo al Estado para que  designara  un  nuevo  juez  ad  hoc.  El  3  de</w:t>
        <w:br/>
        <w:t>diciembre de 2008 el Estado designó en tal calidad a la  señora  Rosa  María</w:t>
        <w:br/>
        <w:t>Álvarez González. De otra parte,  por  razones  de  fuerza  mayor,  el  Juez</w:t>
        <w:br/>
        <w:t>Leonardo A. Franco no participó en la deliberación y firma  de  la  presente</w:t>
        <w:br/>
        <w:t>Sentencia.</w:t>
        <w:br/>
        <w:br/>
        <w:br/>
        <w:t>[2]   Conforme a lo dispuesto en el  artículo  72.2  del  Reglamento  de  la</w:t>
        <w:br/>
        <w:t>Corte Interamericana vigente, cuyas últimas reformas  entraron  en  vigor  a</w:t>
        <w:br/>
        <w:t>partir del 24 de marzo  de  2009,  “[l]os  casos  en  curso  se  continuarán</w:t>
        <w:br/>
        <w:t>tramitando conforme a este Reglamento, con la excepción  de  aquellos  casos</w:t>
        <w:br/>
        <w:t>en que se haya convocado a audiencia al momento  de  entrada  en  vigor  del</w:t>
        <w:br/>
        <w:t>presente  Reglamento,  los  cuales  seguirán  tramitándose  conforme  a  las</w:t>
        <w:br/>
        <w:t>disposiciones del Reglamento anterior”. De ese modo,  el  Reglamento  de  la</w:t>
        <w:br/>
        <w:t>Corte  mencionado  en  la  presente  Sentencia  corresponde  al  instrumento</w:t>
        <w:br/>
        <w:t>aprobado  por  el  Tribunal  en  su  XLIX  Período  Ordinario  de  Sesiones,</w:t>
        <w:br/>
        <w:t>celebrado del 16 al 25 de noviembre de 2000, y  reformado  parcialmente  por</w:t>
        <w:br/>
        <w:t>la Corte en su LXI Período  Ordinario  de  Sesiones,  celebrado  del  20  de</w:t>
        <w:br/>
        <w:t>noviembre al 4 de diciembre de 2003.</w:t>
        <w:br/>
        <w:br/>
        <w:br/>
        <w:t>[3]   El 14 de diciembre de 2007 las mencionadas organizaciones  comunicaron</w:t>
        <w:br/>
        <w:t>al Tribunal, de conformidad con  el  artículo  23.2  del  Reglamento  de  la</w:t>
        <w:br/>
        <w:t>Corte,  la  designación  de  la   señora   Sonia   Torres   Hernández   como</w:t>
        <w:br/>
        <w:t>interviniente común (expediente de fondo, tomo V, folio 1936).</w:t>
        <w:br/>
        <w:br/>
        <w:br/>
        <w:t>[4]   Cfr. González y otras (“Campo Algodonero”) Vs. México.  Resolución  de</w:t>
        <w:br/>
        <w:t>la Corte de 19 de enero de 2009, punto resolutivo segundo.</w:t>
        <w:br/>
        <w:br/>
        <w:br/>
        <w:t>[5]   Cfr. González y otras (“Campo Algodonero”) Vs. México, supra  nota  4,</w:t>
        <w:br/>
        <w:t>punto resolutivo cuarto.</w:t>
        <w:br/>
        <w:br/>
        <w:br/>
        <w:t>[6]   Cfr. González y otras (“Campo Algodonero”) Vs. México.  Resolución  de</w:t>
        <w:br/>
        <w:t>la Presidenta de la Corte de 18 de marzo de 2009.</w:t>
        <w:br/>
        <w:br/>
        <w:br/>
        <w:t>[7]   Cfr. González y otras (“Campo Algodonero”) Vs. México.  Resolución  de</w:t>
        <w:br/>
        <w:t>la Corte de 3 de abril de 2009, punto resolutivo primero.</w:t>
        <w:br/>
        <w:br/>
        <w:br/>
        <w:t>[8]   A esta audiencia comparecieron: a)  por  la  Comisión  Interamericana:</w:t>
        <w:br/>
        <w:t>Florentín   Meléndez,   Comisionado;   Elizabeth   Abi-Mershed,   Secretaria</w:t>
        <w:br/>
        <w:t>Ejecutiva Adjunta;  Juan  Pablo  Albán  Alencastro,  asesor;  Rosa  Celorio,</w:t>
        <w:br/>
        <w:t>asesora, y Fiorella Melzi, asesora; b) por las presuntas  víctimas:  Alfredo</w:t>
        <w:br/>
        <w:t>Limas  Hernández,  representante;  Andrea   de   la   Barreda   Montpellier,</w:t>
        <w:br/>
        <w:t>representante;  Andrea  Medina  Rosas,  representante;  Ariel  E.  Dulitzky,</w:t>
        <w:br/>
        <w:t>asesor;  David  Peña  Rodríguez,  representante;  Emilio  Ginés  Santidrián,</w:t>
        <w:br/>
        <w:t>asesor; Héctor Faúndez Ledesma, asesor; Héctor Pérez Rivera, asesor;  Ivonne</w:t>
        <w:br/>
        <w:t>I.  Mendoza  Salazar,  representante;  María  del  Carmen  Herrera   García,</w:t>
        <w:br/>
        <w:t>asesora; María Edith López Hernández, asesora; Karla Micheel Salas  Ramírez,</w:t>
        <w:br/>
        <w:t>representante, y Sonia Josefina Torres Hernández, interviniente común, y  c)</w:t>
        <w:br/>
        <w:t>por el Estado: Alejandro Negrín Muñoz, Agente, Director General de  Derechos</w:t>
        <w:br/>
        <w:t>Humanos y Democracia de la Cancillería mexicana; Mario Leal Campos,  asesor,</w:t>
        <w:br/>
        <w:t>Embajador de México en Chile; Patricia González Rodríguez,  Agente  Alterna,</w:t>
        <w:br/>
        <w:t>Procuradora General de Justicia  del  estado  de  Chihuahua;  Mario  Alberto</w:t>
        <w:br/>
        <w:t>Prado Rodríguez,  asesor,  Coordinador  de  Asesores  del  Subsecretario  de</w:t>
        <w:br/>
        <w:t>Asuntos Jurídicos y  Derechos  Humanos  de  la  Secretaría  de  Gobernación;</w:t>
        <w:br/>
        <w:t>Mauricio Elpidio Montes de Oca Durán, asesor, Director  General  Adjunto  de</w:t>
        <w:br/>
        <w:t>Investigación y Atención a Casos de Derechos Humanos  de  la  Secretaría  de</w:t>
        <w:br/>
        <w:t>Gobernación; Víctor Manuel Uribe Aviña, asesor, Consultor  Jurídico  Adjunto</w:t>
        <w:br/>
        <w:t>de la Cancillería; Arturo Licón Baeza,  asesor,  Subprocurador  de  Derechos</w:t>
        <w:br/>
        <w:t>Humanos y Atención a Víctimas del Delito  del  estado  de  Chihuahua;  Pablo</w:t>
        <w:br/>
        <w:t>Navarrete Gutiérrez, asesor, Coordinador de Asuntos Jurídicos del  Instituto</w:t>
        <w:br/>
        <w:t>Nacional de  las  Mujeres;  Carlos  Garduño  Salinas,  asesor,  Director  de</w:t>
        <w:br/>
        <w:t>Derechos Humanos de  la  Procuraduría  General  de  la  República;  Fernando</w:t>
        <w:br/>
        <w:t>Tiscareño Luján, asesor, Asesor  del  Secretario  General  de  Gobierno  del</w:t>
        <w:br/>
        <w:t>estado de Chihuahua; Rodolfo  Leyva  Martínez,  asesor,  funcionario  de  la</w:t>
        <w:br/>
        <w:t>Subprocuraduría de Derechos Humanos y Atención a  Víctimas  del  Delito  del</w:t>
        <w:br/>
        <w:t>estado de Chihuahua; José Ignacio  Martín  del  Campo  Covarrubias,  asesor,</w:t>
        <w:br/>
        <w:t>Director del Área de Litigio Internacional en materia  de  Derechos  Humanos</w:t>
        <w:br/>
        <w:t>de la Cancillería; Ximena Mariscal de Alba, asesora, Subdirectora  del  Área</w:t>
        <w:br/>
        <w:t>de Litigio Internacional en materia de Derechos Humanos de  la  Cancillería;</w:t>
        <w:br/>
        <w:t>David Ricardo Uribe González, asesor,  Jefe  de  Departamento  del  Área  de</w:t>
        <w:br/>
        <w:t>Litigio Internacional en materia de  Derechos  Humanos  de  la  Cancillería;</w:t>
        <w:br/>
        <w:t>Luis Manuel Jardón Piña, asesor, Jefe de  Departamento  de  Litigios  de  la</w:t>
        <w:br/>
        <w:t>Consultoría Jurídica de la Cancillería, y Carlos  Giménez  Zamudio,  asesor,</w:t>
        <w:br/>
        <w:t>Encargado del Área de Política Interna, Prensa  y  Derechos  Humanos  de  la</w:t>
        <w:br/>
        <w:t>Embajada de México en Chile.</w:t>
        <w:br/>
        <w:br/>
        <w:br/>
        <w:t>[9]   Dicho escrito fue presentado  por  Simona  Cusack,  Rebecca  J.  Cook,</w:t>
        <w:br/>
        <w:t>Viviana Krsticevic y Vanessa Coria el 4 de diciembre de 2008.</w:t>
        <w:br/>
        <w:br/>
        <w:br/>
        <w:t>[10]  Dicho escrito fue presentado por Eric Sottas y Philip Grant el  16  de</w:t>
        <w:br/>
        <w:t>abril de 2009. El 28 de abril de 2009 el  Consejo  General  de  la  Abogacía</w:t>
        <w:br/>
        <w:t>Española y la Fundación del  Consejo  General  de  la  Abogacía  General  se</w:t>
        <w:br/>
        <w:t>adhirieron a este escrito.</w:t>
        <w:br/>
        <w:br/>
        <w:br/>
        <w:t>[11]  Dicho escrito  fue  presentado  por  Miguel  Ángel  Antemate  Mendoza,</w:t>
        <w:br/>
        <w:t>Selene Cruz Alcalá, Rafael Caballero Hernández, Carlos Alejandro  Martiarena</w:t>
        <w:br/>
        <w:t>Leonar y Alma Elena Rueda Rodríguez el 23 de abril de 2009.</w:t>
        <w:br/>
        <w:br/>
        <w:br/>
        <w:t>[12]  Dicho escrito fue presentado por Raymundo Gil Rendón y varios  de  sus</w:t>
        <w:br/>
        <w:t>alumnos el 24 de abril de 2007.</w:t>
        <w:br/>
        <w:br/>
        <w:br/>
        <w:t>[13]  Dicho escrito fue  presentado  por  Viviana  Waisman  y  Paloma  Soria</w:t>
        <w:br/>
        <w:t>Montañez el 27 de abril de 2008.</w:t>
        <w:br/>
        <w:br/>
        <w:br/>
        <w:t>[14]  Dicho escrito fue también preparado por: Cáritas Diocesana  de  Ciudad</w:t>
        <w:br/>
        <w:t>Juárez, Pastoral Obrera,  Programa  Compañeros,  Ciudadanos  por  una  mejor</w:t>
        <w:br/>
        <w:t>Administración Pública, Casa Amiga Centro de Crisis,  y  a  titulo  personal</w:t>
        <w:br/>
        <w:t>por Clara Eugenia Rojas Blanco, Elizabeth Loera y Diana Itzel  Gonzáles.  El</w:t>
        <w:br/>
        <w:t>mismo fue presentado por Imelda Marrufo Nava el 15 de mayo de 2009.</w:t>
        <w:br/>
        <w:br/>
        <w:br/>
        <w:t>[15]  Dicho escrito fue presentado por César A. Rodríguez Garavito el  1  de</w:t>
        <w:br/>
        <w:t>junio de 2009.</w:t>
        <w:br/>
        <w:br/>
        <w:br/>
        <w:t>[16]  Dicho escrito fue presentado por José Antonio Ibáñez Aguirre el 10  de</w:t>
        <w:br/>
        <w:t>julio de 2009.</w:t>
        <w:br/>
        <w:br/>
        <w:br/>
        <w:t>[17]  Dicho escrito fue presentado por Clive Baldwin el 8 de junio de 2009.</w:t>
        <w:br/>
        <w:br/>
        <w:br/>
        <w:t>[18]  Dicho  escrito  fue  respaldado  por:  Amnesty  International,  Thomas</w:t>
        <w:br/>
        <w:t>Antkowiak, Tamar Birckhead, Mary Boyce, Break the Circle,  Arturo  Carrillo,</w:t>
        <w:br/>
        <w:t>Center for Constitutional Rights,  Center  for  Gender  &amp;  Refugee  Studies,</w:t>
        <w:br/>
        <w:t>Center for Justice &amp; Accountability, Centro de Derechos Humanos  Universidad</w:t>
        <w:br/>
        <w:t>Diego Portales, Columbia Law School Human Rights Clinic, Cornell Law  School</w:t>
        <w:br/>
        <w:t>International  Human  Rights  Clinic,  Bridget  J.  Crawford,  The  Domestic</w:t>
        <w:br/>
        <w:t>Violence and Civil Protection Order Clinic of The University of  Cincinnati,</w:t>
        <w:br/>
        <w:t>Margaret Drew, Martin Geer, Human Rights and Genocide  Clinic,  Benjamín  N.</w:t>
        <w:br/>
        <w:t>Cardozo School of Law, Human Rights Advocates,  Deena  Hurwitz,  Immigration</w:t>
        <w:br/>
        <w:t>Clinic at The University of Maryland School of Law, The Immigration  Justice</w:t>
        <w:br/>
        <w:t>Clinic, IMPACT Personal Safety, The International  Human  Rights  Clinic  at</w:t>
        <w:br/>
        <w:t>Willamette University College of Law, International  Mental  Disability  Law</w:t>
        <w:br/>
        <w:t>Reform Project of New York  Law  School,  The  International  Women’s  Human</w:t>
        <w:br/>
        <w:t>Rights Clinic  at  Georgetown  Law,  Latinojustice  PRLDEF,  Legal  Services</w:t>
        <w:br/>
        <w:t>Clinic at Western New England College School  of  Law,  Leitner  Center  for</w:t>
        <w:br/>
        <w:t>International Law and Justice at  Fordham  Law  School,  Bert  B.  Lockwood,</w:t>
        <w:br/>
        <w:t>Allard K. Lowenstein International Human Rights  Clinic,  Yale  Law  School,</w:t>
        <w:br/>
        <w:t>Beth Lyon, Thomas M. McDonnell, The National Association of  Women  Lawyers,</w:t>
        <w:br/>
        <w:t>Los  Angeles  Chapter  of  The  National   Lawyers   Guild,   The   National</w:t>
        <w:br/>
        <w:t>Organization for Women, Noah Novogrodsky, Jamie O´Connell,  Sarah  Paoletti,</w:t>
        <w:br/>
        <w:t>Jo M. Pasqualucci, Naomi Roht-Arriaza, Darren Rosenblum, Susan Deller  Ross,</w:t>
        <w:br/>
        <w:t>Seton Hall University School  of  Law  Center  for  Social  Justice,  Gwynne</w:t>
        <w:br/>
        <w:t>Skinner, Kathleen Staudt, Jeffrey  Stempel,  Maureen  A.  Sweeney,  Jonathan</w:t>
        <w:br/>
        <w:t>Todres, The Urban Morgan Institute  for  Human  Rights,  U.S.  Human  Rights</w:t>
        <w:br/>
        <w:t>Network, Penny M. Venetis, Deborah Weissman, Richard J. Wilson, The  Women’s</w:t>
        <w:br/>
        <w:t>Law  Project,  Women  Lawyers  Association  of  Los   Angeles,   and   World</w:t>
        <w:br/>
        <w:t>Organization for Human Rights USA. El mismo  fue  presentado  por  David  S.</w:t>
        <w:br/>
        <w:t>Ettinger y Mary-Christine Sungaila el 17 de julio de 2009.</w:t>
        <w:br/>
        <w:br/>
        <w:br/>
        <w:t>[19]  Dicho escrito fue presentado por Leah Hoctor el 17 de julio de 2009.</w:t>
        <w:br/>
        <w:br/>
        <w:br/>
        <w:t>[20]  Dicho escrito fue presentado por Widney Brown el 13 de julio de 2009.</w:t>
        <w:br/>
        <w:br/>
        <w:br/>
        <w:t>[21]  Dicho escrito fue presentado el 21 de septiembre  de  2009  por  Clara</w:t>
        <w:br/>
        <w:t>Sandoval y estudiantes del Centro de  Derechos  Humanos  y  la  Facultad  de</w:t>
        <w:br/>
        <w:t>Derecho de la Universidad de  Essex,  Carla  Ferstman  y  Marta  Valiñas  de</w:t>
        <w:br/>
        <w:t>Redress, Javier Ciurlizza y Catalina Díaz del Centro Internacional  para  la</w:t>
        <w:br/>
        <w:t>Justicia Transicional (ICTJ), Ruth Rubio Marín del  Instituto  Universitario</w:t>
        <w:br/>
        <w:t>Europeo, y a título personal por Mariclaire Acosta, Ximena Andión  Ibañez  y</w:t>
        <w:br/>
        <w:t>Gail Aguilar Castañón.</w:t>
        <w:br/>
        <w:br/>
        <w:br/>
        <w:t>[22]  Caso Perozo y otros Vs. Venezuela.  Excepciones  Preliminares,  Fondo,</w:t>
        <w:br/>
        <w:t>Reparaciones y Costas. Sentencia de 28 de enero de 2009. Serie  C  No.  195,</w:t>
        <w:br/>
        <w:t>párr. 67.</w:t>
        <w:br/>
        <w:br/>
        <w:br/>
        <w:t>[23]  El artículo 53.2 del Reglamento dispone que:</w:t>
        <w:br/>
        <w:br/>
        <w:br/>
        <w:t xml:space="preserve">      Si  el  demandado  comunicare  a  la  Corte  su  allanamiento  a 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>Por su parte, el artículo 55 del Reglamento establece que:</w:t>
        <w:br/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br/>
        <w:t>[24]   Cfr.  Caso  Kimel  Vs.  Argentina.  Fondo,  Reparaciones  y   Costas.</w:t>
        <w:br/>
        <w:t>Sentencia de 2 de mayo de 2008. Serie C No. 177, párr.  24,  y  Caso  Ticona</w:t>
        <w:br/>
        <w:t>Estrada Vs. Bolivia. Fondo,  Reparaciones  y  Costas.  Sentencia  de  27  de</w:t>
        <w:br/>
        <w:t>noviembre de 2008. Serie C No. 191, párr. 21.</w:t>
        <w:br/>
        <w:br/>
        <w:br/>
        <w:t>[25]  Cfr. Caso Trujillo Oroza Vs. Bolivia. Fondo. Sentencia de 26 de  enero</w:t>
        <w:br/>
        <w:t>de 2000. Serie C No. 64, párr. 42; Caso Albán Cornejo y otros  Vs.  Ecuador.</w:t>
        <w:br/>
        <w:t>Fondo, Reparaciones y Costas. Sentencia de 22 de noviembre de 2007. Serie  C</w:t>
        <w:br/>
        <w:t>No.171. párr 24, y Caso Kimel Vs. Argentina, supra nota 24, párr. 25.</w:t>
        <w:br/>
        <w:br/>
        <w:br/>
        <w:t>[26]  Cfr. Caso Carpio Nicolle y otros Vs. Guatemala. Fondo, Reparaciones  y</w:t>
        <w:br/>
        <w:t>Costas. Sentencia de 22 de noviembre de 2004. Serie C  No.  117,  párr.  84;</w:t>
        <w:br/>
        <w:t>Caso Albán Cornejo y otros Vs. Ecuador, supra nota  25,  párr.  24,  y  Caso</w:t>
        <w:br/>
        <w:t>Kimel Vs. Argentina, supra nota 24, párr. 25.</w:t>
        <w:br/>
        <w:br/>
        <w:br/>
        <w:t>[27]  Cfr. Caso Ivcher Bronstein Vs. Perú. Competencia. Sentencia de  24  de</w:t>
        <w:br/>
        <w:t>septiembre de 1999. Serie C No. 54, párr. 38, y Caso  Blake  Vs.  Guatemala.</w:t>
        <w:br/>
        <w:t>Interpretación de la Sentencia de Reparaciones y Costas. Sentencia de  1  de</w:t>
        <w:br/>
        <w:t>octubre de 1999. Serie C No. 57, párr. 21.</w:t>
        <w:br/>
        <w:br/>
        <w:br/>
        <w:t>[28]   Cfr.  Caso  Las  Palmeras  Vs.  Colombia.  Excepciones  Preliminares.</w:t>
        <w:br/>
        <w:t>Sentencia de 4 de febrero de 2000. Serie C No. 67, párr. 34.</w:t>
        <w:br/>
        <w:br/>
        <w:br/>
        <w:t>[29]  Cfr. “Otros tratados” objeto de la  función  consultiva  de  la  Corte</w:t>
        <w:br/>
        <w:t>(art. 64 Convención Americana sobre Derechos  Humanos).  Opinión  consultiva</w:t>
        <w:br/>
        <w:t>OC-1/82 de 24 de septiembre de  1982.  Serie  A  No.  1,  párrs.  43  a  48;</w:t>
        <w:br/>
        <w:t>Restricciones a la Pena de Muerte (arts.  4.2  y  4.4  Convención  Americana</w:t>
        <w:br/>
        <w:t>sobre Derechos Humanos). Opinión Consultiva OC-3/83 de 8  de  septiembre  de</w:t>
        <w:br/>
        <w:t>1983. Serie A No. 3,  párrs.  47  a  50;  Propuesta  de  modificación  a  la</w:t>
        <w:br/>
        <w:t>Constitución Política de  Costa  Rica  relacionada  con  la  naturalización.</w:t>
        <w:br/>
        <w:t>Opinión Consultiva OC-4/84 de 19 de enero de 1984. Serie A No. 4, párrs.  20</w:t>
        <w:br/>
        <w:t>a 24, y, entre otros, Caso Velásquez  Rodríguez  Vs.  Honduras.  Excepciones</w:t>
        <w:br/>
        <w:t>Preliminares. Sentencia de 26 de junio de 1987. Serie C No. 1, párr. 30.</w:t>
        <w:br/>
        <w:br/>
        <w:br/>
        <w:t>[30]  Cfr. Caso Gómez Palomino  Vs.  Perú.  Fondo,  Reparaciones  y  Costas.</w:t>
        <w:br/>
        <w:t>Sentencia de 22 de noviembre de 2005. Serie  C  No.  136,  párr.  110;  Caso</w:t>
        <w:br/>
        <w:t>Ticona Estrada y otros  Vs.  Bolivia,  supra  nota  24,  párr.  85,  y  Caso</w:t>
        <w:br/>
        <w:t>Anzualdo Castro  Vs.  Perú.  Excepción  Preliminar,  Fondo,  Reparaciones  y</w:t>
        <w:br/>
        <w:t>Costas. Sentencia de 22 de Septiembre de 2009. Serie C No. 202, párr. 61.</w:t>
        <w:br/>
        <w:br/>
        <w:br/>
        <w:t>[31]  Cfr. Caso de los “Niños de la Calle” (Villagrán Morales y  otros)  Vs.</w:t>
        <w:br/>
        <w:t>Guatemala. Fondo. Sentencia de 19 de noviembre de  1999.  Serie  C  No.  63,</w:t>
        <w:br/>
        <w:t>párrs. 247 y 248.</w:t>
        <w:br/>
        <w:br/>
        <w:br/>
        <w:t>[32]  Cfr. Asunto de Viviana Gallardo y otras. Serie A No.G  101/81,  párrs.</w:t>
        <w:br/>
        <w:t>12.b), 16, 20, 21  y  22,  y  Caso  Acevedo  Jaramillo  y  otros  Vs.  Perú.</w:t>
        <w:br/>
        <w:t>Excepciones Preliminares, Fondo, Reparaciones y Costas. Sentencia  de  7  de</w:t>
        <w:br/>
        <w:t>febrero de 2006. Serie C No. 144, párr. 174.</w:t>
        <w:br/>
        <w:br/>
        <w:br/>
        <w:t>[33]  Cfr. Caso Velásquez Rodríguez Vs. Honduras. Excepciones  Preliminares,</w:t>
        <w:br/>
        <w:t>supra nota 29, párr. 45.</w:t>
        <w:br/>
        <w:br/>
        <w:br/>
        <w:t>[34]  Preámbulo de la Convención Belém do Pará.</w:t>
        <w:br/>
        <w:br/>
        <w:br/>
        <w:t>[35]  Cfr. “Otros tratados” objeto de la  función  consultiva  de  la  Corte</w:t>
        <w:br/>
        <w:t>(art. 64 Convención Americana sobre Derechos Humanos), supra nota 29,  párr.</w:t>
        <w:br/>
        <w:t>29.</w:t>
        <w:br/>
        <w:br/>
        <w:br/>
        <w:t>[36]   Cfr.  Caso  del  Tribunal  Constitucional  Vs.   Perú.   Competencia.</w:t>
        <w:br/>
        <w:t>Sentencia de 24 de septiembre de 1999. Serie C No.  55,  párr.  41,  y  Caso</w:t>
        <w:br/>
        <w:t>Ivcher Bronstein Vs. Perú, supra nota 27, párr. 42.</w:t>
        <w:br/>
        <w:br/>
        <w:br/>
        <w:t>[37]  Cfr. Caso Velásquez Rodríguez Vs. Honduras. Excepciones  Preliminares,</w:t>
        <w:br/>
        <w:t>supra nota 29, párr. 30.</w:t>
        <w:br/>
        <w:br/>
        <w:br/>
        <w:t>[38]  Cfr. Comisión Interamericana de Mujeres,  VI  Asamblea  Extraordinaria</w:t>
        <w:br/>
        <w:t>de Delegadas, Texto Preliminar Inicial y la Última Versión  de  Proyecto  de</w:t>
        <w:br/>
        <w:t>Texto  para  la  Convención  Interamericana  para  Prevenir,   Sancionar   y</w:t>
        <w:br/>
        <w:t>Erradicar  la  Violencia  Contra   La   Mujer   (Punto   1   del   temario),</w:t>
        <w:br/>
        <w:t>OEA/Ser.L/II.3.6 CIM/doc.9/94, 13 de abril de 1994, p. 16.</w:t>
        <w:br/>
        <w:br/>
        <w:br/>
        <w:t>[39]  Cfr. Comisión Interamericana de  Mujeres,  Informe  Preliminar  de  la</w:t>
        <w:br/>
        <w:t>Segunda Sesión de la Reunión Intergubernamental de Expertos para  Considerar</w:t>
        <w:br/>
        <w:t>el Anteproyecto de Convención  Interamericana  para  Prevenir,  Sancionar  y</w:t>
        <w:br/>
        <w:t>Erradicar    la    Violencia    Contra    la     Mujer,     OEA/Ser.L/II.7.5</w:t>
        <w:br/>
        <w:t>CIM/Recovi/doc.36/93 corr. 2, 14 de abril de 1994. Ver en particular,  Anexo</w:t>
        <w:br/>
        <w:t>I, Grupo de Trabajo II, Propuestas de reforma presentadas por la  delegación</w:t>
        <w:br/>
        <w:t>de México a los  artículos  13  al  16  del  capitulo  IV  del  proyecto  de</w:t>
        <w:br/>
        <w:t>Convención, WG-II/doc. 5/93 26 octubre 1993, pp. 12 y 13.</w:t>
        <w:br/>
        <w:br/>
        <w:br/>
        <w:t>[40]  Cfr. Comisión Interamericana de Mujeres, Anexo  I,  Grupo  de  Trabajo</w:t>
        <w:br/>
        <w:t>II, Propuestas de reforma presentadas por la  delegación  de  México  a  los</w:t>
        <w:br/>
        <w:t>artículos 13 al 16 del capitulo IV del proyecto de  Convención,  supra  nota</w:t>
        <w:br/>
        <w:t>39, p. 13.</w:t>
        <w:br/>
        <w:br/>
        <w:br/>
        <w:t>[41]  Cfr. Comisión Interamericana de Mujeres,  VI  Asamblea  Extraordinaria</w:t>
        <w:br/>
        <w:t>de Delegadas, supra nota 38, p. 16.</w:t>
        <w:br/>
        <w:br/>
        <w:br/>
        <w:t>[42]  Cfr. Comisión Interamericana de Mujeres,  VI  Asamblea  Extraordinaria</w:t>
        <w:br/>
        <w:t>de  Delegadas,  Comentarios  Recibidos  de  los  Gobiernos  al  Proyecto  de</w:t>
        <w:br/>
        <w:t>Convención Interamericana para Prevenir, Sancionar y Erradicar la  Violencia</w:t>
        <w:br/>
        <w:t>Contra la Mujer (Punto 1 del temario), OEA/Ser.L/II.3.6 CIM/doc.4/94,  4  de</w:t>
        <w:br/>
        <w:t>abril de 1994.</w:t>
        <w:br/>
        <w:br/>
        <w:br/>
        <w:t>[43]  Cfr. Comisión Interamericana de Mujeres,  VI  Asamblea  Extraordinaria</w:t>
        <w:br/>
        <w:t>de Delegadas, Acta Resumida de la Segunda Sesión Plenaria,  OEA/Ser.L/II.3.6</w:t>
        <w:br/>
        <w:t>CIM/doc.24/94, rev.1, 6 de junio de 1994. Los países  que  votaron  a  favor</w:t>
        <w:br/>
        <w:t>fueron:  Ecuador,  Bolivia,   Trinidad   y   Tobago,   Barbados,   República</w:t>
        <w:br/>
        <w:t>Dominicana, Guatemala, Argentina, Colombia, Nicaragua,  Paraguay,  Dominica,</w:t>
        <w:br/>
        <w:t>Venezuela, Chile, St. Kittes y Nevis, Perú, Uruguay. El único país que  votó</w:t>
        <w:br/>
        <w:t>en contra fue  Brasil.  Se  abstuvieron  de  votar  los  siguientes  países:</w:t>
        <w:br/>
        <w:t>México, Estados Unidos, Canadá y Jamaica.</w:t>
        <w:br/>
        <w:br/>
        <w:br/>
        <w:t>[44]  Caso Ríos y otros  Vs.  Venezuela.  Excepciones  Preliminares,  Fondo,</w:t>
        <w:br/>
        <w:t>Reparaciones y Costas. Sentencia de 28 de enero de 2009. Serie  C  No.  194,</w:t>
        <w:br/>
        <w:t>párr. 280 y Caso Perozo y otros Vs. Venezuela, supra nota 22, párr. 296.</w:t>
        <w:br/>
        <w:br/>
        <w:br/>
        <w:t>[45]  Caso Ríos y otros Vs. Venezuela, supra  nota  44,  párr.  279  y  Caso</w:t>
        <w:br/>
        <w:t>Perozo Vs. Venezuela, supra nota 22, párrs. 295 y 296.</w:t>
        <w:br/>
        <w:br/>
        <w:br/>
        <w:t>[46]  Cfr. Caso  de  la  “Panel  Blanca”  (Paniagua  Morales  y  otros)  Vs.</w:t>
        <w:br/>
        <w:t>Guatemala. Reparaciones y Costas. Sentencia de 25 de mayo de 2001.  Serie  C</w:t>
        <w:br/>
        <w:t>No. 76, párr. 50; Caso Acevedo Buendía y otros (“Cesantes y Jubilados de  la</w:t>
        <w:br/>
        <w:t>Contraloría”) Vs. Perú.  Excepciones  Preliminares,  Fondo,  Reparaciones  y</w:t>
        <w:br/>
        <w:t>Costas. Sentencia de 1 de julio de 2009. Serie C No. 198, párr. 22,  y  Caso</w:t>
        <w:br/>
        <w:t>Escher y otros Vs. Brasil. Excepciones Preliminares, Fondo,  Reparaciones  y</w:t>
        <w:br/>
        <w:t>Costas. Sentencia de 6 de julio de 2009. Serie C No. 199, párr. 55.</w:t>
        <w:br/>
        <w:br/>
        <w:br/>
        <w:t>[47]  Cfr. Caso  de  la  “Panel  Blanca”  (Paniagua  Morales  y  otros)  Vs.</w:t>
        <w:br/>
        <w:t>Guatemala, supra nota 46, párr. 76; Caso  Reverón  Trujillo  Vs.  Venezuela.</w:t>
        <w:br/>
        <w:t>Excepciones Preliminares, Fondo, Reparaciones y Costas. Sentencia de  30  de</w:t>
        <w:br/>
        <w:t>junio de 2009. Serie C No. 197, párr. 26, y Caso Escher y otros Vs.  Brasil,</w:t>
        <w:br/>
        <w:t>supra nota 46, párr. 55.</w:t>
        <w:br/>
        <w:br/>
        <w:br/>
        <w:t>[48]  Cfr. Caso Velásquez Rodríguez Vs. Honduras. Excepciones  Preliminares,</w:t>
        <w:br/>
        <w:t>supra nota 29, párr. 140; Caso Ríos y otros Vs. Venezuela,  supra  nota  44,</w:t>
        <w:br/>
        <w:t>párr. 81, y Caso Perozo y otros Vs. Venezuela, supra nota 22, párr. 94.</w:t>
        <w:br/>
        <w:br/>
        <w:br/>
        <w:t>[49]   Cfr.  Caso  Loayza  Tamayo  Vs.  Perú.  Fondo.  Sentencia  de  17  de</w:t>
        <w:br/>
        <w:t>septiembre de 1997. Serie C No. 33, párr. 43; Caso Valle Jaramillo y  otros.</w:t>
        <w:br/>
        <w:t>Fondo, Reparaciones y Costas. Sentencia de 27 de noviembre de 2008. Serie  C</w:t>
        <w:br/>
        <w:t>No. 192, párr. 54, y Caso Reverón Trujillo Vs.  Venezuela,  supra  nota  47,</w:t>
        <w:br/>
        <w:t>párr. 45.</w:t>
        <w:br/>
        <w:br/>
        <w:br/>
        <w:t>[50]  Cfr. González y otras (“Campo Algodonero”) Vs. México, supra  nota  4,</w:t>
        <w:br/>
        <w:t>considerando cuadragésimo sexto.</w:t>
        <w:br/>
        <w:br/>
        <w:br/>
        <w:t>[51]  Cfr. González y otras (“Campo Algodonero”) Vs. México, supra  nota  6,</w:t>
        <w:br/>
        <w:t>considerando septuagésimo quinto.</w:t>
        <w:br/>
        <w:br/>
        <w:br/>
        <w:t>[52]  Cfr. González y otras (“Campo Algodonero”) Vs. México, supra  nota  6,</w:t>
        <w:br/>
        <w:t>considerando cuatrigésimo séptimo.</w:t>
        <w:br/>
        <w:br/>
        <w:br/>
        <w:t>[53]  Cfr. González y otras (“Campo Algodonero”) Vs. México, supra  nota  6,</w:t>
        <w:br/>
        <w:t>considerando trigésimo sexto.</w:t>
        <w:br/>
        <w:br/>
        <w:br/>
        <w:t>[54]  El artículo 4.1 de la Convención estipula:</w:t>
        <w:br/>
        <w:br/>
        <w:br/>
        <w:t xml:space="preserve">      Toda persona tiene derecho a que se  respete  su 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br/>
        <w:t>[55]  El artículo 5 de la Convención establece:</w:t>
        <w:br/>
        <w:br/>
        <w:br/>
        <w:t xml:space="preserve">     1. Toda persona tiene derecho a que se respete su  integridad  física,</w:t>
        <w:br/>
        <w:t xml:space="preserve">        psíquica y moral.</w:t>
        <w:br/>
        <w:br/>
        <w:br/>
        <w:t xml:space="preserve">     2. Nadie debe ser sometido a torturas  ni  a  penas  graves  o  tratos</w:t>
        <w:br/>
        <w:t xml:space="preserve">        crueles, inhumanos o degradantes. Toda persona privada  de  liberad</w:t>
        <w:br/>
        <w:t xml:space="preserve">        será tratada con el respeto debido a la dignidad inherente  al  ser</w:t>
        <w:br/>
        <w:t xml:space="preserve">        humano. […]</w:t>
        <w:br/>
        <w:br/>
        <w:br/>
        <w:t>[56]  El artículo 7 de la Convención dispone:</w:t>
        <w:br/>
        <w:br/>
        <w:br/>
        <w:t xml:space="preserve">     1. Toda  persona  tiene  derecho  a  la  libertad  y  a  la  seguridad</w:t>
        <w:br/>
        <w:t xml:space="preserve">        personales.</w:t>
        <w:br/>
        <w:br/>
        <w:br/>
        <w:t xml:space="preserve">     2. Nadie puede ser privado de su libertad física, salvo por las causas</w:t>
        <w:br/>
        <w:t xml:space="preserve">        y en las condiciones fijadas de  antemano  por  las  Constituciones</w:t>
        <w:br/>
        <w:t xml:space="preserve">        Políticas de los Estados Partes o por las leyes dictadas conforme a</w:t>
        <w:br/>
        <w:t xml:space="preserve">        ellas.</w:t>
        <w:br/>
        <w:br/>
        <w:br/>
        <w:t xml:space="preserve">     3. Nadie puede ser sometido a detención o encarcelamiento arbitrarios.</w:t>
        <w:br/>
        <w:br/>
        <w:br/>
        <w:br/>
        <w:br/>
        <w:t xml:space="preserve">      […]</w:t>
        <w:br/>
        <w:br/>
        <w:br/>
        <w:t>[57]  El artículo 8.1 de la Convención establece que:</w:t>
        <w:br/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 penal formulada contra  ella,</w:t>
        <w:br/>
        <w:t xml:space="preserve">      o para la determinación de sus derechos y obligaciones de orden civil,</w:t>
        <w:br/>
        <w:t xml:space="preserve">      laboral, fiscal o de cualquier otro carácter. […]</w:t>
        <w:br/>
        <w:br/>
        <w:br/>
        <w:t>[58]  El artículo 19 de la Convención establece:</w:t>
        <w:br/>
        <w:br/>
        <w:br/>
        <w:t xml:space="preserve">      Todo niño tiene derecho a las medidas de protección que  su  condición</w:t>
        <w:br/>
        <w:t xml:space="preserve">      de menor requieren por parte de su  familia,  de  la  sociedad  y  del</w:t>
        <w:br/>
        <w:t xml:space="preserve">      Estado</w:t>
        <w:br/>
        <w:br/>
        <w:br/>
        <w:t>[59]  El artículo 25.1 de la Convención señala que:</w:t>
        <w:br/>
        <w:br/>
        <w:br/>
        <w:t xml:space="preserve">      Toda persona tiene  derecho  a  un  recurso  sencillo  y  rápido  o  a</w:t>
        <w:br/>
        <w:t xml:space="preserve">      cualquier  otro  recurso  efectivo  ante  los  jueces  o 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>[60]  El artículo 1.1 de la Convención establece: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[61]  El artículo 2 de la Convención dispone: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[62]  El artículo 7 de la Convención Belém do Pará estipula:</w:t>
        <w:br/>
        <w:br/>
        <w:br/>
        <w:t xml:space="preserve">      Los Estados Partes condenan todas las formas de  violencia  contra  la</w:t>
        <w:br/>
        <w:t xml:space="preserve">      mujer y convienen en adoptar, por todos los medios  apropiados  y  sin</w:t>
        <w:br/>
        <w:t xml:space="preserve">      dilaciones, políticas orientadas a  prevenir,  sancionar  y  erradicar</w:t>
        <w:br/>
        <w:t xml:space="preserve">      dicha violencia y en llevar a cabo lo siguiente:</w:t>
        <w:br/>
        <w:br/>
        <w:br/>
        <w:t xml:space="preserve">      […]</w:t>
        <w:br/>
        <w:br/>
        <w:br/>
        <w:t xml:space="preserve">      b. actuar  con  la  debida  diligencia  para  prevenir,  investigar  y</w:t>
        <w:br/>
        <w:t xml:space="preserve">      sancionar la violencia contra la mujer;</w:t>
        <w:br/>
        <w:br/>
        <w:br/>
        <w:t xml:space="preserve">      c. incluir  en  su  legislación  interna  normas  penales,  civiles  y</w:t>
        <w:br/>
        <w:t xml:space="preserve">      administrativas, así como las de otra naturaleza que  sean  necesarias</w:t>
        <w:br/>
        <w:t xml:space="preserve">      para prevenir, sancionar y erradicar la violencia contra  la  mujer  y</w:t>
        <w:br/>
        <w:t xml:space="preserve">      adoptar las medidas administrativas apropiadas que sean del caso;</w:t>
        <w:br/>
        <w:br/>
        <w:br/>
        <w:t xml:space="preserve">      […]</w:t>
        <w:br/>
        <w:br/>
        <w:br/>
        <w:t>[63]  Cfr. Radiografía Socioeconómica del Municipio de Juárez elaborada  por</w:t>
        <w:br/>
        <w:t>el Instituto Municipal de Investigación y Planeación,  2002  (expediente  de</w:t>
        <w:br/>
        <w:t>anexos a la contestación de la demanda, tomo XXV, anexo  2,  folios  8488  a</w:t>
        <w:br/>
        <w:t>8490, 8493, 8495 y 8510)</w:t>
        <w:br/>
        <w:br/>
        <w:br/>
        <w:t>[64]  Cfr. Radiografía Socioeconómica del Municipio de  Juárez  2002,  supra</w:t>
        <w:br/>
        <w:t>nota 63, folio 8492; CIDH, Situación de los Derechos de la Mujer  en  Ciudad</w:t>
        <w:br/>
        <w:t>Juárez, México: El Derecho a No Ser Objeto de  Violencia  y  Discriminación,</w:t>
        <w:br/>
        <w:t>OEA/Ser.L/V//II.117, Doc. 44, 7 de marzo de 2003 (expediente de anexos a  la</w:t>
        <w:br/>
        <w:t>demanda, tomo VII, anexo 1, folio 1742); Naciones Unidas, Informe de  México</w:t>
        <w:br/>
        <w:t>producido por el CEDAW bajo el Artículo 8 del Protocolo  Facultativo  de  la</w:t>
        <w:br/>
        <w:t>Convención y respuesta del Gobierno de México, CEDAW/C/2005/OP.8/MEXICO,  27</w:t>
        <w:br/>
        <w:t>de enero de 2005 (expediente de anexos a la demanda,  tomo  VII,  anexo  3b,</w:t>
        <w:br/>
        <w:t>folio 1921); Naciones Unidas, Informe  de  la  Relatora  Especial  sobre  la</w:t>
        <w:br/>
        <w:t>violencia contra  la  mujer,  sus  causas  y  consecuencias,  Yakin  Ertürk,</w:t>
        <w:br/>
        <w:t>Integración de los Derechos Humanos de la Mujer y la Perspectiva de  Género:</w:t>
        <w:br/>
        <w:t>La Violencia contra la Mujer, Misión a México, E/CN.4/2006/61/Add.4,  13  de</w:t>
        <w:br/>
        <w:t>enero de 2006 (expediente de anexos a la demanda, tomo VII, anexo 3c,  folio</w:t>
        <w:br/>
        <w:t>2011), y Amnistía Internacional, México: Muertes intolerables, Diez años  de</w:t>
        <w:br/>
        <w:t>desapariciones y asesinatos de mujeres en Ciudad  Juárez  y  Chihuahua,  AMR</w:t>
        <w:br/>
        <w:t>41/027/2003 (expediente de anexos a la demanda, tomo  VII,  anexo  6,  folio</w:t>
        <w:br/>
        <w:t>2267).</w:t>
        <w:br/>
        <w:br/>
        <w:br/>
        <w:t>[65]  Cfr. Informe de México producido por el CEDAW, supra  nota  64,  folio</w:t>
        <w:br/>
        <w:t>1921; Informe de la Relatora Especial sobre la violencia  contra  la  mujer,</w:t>
        <w:br/>
        <w:t>supra nota 64, folio 2011;  Amnistía  Internacional,  Muertes  intolerables,</w:t>
        <w:br/>
        <w:t>supra nota 64, folio 2268, y Comisión Mexicana de  Defensa  y  Promoción  de</w:t>
        <w:br/>
        <w:t>los  Derechos  Humanos  A.C.,  Compendio   de   recomendaciones   sobre   el</w:t>
        <w:br/>
        <w:t>feminicidio en Ciudad Juárez,  Chihuahua,  2007  (expediente  de  anexos  al</w:t>
        <w:br/>
        <w:t>escrito de solicitudes y argumentos, tomo XX, anexo 11.1, folio 6564).</w:t>
        <w:br/>
        <w:br/>
        <w:br/>
        <w:t>[66]   Cfr.  CNDH,  Informe  Especial  sobre  los  Casos  de  Homicidios   y</w:t>
        <w:br/>
        <w:t>Desapariciones de  Mujeres  en  el  Municipio  de  Juárez,  Chihuahua,  2003</w:t>
        <w:br/>
        <w:t>(expediente de anexos a la demanda, tomo VII, anexo 5, folio 2168);  Informe</w:t>
        <w:br/>
        <w:t>de la Relatora Especial sobre la violencia contra la mujer, supra  nota  64,</w:t>
        <w:br/>
        <w:t>folio 2011, y Amnistía Internacional, Muertes intolerables, supra  nota  64,</w:t>
        <w:br/>
        <w:t>folio 2267.</w:t>
        <w:br/>
        <w:br/>
        <w:br/>
        <w:t>[67]  Cfr. CIDH, Situación de los Derechos de la  Mujer  en  Ciudad  Juárez,</w:t>
        <w:br/>
        <w:t>supra nota 64, folio 1742; Informe de México producido por el  CEDAW,  supra</w:t>
        <w:br/>
        <w:t>nota 64, folios 1921 y 1922; CNDH, Informe Especial, supra  nota  66,  folio</w:t>
        <w:br/>
        <w:t>2168, y Comisión para Prevenir y Erradicar la Violencia contra  las  Mujeres</w:t>
        <w:br/>
        <w:t>en Ciudad Juárez, Primer  Informe  de  Gestión,  noviembre  2003-abril  2004</w:t>
        <w:br/>
        <w:t>(expediente de anexos a la contestación de la demanda, tomo  XXV,  anexo  7,</w:t>
        <w:br/>
        <w:t>folio 8666).</w:t>
        <w:br/>
        <w:br/>
        <w:br/>
        <w:t>[68]  Cfr. Informe de México producido por el CEDAW, supra  nota  64,  folio</w:t>
        <w:br/>
        <w:t>1922 e Informe de la Relatora Especial sobre la violencia contra  la  mujer,</w:t>
        <w:br/>
        <w:t>supra nota 64, folio 2011.</w:t>
        <w:br/>
        <w:br/>
        <w:br/>
        <w:t>[69]  Cfr. Comisión para  Prevenir  y  Erradicar  la  Violencia  contra  las</w:t>
        <w:br/>
        <w:t>Mujeres en Ciudad Juárez, Primer Informe de Gestión, supra  nota  67,  folio</w:t>
        <w:br/>
        <w:t>8666 e Informe de México producido por el CEDAW, supra nota 64, folio 195.</w:t>
        <w:br/>
        <w:br/>
        <w:br/>
        <w:t>[70]  Cfr. Informe de México producido por el CEDAW, supra  nota  64,  folio</w:t>
        <w:br/>
        <w:t>1922 e Informe de la Relatora Especial sobre la violencia contra  la  mujer,</w:t>
        <w:br/>
        <w:t>supra nota 64, folio 2011.</w:t>
        <w:br/>
        <w:br/>
        <w:br/>
        <w:t>[71]  Cfr. CIDH, Situación de los Derechos de la  Mujer  en  Ciudad  Juárez,</w:t>
        <w:br/>
        <w:t>supra nota 64, folio 1742; Informe de México producido por el  CEDAW,  supra</w:t>
        <w:br/>
        <w:t>nota 64, folios 1921 a 1922; CNDH, Informe Especial, supra  nota  66,  folio</w:t>
        <w:br/>
        <w:t>2168, y Comisión Mexicana de Defensa y Promoción  de  los  Derechos  Humanos</w:t>
        <w:br/>
        <w:t>A.C., Compendio de recomendaciones, supra nota 65, folio 6564.</w:t>
        <w:br/>
        <w:br/>
        <w:br/>
        <w:t>[72]  Cfr. CNDH, Recomendación  44/1998  emitida  el  15  de  mayo  de  1998</w:t>
        <w:br/>
        <w:t>(expediente de anexos a la demanda, tomo VII, anexo 4, folios 2113 a 2164).</w:t>
        <w:br/>
        <w:br/>
        <w:br/>
        <w:t>[73]  Cfr. Naciones Unidas, Informe de la misión  de  la  Relatora  Especial</w:t>
        <w:br/>
        <w:t>sobre   las   ejecuciones   extrajudiciales,   sumarias    o    arbitrarias,</w:t>
        <w:br/>
        <w:t>E/CN.4/2000/3, Add.3, 25 de noviembre de 1999 (expediente  de  anexos  a  la</w:t>
        <w:br/>
        <w:t>demanda, tomo VII, anexo 3d, folios 2025 a 2058).</w:t>
        <w:br/>
        <w:br/>
        <w:br/>
        <w:t>[74]  Cfr. Naciones Unidas, Informe de la Misión del Relator Especial  sobre</w:t>
        <w:br/>
        <w:t>la Independencia de Magistrados  y  Abogados,  E/CN.4/2002/72/Add.1,  24  de</w:t>
        <w:br/>
        <w:t>enero de 2002 (expediente de anexos  a  la  demanda,  tomo  VII,  anexo  3e,</w:t>
        <w:br/>
        <w:t>folios 2060 a 2111).</w:t>
        <w:br/>
        <w:br/>
        <w:br/>
        <w:t>[75]  Cfr. CIDH, Situación de los Derechos de la  Mujer  en  Ciudad  Juárez,</w:t>
        <w:br/>
        <w:t>supra nota 64, folios 1732 a 1779.</w:t>
        <w:br/>
        <w:br/>
        <w:br/>
        <w:t>[76]   Cfr.  Naciones  Unidas,  Informe   de   la   Comisión   de   Expertos</w:t>
        <w:br/>
        <w:t>Internacionales de la Organización de las Naciones Unidas,  Oficina  de  las</w:t>
        <w:br/>
        <w:t>Naciones Unidas contra la Droga y el  Delito,  sobre  la  Misión  en  Ciudad</w:t>
        <w:br/>
        <w:t>Juárez, Chihuahua, México, noviembre de 2003  (expediente  de  anexos  a  la</w:t>
        <w:br/>
        <w:t>demanda, tomo VII, anexo 3a, folios 1861 a 1913).</w:t>
        <w:br/>
        <w:br/>
        <w:br/>
        <w:t>[77]  Cfr. Informe de México producido por el CEDAW, supra  nota  64,  folio</w:t>
        <w:br/>
        <w:t>1921.</w:t>
        <w:br/>
        <w:br/>
        <w:br/>
        <w:t>[78]  Cfr. Informe de la Relatora Especial  sobre  la  violencia  contra  la</w:t>
        <w:br/>
        <w:t>mujer, supra nota 64, folios 2011 a 2021.</w:t>
        <w:br/>
        <w:br/>
        <w:br/>
        <w:t>[79]  Cfr. Parlamento Europeo, Resolución sobre los  asesinatos  de  mujeres</w:t>
        <w:br/>
        <w:t>(feminicidios) en México y en  América  Central  y  el  papel  de  la  Unión</w:t>
        <w:br/>
        <w:t>Europea en la lucha contra este fenómeno, emitida el 11 de octubre de  2007,</w:t>
        <w:br/>
        <w:t>2007/2025/(INI)  (expediente  de  anexos  al  escrito   de   solicitudes   y</w:t>
        <w:br/>
        <w:t>argumentos, tomo XIII, anexo 3.1, folios 4718 a 4727).</w:t>
        <w:br/>
        <w:br/>
        <w:br/>
        <w:t>[80]  Cfr. Amnistía Internacional,  Muertes  intolerables,  supra  nota  64,</w:t>
        <w:br/>
        <w:t>folios 2256 a 2305.</w:t>
        <w:br/>
        <w:br/>
        <w:br/>
        <w:t>[81]   Cfr.  Observatorio  Ciudadano  para  Monitorear  la  Impartición   de</w:t>
        <w:br/>
        <w:t>Justicia en los casos de Feminicidio en Ciudad Juárez y  Chihuahua,  Informe</w:t>
        <w:br/>
        <w:t>Final. Evaluación y Monitoreo sobre el trabajo de la Fiscalía Especial  para</w:t>
        <w:br/>
        <w:t>la Atención de Delitos Relacionados con los  Homicidios  de  Mujeres  en  el</w:t>
        <w:br/>
        <w:t>Municipio de Juárez, Chihuahua de la Procuraduría General de  la  República,</w:t>
        <w:br/>
        <w:t>noviembre de  2006  (expediente  de  anexos  al  escrito  de  solicitudes  y</w:t>
        <w:br/>
        <w:t>argumentos, tomo XX, anexo 11.2, folios 6629 a 6759).</w:t>
        <w:br/>
        <w:br/>
        <w:br/>
        <w:t>[82]  Cfr. Comisión Mexicana de Defensa y Promoción de los Derechos  Humanos</w:t>
        <w:br/>
        <w:t>A.C., Compendio de recomendaciones, supra nota 65,  folios  6561  a  6626  y</w:t>
        <w:br/>
        <w:t>Comisión  Mexicana  de  Defensa  y  Promoción  de  los   Derechos   Humanos,</w:t>
        <w:br/>
        <w:t>Feminicidio  en  Chihuahua.  Asignaturas  Pendientes,  2007  (expediente  de</w:t>
        <w:br/>
        <w:t>anexos al escrito de solicitudes y argumentos, tomo XX, anexo  11.3,  folios</w:t>
        <w:br/>
        <w:t>6761 a 6864).</w:t>
        <w:br/>
        <w:br/>
        <w:br/>
        <w:t>[83]  Según la Comisión Mexicana de Defensa  y  Promoción  de  los  Derechos</w:t>
        <w:br/>
        <w:t>Humanos, aunque el fenómeno de violencia en Ciudad  Juárez  afecta  tanto  a</w:t>
        <w:br/>
        <w:t>hombres como a mujeres, “es importante mencionar  que  en  el  caso  de  los</w:t>
        <w:br/>
        <w:t>hombres se sabe que las causas de los asesinatos están relacionadas  con  el</w:t>
        <w:br/>
        <w:t>narcotráfico, ajustes de cuentas, riñas callejeras, entre otras” y “[e]n  el</w:t>
        <w:br/>
        <w:t>caso  de  los  asesinatos  de  mujeres  […]  no  existen  causas  aparentes”</w:t>
        <w:br/>
        <w:t>(Comisión  Mexicana  de  Defensa  y  Promoción  de  los  Derechos   Humanos,</w:t>
        <w:br/>
        <w:t>Compendio de  recomendaciones,  supra  nota  65,  folio  6565).  En  similar</w:t>
        <w:br/>
        <w:t>sentido, la Comisión para Ciudad Juárez señaló que a pesar de que el  cuadro</w:t>
        <w:br/>
        <w:t>de violencia en Ciudad Juárez afecta a hombres, mujeres  y  niñas,  “subyace</w:t>
        <w:br/>
        <w:t>un patrón de violencia de género que se advierte no  obstante  la  necesidad</w:t>
        <w:br/>
        <w:t>de contar con más estudios y estadísticas locales sobre el  tema”  (Comisión</w:t>
        <w:br/>
        <w:t>para Prevenir y Erradicar la Violencia contra las Mujeres en Ciudad  Juárez,</w:t>
        <w:br/>
        <w:t>Primer Informe de Gestión, supra nota 67, folio 8668).</w:t>
        <w:br/>
        <w:br/>
        <w:br/>
        <w:t>[84]  Cfr. CIDH, Situación de los Derechos de la  Mujer  en  Ciudad  Juárez,</w:t>
        <w:br/>
        <w:t>supra nota 64, folios 1744 y 1761.</w:t>
        <w:br/>
        <w:br/>
        <w:br/>
        <w:t>[85]  El Informe de la Relatora de la CIDH explica que según una  exposición</w:t>
        <w:br/>
        <w:t>realizada el 17 de marzo de 2000 por  Cheryl  Howard,  Georgina  Martínez  y</w:t>
        <w:br/>
        <w:t>Zulma y Méndez titulada “Women, Violence and Politics”, un  análisis  basado</w:t>
        <w:br/>
        <w:t>en los certificados de defunción y otros datos llevaron a la  conclusión  de</w:t>
        <w:br/>
        <w:t>que en el período 1990-1993  fuero  asesinados  249  hombres,  mientras  que</w:t>
        <w:br/>
        <w:t>entre 1994 y 1997 lo fueron 942 hombres, lo que implica  un  incremento  del</w:t>
        <w:br/>
        <w:t>300%. Según el mismo  estudio,  entre  1990  y  1993  fueron  asesinadas  20</w:t>
        <w:br/>
        <w:t>mujeres y entre 1994 y 1997 lo fueron 143, lo que implica un incremento  del</w:t>
        <w:br/>
        <w:t>600% (Cfr. CIDH, Situación de los Derechos de la  Mujer  en  Ciudad  Juárez,</w:t>
        <w:br/>
        <w:t>supra nota 64, folio 1761).</w:t>
        <w:br/>
        <w:br/>
        <w:br/>
        <w:t>[86]  Cfr. CIDH, Situación de los Derechos de la  Mujer  en  Ciudad  Juárez,</w:t>
        <w:br/>
        <w:t>supra nota 64, folios 1743 y 1761; Informe de la Relatora Especial sobre  la</w:t>
        <w:br/>
        <w:t>violencia contra la mujer, supra nota 64, folio 2007,  y  Comisión  Especial</w:t>
        <w:br/>
        <w:t>para Conocer y Dar Seguimiento a las Investigaciones  Relacionadas  con  los</w:t>
        <w:br/>
        <w:t>Feminicidios en la  República  Mexicana  y  a  la  Procuración  de  Justicia</w:t>
        <w:br/>
        <w:t>Vinculada, de la Cámara de Diputados del H. Congreso de la Unión,  Violencia</w:t>
        <w:br/>
        <w:t>feminicida en 10 entidades de la República Mexicana, publicado en abril  del</w:t>
        <w:br/>
        <w:t>2006 (expediente de anexos al escrito  de  solicitudes  y  argumentos,  tomo</w:t>
        <w:br/>
        <w:t>XXI, anexo 11.4, folio 6930).</w:t>
        <w:br/>
        <w:br/>
        <w:br/>
        <w:t>[87]  Cfr. Fiscalía Especial para la Atención de  Delitos  relacionados  con</w:t>
        <w:br/>
        <w:t>los Homicidios de  Mujeres  en  Ciudad  Juárez,  Chihuahua,  Informe  Final,</w:t>
        <w:br/>
        <w:t>emitido en enero de 2006 (expediente de  anexos  a  la  contestación  de  la</w:t>
        <w:br/>
        <w:t>demanda, tomo XL,  anexo  59,  folio  14607).  Cabe  notar  que  las  cifras</w:t>
        <w:br/>
        <w:t>referentes a homicidios con víctimas femeninas por cada cien mil  habitantes</w:t>
        <w:br/>
        <w:t>mencionadas por la Comisión y por la Fiscalía Especial  en  sus  respectivos</w:t>
        <w:br/>
        <w:t>informes difieren. La cifra proporcionada por la  Comisión  es  de  7.9  (el</w:t>
        <w:br/>
        <w:t>informe no indica qué período se utilizó para calcularlo) y por la  Fiscalía</w:t>
        <w:br/>
        <w:t>Especial de 2.4, para el período 1991 a 2004 (Cfr. CIDH,  Situación  de  los</w:t>
        <w:br/>
        <w:t>Derechos de la Mujer en Ciudad Juárez, supra nota 64, folio 1761 y  Fiscalía</w:t>
        <w:br/>
        <w:t>Especial para la Atención de Delitos  relacionados  con  los  Homicidios  de</w:t>
        <w:br/>
        <w:t>Mujeres en Ciudad Juárez, Informe Final, folio 14607).</w:t>
        <w:br/>
        <w:br/>
        <w:br/>
        <w:t>[88]  Informes aportados  como  prueba  al  Tribunal,  así  como  la  prueba</w:t>
        <w:br/>
        <w:t>remitida por parte del Estado, demuestran que no existe consenso  sobre  las</w:t>
        <w:br/>
        <w:t>estadísticas de los homicidios de mujeres en Ciudad Juárez. Al respecto,  el</w:t>
        <w:br/>
        <w:t>CEDAW  señaló:  “[n]o  existen  registros  claros,  convincentes  sobre   la</w:t>
        <w:br/>
        <w:t>cantidad de mujeres asesinadas y desaparecidas. No hay coincidencia  en  las</w:t>
        <w:br/>
        <w:t>cifras que presentan las diferentes instancias del Gobierno y las que  citan</w:t>
        <w:br/>
        <w:t>las ONGs” (Informe de México producido por el CEDAW, supra  nota  64,  folio</w:t>
        <w:br/>
        <w:t>1934). Asimismo, según la Comisión  Nacional  de  Derechos  Humanos,  existe</w:t>
        <w:br/>
        <w:t>“disparidad y contradicción de datos, números e  información  proporcionados</w:t>
        <w:br/>
        <w:t>por las autoridades  federales  y  estatales  competentes  a  esta  Comisión</w:t>
        <w:br/>
        <w:t>Nacional,  así   como   a   diversos   organismos   internacionales   y   no</w:t>
        <w:br/>
        <w:t>gubernamentales defensores de los derechos humanos respecto de  las  mujeres</w:t>
        <w:br/>
        <w:t>víctimas  de  homicidios  o  desapariciones  en  el  municipio  de   Juárez,</w:t>
        <w:br/>
        <w:t>Chihuahua, lo cual de por sí denota una negligencia en el  desempeño  de  la</w:t>
        <w:br/>
        <w:t>procuración de justicia” (CNDH,  Informe  Especial,  supra  nota  66,  folio</w:t>
        <w:br/>
        <w:t>2247). Por su  parte,  la  Fiscalía  Especial  destacó  que  “[u]no  de  los</w:t>
        <w:br/>
        <w:t>aspectos más difíciles de determinar y que mayor  polémica  ha  generado  en</w:t>
        <w:br/>
        <w:t>torno a lo sucedido en el Municipio de Juárez […], es el relativo al  número</w:t>
        <w:br/>
        <w:t>de casos de muertes y desapariciones ahí acaecidas,  con  características  o</w:t>
        <w:br/>
        <w:t>patrones  conductuales  similares  durante  los  últimos  trece   años.   La</w:t>
        <w:br/>
        <w:t>especulación a que se ha llegado en este rubro ha sido  enorme,  manejándose</w:t>
        <w:br/>
        <w:t>sin ningún rigor cifras o hechos que no corresponden con lo sucedido  en  la</w:t>
        <w:br/>
        <w:t>realidad”. Según la Fiscalía Especial, “con cifras y pruebas  se  demuestra,</w:t>
        <w:br/>
        <w:t>que en los últimos años  se  ha  generado  una  percepción  diferente  a  la</w:t>
        <w:br/>
        <w:t>realidad, creándose un círculo vicioso, de hechos, impunidad y  especulación</w:t>
        <w:br/>
        <w:t>que ha afectado principalmente a la sociedad  juarense”  (Fiscalía  Especial</w:t>
        <w:br/>
        <w:t>para la Atención de Delitos relacionados con los Homicidios  de  Mujeres  en</w:t>
        <w:br/>
        <w:t>Ciudad Juárez, Informe Final, supra nota  87,  folios  14540  y  14607).  La</w:t>
        <w:br/>
        <w:t>Comisión para Ciudad Juárez señaló  que  “[n]o  hay  certeza  en  cuanto  al</w:t>
        <w:br/>
        <w:t>número de homicidios y desapariciones en Ciudad Juárez;  no  hay  una  cifra</w:t>
        <w:br/>
        <w:t>que represente credibilidad  para  grupos  familiares  e  instituciones  del</w:t>
        <w:br/>
        <w:t>gobierno” (Comisión para  Prevenir  y  Erradicar  la  Violencia  contra  las</w:t>
        <w:br/>
        <w:t>Mujeres en Ciudad Juárez, Primer Informe de Gestión, supra  nota  67,  folio</w:t>
        <w:br/>
        <w:t>8677).</w:t>
        <w:br/>
        <w:br/>
        <w:br/>
        <w:t>[89]  Cfr. CIDH, Situación de los Derechos de la  Mujer  en  Ciudad  Juárez,</w:t>
        <w:br/>
        <w:t>supra nota 64, folio 1743; Informe de México producido por el  CEDAW,  supra</w:t>
        <w:br/>
        <w:t>nota 64, folio 1921; CNDH, Informe Especial, supra nota 66,  folios  2166  y</w:t>
        <w:br/>
        <w:t>2167, y Amnistía Internacional, Muertes intolerables, supra nota 64,  folios</w:t>
        <w:br/>
        <w:t>2256 y 2262.</w:t>
        <w:br/>
        <w:br/>
        <w:br/>
        <w:t>[90]  Cfr. Fiscalía Especial para la Atención de  Delitos  relacionados  con</w:t>
        <w:br/>
        <w:t>los Homicidios de Mujeres en Ciudad Juárez, Informe Final,  supra  nota  87,</w:t>
        <w:br/>
        <w:t>folio 14646.</w:t>
        <w:br/>
        <w:br/>
        <w:br/>
        <w:t>[91]  Cfr. Fiscalía Especial para la Atención de  Delitos  relacionados  con</w:t>
        <w:br/>
        <w:t>los Homicidios de Mujeres en Ciudad Juárez, Informe Final,  supra  nota  87,</w:t>
        <w:br/>
        <w:t>folio 14691 y Comisión Mexicana de  Defensa  y  Promoción  de  los  Derechos</w:t>
        <w:br/>
        <w:t>Humanos, Feminicidio en Chihuahua, supra nota 82, folios 6761 a 6864.</w:t>
        <w:br/>
        <w:br/>
        <w:br/>
        <w:t>[92]  Informe Final del Observatorio Ciudadano, supra nota 81, folio 6647.</w:t>
        <w:br/>
        <w:br/>
        <w:br/>
        <w:t>[93]  Cfr. Informe de México producido por el CEDAW, supra  nota  64,  folio</w:t>
        <w:br/>
        <w:t>1928 y Amnistía Internacional, Muertes intolerables, supra  nota  64,  folio</w:t>
        <w:br/>
        <w:t>2253.</w:t>
        <w:br/>
        <w:br/>
        <w:br/>
        <w:t>[94]  Cfr. CIDH, Situación de los Derechos de la  Mujer  en  Ciudad  Juárez,</w:t>
        <w:br/>
        <w:t>supra nota 64, folio 1746; Informe de México producido por el  CEDAW,  supra</w:t>
        <w:br/>
        <w:t>nota 64, folio 1928, y Amnistía Internacional, Muertes  intolerables,  supra</w:t>
        <w:br/>
        <w:t>nota 64, folio 2274.</w:t>
        <w:br/>
        <w:br/>
        <w:br/>
        <w:t>[95]  Cfr. Fiscalía Especial para la Atención de  Delitos  relacionados  con</w:t>
        <w:br/>
        <w:t>los Homicidios de Mujeres en Ciudad Juárez, Informe Final,  supra  nota  87,</w:t>
        <w:br/>
        <w:t>folios 14543, 14661, 14584 y 14587, y CNDH, Segundo  Informe  de  Evaluación</w:t>
        <w:br/>
        <w:t>Integral, supra nota 72, folio 4667.</w:t>
        <w:br/>
        <w:br/>
        <w:br/>
        <w:t>[96]  Informe Final del Observatorio Ciudadano, supra nota 81,  folios  6650</w:t>
        <w:br/>
        <w:t>y 6659.</w:t>
        <w:br/>
        <w:br/>
        <w:br/>
        <w:t>[97]  CNDH, Informe Especial, supra nota 66, folio 2238.</w:t>
        <w:br/>
        <w:br/>
        <w:br/>
        <w:t>[98]  Cfr. CIDH, Situación de los Derechos de la  Mujer  en  Ciudad  Juárez,</w:t>
        <w:br/>
        <w:t>supra nota 64, folio 1744; Informe de México producido por el  CEDAW,  supra</w:t>
        <w:br/>
        <w:t>nota 64, folios 1924 y 1926; Informe  de  la  Relatora  Especial  sobre  las</w:t>
        <w:br/>
        <w:t>ejecuciones extrajudiciales, sumarias o arbitrarias, supra  nota  73,  folio</w:t>
        <w:br/>
        <w:t>2052; Amnistía Internacional, Muertes intolerables, supra  nota  64,  folios</w:t>
        <w:br/>
        <w:t>2256 y 2271, y Fiscalía Especial para la Atención  de  Delitos  relacionados</w:t>
        <w:br/>
        <w:t>con los Homicidios de Mujeres en Ciudad Juárez, Informe  Final,  supra  nota</w:t>
        <w:br/>
        <w:t>87, folio 14605.</w:t>
        <w:br/>
        <w:br/>
        <w:br/>
        <w:t>[99]  Cfr. CIDH, Situación de los Derechos de la  Mujer  en  Ciudad  Juárez,</w:t>
        <w:br/>
        <w:t>supra nota 64, folio 1764;  Amnistía  Internacional,  Muertes  intolerables,</w:t>
        <w:br/>
        <w:t>supra nota 64, folios 2256 y 2271,  y  declaración  rendida  ante  fedatario</w:t>
        <w:br/>
        <w:t>público por la perita Jusidman Rapoport el 21 de abril de  2009  (expediente</w:t>
        <w:br/>
        <w:t>de fondo, tomo XIII, folio 3806).</w:t>
        <w:br/>
        <w:br/>
        <w:br/>
        <w:t>[100]       Cfr. CIDH, Situación de los  Derechos  de  la  Mujer  en  Ciudad</w:t>
        <w:br/>
        <w:t>Juárez, supra nota 64, folio  1744;  Informe  de  México  producido  por  el</w:t>
        <w:br/>
        <w:t>CEDAW, supra nota 64, folios 1924 y 1926; Informe de  la  Relatora  Especial</w:t>
        <w:br/>
        <w:t>sobre la violencia contra la mujer, supra nota 64, folio  2012,  y  Amnistía</w:t>
        <w:br/>
        <w:t>Internacional, Muertes intolerables, supra nota 64, folios 2257 y 2271.</w:t>
        <w:br/>
        <w:br/>
        <w:br/>
        <w:t>[101]       Cfr. Informe de México producido por el CEDAW,  supra  nota  64,</w:t>
        <w:br/>
        <w:t>folios 1924 y 1926; Informe de  la  Relatora  Especial  sobre  la  violencia</w:t>
        <w:br/>
        <w:t>contra la mujer, supra nota 64, folio 2012; Amnistía Internacional,  Muertes</w:t>
        <w:br/>
        <w:t>intolerables, supra nota 64, folio 2257; Fiscalía Especial para la  Atención</w:t>
        <w:br/>
        <w:t>de Delitos relacionados con los Homicidios  de  Mujeres  en  Ciudad  Juárez,</w:t>
        <w:br/>
        <w:t>Informe  Final,  supra  nota  87,  folio  14605;  declaración  rendida  ante</w:t>
        <w:br/>
        <w:t>fedatario público por la perita Monárrez Fragoso el 20 de noviembre de  2008</w:t>
        <w:br/>
        <w:t>(expediente de fondo, tomo XIII, folio 3911), y  Comisión  para  Prevenir  y</w:t>
        <w:br/>
        <w:t>Erradicar la Violencia contra las Mujeres en Ciudad Juárez,  Tercer  Informe</w:t>
        <w:br/>
        <w:t>de Gestión,  mayo  2005-septiembre  2006,  citando  el  Segundo  Informe  de</w:t>
        <w:br/>
        <w:t>Gestión, titulado “El feminicidio: formas de  ejercer  la  violencia  contra</w:t>
        <w:br/>
        <w:t>las mujeres” (expediente de anexos a la contestación  de  la  demanda,  tomo</w:t>
        <w:br/>
        <w:t>XXVII, anexo 12, folio 9016).</w:t>
        <w:br/>
        <w:br/>
        <w:br/>
        <w:t>[102]       Cfr. CIDH, Situación de los  Derechos  de  la  Mujer  en  Ciudad</w:t>
        <w:br/>
        <w:t>Juárez, supra nota 64, folio  1744;  Informe  de  México  producido  por  el</w:t>
        <w:br/>
        <w:t>CEDAW, supra nota 64, folios 1924 y 1926; Informe de  la  Relatora  Especial</w:t>
        <w:br/>
        <w:t>sobre la violencia contra la mujer, supra nota 64, folio  2012,  y  Amnistía</w:t>
        <w:br/>
        <w:t>Internacional, Muertes intolerables, supra nota 64, folios 2257 y 2271.</w:t>
        <w:br/>
        <w:br/>
        <w:br/>
        <w:t>[103]       Cfr. CIDH, Situación de los  Derechos  de  la  Mujer  en  Ciudad</w:t>
        <w:br/>
        <w:t>Juárez, supra nota 64, folio 1744 e Informe de la  Relatora  Especial  sobre</w:t>
        <w:br/>
        <w:t>las ejecuciones extrajudiciales, sumarias  o  arbitrarias,  supra  nota  73,</w:t>
        <w:br/>
        <w:t>folio 2053.</w:t>
        <w:br/>
        <w:br/>
        <w:br/>
        <w:t>[104]       Cfr. Fiscalía Especial para la Atención de Delitos  relacionados</w:t>
        <w:br/>
        <w:t>con los Homicidios de Mujeres en Ciudad Juárez, Informe  Final,  supra  nota</w:t>
        <w:br/>
        <w:t>87, folio 14525.</w:t>
        <w:br/>
        <w:br/>
        <w:br/>
        <w:t>[105]       Cfr. Informe de México producido por el CEDAW,  supra  nota  64,</w:t>
        <w:br/>
        <w:t>folios 1924 y 1927 y Amnistía  Internacional,  Muertes  intolerables,  supra</w:t>
        <w:br/>
        <w:t>nota 64, folio 2271.</w:t>
        <w:br/>
        <w:br/>
        <w:br/>
        <w:t>[106]       Cfr. CIDH, Situación de los  Derechos  de  la  Mujer  en  Ciudad</w:t>
        <w:br/>
        <w:t>Juárez, supra 64, folio 1744.</w:t>
        <w:br/>
        <w:br/>
        <w:br/>
        <w:t>[107]       Cfr. CIDH, Situación de los  Derechos  de  la  Mujer  en  Ciudad</w:t>
        <w:br/>
        <w:t>Juárez, supra nota 64, folio  1744;  Informe  de  México  producido  por  el</w:t>
        <w:br/>
        <w:t>CEDAW,  supra  nota  64,  folio  1927,  e  Informe  Final  del  Observatorio</w:t>
        <w:br/>
        <w:t>Ciudadano, supra nota 81, folio 6640.</w:t>
        <w:br/>
        <w:br/>
        <w:br/>
        <w:t>[108]       Cfr. CIDH, Situación de los  Derechos  de  la  Mujer  en  Ciudad</w:t>
        <w:br/>
        <w:t>Juárez, supra nota 64, folio 1744; Informe de  la  Relatora  Especial  sobre</w:t>
        <w:br/>
        <w:t>las ejecuciones extrajudiciales, sumarias  o  arbitrarias,  supra  nota  73,</w:t>
        <w:br/>
        <w:t>folio 2052; Amnistía Internacional, Muertes  intolerables,  supra  nota  64,</w:t>
        <w:br/>
        <w:t>folio 2271; CNDH, Recomendación  44/1998,  supra  nota  72,  folio  2154,  e</w:t>
        <w:br/>
        <w:t>Informe de México producido por el CEDAW, supra nota 64, folio 1927.</w:t>
        <w:br/>
        <w:br/>
        <w:br/>
        <w:t>[109]       Cfr. Fiscalía Especial para la Atención de Delitos  relacionados</w:t>
        <w:br/>
        <w:t>con los Homicidios de Mujeres en Ciudad Juárez, Informe  Final,  supra  nota</w:t>
        <w:br/>
        <w:t>87, folio 14608. Al respecto, cabe notar que la Comisión para Ciudad  Juárez</w:t>
        <w:br/>
        <w:t>señaló que, “[s]i bien es cierto que  ha  sido  difícil  demostrar  que  los</w:t>
        <w:br/>
        <w:t>homicidios de mujeres en  Ciudad  Juárez  están  relacionados  con  asesinos</w:t>
        <w:br/>
        <w:t>seriales, faltó de parte de la [Fiscalía  Especial]  un  análisis  sobre  el</w:t>
        <w:br/>
        <w:t>fenómeno criminal que constituyeron los casos  paradigmáticos,  aquéllos  en</w:t>
        <w:br/>
        <w:t>los que sí puede haber evidencias de lo que  la  [Fiscalía  Especial]  llama</w:t>
        <w:br/>
        <w:t>‘homicidios  de  mujeres  con  características  y/o  patrones   conductuales</w:t>
        <w:br/>
        <w:t>similares’”. En similar sentido, criticó que  la  Fiscalía  Especial  “sigue</w:t>
        <w:br/>
        <w:t>sin enfocar su análisis desde la perspectiva  de  género;  no  obstante  las</w:t>
        <w:br/>
        <w:t>recomendaciones internacionales que se han hecho” (Comisión para Prevenir  y</w:t>
        <w:br/>
        <w:t>Erradicar la Violencia contra las Mujeres en Ciudad Juárez,  Tercer  informe</w:t>
        <w:br/>
        <w:t>de gestión, supra nota 101, folio 9073).</w:t>
        <w:br/>
        <w:br/>
        <w:br/>
        <w:t>[110]       Comisión para Prevenir  y  Erradicar  la  Violencia  contra  las</w:t>
        <w:br/>
        <w:t>Mujeres en Ciudad Juárez, Tercer informe de gestión, supra nota 101,  folios</w:t>
        <w:br/>
        <w:t>8996 y 8997.</w:t>
        <w:br/>
        <w:br/>
        <w:br/>
        <w:t>[111]       Según el informe  del  CEDAW,  publicado  en  el  año  2005,  el</w:t>
        <w:br/>
        <w:t>Instituto Chihuahuense de la Mujer refirió 90 casos, la Fiscalía Especial  y</w:t>
        <w:br/>
        <w:t>el Delegado de la Procuraduría General de  la  República  en  Ciudad  Juárez</w:t>
        <w:br/>
        <w:t>mencionó 93 casos y las ONGs  contabilizaban  98  (Cfr.  Informe  de  México</w:t>
        <w:br/>
        <w:t>producido por el CEDAW, supra nota 64, folio 1924).</w:t>
        <w:br/>
        <w:br/>
        <w:br/>
        <w:t>[112]        Estos  alegatos  coinciden  con  las  conclusiones  del  Primer</w:t>
        <w:br/>
        <w:t>informe de gestión de la Comisión para Ciudad Juárez, el cual señala que  en</w:t>
        <w:br/>
        <w:t>la década de  los  setenta  y  los  ochenta,  la  industria  maquiladora  se</w:t>
        <w:br/>
        <w:t>caracterizó por la oferta casi exclusivamente a mujeres en  un  contexto  de</w:t>
        <w:br/>
        <w:t>desempleo masculino, lo cual “produjo un choque cultural al interior de  las</w:t>
        <w:br/>
        <w:t>familias” y que “los hombres se quedaron sin trabajo y las que sostenían  el</w:t>
        <w:br/>
        <w:t>hogar eran las mujeres” (Comisión para Prevenir  y  Erradicar  la  Violencia</w:t>
        <w:br/>
        <w:t>contra las Mujeres en Ciudad Juárez, Primer Informe de Gestión,  supra  nota</w:t>
        <w:br/>
        <w:t>67, folio 8663. Ver también, Informe  de  México  producido  por  el  CEDAW,</w:t>
        <w:br/>
        <w:t>supra nota 64, folio 1922; declaración rendida ante  fedatario  público  por</w:t>
        <w:br/>
        <w:t>el perito Pineda Jaimes el 15 de abril de 2009, expediente  de  fondo,  tomo</w:t>
        <w:br/>
        <w:t>VIII, folio 2825, y declaración de la perita Jusidman Rapoport,  supra  nota</w:t>
        <w:br/>
        <w:t>99, folio 3778).</w:t>
        <w:br/>
        <w:br/>
        <w:br/>
        <w:t>[113]       Cfr. Fiscalía Especial para la Atención de Delitos  relacionados</w:t>
        <w:br/>
        <w:t>con los Homicidios de Mujeres en Ciudad Juárez, Informe  Final,  supra  nota</w:t>
        <w:br/>
        <w:t>87, folio 14549.</w:t>
        <w:br/>
        <w:br/>
        <w:br/>
        <w:t>[114]       El Estado explicó en su Respuesta al Informe del  CEDAW  que  el</w:t>
        <w:br/>
        <w:t>contexto de violencia contra la mujer en el que  están  inmersos  muchos  de</w:t>
        <w:br/>
        <w:t>los homicidios y las  concepciones  fuertemente  arraigadas  en  la  opinión</w:t>
        <w:br/>
        <w:t>pública sobre las posibles  causas  de  éstos,  “dificulta[n]  sobre  manera</w:t>
        <w:br/>
        <w:t>realizar una clasificación en base a  sus  móviles”,  pero  que  es  posible</w:t>
        <w:br/>
        <w:t>realizar la clasificación referida  “a  la  luz  con  que  se  cuenta  sobre</w:t>
        <w:br/>
        <w:t>autores del homicidio, qué testigos existen, y bajo qu[é] circunstancias  se</w:t>
        <w:br/>
        <w:t>dio” (Informe de México producido por el CEDAW, supra nota 64, folio 1957).</w:t>
        <w:br/>
        <w:br/>
        <w:br/>
        <w:t>[115]       Informe de México producido por el CEDAW, supra nota  64,  folio</w:t>
        <w:br/>
        <w:t>1957.</w:t>
        <w:br/>
        <w:br/>
        <w:br/>
        <w:t>[116]       Informe de México producido por el CEDAW, supra nota  64,  folio</w:t>
        <w:br/>
        <w:t>1960.</w:t>
        <w:br/>
        <w:br/>
        <w:br/>
        <w:t>[117]       Cfr. CIDH, Situación de los  Derechos  de  la  Mujer  en  Ciudad</w:t>
        <w:br/>
        <w:t>Juárez, supra nota 64, folio  1735;  Informe  de  México  producido  por  el</w:t>
        <w:br/>
        <w:t>CEDAW, supra nota 64, folio 1922; Informe de la Relatora Especial  sobre  la</w:t>
        <w:br/>
        <w:t>violencia contra la mujer, supra nota 64, folios 2001  a  2002,  y  Amnistía</w:t>
        <w:br/>
        <w:t>Internacional, Muertes intolerables, supra nota 64, folios 2259 y 2269.</w:t>
        <w:br/>
        <w:br/>
        <w:br/>
        <w:t>[118]       Amnistía Internacional, Muertes  intolerables,  supra  nota  64,</w:t>
        <w:br/>
        <w:t>folio 2269.</w:t>
        <w:br/>
        <w:br/>
        <w:br/>
        <w:t>[119]       CIDH, Situación de los Derechos de la Mujer  en  Ciudad  Juárez,</w:t>
        <w:br/>
        <w:t>supra nota 64, folio 1766 (citando  carta  del  Secretario  de  Gobierno  de</w:t>
        <w:br/>
        <w:t>Chihuahua a la Relatora Especial de 11 de febrero de 2002).</w:t>
        <w:br/>
        <w:br/>
        <w:br/>
        <w:t>[120]       Cfr. Informe de México producido por el CEDAW,  supra  nota  64,</w:t>
        <w:br/>
        <w:t>folios 1937 y 1949.</w:t>
        <w:br/>
        <w:br/>
        <w:br/>
        <w:t>[121]       Informe de la Relatora Especial sobre  la  violencia  contra  la</w:t>
        <w:br/>
        <w:t>mujer, supra nota 64, folios 2001 y 2002.</w:t>
        <w:br/>
        <w:br/>
        <w:br/>
        <w:t>[122]       Comisión para Prevenir  y  Erradicar  la  Violencia  contra  las</w:t>
        <w:br/>
        <w:t>Mujeres en Ciudad Juárez, Primer Informe de Gestión, supra  nota  67,  folio</w:t>
        <w:br/>
        <w:t>9074.</w:t>
        <w:br/>
        <w:br/>
        <w:br/>
        <w:t>[123]       CIDH, Situación de los Derechos de la Mujer  en  Ciudad  Juárez,</w:t>
        <w:br/>
        <w:t>supra nota 64, folios 1748 y 1750 (citando carta del Secretario de  Gobierno</w:t>
        <w:br/>
        <w:t>de Chihuahua a la Relatora Especial de 11 de febrero de 2002).</w:t>
        <w:br/>
        <w:br/>
        <w:br/>
        <w:t>[124]       Artículo 21 de la Ley General de Acceso de  las  Mujeres  a  una</w:t>
        <w:br/>
        <w:t>Vida Libre de Violencia, publicada en el Diario Oficial de la Federación  el</w:t>
        <w:br/>
        <w:t>1 de febrero de 2007 (expediente de anexos a la contestación de la  demanda,</w:t>
        <w:br/>
        <w:t>tomo XLIII, anexo 109, folio 16126).</w:t>
        <w:br/>
        <w:br/>
        <w:br/>
        <w:t>[125]       Cfr. Comisión para Prevenir y Erradicar la Violencia contra  las</w:t>
        <w:br/>
        <w:t>Mujeres en Ciudad Juárez, Primer Informe de Gestión, supra  nota  67,  folio</w:t>
        <w:br/>
        <w:t>8661 y Comisión de la  Cámara  de  Diputados,  Violencia  Feminicida  en  10</w:t>
        <w:br/>
        <w:t>entidades de la República Mexicana, supra nota 86, folio 6885.</w:t>
        <w:br/>
        <w:br/>
        <w:br/>
        <w:t>[126]       Cfr. declaración de la perita Monárrez Fragoso, supra nota  101,</w:t>
        <w:br/>
        <w:t>folio 3906.</w:t>
        <w:br/>
        <w:br/>
        <w:br/>
        <w:t>[127]       Cfr. declaración del  perito  Pineda  Jaimes,  supra  nota  112,</w:t>
        <w:br/>
        <w:t>folio 2813.</w:t>
        <w:br/>
        <w:br/>
        <w:br/>
        <w:t>[128]       Cfr. declaración rendida ante fedatario público  por  la  perita</w:t>
        <w:br/>
        <w:t>Lagarde y de los Ríos el 20 de abril de 2009 (expediente de fondo, tomo  XI,</w:t>
        <w:br/>
        <w:t>folio 3386).</w:t>
        <w:br/>
        <w:br/>
        <w:br/>
        <w:t>[129]       Cfr. declaración de la perita Jusidman Rapoport, supra nota  99,</w:t>
        <w:br/>
        <w:t>folio 3806.</w:t>
        <w:br/>
        <w:br/>
        <w:br/>
        <w:t>[130]       Cfr. Comisión de la Cámara de  Diputados,  Violencia  Feminicida</w:t>
        <w:br/>
        <w:t>en 10 entidades de la República  Mexicana,  supra  nota  86,  folio  6889  y</w:t>
        <w:br/>
        <w:t>Comisión para Prevenir y  Erradicar  la  Violencia  contra  las  Mujeres  en</w:t>
        <w:br/>
        <w:t>Ciudad Juárez, Primer Informe de Gestión, supra nota 67, folio 8662.</w:t>
        <w:br/>
        <w:br/>
        <w:br/>
        <w:t>[131]       Cfr. Informe Final del Observatorio Ciudadano,  supra  nota  81,</w:t>
        <w:br/>
        <w:t>folio 6714.</w:t>
        <w:br/>
        <w:br/>
        <w:br/>
        <w:t>[132]       Cfr. Centro para el Desarrollo Integral de la Mujer y AC  /  Red</w:t>
        <w:br/>
        <w:t>Ciudadana de No violencia y Dignidad Humana. Las Víctimas de Feminicidio  en</w:t>
        <w:br/>
        <w:t>Ciudad Juárez. Informe del Estado de la Procuración de Justicia y el  Acceso</w:t>
        <w:br/>
        <w:t>a las Garantías Judiciales sobre feminicidios  y  mujeres  desaparecidas  en</w:t>
        <w:br/>
        <w:t>Juárez, 1993 – 2007. Reporte ante la  Comisión  Interamericana  de  Derechos</w:t>
        <w:br/>
        <w:t>Humanos, mayo 2007 (expediente de anexos a la demanda, tomo IV,  apéndice  5</w:t>
        <w:br/>
        <w:t>Vol. III, folios 544 y 555).</w:t>
        <w:br/>
        <w:br/>
        <w:br/>
        <w:t>[133]       Cfr. Comisión Mexicana de Defensa y Promoción  de  los  Derechos</w:t>
        <w:br/>
        <w:t>Humanos A.C., Compendio de recomendaciones, supra nota 65, folio 6654.</w:t>
        <w:br/>
        <w:br/>
        <w:br/>
        <w:t>[134]       Cfr. escrito presentado por el Programa  de  Justicia  Global  y</w:t>
        <w:br/>
        <w:t>Derechos Humanos de la Universidad de los  Andes,  Colombia  (expediente  de</w:t>
        <w:br/>
        <w:t>fondo, tomo XV, folio 4416); escrito presentado por la Organización  Mundial</w:t>
        <w:br/>
        <w:t>contra la Tortura y TRIAL – Track Impunity (expediente de  fondo,  tomo  VI,</w:t>
        <w:br/>
        <w:t>folio 2197), y escrito presentado por la  Red  Mesa  de  Mujeres  de  Ciudad</w:t>
        <w:br/>
        <w:t>Juárez (expediente de fondo, tomo XV, folio 4290).</w:t>
        <w:br/>
        <w:br/>
        <w:br/>
        <w:t>[135]       CIDH, Situación de los Derechos de la Mujer  en  Ciudad  Juárez,</w:t>
        <w:br/>
        <w:t>supra nota 64, folio 1750 (citando  carta  del  Secretario  de  Gobierno  de</w:t>
        <w:br/>
        <w:t>Chihuahua a la Relatora Especial de 11 de febrero de 2002).</w:t>
        <w:br/>
        <w:br/>
        <w:br/>
        <w:t>[136]       Cfr. CIDH, Situación de los  Derechos  de  la  Mujer  en  Ciudad</w:t>
        <w:br/>
        <w:t>Juárez, supra nota 64, folio 1767; CNDH, Recomendación 44/1998,  supra  nota</w:t>
        <w:br/>
        <w:t>72, folios 2118 a 2129 y 2138; Informe de México  producido  por  el  CEDAW,</w:t>
        <w:br/>
        <w:t>supra  nota  64,  folio  1924,  e  Informe  de  la  Comisión   de   Expertos</w:t>
        <w:br/>
        <w:t>Internacionales de las Naciones Unidas, supra nota 76, folio 1898.</w:t>
        <w:br/>
        <w:br/>
        <w:br/>
        <w:t>[137]       Cfr. CIDH, Situación de los  Derechos  de  la  Mujer  en  Ciudad</w:t>
        <w:br/>
        <w:t>Juárez, supra nota 64, folio  1749;  Informe  de  la  Comisión  de  Expertos</w:t>
        <w:br/>
        <w:t>Internacionales de las Naciones Unidas, supra nota  76,  folio  1869;  CNDH,</w:t>
        <w:br/>
        <w:t>Informe Especial, supra nota 66, folio  2167,  y  declaración  rendida  ante</w:t>
        <w:br/>
        <w:t>fedatario público por el perito Castresana Fernández el 21 de abril de  2009</w:t>
        <w:br/>
        <w:t>(expediente de fondo, tomo VIII, folio 2904).</w:t>
        <w:br/>
        <w:br/>
        <w:br/>
        <w:t>[138]       Fiscalía Especial para la Atención de Delitos  relacionados  con</w:t>
        <w:br/>
        <w:t>los Homicidios de Mujeres en Ciudad Juárez, Informe Final,  supra  nota  87,</w:t>
        <w:br/>
        <w:t>folio 14573.</w:t>
        <w:br/>
        <w:br/>
        <w:br/>
        <w:t>[139]       Cfr. CIDH, Situación de los  Derechos  de  la  Mujer  en  Ciudad</w:t>
        <w:br/>
        <w:t>Juárez, supra nota 64, folio  1746,  Informe  de  México  producido  por  el</w:t>
        <w:br/>
        <w:t>CEDAW,  supra  nota  64,  folio  1924,  y  Amnistía  Internacional,  Muertes</w:t>
        <w:br/>
        <w:t>intolerables, supra nota 64, folio 2274.</w:t>
        <w:br/>
        <w:br/>
        <w:br/>
        <w:t>[140]       Cfr. CIDH, Situación de los  Derechos  de  la  Mujer  en  Ciudad</w:t>
        <w:br/>
        <w:t>Juárez, supra nota 64, folio 1767; CNDH, Recomendación 44/1998,  supra  nota</w:t>
        <w:br/>
        <w:t>72, folio 2140; Fiscalía Especial para la Atención de  Delitos  relacionados</w:t>
        <w:br/>
        <w:t>con los Homicidios de Mujeres en Ciudad Juárez, Informe  Final,  supra  nota</w:t>
        <w:br/>
        <w:t>87,  folios  14579  y  14610;  Conferencia  de  prensa  que  ofrecieron   el</w:t>
        <w:br/>
        <w:t>Subprocurador de Derechos Humanos, Atención a  Víctimas  y  Servicios  a  la</w:t>
        <w:br/>
        <w:t>Comunidad y la Fiscal Especial para la Atención de los Delitos  Relacionados</w:t>
        <w:br/>
        <w:t>con Actos de Violencia Contra las Mujeres en el auditorio  de  juristas,  de</w:t>
        <w:br/>
        <w:t>Reforma 211, México, D.F., 16 de febrero de 2006, anexo 4 del Informe  Final</w:t>
        <w:br/>
        <w:t>del Observatorio Ciudadano, supra nota 81, folio 6714.</w:t>
        <w:br/>
        <w:br/>
        <w:br/>
        <w:t>[141]       Cfr. CIDH, Situación de los  Derechos  de  la  Mujer  en  Ciudad</w:t>
        <w:br/>
        <w:t>Juárez, supra nota 64, folio 1750; CNDH, Recomendación 44/1998,  supra  nota</w:t>
        <w:br/>
        <w:t>72, folio 2140; Informe de la Comisión de Expertos  Internacionales  de  las</w:t>
        <w:br/>
        <w:t>Naciones Unidas, supra nota  76,  folio  1929,  Fiscalía  Especial  para  la</w:t>
        <w:br/>
        <w:t>Atención de Delitos relacionados con los Homicidios  de  Mujeres  en  Ciudad</w:t>
        <w:br/>
        <w:t>Juárez, Informe Final, supra nota 87, folio  14579,  y  declaración  rendida</w:t>
        <w:br/>
        <w:t>ante fedatario público por la  testigo  Doretti  el  17  de  abril  de  2009</w:t>
        <w:br/>
        <w:t>(expediente de fondo, tomo VI, folio 2326 y 2327).</w:t>
        <w:br/>
        <w:br/>
        <w:br/>
        <w:t>[142]       Cfr. CIDH, Situación de los  Derechos  de  la  Mujer  en  Ciudad</w:t>
        <w:br/>
        <w:t>Juárez, supra nota 64, folio  1750;  Informe  de  la  Comisión  de  Expertos</w:t>
        <w:br/>
        <w:t>Internacionales de las Naciones Unidas, supra nota 76, folios 1898  y  1899;</w:t>
        <w:br/>
        <w:t>declaración de la testigo Doretti, supra nota 141, folio 2332.</w:t>
        <w:br/>
        <w:br/>
        <w:br/>
        <w:t>[143]       Cfr. declaración de la testigo Doretti, supra nota  141,  folios</w:t>
        <w:br/>
        <w:t>2371 y 2372.</w:t>
        <w:br/>
        <w:br/>
        <w:br/>
        <w:t>[144]       Cfr. Informe de la Comisión de Expertos Internacionales  de  las</w:t>
        <w:br/>
        <w:t>Naciones Unidas, supra nota 76, folio  1897;  CNDH,  Recomendación  44/1998,</w:t>
        <w:br/>
        <w:t>supra nota 72, folio 2154; CNDH, Informe  Especial,  supra  nota  66,  folio</w:t>
        <w:br/>
        <w:t>2227, y Amnistía Internacional, Muertes intolerables, supra nota  64,  folio</w:t>
        <w:br/>
        <w:t>2279.</w:t>
        <w:br/>
        <w:br/>
        <w:br/>
        <w:t>[145]        Informe  del  Relator  Especial  sobre  la   Independencia   de</w:t>
        <w:br/>
        <w:t>Magistrados y Abogados, supra nota 74, folio 2100.</w:t>
        <w:br/>
        <w:br/>
        <w:br/>
        <w:t>[146]       Fiscalía Especial para la Atención de Delitos  relacionados  con</w:t>
        <w:br/>
        <w:t>los Homicidios de Mujeres en Ciudad Juárez, Informe Final,  supra  nota  87,</w:t>
        <w:br/>
        <w:t>folios 14575 y 14609.</w:t>
        <w:br/>
        <w:br/>
        <w:br/>
        <w:t>[147]       Informe de México producido por el CEDAW, supra nota  64,  folio</w:t>
        <w:br/>
        <w:t>1957.</w:t>
        <w:br/>
        <w:br/>
        <w:br/>
        <w:t>[148]       Cfr. Respuesta del gobierno de México al informe  producido  por</w:t>
        <w:br/>
        <w:t>el CEDAW bajo el artículo 8 del Protocolo Facultativo de la  Convención,  27</w:t>
        <w:br/>
        <w:t>de enero de 2005 (anexos a la contestación de la demanda,  tomo  XXV,  anexo</w:t>
        <w:br/>
        <w:t>6, folios 8612 a 8653).</w:t>
        <w:br/>
        <w:br/>
        <w:br/>
        <w:t>[149]       Cfr. CIDH, Situación de los  Derechos  de  la  Mujer  en  Ciudad</w:t>
        <w:br/>
        <w:t>Juárez, supra nota 64, folios 1734 y 1742; Informe de México  producido  por</w:t>
        <w:br/>
        <w:t>el CEDAW,  supra  nota  64,  folio  1928;  Amnistía  Internacional,  Muertes</w:t>
        <w:br/>
        <w:t>intolerables, supra nota 64, folios 2259  y  2269;  declaración  del  perito</w:t>
        <w:br/>
        <w:t>Pineda Jaimes, supra nota 112,  folio  2832,  y  declaración  de  la  perita</w:t>
        <w:br/>
        <w:t>Jusidman, supra nota 99, folio 3808.</w:t>
        <w:br/>
        <w:br/>
        <w:br/>
        <w:t>[150]        Informe  del  Relator  Especial  sobre  la   Independencia   de</w:t>
        <w:br/>
        <w:t>Magistrados y Abogados, supra nota 74, folio 2100.</w:t>
        <w:br/>
        <w:br/>
        <w:br/>
        <w:t>[151]        Informe  de  la  Relatora  Especial   sobre   las   ejecuciones</w:t>
        <w:br/>
        <w:t>extrajudiciales, sumarias o arbitrarias, supra nota 73, folio 2053.</w:t>
        <w:br/>
        <w:br/>
        <w:br/>
        <w:t>[152]       Cfr. CIDH, Situación de los  Derechos  de  la  Mujer  en  Ciudad</w:t>
        <w:br/>
        <w:t>Juárez, supra nota 64, folio  1765;  Informe  de  México  producido  por  el</w:t>
        <w:br/>
        <w:t>CEDAW, supra nota 64, folio 1928; Informe de la Relatora Especial sobre  las</w:t>
        <w:br/>
        <w:t>ejecuciones extrajudiciales, sumarias o arbitrarias, supra  nota  73,  folio</w:t>
        <w:br/>
        <w:t>2052; CNDH, Recomendación 44/1998, supra nota 72, folio 2139, y  declaración</w:t>
        <w:br/>
        <w:t>de la perita Monárrez Fragoso, supra nota 101, folios 3938 y 3940.</w:t>
        <w:br/>
        <w:br/>
        <w:br/>
        <w:t>[153]       CNDH, Recomendación 44/1998, supra nota 72, folio 2155.</w:t>
        <w:br/>
        <w:br/>
        <w:br/>
        <w:t>[154]       Cfr. CIDH, Situación de los  Derechos  de  la  Mujer  en  Ciudad</w:t>
        <w:br/>
        <w:t>Juárez, supra nota 64, folio 1734.</w:t>
        <w:br/>
        <w:br/>
        <w:br/>
        <w:t>[155]       Informe de la Comisión de Expertos Internacionales  de  Naciones</w:t>
        <w:br/>
        <w:t>Unidas, supra nota 76, folio 1869.</w:t>
        <w:br/>
        <w:br/>
        <w:br/>
        <w:t>[156]       Cfr. CIDH, Situación de los  Derechos  de  la  Mujer  en  Ciudad</w:t>
        <w:br/>
        <w:t>Juárez, supra nota 64, folio 1734; Informe de la Relatora Especial sobre  la</w:t>
        <w:br/>
        <w:t>Violencia contra la mujer, supra nota 64, folio 2012, y CNDH,  Recomendación</w:t>
        <w:br/>
        <w:t>44/1998, supra nota 72, folio 2232.</w:t>
        <w:br/>
        <w:br/>
        <w:br/>
        <w:t>[157]       Cfr. Fiscalía Especial para la Atención de Delitos  relacionados</w:t>
        <w:br/>
        <w:t>con los Homicidios de Mujeres en Ciudad Juárez, Informe  Final,  supra  nota</w:t>
        <w:br/>
        <w:t>87, folios 14617 a 14651.</w:t>
        <w:br/>
        <w:br/>
        <w:br/>
        <w:t>[158]       Cfr. fichas de 203 casos de homicidios de mujeres  cometidos  en</w:t>
        <w:br/>
        <w:t>Ciudad Juárez, en los que se han dictado  sentencia  definitiva,  septiembre</w:t>
        <w:br/>
        <w:t>2003 (expediente de anexos a los alegatos finales escritos del Estado,  tomo</w:t>
        <w:br/>
        <w:t>XLIX, anexo 6, folios 17347 a 17400).</w:t>
        <w:br/>
        <w:br/>
        <w:br/>
        <w:t>[159]       Fiscalía Especial para la Atención de Delitos  relacionados  con</w:t>
        <w:br/>
        <w:t>los Homicidios de Mujeres en Ciudad Juárez, Informe Final,  supra  nota  87,</w:t>
        <w:br/>
        <w:t>folio 14612.</w:t>
        <w:br/>
        <w:br/>
        <w:br/>
        <w:t>[160]        Cabe  notar  que  existen  inconsistencias  entre  las   cifras</w:t>
        <w:br/>
        <w:t>globales, ya que según el Informe Final de la Fiscalía  Especial,  hasta  el</w:t>
        <w:br/>
        <w:t>2003 habían ocurrido 328 casos de homicidios de  mujeres  en  Ciudad  Juárez</w:t>
        <w:br/>
        <w:t>(Fiscalía  Especial  para  la  Atención  de  Delitos  relacionados  con  los</w:t>
        <w:br/>
        <w:t>Homicidios de Mujeres en Ciudad Juárez, Informe Final, supra nota 87,  folio</w:t>
        <w:br/>
        <w:t>14646).</w:t>
        <w:br/>
        <w:br/>
        <w:br/>
        <w:t>[161]       Cfr. Procuraduría General de Justicia del estado  de  Chihuahua,</w:t>
        <w:br/>
        <w:t>Fiscalía Especial para la Investigación de  Homicidios  de  Mujeres,  Ciudad</w:t>
        <w:br/>
        <w:t>Juárez, 2003. Anexos al cuarto informe mensual  del  Estado  a  la  Comisión</w:t>
        <w:br/>
        <w:t>Interamericana de Derechos Humanos de 17 de febrero de 2003  (expediente  de</w:t>
        <w:br/>
        <w:t>anexos a la contestación de la demanda, tomo XLII, anexo 75, folio 15446).</w:t>
        <w:br/>
        <w:br/>
        <w:br/>
        <w:t>[162]       De manera general, en cuanto a los llamados  casos  “concluidos”</w:t>
        <w:br/>
        <w:t>por el Estado, el CEDAW señaló en su informe de 2005 que le  preocupaba  que</w:t>
        <w:br/>
        <w:t>se consideraran e informaran como concluidos o resueltos los  casos  al  ser</w:t>
        <w:br/>
        <w:t>presentados ante los Tribunales, “aunque los inculpados  no  sean  detenidos</w:t>
        <w:br/>
        <w:t>ni sancionados” (Informe de México producido por el CEDAW,  supra  nota  64,</w:t>
        <w:br/>
        <w:t>folio 1959). Asimismo, y también de manera general, la CNDH  en  su  informe</w:t>
        <w:br/>
        <w:t>del 2005 indicó que  “obtuvo  información  suficiente  para  desvirtuar  las</w:t>
        <w:br/>
        <w:t>afirmaciones de la PGJE, en el sentido de dar por resueltos casos,  sin  que</w:t>
        <w:br/>
        <w:t>existan bases jurídicas para sustentar dichas afirmaciones”  (CNDH,  Informe</w:t>
        <w:br/>
        <w:t>Especial, supra nota 66, folio 2234).</w:t>
        <w:br/>
        <w:br/>
        <w:br/>
        <w:t>[163]       Cfr. Informe de México producido por el CEDAW,  supra  nota  64,</w:t>
        <w:br/>
        <w:t>folio 1964. Al respecto, cabe notar lo señalado por el CEDAW en su  informe:</w:t>
        <w:br/>
        <w:t>“El Gobierno asegura que de los 90 casos que consideran  como  de  violencia</w:t>
        <w:br/>
        <w:t>sexual s[ó]lo en 4 se ha dictado sentencia, mientras que la  casi  totalidad</w:t>
        <w:br/>
        <w:t>de las fuentes de la sociedad civil plantean que esos 4 casos tampoco  están</w:t>
        <w:br/>
        <w:t>resueltos y que tal vez algunos de los acusados no  sean  culpables.  S[ó]lo</w:t>
        <w:br/>
        <w:t>un  prisionero  ha  sido  juzgado  y  sancionado,   después   de   8   años,</w:t>
        <w:br/>
        <w:t>encontrándose aún en fase de apelación” (Informe de México producido por  el</w:t>
        <w:br/>
        <w:t>CEDAW, supra nota 64, folio 1934).</w:t>
        <w:br/>
        <w:br/>
        <w:br/>
        <w:t>[164]       Comisión para Prevenir  y  Erradicar  la  Violencia  contra  las</w:t>
        <w:br/>
        <w:t>Mujeres en Ciudad Juárez, Tercer Informe de Gestión, supra nota  101,  folio</w:t>
        <w:br/>
        <w:t>8997 (citando el Segundo  Informe  de  Gestión,  titulado  “El  feminicidio:</w:t>
        <w:br/>
        <w:t>formas de ejercer la violencia contra las mujeres).</w:t>
        <w:br/>
        <w:br/>
        <w:br/>
        <w:t>[165]       Informe de México producido por el CEDAW, supra nota  64,  folio</w:t>
        <w:br/>
        <w:t>1931.</w:t>
        <w:br/>
        <w:br/>
        <w:br/>
        <w:t>[166]       Cfr. Informe de la Relatora Especial sobre la  violencia  contra</w:t>
        <w:br/>
        <w:t>la mujer, supra nota 64, folio 2012.</w:t>
        <w:br/>
        <w:br/>
        <w:br/>
        <w:t>[167]       CIDH, Situación de los Derechos de la Mujer  en  Ciudad  Juárez,</w:t>
        <w:br/>
        <w:t>supra nota 64, folio 1766.</w:t>
        <w:br/>
        <w:br/>
        <w:br/>
        <w:t>[168]       Informe de la Relatora Especial sobre  la  violencia  contra  la</w:t>
        <w:br/>
        <w:t>mujer, supra nota 64, folio 2053.</w:t>
        <w:br/>
        <w:br/>
        <w:br/>
        <w:t>[169]       Cfr. comparecencia de Claudia  Ivonne  Ramos  Monárrez  ante  un</w:t>
        <w:br/>
        <w:t>subagente del Ministerio Público adscrito a la  Fiscalía  Especial  para  la</w:t>
        <w:br/>
        <w:t>Investigación de Desaparición y Homicidio  de  Mujeres  efectuada  el  1  de</w:t>
        <w:br/>
        <w:t>octubre de 2001 (expediente de anexos a la demanda,  tomo  VIII,  anexo  17,</w:t>
        <w:br/>
        <w:t>folio 2621) y comparecencia de Rocío Itxel Núñez Acevedo ante  un  subagente</w:t>
        <w:br/>
        <w:t>del  Ministerio  Público  adscrito  a   la   Fiscalía   Especial   para   la</w:t>
        <w:br/>
        <w:t>Investigación de Desaparición y Homicidio  de  Mujeres  efectuada  el  5  de</w:t>
        <w:br/>
        <w:t>octubre de 2001 (expediente de anexos a la demanda,  tomo  VIII,  anexo  19,</w:t>
        <w:br/>
        <w:t>folio 2625).</w:t>
        <w:br/>
        <w:br/>
        <w:br/>
        <w:t>[170]        Cfr.  Registro   de   Personas   Desaparecidas   No.   225/2001</w:t>
        <w:br/>
        <w:t>diligenciado el 25 de septiembre de 2001 respecto  a  Laura  Berenice  Ramos</w:t>
        <w:br/>
        <w:t>Monárrez (expediente de anexos a la demanda,  tomo  VIII,  anexo  11,  folio</w:t>
        <w:br/>
        <w:t>2609), y comparecencia de Benita Monárrez  Salgado  ante  un  subagente  del</w:t>
        <w:br/>
        <w:t>Ministerio Público adscrito a la Fiscalía Especial en  la  Investigación  de</w:t>
        <w:br/>
        <w:t>Homicidios de  Mujeres  y  Desaparición  de  Personas  efectuada  el  25  de</w:t>
        <w:br/>
        <w:t>septiembre de 2001 (expediente de anexos a la demanda, tomo VIII, anexos  12</w:t>
        <w:br/>
        <w:t>y 14, folio 2611).</w:t>
        <w:br/>
        <w:br/>
        <w:br/>
        <w:t>[171]       Información reseñada en el parte  informativo  emitido  por  dos</w:t>
        <w:br/>
        <w:t>agentes de la Policía Ministerial adscritos a  la  Fiscalía  Mixta  para  la</w:t>
        <w:br/>
        <w:t>Atención de Homicidios de Mujeres de Chihuahua el 28 de septiembre  de  2007</w:t>
        <w:br/>
        <w:t>(expediente de anexos a la contestación de la demanda, tomo XXXV, anexo  50,</w:t>
        <w:br/>
        <w:t>legajo II, tomo IV, folio 12974).</w:t>
        <w:br/>
        <w:br/>
        <w:br/>
        <w:t>[172]       Cfr. declaración efectuada el 24 de octubre  de  2001  por  Juan</w:t>
        <w:br/>
        <w:t>Antonio Martínez Jacobo ante la Fiscalía Especial para la  Investigación  de</w:t>
        <w:br/>
        <w:t>Homicidios de Mujeres y Personas Desaparecidas (expediente de  anexos  a  la</w:t>
        <w:br/>
        <w:t>demanda,  tomo  VIII,  anexo  23,  folio  2637)  y  Registro   de   Personas</w:t>
        <w:br/>
        <w:t>Desaparecidas No. 234/2001 diligenciado el 12 de octubre de 2001 respecto  a</w:t>
        <w:br/>
        <w:t>Claudia Ivette González (expediente de  anexos  a  la  demanda,  tomo  VIII,</w:t>
        <w:br/>
        <w:t>anexo 8, folio 2603).</w:t>
        <w:br/>
        <w:br/>
        <w:br/>
        <w:t>[173]       Cfr. Registro de  Personas  Desaparecidas  No.  234/2001,  supra</w:t>
        <w:br/>
        <w:t>nota 172; comparecencia de Mayela  Banda  González  ante  un  subagente  del</w:t>
        <w:br/>
        <w:t>Ministerio Público adscrito a la Fiscalía Especial en  la  Investigación  de</w:t>
        <w:br/>
        <w:t>Homicidios de Mujeres y Personas Desaparecidas efectuada el  12  de  octubre</w:t>
        <w:br/>
        <w:t>de 2001 (expediente de anexos a la contestación de la demanda,  tomo  XXXII,</w:t>
        <w:br/>
        <w:t>anexo 50 legajo II, tomo I, folio  11102),  y  declaración  rendida  por  la</w:t>
        <w:br/>
        <w:t>señora  González  en  la  audiencia  pública   celebrada   ante   la   Corte</w:t>
        <w:br/>
        <w:t>Interamericana el 28 de abril de 2009.</w:t>
        <w:br/>
        <w:br/>
        <w:br/>
        <w:t>[174]        Comparecencia  de  Irma  Monreal  Jaime  ante  un  agente   del</w:t>
        <w:br/>
        <w:t>Ministerio Público adscrito a la Fiscalía Especial en  la  Investigación  de</w:t>
        <w:br/>
        <w:t>Homicidios de Mujeres y Personas Desaparecidas el  30  de  octubre  de  2001</w:t>
        <w:br/>
        <w:t>(expediente de anexos a la demanda, tomo VIII, anexo 29, folio 2653).</w:t>
        <w:br/>
        <w:br/>
        <w:br/>
        <w:t>[175]       Cfr. comparecencia  de  Irma  Monreal  Jaime,  supra  nota  174;</w:t>
        <w:br/>
        <w:t>Registro de Personas  Desaparecidas  No.  241/2001  diligenciado  el  30  de</w:t>
        <w:br/>
        <w:t>octubre de 2001 respecto a Esmeralda Herrera Monreal (expediente  de  anexos</w:t>
        <w:br/>
        <w:t>a la demanda, tomo VIII, anexo 13, folio 2613), y  declaración  rendida  por</w:t>
        <w:br/>
        <w:t>la  señora  Monreal  en  la  audiencia  pública  celebrada  ante  la   Corte</w:t>
        <w:br/>
        <w:t>Interamericana del 28 de abril de 2009.</w:t>
        <w:br/>
        <w:br/>
        <w:br/>
        <w:t>[176]       Cfr. comparecencia de Mayela Banda  Gonzáles,  supra  nota  173,</w:t>
        <w:br/>
        <w:t>folio 2605.</w:t>
        <w:br/>
        <w:br/>
        <w:br/>
        <w:t>[177]       Cfr. Registro de  Personas  Desaparecidas  No.  234/2001,  supra</w:t>
        <w:br/>
        <w:t>nota 172.</w:t>
        <w:br/>
        <w:br/>
        <w:br/>
        <w:t>[178]       Cfr. testimonio efectuado  el  5  de  abril  de  2006  por  Irma</w:t>
        <w:br/>
        <w:t>Monreal Jaime ante la Fiscalía Mixta para la Investigación de Homicidios  de</w:t>
        <w:br/>
        <w:t>Mujeres (expediente de anexos a la contestación de la demanda, tomo  XXVIII,</w:t>
        <w:br/>
        <w:t>anexo 38, folio 9555), y comparecencia de Irma  Monreal  Jaime,  supra  nota</w:t>
        <w:br/>
        <w:t>174.</w:t>
        <w:br/>
        <w:br/>
        <w:br/>
        <w:t>[179]       Cfr. Registro de  Personas  Desaparecidas  No.  241/2001,  supra</w:t>
        <w:br/>
        <w:t>nota 175.</w:t>
        <w:br/>
        <w:br/>
        <w:br/>
        <w:t>[180]       Registro de Personas  Desaparecidas  No.  225/2001,  supra  nota</w:t>
        <w:br/>
        <w:t>170, folio 2609; Registro de  Personas  Desaparecidas  No.  234/2001,  supra</w:t>
        <w:br/>
        <w:t>nota 172, y Registro de Personas  Desaparecidas  No.  241/2001,  supra  nota</w:t>
        <w:br/>
        <w:t>175.</w:t>
        <w:br/>
        <w:br/>
        <w:br/>
        <w:t>[181]       Cfr. oficio No. 549/2001 emitido el 25  de  septiembre  de  2001</w:t>
        <w:br/>
        <w:t>por la Coordinadora del Programa de Atención a Víctimas  de  los  Delitos  y</w:t>
        <w:br/>
        <w:t>Personas Desaparecidas en relación con la  desaparición  de  Laura  Berenice</w:t>
        <w:br/>
        <w:t>Ramos Monárrez (expediente de anexos a la contestación de la  demanda,  tomo</w:t>
        <w:br/>
        <w:t>XXVIII, anexos 20 y 90, folio 9420); oficio No. 589/2001 emitido  el  12  de</w:t>
        <w:br/>
        <w:t>octubre de 2001 por la Coordinadora del Programa de Atención a  Víctimas  de</w:t>
        <w:br/>
        <w:t>los Delitos en relación con  la  desaparición  de  Claudia  Ivette  González</w:t>
        <w:br/>
        <w:t>(expediente de anexos a la demanda, tomo VIII,  anexo  10,  folio  2607),  y</w:t>
        <w:br/>
        <w:t>oficio No. 634/01 emitido el 30 de  octubre  de  2001  por  el  Programa  de</w:t>
        <w:br/>
        <w:t>Atención a Víctimas de los  Delitos  en  relación  con  la  desaparición  de</w:t>
        <w:br/>
        <w:t>Esmeralda Herrera Monreal (expediente de anexos  a  la  contestación  de  la</w:t>
        <w:br/>
        <w:t>demanda, tomo XXVIII, anexos 32 y 88, folio 9575).</w:t>
        <w:br/>
        <w:br/>
        <w:br/>
        <w:t>[182]       Oficios No. 549/2001, 589/01 y 634/01, supra nota 181.</w:t>
        <w:br/>
        <w:br/>
        <w:br/>
        <w:t>[183] Cfr. declaraciones rendidas  por  las  señoras  Monárrez,  González  y</w:t>
        <w:br/>
        <w:t>Monreal en la audiencia pública celebrada ante la  Corte  Interamericana  el</w:t>
        <w:br/>
        <w:t>28 de abril de 2009.</w:t>
        <w:br/>
        <w:br/>
        <w:br/>
        <w:t>[184] Cfr. comparecencia voluntaria de Irma Monreal  Jaime  ante  un  Agente</w:t>
        <w:br/>
        <w:t>del Ministerio Público de la Federación Comisionado a la  Agencia  Mixta  de</w:t>
        <w:br/>
        <w:t>Investigaciones de Homicidios de Mujeres efectuada el 20 de octubre de  2003</w:t>
        <w:br/>
        <w:t>(expediente de anexos a la contestación de la demanda, tomo XXX,  anexo  50,</w:t>
        <w:br/>
        <w:t>legajo I, tomo I, folio 10578); documento presentado por  Josefina  González</w:t>
        <w:br/>
        <w:t>y la Red Ciudadana de No Violencia y Dignidad Humana ante la CIDH  el  3  de</w:t>
        <w:br/>
        <w:t>septiembre de 2006 (expediente de anexos a la demanda, tomo II, apéndice  5,</w:t>
        <w:br/>
        <w:t>vol. I, folio 131), y documento presentado  por  Irma  Monreal  Jaime  y  la</w:t>
        <w:br/>
        <w:t>Asociación Nacional de Abogados Democráticos ante la CIDH el 29 de julio  de</w:t>
        <w:br/>
        <w:t>2005 (expediente de anexos a la demanda,  tomo  IV,  apéndice  5  vol.  III,</w:t>
        <w:br/>
        <w:t>folio 734).</w:t>
        <w:br/>
        <w:br/>
        <w:br/>
        <w:t>[185]       Cfr. CNDH, Informe Especial, supra nota 66, folios 2192 a 2220.</w:t>
        <w:br/>
        <w:br/>
        <w:br/>
        <w:t>[186]       Cfr. declaración rendida ante fedatario público  por  el  perito</w:t>
        <w:br/>
        <w:t>de la Peña Martínez el 21 de abril de 2009 (expediente de  fondo,  tomo  XI,</w:t>
        <w:br/>
        <w:t>folio 3350), y declaración rendida ante  fedatario  público  por  la  perita</w:t>
        <w:br/>
        <w:t>Azaola Garrido el 20 de abril de 2009 (expediente de fondo, tomo  XI,  folio</w:t>
        <w:br/>
        <w:t>3369).</w:t>
        <w:br/>
        <w:br/>
        <w:br/>
        <w:t>[187]       Declaración  rendida  ante  fedatario  público  por  la  testigo</w:t>
        <w:br/>
        <w:t>Delgadillo Pérez el 21 de abril de  2009  (expediente  de  fondo,  tomo  XI,</w:t>
        <w:br/>
        <w:t>folios 3481 y 3482).</w:t>
        <w:br/>
        <w:br/>
        <w:br/>
        <w:t>[188]       Declaración de la  perita  Jusidman  Rapoport,  supra  nota  99,</w:t>
        <w:br/>
        <w:t>folio 3824.</w:t>
        <w:br/>
        <w:br/>
        <w:br/>
        <w:t>[189]        Cfr.  EAAF,  dictamen  en  antropología  y  genética   forense,</w:t>
        <w:br/>
        <w:t>Esmeralda Herrera Monreal, 12 de junio de 2006 (expediente de  anexos  a  la</w:t>
        <w:br/>
        <w:t>contestación de la demanda, tomo XXX, anexo 50,  legajo  I,  tomo  I,  folio</w:t>
        <w:br/>
        <w:t>10326).</w:t>
        <w:br/>
        <w:br/>
        <w:br/>
        <w:t>[190]        Cfr.  Caso  Velásquez  Rodríguez  Vs.   Honduras.   Excepciones</w:t>
        <w:br/>
        <w:t>Preliminares, supra nota 29, párr. 135; Caso Kawas Fernández  Vs.  Honduras.</w:t>
        <w:br/>
        <w:t>Fondo, Reparaciones y Costas. Sentencia de 3 de abril de 2009. Serie  C  No.</w:t>
        <w:br/>
        <w:t>196, párr. 95, y Caso Escher y otros Vs. Brasil, supra nota 46, párr. 127.</w:t>
        <w:br/>
        <w:br/>
        <w:br/>
        <w:t>[191]       En el caso de la joven Ramos está la declaración  de  su  padre,</w:t>
        <w:br/>
        <w:t>Daniel Ramos Canales, de 28 de septiembre de 2001 (expediente  de  anexos  a</w:t>
        <w:br/>
        <w:t>la demanda, tomo VIII, anexo 15,  folio  2615).  En  el  caso  de  la  joven</w:t>
        <w:br/>
        <w:t>González, una amiga de nombre Juana González Flores  acudió  voluntariamente</w:t>
        <w:br/>
        <w:t>a rendir declaración el  12  de  octubre  de  2001  ante  un  Subagente  del</w:t>
        <w:br/>
        <w:t>Ministerio Público adscrito a la Fiscalía Especial para la Investigación  de</w:t>
        <w:br/>
        <w:t>Desaparición y Homicidio de Mujeres,  el  mismo  día  que  se  interpuso  la</w:t>
        <w:br/>
        <w:t>denuncia (expediente de anexos a la contestación de la demanda, tomo  XXXII,</w:t>
        <w:br/>
        <w:t>anexo 50, legajo II, tomo I, folios 11104 y 11105). En el caso de  la  joven</w:t>
        <w:br/>
        <w:t>Herrera,  consta  la   declaración   de   Eduardo   Chávez,   quien   acudió</w:t>
        <w:br/>
        <w:t>voluntariamente el 2 de  noviembre  de  2001  (expediente  de  anexos  a  la</w:t>
        <w:br/>
        <w:t>contestación de la demanda, tomo XXX, anexo 50, legajo  I,  tomo  I,  folios</w:t>
        <w:br/>
        <w:t>10315 y 10316).</w:t>
        <w:br/>
        <w:br/>
        <w:br/>
        <w:t>[192]       Cfr. carteles titulados “ayúdanos a encontrar a  esta  persona”,</w:t>
        <w:br/>
        <w:t>emitidos por el Grupo Especial de Atención a la Familia Unidad Juárez de  la</w:t>
        <w:br/>
        <w:t>Procuraduría General de Justicia del  Estado  de  Chihuahua  (expediente  de</w:t>
        <w:br/>
        <w:t>anexos a la demanda, tomo IX, anexos 30,  31  y  32,  folios  2655,  2657  y</w:t>
        <w:br/>
        <w:t>2659).</w:t>
        <w:br/>
        <w:br/>
        <w:br/>
        <w:t>[193]       Documento presentado por Irma  Monreal  Jaime  y  la  Asociación</w:t>
        <w:br/>
        <w:t>Nacional de Abogados Democráticos ante la  CIDH  el  29  de  julio  de  2005</w:t>
        <w:br/>
        <w:t>(expediente de anexos a la demanda, tomo IV, apéndice  5,  vol.  III,  folio</w:t>
        <w:br/>
        <w:t>756); comparecencia voluntaria de Irma Monreal Jaime de  20  de  octubre  de</w:t>
        <w:br/>
        <w:t>2003 (expediente de anexos a la contestación de la demanda, tomo XXX,  anexo</w:t>
        <w:br/>
        <w:t>50, legajo I, tomo I, folios 10578); tarjeta informativa del 15  de  octubre</w:t>
        <w:br/>
        <w:t>de 2003 (expediente de anexos a la contestación de  la  demanda,  tomo  XXX,</w:t>
        <w:br/>
        <w:t>anexo 50, legajo I, tomo I,  folios  10571  y  10572);  testimonio  de  Irma</w:t>
        <w:br/>
        <w:t>Monreal Jaime ante un agente del Ministerio Público  de  la  Fiscalía  Mixta</w:t>
        <w:br/>
        <w:t>para la Atención de Homicidios de Mujeres efectuado el 5 de  abril  de  2006</w:t>
        <w:br/>
        <w:t>(expediente de anexos a la contestación a la demanda, tomo  XXX,  anexo  50,</w:t>
        <w:br/>
        <w:t>legajo I, tomo I, folios 10286 y 10287), y testimonio  de  Benigno  Herrrera</w:t>
        <w:br/>
        <w:t>Monreal ante un agente del Ministerio Público de la Fiscalía Mixta  para  la</w:t>
        <w:br/>
        <w:t>Atención  de  Homicidios  de  Mujeres  efectuado  el  5  de  abril  de  2006</w:t>
        <w:br/>
        <w:t>(expediente de anexos a la contestación a la demanda, tomo  XXX,  anexo  50,</w:t>
        <w:br/>
        <w:t>legajo I, tomo I, folio 10294).</w:t>
        <w:br/>
        <w:br/>
        <w:br/>
        <w:t>[194]       Declaración rendida por la señora González, supra nota  183.  En</w:t>
        <w:br/>
        <w:t>el mismo sentido  declaró  la  hermana  de  la  joven  González  mencionando</w:t>
        <w:br/>
        <w:t>acciones  tomadas  por  la  familia  (Cfr.  comparecencia  de  Mayela  Banda</w:t>
        <w:br/>
        <w:t>González, supra nota 173).</w:t>
        <w:br/>
        <w:br/>
        <w:br/>
        <w:t>[195]       Declaración rendida por la  señora  Monárrez,  supra  nota  183;</w:t>
        <w:br/>
        <w:t>comparecencia  de  Ivonne  Ramos  Monárrez,  supra  nota  169,  folio  2620;</w:t>
        <w:br/>
        <w:t>comparecencia voluntaria de Benita  Monárrez  Salgado  ante  un  agente  del</w:t>
        <w:br/>
        <w:t>Ministerio Público  de  la  Federación  adscrita  a  la  Subprocuraduría  de</w:t>
        <w:br/>
        <w:t>Control Regional,  Procedimientos  Penales  y  Amparo  efectuada  el  20  de</w:t>
        <w:br/>
        <w:t>octubre de 2003 (expediente de anexos a la contestación de la demanda,  tomo</w:t>
        <w:br/>
        <w:t>XXXVII, anexo 50, legajo III, tomo II,  folio  13593),  y  comparecencia  de</w:t>
        <w:br/>
        <w:t>Ivonne  Ramos  Monárrez  ante  un  agente  del  Ministerio  Público  de   la</w:t>
        <w:br/>
        <w:t>Federación   adscrita   a   la   Subprocuraduría   de   Control    Regional,</w:t>
        <w:br/>
        <w:t>Procedimientos  Penales  y  Amparo  efectuada  el  20  de  octubre  de  2003</w:t>
        <w:br/>
        <w:t>(expediente de anexos a la contestación de la demanda,  tomo  XXXVII,  anexo</w:t>
        <w:br/>
        <w:t>50, legajo III, tomo II, folio 13600).</w:t>
        <w:br/>
        <w:br/>
        <w:br/>
        <w:t>[196]       Declaración de la testigo  Delgadillo  Pérez,  supra  nota  187,</w:t>
        <w:br/>
        <w:t>folio 3523.</w:t>
        <w:br/>
        <w:br/>
        <w:br/>
        <w:t>[197]       Cfr. comparecencia de Benita Monárrez Salgado, supra  nota  170,</w:t>
        <w:br/>
        <w:t>folio 2611.</w:t>
        <w:br/>
        <w:br/>
        <w:br/>
        <w:t>[198]       Cfr. comparecencia de Daniel Ramos  Canales  ante  un  Subagente</w:t>
        <w:br/>
        <w:t>del Ministerio Público adscrito a la Fiscalía Especial en  la  Investigación</w:t>
        <w:br/>
        <w:t>de Homicidios de Mujeres y Desaparición  de  Personas  efectuada  el  28  de</w:t>
        <w:br/>
        <w:t>septiembre de 2001 (expediente de anexos a la demanda, tomo VIII, anexo  15,</w:t>
        <w:br/>
        <w:t>folio 2615), y comparecencia de Claudia Ivonne Ramos  Monárrez,  supra  nota</w:t>
        <w:br/>
        <w:t>169, folios 2619 a 2621.</w:t>
        <w:br/>
        <w:br/>
        <w:br/>
        <w:t>[199]        Cfr.  comparecencia  de  Ana  Catalina  Solís  Gaytán  ante  un</w:t>
        <w:br/>
        <w:t>subagente del Ministerio Público adscrito a la  Fiscalía  Especial  para  la</w:t>
        <w:br/>
        <w:t>Investigación de Desaparición y Homicidio  de  Mujeres  efectuada  el  1  de</w:t>
        <w:br/>
        <w:t>octubre de 2001 (expediente de anexos a la demanda,  tomo  VIII,  anexo  16,</w:t>
        <w:br/>
        <w:t>folio 2617);  comparecencia  de  Diana  América  Corral  Hernández  ante  un</w:t>
        <w:br/>
        <w:t>subagente del Ministerio Público adscrito  a  la  Fiscalía  Especial  en  la</w:t>
        <w:br/>
        <w:t>Investigación de Homicidios de Mujeres y Desaparición de Personas  efectuada</w:t>
        <w:br/>
        <w:t>el 1 de octubre de 2001 (expediente de  anexos  a  la  demanda,  tomo  VIII,</w:t>
        <w:br/>
        <w:t>anexo 18, folio 2623), y comparecencia de Rocío Itxel Núñez  Acevedo,  supra</w:t>
        <w:br/>
        <w:t>nota 169 (folios 2625 a 2626).</w:t>
        <w:br/>
        <w:br/>
        <w:br/>
        <w:t>[200]       Cfr. comparecencia de Ana  Catalina  Solís  Gaytán,  supra  nota</w:t>
        <w:br/>
        <w:t>199.</w:t>
        <w:br/>
        <w:br/>
        <w:br/>
        <w:t>[201]       Cfr. comparecencia de Rocío  Itxel  Núñez  Acevedo,  supra  nota</w:t>
        <w:br/>
        <w:t>169, folio 2626.</w:t>
        <w:br/>
        <w:br/>
        <w:br/>
        <w:t>[202]       Cfr. comparecencia de Rocío  Itxel  Núñez  Acevedo,  supra  nota</w:t>
        <w:br/>
        <w:t>169, folio 2626.</w:t>
        <w:br/>
        <w:br/>
        <w:br/>
        <w:t>[203]       Cfr. comparecencia de Claudia Ivonne Ramos Monárrez, supra  nota</w:t>
        <w:br/>
        <w:t>169, folios 2620 y 2621 y comparecencia de Rocío Itxel Núñez Acevedo,  supra</w:t>
        <w:br/>
        <w:t>nota 169, folio 2626.</w:t>
        <w:br/>
        <w:br/>
        <w:br/>
        <w:t>[204]       Cfr. comparecencia de  Diana  América  Corral  Hernández,  supra</w:t>
        <w:br/>
        <w:t>nota 199.</w:t>
        <w:br/>
        <w:br/>
        <w:br/>
        <w:t>[205]       Cfr. tarjeta informativa del 15 de octubre de  2003  (expediente</w:t>
        <w:br/>
        <w:t>de anexos a la contestación de la demanda, tomo  XXXVII,  anexo  50,  legajo</w:t>
        <w:br/>
        <w:t>III, tomo II, folio 13580).</w:t>
        <w:br/>
        <w:br/>
        <w:br/>
        <w:t>[206]       Cfr. documento presentado por Benita Monárrez Salgado y  la  Red</w:t>
        <w:br/>
        <w:t>Ciudadana de No Violencia y Dignidad Humana ante la CIDH,  supra  nota  184,</w:t>
        <w:br/>
        <w:t>folio 294.</w:t>
        <w:br/>
        <w:br/>
        <w:br/>
        <w:t>[207]       Cfr. comparecencia de Rocío  Itxel  Núñez  Acevedo,  supra  nota</w:t>
        <w:br/>
        <w:t>169, folios 2625 y 2626.</w:t>
        <w:br/>
        <w:br/>
        <w:br/>
        <w:t>[208]       Cfr. comparecencia de Mayela Banda González, supra nota 173.</w:t>
        <w:br/>
        <w:br/>
        <w:br/>
        <w:t>[209]       Cfr. comparecencia de Juana González  Flores,  supra  nota  191;</w:t>
        <w:br/>
        <w:t>comparecencia de Ana Isabel Suárez Valenciana ante un agente del  Ministerio</w:t>
        <w:br/>
        <w:t>Público  adscrito  a  la  Fiscalía  Especial  para   la   Investigación   de</w:t>
        <w:br/>
        <w:t>Desaparición de Personas y Homicidio de Mujeres efectuada el 16  de  octubre</w:t>
        <w:br/>
        <w:t>de 2001 (expediente de anexos a la contestación de la demanda,  tomo  XXXII,</w:t>
        <w:br/>
        <w:t>anexo 50, legajo II, tomo I, folios 11106 a 11108);  comparecencia  de  Aide</w:t>
        <w:br/>
        <w:t>Navarrete García ante  un  agente  del  Ministerio  Público  adscrito  a  la</w:t>
        <w:br/>
        <w:t>Fiscalía Especial para  la  Investigación  de  Desaparición  de  Personas  y</w:t>
        <w:br/>
        <w:t>Homicidio de Mujeres efectuada el 16  de  octubre  de  2001  (expediente  de</w:t>
        <w:br/>
        <w:t>anexos a la contestación de la demanda, tomo XXXII,  anexo  50,  legajo  II,</w:t>
        <w:br/>
        <w:t>tomo I, folios 11109 a 11111); comparecencia de  Armando  Velazco  Fernández</w:t>
        <w:br/>
        <w:t>ante un agente del Ministerio Público adscrito a la Fiscalía  Especial  para</w:t>
        <w:br/>
        <w:t>la  Investigación  de  Desaparición  de  Personas  y  Homicidio  de  Mujeres</w:t>
        <w:br/>
        <w:t>efectuada el 19 de octubre de 2001 (expediente de anexos a  la  contestación</w:t>
        <w:br/>
        <w:t>de la demanda, tomo XXXII, anexo 50, legajo  II,  tomo  I,  folios  11112  y</w:t>
        <w:br/>
        <w:t>11113), y comparecencia de Verónica Hernández Estrada  ante  un  agente  del</w:t>
        <w:br/>
        <w:t>Ministerio Público adscrito a la Fiscalía Especial para la Investigación  de</w:t>
        <w:br/>
        <w:t>Desaparición de Personas y Homicidio de Mujeres efectuada el 19  de  octubre</w:t>
        <w:br/>
        <w:t>de 2001 (expediente de anexos a la contestación de la demanda,  tomo  XXXII,</w:t>
        <w:br/>
        <w:t>anexo 50, legajo II, tomo I, folios 11114 a 11115).</w:t>
        <w:br/>
        <w:br/>
        <w:br/>
        <w:t>[210]       Cfr. comparecencia de Efrén  Pérez  Maese  ante  un  agente  del</w:t>
        <w:br/>
        <w:t>Ministerio Público adscrito a la Fiscalía Especial para la Investigación  de</w:t>
        <w:br/>
        <w:t>Homicidios de Mujeres y Personas Desaparecidas efectuada el  24  de  octubre</w:t>
        <w:br/>
        <w:t>de 2001 (expediente de anexos a la contestación de la demanda,  tomo  XXXII,</w:t>
        <w:br/>
        <w:t>anexo 50, legajo II, tomo I, folio 11116).</w:t>
        <w:br/>
        <w:br/>
        <w:br/>
        <w:t>[211]        Cfr. comparecencia de Víctor Hugo  Hernández  Bonilla  ante  un</w:t>
        <w:br/>
        <w:t>agente del Ministerio Público  adscrito  a  la  Fiscalía  Especial  para  la</w:t>
        <w:br/>
        <w:t>Investigación de Homicidios de Mujeres y  Personas  Desaparecidas  efectuada</w:t>
        <w:br/>
        <w:t>el 25 de octubre de 2001 (expediente de  anexos  a  la  contestación  de  la</w:t>
        <w:br/>
        <w:t>demanda, tomo XXXII, anexo 50, legajo II, tomo I, folios 11119 a 11120).</w:t>
        <w:br/>
        <w:br/>
        <w:br/>
        <w:t>[212]       Cfr. comparecencia de  Juan  Antonio  Martínez  Jacobo  ante  un</w:t>
        <w:br/>
        <w:t>agente del Ministerio Público  adscrito  a  la  Fiscalía  Especial  para  la</w:t>
        <w:br/>
        <w:t>Investigación de Homicidios de Mujeres y  Personas  Desaparecidas  efectuada</w:t>
        <w:br/>
        <w:t>el 24 de octubre de 2001 (expediente de  anexos  a  la  contestación  de  la</w:t>
        <w:br/>
        <w:t>demanda, tomo XXXII, anexo 50, legajo II, tomo I, folios 11117  a  11118)  y</w:t>
        <w:br/>
        <w:t>comparecencia de Jesús Moisés Cuellar Juárez ante un agente  del  Ministerio</w:t>
        <w:br/>
        <w:t>Público adscrito a la Fiscalía Especial para la Investigación de  Homicidios</w:t>
        <w:br/>
        <w:t>de Mujeres y Personas Desaparecidas efectuada  el  25  de  octubre  de  2001</w:t>
        <w:br/>
        <w:t>(expediente de anexos a la contestación de la  demanda,  tomo  XXXII,  anexo</w:t>
        <w:br/>
        <w:t>50, legajo II, tomo I, folio 11121).</w:t>
        <w:br/>
        <w:br/>
        <w:br/>
        <w:t>[213]       Cfr. comparecencia de Mayela Banda  González,  supra  nota  173;</w:t>
        <w:br/>
        <w:t>comparecencia de Juana González Flores, supra  nota  191;  comparecencia  de</w:t>
        <w:br/>
        <w:t>Ana Isabel  Suárez  Valenciana,  supra  nota  209,  folios  11106  y  11107;</w:t>
        <w:br/>
        <w:t>comparecencia de Aide Navarrete García,  supra  nota  209,  folio  11110,  y</w:t>
        <w:br/>
        <w:t>comparecencia de Armando Velazco Fernández, supra nota 209, folio 11113.</w:t>
        <w:br/>
        <w:br/>
        <w:br/>
        <w:t>[214]       Cfr. comparecencia de Juana González  Flores,  supra  nota  191,</w:t>
        <w:br/>
        <w:t>folio 11105.</w:t>
        <w:br/>
        <w:br/>
        <w:br/>
        <w:t>[215]       Cfr. comparecencia de Ana Isabel Suárez Valenciana,  supra  nota</w:t>
        <w:br/>
        <w:t>209, folio 11107.</w:t>
        <w:br/>
        <w:br/>
        <w:br/>
        <w:t>[216]       Cfr. nota de prensa  titulada  “Impunes  crímenes  de  las  ocho</w:t>
        <w:br/>
        <w:t>mujeres”, publicada  en  el  diario  “Norte”  el  6  de  noviembre  de  2005</w:t>
        <w:br/>
        <w:t>(expediente de anexos a la demanda, tomo VIII, anexo 7, folio  2329);  parte</w:t>
        <w:br/>
        <w:t>informativo, supra nota 171; testimonio rendido por Irma  Josefina  González</w:t>
        <w:br/>
        <w:t>ante un agente del Ministerio Público adscrito a la Fiscalía Mixta  para  la</w:t>
        <w:br/>
        <w:t>Investigación de Homicidios de Mujeres en Ciudad Juárez efectuado el  12  de</w:t>
        <w:br/>
        <w:t>febrero de 2009 (expediente de anexos a los alegatos  finales  escritos  del</w:t>
        <w:br/>
        <w:t>Estado, tomo XLVIII, anexo 4, folios 17193 y 17194),  y  testimonio  rendido</w:t>
        <w:br/>
        <w:t>por Ana Isabel Suárez Valenciana  ante  un  agente  del  Ministerio  Público</w:t>
        <w:br/>
        <w:t>adscrito a la Fiscalía para la Atención de Homicidios de Mujeres  en  Ciudad</w:t>
        <w:br/>
        <w:t>Juárez efectuado el 25 de febrero  de  2009  (expediente  de  anexos  a  los</w:t>
        <w:br/>
        <w:t>alegatos finales escritos del Estado, tomo XLVIII, anexo 4, folio 17197).</w:t>
        <w:br/>
        <w:br/>
        <w:br/>
        <w:t>[217]       En similar sentido  ver  ECHR.  Case  of  Pukhigova  v.  Russia,</w:t>
        <w:br/>
        <w:t>Judgment of 2 July 2009, paras. 75 and 84.</w:t>
        <w:br/>
        <w:br/>
        <w:br/>
        <w:t>[218]       Testimonio rendido por Ana Isabel Suárez Valenciana, supra  nota</w:t>
        <w:br/>
        <w:t>209.</w:t>
        <w:br/>
        <w:br/>
        <w:br/>
        <w:t>[219]       Cfr. comparecencia de Eduardo Chávez Marín ante  un  agente  del</w:t>
        <w:br/>
        <w:t>Ministerio Público adscrito a la Fiscalía Especial en  la  Investigación  de</w:t>
        <w:br/>
        <w:t>Homicidios de Mujeres y de  Desaparición  de  Personas  efectuada  el  2  de</w:t>
        <w:br/>
        <w:t>noviembre de 2001 (expediente de anexos a la  contestación  de  la  demanda,</w:t>
        <w:br/>
        <w:t>tomo XXX, anexo 50, legajo I, tomo I, folios 10315 a 10316).</w:t>
        <w:br/>
        <w:br/>
        <w:br/>
        <w:t>[220]       No obstante, la Corte observa que existe una declaración  de  un</w:t>
        <w:br/>
        <w:t>agente  policial  señalando  diversas  declaraciones   tomadas,   incluyendo</w:t>
        <w:br/>
        <w:t>algunas tomadas en la  maquila  donde  trabajaba  la  joven  González  y  la</w:t>
        <w:br/>
        <w:t>escuela donde estudiaba la joven Ramos (Cfr. testimonio de  José  Miramontes</w:t>
        <w:br/>
        <w:t>Caro efectuado el 14  de  abril  de  2009  ante  un  Agente  del  Ministerio</w:t>
        <w:br/>
        <w:t>Público, expediente de anexos a los alegatos finales  escritos  del  estado,</w:t>
        <w:br/>
        <w:t>tomo XLVIII, anexo 4, folios 17221 y 17222).</w:t>
        <w:br/>
        <w:br/>
        <w:br/>
        <w:t>[221]       Informe de la Relatora Especial sobre  la  violencia  contra  la</w:t>
        <w:br/>
        <w:t>mujer, supra nota 64, folio 2018.</w:t>
        <w:br/>
        <w:br/>
        <w:br/>
        <w:t>[222]       Cfr. declaración rendida por la señora Monreal, supra nota  183.</w:t>
        <w:br/>
        <w:t>Ver  también  la  manifestación  de  Irma  Monreal  Jaime  en  la   petición</w:t>
        <w:br/>
        <w:t>presentada  ante  la  Comisión  Interamericana  el  6  de  marzo   de   2002</w:t>
        <w:br/>
        <w:t>(expediente de anexos a la demanda tomo XXVII, anexo 42, folio 9802). En  el</w:t>
        <w:br/>
        <w:t>mismo sentido, el hermano de la víctima declaró que las  autoridades  decían</w:t>
        <w:br/>
        <w:t>no poder hacer nada “porque seguramente se había ido  con  el  novio”  (Cfr.</w:t>
        <w:br/>
        <w:t>declaración de la perito Azaola Garrido, supra nota 186, folio 3369).</w:t>
        <w:br/>
        <w:br/>
        <w:br/>
        <w:t>[223]       Cfr. declaración de la señora Monreal Jaime, supra nota 183.</w:t>
        <w:br/>
        <w:br/>
        <w:br/>
        <w:t>[224]       Cfr. comunicación  presentada  por  Josefina  González  ante  la</w:t>
        <w:br/>
        <w:t>Comisión Interamericana en septiembre de  2006   (escrito  de  anexos  a  la</w:t>
        <w:br/>
        <w:t>demanda, tomo II, apéndice 5 volumen I, folio 141).</w:t>
        <w:br/>
        <w:br/>
        <w:br/>
        <w:t>[225]       Cfr. declaración de la señora González, supra nota183.</w:t>
        <w:br/>
        <w:br/>
        <w:br/>
        <w:t>[226]       Cfr. declaración de la señora Monárrez, supra nota 183.</w:t>
        <w:br/>
        <w:br/>
        <w:br/>
        <w:t>[227]       Cfr. declaración  de  la  señora  Monárrez,  supra  nota  183  y</w:t>
        <w:br/>
        <w:t>tarjeta informativa emitida por el  Comandante  de  la  Agencia  Federal  de</w:t>
        <w:br/>
        <w:t>Investigación informando de la entrevista sostenida  con  la  señora  Benita</w:t>
        <w:br/>
        <w:t>Monárrez Salgado el 15 de  octubre  de  2003  (expediente  de  anexos  a  la</w:t>
        <w:br/>
        <w:t>contestación de la demanda, tomo XXXVII,  anexo  50,  legajo  III  tomo  II,</w:t>
        <w:br/>
        <w:t>folio 13579).</w:t>
        <w:br/>
        <w:br/>
        <w:br/>
        <w:t>[228]       Cfr. declaración de la  testigo  Delgadillo  Pérez,  supra  nota</w:t>
        <w:br/>
        <w:t>187, folio 3481.</w:t>
        <w:br/>
        <w:br/>
        <w:br/>
        <w:t>[229]       Cfr. declaración de la  testigo  Delgadillo  Pérez,  supra  nota</w:t>
        <w:br/>
        <w:t>187, folios 3494 y 3495.</w:t>
        <w:br/>
        <w:br/>
        <w:br/>
        <w:t>[230]       Según un informe de Amnistía Internacional, para marzo de  2003,</w:t>
        <w:br/>
        <w:t>del total de 69 desapariciones vigentes sólo un caso en  Ciudad  Juárez  era</w:t>
        <w:br/>
        <w:t>considerado para las autoridades como de “alto riesgo”. Se  trataba  de  una</w:t>
        <w:br/>
        <w:t>joven de 18 años desaparecida desde el 10 de mayo  de  2002  (Cfr.  Amnistía</w:t>
        <w:br/>
        <w:t>Internacional, Muertes Intolerables, supra nota 64, folio 2274). Cabe  notar</w:t>
        <w:br/>
        <w:t>que según la CNDH, de un oficio de 18 de junio de 2003  se  desprendía  “que</w:t>
        <w:br/>
        <w:t>los casos de [cinco personas] se tiene considerados como de  ‘alto  riesgo’”</w:t>
        <w:br/>
        <w:t>(CNDH, Informe especial, supra nota 66, folio 2204).</w:t>
        <w:br/>
        <w:br/>
        <w:br/>
        <w:t>[231]       CNDH, Informe especial, supra nota 66, folio 2174.</w:t>
        <w:br/>
        <w:br/>
        <w:br/>
        <w:t>[232]       Cfr. Informe de México producido por el CEDAW,  supra  nota  64,</w:t>
        <w:br/>
        <w:t>folio 1950.</w:t>
        <w:br/>
        <w:br/>
        <w:br/>
        <w:t>[233]       Registro de Personas  Desaparecidas  No.  225/2001,  supra  nota</w:t>
        <w:br/>
        <w:t>170, folio 2609; Registro de  Personas  Desaparecidas  No.  234/2001,  supra</w:t>
        <w:br/>
        <w:t>nota 172, folio 2603, y  Registro  de  Persona  Desaparecida  No.  241/2001,</w:t>
        <w:br/>
        <w:t>supra nota 175, folio 2613.</w:t>
        <w:br/>
        <w:br/>
        <w:br/>
        <w:t>[234]       Cfr. actas  de  levantamiento  de  cadáver  de  los  cuerpos  no</w:t>
        <w:br/>
        <w:t>identificados  No.  188/2001,  189/2001   y   190/2001   emitidas   por   el</w:t>
        <w:br/>
        <w:t>Departamento de Servicios Periciales de la Procuraduría General de  Justicia</w:t>
        <w:br/>
        <w:t>del Estado de Chihuahua el 6 de noviembre de 2001 (expediente  de  anexos  a</w:t>
        <w:br/>
        <w:t>la demanda, tomo IX, anexo 35, 36 y 37, folios 2672 a 2675, 2677  a  2679  y</w:t>
        <w:br/>
        <w:t>2681 a 2683).</w:t>
        <w:br/>
        <w:br/>
        <w:br/>
        <w:t>[235]       Cfr. fe prejudicial de  evidencia  emitida  por  un  agente  del</w:t>
        <w:br/>
        <w:t>Ministerio Público adscrito a la Fiscalía Especial para la Investigación  de</w:t>
        <w:br/>
        <w:t>Homicidios de Mujeres en el Expediente de Averiguación Previa  27913/01/1501</w:t>
        <w:br/>
        <w:t>el 8 de noviembre de 2001 (expediente de anexos al escrito de solicitudes  y</w:t>
        <w:br/>
        <w:t>argumentos, tomo XIV, anexo 3, folios 4778 a 4783).</w:t>
        <w:br/>
        <w:br/>
        <w:br/>
        <w:t>[236]       En dicha Resolución la Corte señaló, inter alia:</w:t>
        <w:br/>
        <w:br/>
        <w:br/>
        <w:t xml:space="preserve">      40.   Que […( la Comisión emitió los informes  de  admisibilidad  sólo</w:t>
        <w:br/>
        <w:t xml:space="preserve">      respecto de […( tres víctimas y sus familiares. […]</w:t>
        <w:br/>
        <w:br/>
        <w:br/>
        <w:t xml:space="preserve">      41.    Que  con  posterioridad  a  la  adopción  de  los  informes  de</w:t>
        <w:br/>
        <w:t xml:space="preserve">      admisibilidad, en la  etapa  de  fondo,  los  representantes  hicieron</w:t>
        <w:br/>
        <w:t xml:space="preserve">      solicitudes a la Comisión para que ésta se pronunciara sobre  posibles</w:t>
        <w:br/>
        <w:t xml:space="preserve">      violaciones a los derechos de las otras presuntas víctimas halladas en</w:t>
        <w:br/>
        <w:t xml:space="preserve">      el campo algodonero. En particular,  solicitaron  a  la  Comisión  que</w:t>
        <w:br/>
        <w:t xml:space="preserve">      tramitara motu proprio dichos casos y los acumulara a los casos que ya</w:t>
        <w:br/>
        <w:t xml:space="preserve">      se encontraban en desarrollo, o que, supletoriamente, se considerara a</w:t>
        <w:br/>
        <w:t xml:space="preserve">      la ANAD como peticionaria por las nuevas presuntas víctimas.</w:t>
        <w:br/>
        <w:br/>
        <w:br/>
        <w:t xml:space="preserve">      […]</w:t>
        <w:br/>
        <w:br/>
        <w:br/>
        <w:t xml:space="preserve">      44.   Que […] la Comisión no se pronunció en ningún momento sobre  las</w:t>
        <w:br/>
        <w:t xml:space="preserve">      solicitudes de  los  peticionarios  […].  La  Corte  observa  que  los</w:t>
        <w:br/>
        <w:t xml:space="preserve">      representantes únicamente conocieron la posición de la  Comisión  tres</w:t>
        <w:br/>
        <w:t xml:space="preserve">      años después, cuando la Corte requirió a  ésta  información  sobre  el</w:t>
        <w:br/>
        <w:t xml:space="preserve">      punto.</w:t>
        <w:br/>
        <w:br/>
        <w:br/>
        <w:t xml:space="preserve">      […]</w:t>
        <w:br/>
        <w:br/>
        <w:br/>
        <w:t xml:space="preserve">      46.   Que teniendo en cuenta que  respecto  de  las  nuevas  presuntas</w:t>
        <w:br/>
        <w:t xml:space="preserve">      víctimas alegadas por los representantes no se  cumplieron  con  todas</w:t>
        <w:br/>
        <w:t xml:space="preserve">      las  etapas  procesales  necesarias  que  permitieran  a  la  Comisión</w:t>
        <w:br/>
        <w:t xml:space="preserve">      integrarlas a su Informe de fondo, la Corte debe rechazar la solicitud</w:t>
        <w:br/>
        <w:t xml:space="preserve">      de incluir a María de los Ángeles Acosta Ramírez, Guadalupe Luna de la</w:t>
        <w:br/>
        <w:t xml:space="preserve">      Rosa, Mayra Juliana Reyes Solís, Verónica Martínez Hernández,  Bárbara</w:t>
        <w:br/>
        <w:t xml:space="preserve">      Aracely Martínez Ramos, María Rocina Galicia Meraz,  Merlín  Elizabeth</w:t>
        <w:br/>
        <w:t xml:space="preserve">      Rodríguez  Sáenz  y  a  la  mujer  que  permanece  como  femenina   no</w:t>
        <w:br/>
        <w:t xml:space="preserve">      identificada 195/01, así como  a  los  señores  Víctor  Javier  García</w:t>
        <w:br/>
        <w:t xml:space="preserve">      Ramírez, Gustavo González Meza y Edgar  Álvarez  Cruz  como  presuntas</w:t>
        <w:br/>
        <w:t xml:space="preserve">      víctimas en el presente caso. […(</w:t>
        <w:br/>
        <w:br/>
        <w:br/>
        <w:t>[237]       Cfr. actas de levantamiento de cadáver, supra nota  234,  folios</w:t>
        <w:br/>
        <w:t>2672 a 2683.</w:t>
        <w:br/>
        <w:br/>
        <w:br/>
        <w:t>[238]       Cfr. fe ministerial de lugar  y  de  cadáveres  emitida  por  un</w:t>
        <w:br/>
        <w:t>agente del Ministerio Público de Chihuahua y dos testigos de  asistencia  el</w:t>
        <w:br/>
        <w:t>6 de noviembre de 2001 (expediente de anexos a la demanda,  tomo  IX,  anexo</w:t>
        <w:br/>
        <w:t>33, folios 2661 a 2667).</w:t>
        <w:br/>
        <w:br/>
        <w:br/>
        <w:t>[239]       Cfr. certificados de autopsia de los  cuerpos  no  identificados</w:t>
        <w:br/>
        <w:t>188/2001, 189/2001 y 190/2001 emitidos por un Médico Legista de  la  Oficina</w:t>
        <w:br/>
        <w:t>Técnica de Servicios Periciales de la Procuraduría de  Chihuahua,  el  9  de</w:t>
        <w:br/>
        <w:t>noviembre de 2001 (expediente de anexos a la demanda, tomo  IX,  anexos  40,</w:t>
        <w:br/>
        <w:t>41 y 42, folios 2696, 2697, 2699, 2700, 2702 y 2703).</w:t>
        <w:br/>
        <w:br/>
        <w:br/>
        <w:t>[240]       La fe ministerial de lugar y de cadáveres señala  lo  siguiente:</w:t>
        <w:br/>
        <w:t>“blusa a rayas  de  colores  blanco,  rosa  y  rojo  la  cual  se  encuentra</w:t>
        <w:br/>
        <w:t>desgarrada de su parte superior derecha” (Cfr. fe ministerial de lugar y  de</w:t>
        <w:br/>
        <w:t>cadáveres, supra nota 238, folio 2662). Por  su  parte,  el  certificado  de</w:t>
        <w:br/>
        <w:t>autopsia se refiere a “blusa roja con blanco y anarajanda desgarrada que  le</w:t>
        <w:br/>
        <w:t>falta parte del lado derecho” (Cfr. certificado de autopsia  del  cuerpo  no</w:t>
        <w:br/>
        <w:t>identificado 188/2001, supra nota 239, folio 2696).</w:t>
        <w:br/>
        <w:br/>
        <w:br/>
        <w:t>[241]       Se hace notar que en el acta de  levantamiento  del  cadáver  se</w:t>
        <w:br/>
        <w:t>establece tiempo de muerte de 3 a 4 semanas (Cfr. acta de  levantamiento  de</w:t>
        <w:br/>
        <w:t>cadáver del cuerpo no identificado  No.  190/2001,  supra  nota  234,  folio</w:t>
        <w:br/>
        <w:t>2681). Por su parte, en el certificado de autopsia se  determina  un  tiempo</w:t>
        <w:br/>
        <w:t>de muerte de 4 a 6 semanas. (Cfr. certificado  de  autopsia  del  cuerpo  no</w:t>
        <w:br/>
        <w:t>identificado 190/2001, supra nota 239, folio 2703).</w:t>
        <w:br/>
        <w:br/>
        <w:br/>
        <w:t>[242]       Cfr. dictamen de criminalística emitido  por  peritos  oficiales</w:t>
        <w:br/>
        <w:t>de la  Procuraduría  General  del  estado  de  Chihuahua  en  las  áreas  de</w:t>
        <w:br/>
        <w:t>criminalística de campo, fotografía forense y excavación  forense  el  2  de</w:t>
        <w:br/>
        <w:t>febrero de 2002 (expediente de anexos a  la  demanda,  tomo  IX,  anexo  62,</w:t>
        <w:br/>
        <w:t>folios 2914 a 2920).</w:t>
        <w:br/>
        <w:br/>
        <w:br/>
        <w:t>[243]       Cfr. manifestación efectuada por el Director de la Dirección  de</w:t>
        <w:br/>
        <w:t>Servicios Periciales y  Medicina  Forense  de  la  Procuraduría  General  de</w:t>
        <w:br/>
        <w:t>Justicia y consignada en un acuerdo firmado por el Juez  Séptimo  Penal  del</w:t>
        <w:br/>
        <w:t>Distrito Judicial Morelos el 9 de julio de 2003 (expediente de anexos  a  la</w:t>
        <w:br/>
        <w:t>demanda, tomo IX, anexo 74, folios 2982 a 2983).</w:t>
        <w:br/>
        <w:br/>
        <w:br/>
        <w:t>[244]       Cfr. sentencia de 14 de julio de  2005  emitida  por  la  Cuarta</w:t>
        <w:br/>
        <w:t>Sala Penal  del  Supremo  Tribunal  de  Justicia  del  Estado  de  Chihuahua</w:t>
        <w:br/>
        <w:t>(expediente de anexos a la demanda, tomo X, anexo 83, folios 3422 a 3500).</w:t>
        <w:br/>
        <w:br/>
        <w:br/>
        <w:t>[245]       Cfr. reautopsia de Esmeralda Herrera Monreal efectuada por  Luis</w:t>
        <w:br/>
        <w:t>Alberto Bosio el 18 de noviembre de 2005 (expediente  de  fondo,  tomo  VII,</w:t>
        <w:br/>
        <w:t>folio 2481).</w:t>
        <w:br/>
        <w:br/>
        <w:br/>
        <w:t>[246]       Cfr. comparecencia de Benita Monárrez  Salgado  ante  un  agente</w:t>
        <w:br/>
        <w:t>del Ministerio Público de Chihuahua el 24 de julio de  2006  (expediente  de</w:t>
        <w:br/>
        <w:t>fondo, tomo VII, folio 2718).</w:t>
        <w:br/>
        <w:br/>
        <w:br/>
        <w:t>[247] Cfr. dictamen en antropología  y  genética  forense,  emitido  por  el</w:t>
        <w:br/>
        <w:t>Equipo Argentino  de  Antropología  Forense  respecto  a  Esmeralda  Herrera</w:t>
        <w:br/>
        <w:t>Monreal el 12 de junio de 2006 (expediente de anexos a  la  contestación  de</w:t>
        <w:br/>
        <w:t>la demanda, tomo XXX, anexo 50, legajo I, tomo I, folio 10341).</w:t>
        <w:br/>
        <w:br/>
        <w:br/>
        <w:t>[248]       Cfr. Caso del  Penal  Miguel  Castro  Castro  Vs.  Perú.  Fondo,</w:t>
        <w:br/>
        <w:t>Reparaciones y Costas. Sentencia de 25 de noviembre de  2006.  Serie  C  No.</w:t>
        <w:br/>
        <w:t>160, párr. 276.</w:t>
        <w:br/>
        <w:br/>
        <w:br/>
        <w:t>[249]       Artículo 1 de la Convención Belém do Pará.</w:t>
        <w:br/>
        <w:br/>
        <w:br/>
        <w:t>[250]       Caso Perozo y otros Vs. Venezuela, supra nota 22, párr. 295.</w:t>
        <w:br/>
        <w:br/>
        <w:br/>
        <w:t>[251]       Cfr. Caso “Cinco Pensionistas” Vs. Perú. Fondo,  Reparaciones  y</w:t>
        <w:br/>
        <w:t>Costas. Sentencia de 28 de febrero de 2003. Serie C No. 98, párr. 155;  Caso</w:t>
        <w:br/>
        <w:t>Kawas Fernández Vs. Honduras, supra nota 190, párr. 127,  y  Caso  Escher  y</w:t>
        <w:br/>
        <w:t>otros Vs. Brasil, supra nota 46, párr. 191.</w:t>
        <w:br/>
        <w:br/>
        <w:br/>
        <w:t>[252]  Cfr.  Caso  de  la  “Masacre  de  Mapiripán”  Vs.  Colombia.   Fondo,</w:t>
        <w:br/>
        <w:t>Reparaciones y Costas. Sentencia de 15 de septiembre de 2005.  Serie  C  No.</w:t>
        <w:br/>
        <w:t>134, párr. 59; Caso Escher y otros Vs. Brasil, supra nota 46,  párr.  63,  y</w:t>
        <w:br/>
        <w:t>Caso Garibaldi Vs. Brasil. Excepciones Preliminares, Fondo,  Reparaciones  y</w:t>
        <w:br/>
        <w:t>Costas. Sentencia de 23 de septiembre de 2009. Serie C No. 203, párr. 59.</w:t>
        <w:br/>
        <w:br/>
        <w:br/>
        <w:t>[253]       Cfr. Caso de la “Masacre de Mapiripán” Vs. Colombia, supra  nota</w:t>
        <w:br/>
        <w:t>252, párr. 56; Caso Perozo y otros Vs. Venezuela, supra nota 22,  párr.  33,</w:t>
        <w:br/>
        <w:t>y Caso Reverón Trujillo Vs. Venezuela, supra nota 47, párr. 135.</w:t>
        <w:br/>
        <w:br/>
        <w:br/>
        <w:t>[254]       Cfr. Caso  Cantoral  Huamaní  y  García  Santa  Cruz  Vs.  Perú.</w:t>
        <w:br/>
        <w:t>Excepción Preliminar, Fondo, Reparaciones  y  Costas.  Sentencia  de  10  de</w:t>
        <w:br/>
        <w:t>julio de 2007. Serie  C  No.  167,  párr  79  y  Caso  Kawas  Fernández  Vs.</w:t>
        <w:br/>
        <w:t>Honduras, supra nota 190, párrs. 72 y 73.</w:t>
        <w:br/>
        <w:br/>
        <w:br/>
        <w:t>[255]       Cfr. La expresión "leyes" en el artículo  30  de  la  Convención</w:t>
        <w:br/>
        <w:t>Americana sobre Derechos Humanos, Opinión Consultiva OC-6/86 del 9  de  mayo</w:t>
        <w:br/>
        <w:t>de 1986. Serie A No. 6, párr. 21.</w:t>
        <w:br/>
        <w:br/>
        <w:br/>
        <w:t>[256]       Cfr. Caso de la “Masacre de Mapiripán” Vs. Colombia, supra  nota</w:t>
        <w:br/>
        <w:t>252, párrs. 111 y 113; Caso Perozo Vs. Venezuela, supra nota 22, párr.  298,</w:t>
        <w:br/>
        <w:t>y Caso Anzualdo Castro Vs. Perú, supra nota 30, párr. 62</w:t>
        <w:br/>
        <w:br/>
        <w:br/>
        <w:t>[257]       Cfr. Caso Velásquez Rodríguez Vs. Honduras, Fondo. Sentencia  de</w:t>
        <w:br/>
        <w:t>29 de julio de 1988. Serie C No. 4, párr.  166;  Caso  Kawas  Fernández  Vs.</w:t>
        <w:br/>
        <w:t>Honduras, supra nota 190, párr. 137, y Caso Anzualdo Castro Vs. Perú,  supra</w:t>
        <w:br/>
        <w:t>nota 30, párr. 62</w:t>
        <w:br/>
        <w:br/>
        <w:br/>
        <w:t>[258]       Caso Velásquez Rodríguez Vs. Honduras. Fondo,  supra  nota  257,</w:t>
        <w:br/>
        <w:t>párr. 174 y Caso Anzualdo Castro Vs. Perú, supra nota 30, párr. 62</w:t>
        <w:br/>
        <w:br/>
        <w:br/>
        <w:t>[259]       Caso Velásquez Rodríguez Vs. Honduras. Fondo,  supra  nota  257,</w:t>
        <w:br/>
        <w:t>párr. 173; Caso Godínez Cruz Vs. Honduras. Fondo. Sentencia de 20  de  enero</w:t>
        <w:br/>
        <w:t>de 1989. Serie C No. 5, párr. 182,  y  Caso  Gangaram  Panday  Vs.  Surinam.</w:t>
        <w:br/>
        <w:t>Fondo, Reparaciones y Costas. Sentencia de 21 de enero de 1994. Serie C  No.</w:t>
        <w:br/>
        <w:t>16, párr. 62.</w:t>
        <w:br/>
        <w:br/>
        <w:br/>
        <w:t>[260]       Cfr. testimonio rendido ante fedatario  público  por  la  señora</w:t>
        <w:br/>
        <w:t>Monárrez Salgado el  23  de  julio  de  2006  (expediente  de  anexos  a  la</w:t>
        <w:br/>
        <w:t>contestación a la demanda, tomo XXXVI, anexo  50  legajo  2  tomo  I,  folio</w:t>
        <w:br/>
        <w:t>13082).</w:t>
        <w:br/>
        <w:br/>
        <w:br/>
        <w:t>[261] Cfr. Caso Baldeón García  Vs.  Perú.  Fondo,  Reparaciones  y  Costas.</w:t>
        <w:br/>
        <w:t>Sentencia de 6 de abril de 2006. Serie C No. 147, párr. 81;  Caso  Comunidad</w:t>
        <w:br/>
        <w:t>Indígena Sawhoyamaxa Vs. Paraguay. Fondo, Reparaciones y  Costas.  Sentencia</w:t>
        <w:br/>
        <w:t>de 29 de marzo de 2006. Serie C No. 146, párr. 154; y Caso de la Masacre  de</w:t>
        <w:br/>
        <w:t>Pueblo Bello Vs. Colombia. Fondo, Reparaciones y Costas. Sentencia de 31  de</w:t>
        <w:br/>
        <w:t>enero de 2006. Serie C No. 140, párr. 111.</w:t>
        <w:br/>
        <w:br/>
        <w:br/>
        <w:t>[262]       Cfr. Caso de los  “Niños  de  la  Calle”  (Villagrán  Morales  y</w:t>
        <w:br/>
        <w:t>otros) Vs. Guatemala, supra nota  31,  párr.  144;  Caso  del  Penal  Castro</w:t>
        <w:br/>
        <w:t>Castro Vs. Perú, supra  nota  248,  párr.  237,  y  Caso  Vargas  Areco  Vs.</w:t>
        <w:br/>
        <w:t>Paraguay. Fondo, Reparaciones y Costas. Sentencia de  26  de  septiembre  de</w:t>
        <w:br/>
        <w:t>2006. Serie C No. 155, párr. 75.</w:t>
        <w:br/>
        <w:br/>
        <w:br/>
        <w:t>[263]       Cfr. Caso de la Masacre de  Pueblo  Bello  Vs.  Colombia,  supra</w:t>
        <w:br/>
        <w:t>nota 261, párr. 120; Caso del Penal Castro Castro Vs. Perú, supra nota  248,</w:t>
        <w:br/>
        <w:t>párr. 237, y Caso Vargas Areco Vs. Paraguay, supra nota 262, párr. 75.</w:t>
        <w:br/>
        <w:br/>
        <w:br/>
        <w:t>[264] Caso del Penal Miguel Castro Castro Vs. Perú, supra  nota  248,  párr.</w:t>
        <w:br/>
        <w:t>345; Caso Vargas Areco Vs. Paraguay, supra nota 262, párr. 79 y  Caso  Bueno</w:t>
        <w:br/>
        <w:t>Alves Vs. Argentina. Fondo, Reparaciones y Costas. Sentencia de 11  de  mayo</w:t>
        <w:br/>
        <w:t>de 2007. Serie C No. 164, párr. 89.</w:t>
        <w:br/>
        <w:br/>
        <w:br/>
        <w:t>[265]       Caso Chaparro Álvarez y Lapo  Íñiguez.  Vs.  Ecuador.  Excepción</w:t>
        <w:br/>
        <w:t>Preliminar, Fondo, Reparaciones y Costas. Sentencia de 21  de  noviembre  de</w:t>
        <w:br/>
        <w:t>2007. Serie C No. 170, párr. 53.</w:t>
        <w:br/>
        <w:br/>
        <w:br/>
        <w:t>[266]       Cfr. Caso del Penal Miguel Castro Castro Vs.  Perú,  supra  nota</w:t>
        <w:br/>
        <w:t>248, párr. 276.</w:t>
        <w:br/>
        <w:br/>
        <w:br/>
        <w:t>[267]       Cfr. Caso Velásquez Rodríguez Vs. Honduras.  Fondo,  supra  nota</w:t>
        <w:br/>
        <w:t>257, párr. 166; Caso Perozo y otros Vs.  Venezuela,  supra  nota  22,  párr.</w:t>
        <w:br/>
        <w:t>149, y Caso Anzualdo Castro Vs. Perú, supra nota 30, párr. 63.</w:t>
        <w:br/>
        <w:br/>
        <w:br/>
        <w:t>[268]        Cfr. CEDAW, Recomendación general 19: La  Violencia  contra  la</w:t>
        <w:br/>
        <w:t>Mujer, 11° período de  sesiones,  1992,  U.N.  Doc.  HRI\GEN\1\Rev.1  at  84</w:t>
        <w:br/>
        <w:t>(1994), párr. 9.</w:t>
        <w:br/>
        <w:br/>
        <w:br/>
        <w:t>[269]       Cfr. Naciones Unidas, Declaración sobre  la  eliminación  de  la</w:t>
        <w:br/>
        <w:t>violencia contra la mujer. Resolución de la Asamblea General 48/104  del  20</w:t>
        <w:br/>
        <w:t>de diciembre de 1993. A/RES/48/104, 23 de febrero de 1994, artículo 4.c.</w:t>
        <w:br/>
        <w:br/>
        <w:br/>
        <w:t>[270]       Naciones Unidas, Informe de la Cuarta Conferencia Mundial  sobre</w:t>
        <w:br/>
        <w:t>la Mujer, Beijing, 4 al 15 de septiembre de 1995, Declaración  y  Plataforma</w:t>
        <w:br/>
        <w:t>de Acción de Beijing aprobada en la 16° sesión plenaria celebrada el  15  de</w:t>
        <w:br/>
        <w:t>septiembre de 1995. A/CONF.177/20/Rev.1, página 54, párr. 124 b.</w:t>
        <w:br/>
        <w:br/>
        <w:br/>
        <w:t>[271]       Informe de  la  Relatora  Especial  sobre  violencia  contra  la</w:t>
        <w:br/>
        <w:t>mujer, supra nota 64.</w:t>
        <w:br/>
        <w:br/>
        <w:br/>
        <w:t>[272]       CIDH, Caso 12.051,  Informe  No.  54/01,  Maria  Da  Penha  Maia</w:t>
        <w:br/>
        <w:t>Fernandes vs. Brasil, Informe Anual, 2000,  OEA/Ser.L/V.II.111  Doc.20  rev.</w:t>
        <w:br/>
        <w:t>(2000).</w:t>
        <w:br/>
        <w:br/>
        <w:br/>
        <w:t>[273]       CIDH, Maria Da Penha Maia Fernandes vs. Brasil, supra nota  272,</w:t>
        <w:br/>
        <w:t>párr. 56. En el mismo sentido se han pronunciado el CEDAW. Así, en  el  caso</w:t>
        <w:br/>
        <w:t>A.T. Vs. Hungría (2005), determinó que  el  Estado  no  había  cumplido  las</w:t>
        <w:br/>
        <w:t>obligaciones establecidas  en  la  Convención  para  prevenir  la  violencia</w:t>
        <w:br/>
        <w:t>contra  la  víctima  y  protegerla.  En  particular,  señaló  que  “preocupa</w:t>
        <w:br/>
        <w:t>especialmente que no se haya promulgado legislación específica  que  combata</w:t>
        <w:br/>
        <w:t>la violencia doméstica y el acoso  sexual,  y  la  inexistencia  de  órdenes</w:t>
        <w:br/>
        <w:t>judiciales de amparo o de  abandono  del  hogar,  o  de  albergues  para  la</w:t>
        <w:br/>
        <w:t>protección inmediata de las mujeres víctimas de violencia  doméstica”  (Cfr.</w:t>
        <w:br/>
        <w:t>CEDAW, Comunicación No. 2/2003, Sra. A.  T.  Vs.  Hungría,  32°  período  de</w:t>
        <w:br/>
        <w:t>sesiones, 26 de enero de 2005 párr. 9.3). En similar  sentido,  en  el  caso</w:t>
        <w:br/>
        <w:t>Yildirim Vs. Austria, en el cual la víctima fue asesinada por su esposo,  el</w:t>
        <w:br/>
        <w:t>CEDAW encontró que el Estado había faltado a su deber de  debida  diligencia</w:t>
        <w:br/>
        <w:t>por  no  haberlo  detenido  (Cfr.  CEDAW,  Comunicación  No.  6/2005,  Fatma</w:t>
        <w:br/>
        <w:t>Yildirim Vs. Austria, 39° período de sesiones, 23 de julio a  10  de  agosto</w:t>
        <w:br/>
        <w:t>de 2007, párr. 12.1.4 y 12.1.5).</w:t>
        <w:br/>
        <w:br/>
        <w:br/>
        <w:t>[274]       Cfr. Naciones  Unidas,  La  violencia  contra  la  mujer  en  la</w:t>
        <w:br/>
        <w:t>familia: Informe de la Sra. Radhika Coomaraswamy,  Relatora  Especial  sobre</w:t>
        <w:br/>
        <w:t>la violencia contra la mujer, con inclusión de sus causas  y  consecuencias,</w:t>
        <w:br/>
        <w:t>presentado de conformidad con  la  resolución  1995/85  de  la  Comisión  de</w:t>
        <w:br/>
        <w:t>Derechos Humanos, UN Doc. E/CN.4/1999/68, 10 de marzo de 1999, párr. 25.</w:t>
        <w:br/>
        <w:br/>
        <w:br/>
        <w:t>[275]       Naciones Unidas, Asamblea General, Estudio a fondo  sobre  todas</w:t>
        <w:br/>
        <w:t>las formas de violencia contra la mujer.  Informe  del  Secretario  General,</w:t>
        <w:br/>
        <w:t>Sexagésimo primer período de sesiones, A/61/122/Add.1, 6 de julio  de  2006,</w:t>
        <w:br/>
        <w:t>párr. 352.</w:t>
        <w:br/>
        <w:br/>
        <w:br/>
        <w:t>[276]       Cfr. Informe de México producido por el CEDAW,  supra  nota  64,</w:t>
        <w:br/>
        <w:t>folio 1922; CNDH, Informe Especial, supra nota 66, folio  2168,  y  Amnistía</w:t>
        <w:br/>
        <w:t>Internacional, Muertes intolerables, supra nota 64, folio 2265.</w:t>
        <w:br/>
        <w:br/>
        <w:br/>
        <w:t>[277]       Cfr. Informe de México producido por el CEDAW,  supra  nota  64,</w:t>
        <w:br/>
        <w:t>folio 1963. Según la CNDH, la creación de  dicha  Fiscalía  obedeció  a  que</w:t>
        <w:br/>
        <w:t>"las investigaciones de todos los homicidios que  se  suscitaban  en  Ciudad</w:t>
        <w:br/>
        <w:t>Juárez, Chihuahua, de 1993 a 1996, estaban a cargo del grupo  de  homicidios</w:t>
        <w:br/>
        <w:t>de la Policía Judicial de la misma  entidad  federativa"  y  según  Amnistía</w:t>
        <w:br/>
        <w:t>Internacional, “fue un reclamo de  las  organizaciones  locales  desde  1996</w:t>
        <w:br/>
        <w:t>dada la incapacidad de la [Procuraduría General de Justicia del  Estado]  de</w:t>
        <w:br/>
        <w:t>responder a la situación” (Cfr.  CNDH,  Informe  Especial,  supra  nota  66,</w:t>
        <w:br/>
        <w:t>folio 2168 y Amnistía Internacional, Muertes intolerables,  supra  nota  64,</w:t>
        <w:br/>
        <w:t>folio 2278).</w:t>
        <w:br/>
        <w:br/>
        <w:br/>
        <w:t>[278]       Cfr. CIDH, Situación de los  Derechos  de  la  Mujer  en  Ciudad</w:t>
        <w:br/>
        <w:t>Juárez, México, supra nota 64, folio 1752.</w:t>
        <w:br/>
        <w:br/>
        <w:br/>
        <w:t>[279]       Cfr. Informe de México producido por el CEDAW,  supra  nota  64,</w:t>
        <w:br/>
        <w:t>folio 1963.</w:t>
        <w:br/>
        <w:br/>
        <w:br/>
        <w:t>[280]       Cfr. Fiscalía Especial para la Atención de Delitos  relacionados</w:t>
        <w:br/>
        <w:t>con los Homicidios de Mujeres en Ciudad Juárez, Informe  Final,  supra  nota</w:t>
        <w:br/>
        <w:t>87, folios 14617 a 14651.</w:t>
        <w:br/>
        <w:br/>
        <w:br/>
        <w:t>[281]       Cfr. Informe de México producido por el CEDAW,  supra  nota  64,</w:t>
        <w:br/>
        <w:t>folio 1937 y CNDH, Informe Especial, supra nota 66, folio 2235.</w:t>
        <w:br/>
        <w:br/>
        <w:br/>
        <w:t>[282]       Cfr. CNDH,  Informe  Especial,  supra  nota  66,  folio  2235  y</w:t>
        <w:br/>
        <w:t>Amnistía Internacional, Muertes intolerables, supra nota 64, folio 2278.</w:t>
        <w:br/>
        <w:br/>
        <w:br/>
        <w:t>[283]       CIDH, Situación de los Derechos de la Mujer en Ciudad Juárez,</w:t>
        <w:br/>
        <w:t>supra nota 64, folio 1752.</w:t>
        <w:br/>
        <w:br/>
        <w:br/>
        <w:t>[284]       Cfr. Ley Sobre el Sistema Estatal de Seguridad  Pública  emitida</w:t>
        <w:br/>
        <w:t>por el H. Congreso del Estado, publicada en el Periódico Oficial del  Estado</w:t>
        <w:br/>
        <w:t>No. 51 del 27 de junio  de  1998  y  reformada  en  el  2002,  2004  y  2005</w:t>
        <w:br/>
        <w:t>(expediente de anexos a la contestación de la demanda, tomo XLII, anexo  72,</w:t>
        <w:br/>
        <w:t>folios 15326 a 15364).</w:t>
        <w:br/>
        <w:br/>
        <w:br/>
        <w:t>[285]       Cfr. artículo 35, fracción  V  de  la  Ley  Orgánica  del  Poder</w:t>
        <w:br/>
        <w:t>Ejecutivo del Estado de Chihuahua, publicada en el Periódico Oficial No.  79</w:t>
        <w:br/>
        <w:t>del 1 de octubre de 1986, última reforma POE 2005.01.19/No. 6.</w:t>
        <w:br/>
        <w:br/>
        <w:br/>
        <w:t>[286]       Cfr. artículo 35, fracción VI  de  la  Ley  Orgánica  del  Poder</w:t>
        <w:br/>
        <w:t>Ejecutivo del Estado de Chihuahua, supra nota 285.</w:t>
        <w:br/>
        <w:br/>
        <w:br/>
        <w:t>[287]       Cfr. Ley del Instituto Nacional de las  Mujeres  (expediente  de</w:t>
        <w:br/>
        <w:t>anexos a la contestación de la demanda, tomo XLIII, anexo 86,  folios  16010</w:t>
        <w:br/>
        <w:t>a 16019).</w:t>
        <w:br/>
        <w:br/>
        <w:br/>
        <w:t>[288]       Artículo 4 de la Ley del  Instituto  Nacional  de  las  Mujeres,</w:t>
        <w:br/>
        <w:t>supra nota 287, folio 16010.</w:t>
        <w:br/>
        <w:br/>
        <w:br/>
        <w:t>[289]        El  Estado  mencionó  el  Programa  de  Cero  Tolerancia  y  el</w:t>
        <w:br/>
        <w:t>Operativo Crucero en sus alegatos pero no explicó los logros  ni  resultados</w:t>
        <w:br/>
        <w:t>de estos programas (Cfr. escrito de contestación de la  demanda,  expediente</w:t>
        <w:br/>
        <w:t>de fondo, tomo III, folio 1031). La Corte observa que en el documento de  la</w:t>
        <w:br/>
        <w:t>Procuraduría descrito supra párr. 270, el Estado mencionó  que  los  delitos</w:t>
        <w:br/>
        <w:t>disminuyeron  como  producto  de  estos  programas,  pero  no  brindó  mayor</w:t>
        <w:br/>
        <w:t>explicación ni proporcionó prueba adicional al respecto.</w:t>
        <w:br/>
        <w:br/>
        <w:br/>
        <w:t>[290]       Cfr. CIDH, Situación de los  Derechos  de  la  Mujer  en  Ciudad</w:t>
        <w:br/>
        <w:t>Juárez, supra nota 64.</w:t>
        <w:br/>
        <w:br/>
        <w:br/>
        <w:t>[291]       Cfr. CIDH, Situación de los  Derechos  de  la  Mujer  en  Ciudad</w:t>
        <w:br/>
        <w:t>Juárez,  supra  nota  64,  folio  1820  y  Amnistía  Internacional,  Muertes</w:t>
        <w:br/>
        <w:t>Intolerables, supra nota 64, folio 2285.</w:t>
        <w:br/>
        <w:br/>
        <w:br/>
        <w:t>[292]       Cfr. CIDH, Situación de los  Derechos  de  la  Mujer  en  Ciudad</w:t>
        <w:br/>
        <w:t>Juárez, supra nota 64, folio  1749;  Informe  de  México  producido  por  el</w:t>
        <w:br/>
        <w:t>CEDAW, supra nota 64, folio 1924, y CNDH, Recomendación 44/1998, supra  nota</w:t>
        <w:br/>
        <w:t>72, folio 2155.</w:t>
        <w:br/>
        <w:br/>
        <w:br/>
        <w:t>[293]       Informe de México producido por el CEDAW, supra nota 64,  folios</w:t>
        <w:br/>
        <w:t>1938 y 1926.</w:t>
        <w:br/>
        <w:br/>
        <w:br/>
        <w:t>[294]       CNDH, Recomendación 44/1998, supra nota 72, folio 2155.</w:t>
        <w:br/>
        <w:br/>
        <w:br/>
        <w:t>[295]       Informe de la Relatora sobre  las  ejecuciones  extrajudiciales,</w:t>
        <w:br/>
        <w:t>sumarias o arbitrarias,, supra nota 73, folio 2053.</w:t>
        <w:br/>
        <w:br/>
        <w:br/>
        <w:t>[296]       CNDH, Informe Especial, supra nota 66, folios 2224 y 2226.</w:t>
        <w:br/>
        <w:br/>
        <w:br/>
        <w:t>[297]       Cfr. Caso de la Masacre de  Pueblo  Bello  Vs.  Colombia,  supra</w:t>
        <w:br/>
        <w:t>nota 261, párr. 123; Caso Comunidad Indígena Sawhoyamaxa Vs Paraguay,  supra</w:t>
        <w:br/>
        <w:t>nota 261, párr. 155, y Caso Valle Jaramillo  y  otros  Vs.  Colombia,  supra</w:t>
        <w:br/>
        <w:t>nota 49, párr. 78. Ver también ECHR, Case of Kiliç v.  Turkey,  Judgment  of</w:t>
        <w:br/>
        <w:t>28 March 2000, paras. 62 and  63  y  ECHR,  Case  of  Osman  v.  the  United</w:t>
        <w:br/>
        <w:t>Kingdom, Judgment of 28 October 1998, paras. 115 and 116.</w:t>
        <w:br/>
        <w:br/>
        <w:br/>
        <w:t>[298]       Cfr. Masacre de Pueblo  Bello  Vs.  Colombia,  supra  nota  261,</w:t>
        <w:br/>
        <w:t>párr. 142; Caso Heliodoro Portugal  Vs.  Panamá.  Excepciones  Preliminares,</w:t>
        <w:br/>
        <w:t>Fondo, Reparaciones y Costas. Sentencia de 12 de agosto  de  2008.  Serie  C</w:t>
        <w:br/>
        <w:t>No. 186, párr. 115, y Caso Perozo y otros  Vs.  Venezuela,  supra  nota  22,</w:t>
        <w:br/>
        <w:t>párr. 298.</w:t>
        <w:br/>
        <w:br/>
        <w:br/>
        <w:t>[299]       Cfr. Caso del Penal Miguel Castro Castro Vs.  Perú,  supra  nota</w:t>
        <w:br/>
        <w:t>248, párr. 344.</w:t>
        <w:br/>
        <w:br/>
        <w:br/>
        <w:t>[300]       Caso Velásquez Rodríguez Vs. Honduras, Fondo,  supra  nota  257,</w:t>
        <w:br/>
        <w:t>para. 176, y Caso Kawas Fernández Vs. Honduras, supra nota 190, párr. 76.</w:t>
        <w:br/>
        <w:br/>
        <w:br/>
        <w:t>[301] Cfr. Caso Anzualdo Castro Vs. Perú, supra nota 30, párr.  123  y  Caso</w:t>
        <w:br/>
        <w:t>Garibaldi Vs. Brasil, supra nota 252, párr. 113.</w:t>
        <w:br/>
        <w:br/>
        <w:br/>
        <w:t>[302]       Cfr. Caso Anzualdo Castro Vs. Perú, supra nota 30, párr.  179  y</w:t>
        <w:br/>
        <w:t>Caso Garibaldi Vs. Brasil, supra nota 252, párr. 141.</w:t>
        <w:br/>
        <w:br/>
        <w:br/>
        <w:t>[303]       Cfr. Caso de la Masacre de  Pueblo  Bello  Vs.  Colombia,  supra</w:t>
        <w:br/>
        <w:t>nota 261, párr. 143; Caso Heliodoro Portugal Vs.  Panamá,  supra  nota  297,</w:t>
        <w:br/>
        <w:t>párr. 144, y Caso Valle Jaramillo y  otros  Vs.  Colombia,  supra  nota  49,</w:t>
        <w:br/>
        <w:t>párr. 101.</w:t>
        <w:br/>
        <w:br/>
        <w:br/>
        <w:t>[304]       Caso de la Masacre de Pueblo  Bello  Vs.  Colombia,  supra  nota</w:t>
        <w:br/>
        <w:t>261, párr. 145, y Caso Kawas Fernández Vs. Honduras, supra nota  190,  párr.</w:t>
        <w:br/>
        <w:t>78.</w:t>
        <w:br/>
        <w:br/>
        <w:br/>
        <w:t>[305] Cfr.  ECHR,  Ergi  v.  Turkey,  Judgment  of  28.07.1998,  Reports  of</w:t>
        <w:br/>
        <w:t>Judgments, n. 81, paras. 85-86,  ECHR,  Akkoç  v.  Turkey,  Judgment  of  10</w:t>
        <w:br/>
        <w:t>October 2000, paras. 77 to 99, and ECHR, Kiliç v.  Turkey,  Judgment  of  28</w:t>
        <w:br/>
        <w:t>March 2000, paras. 78 to 83.</w:t>
        <w:br/>
        <w:br/>
        <w:br/>
        <w:t>[306]        Cfr.  Caso  Juan  Humberto  Sánchez  Vs.  Honduras.   Excepción</w:t>
        <w:br/>
        <w:t>Preliminar, Fondo, Reparaciones y Costas. Sentencia de 7 de junio  de  2003.</w:t>
        <w:br/>
        <w:t>Serie C No. 99, párr. 112; Caso Valle Jaramillo y otros Vs. Colombia,  supra</w:t>
        <w:br/>
        <w:t>nota 49, párr. 97, y Caso Garibaldi Vs. Brasil, supra nota 252, párr. 23.</w:t>
        <w:br/>
        <w:br/>
        <w:br/>
        <w:t>[307]       Cfr. ECHR, Case of Angelova and Iliev v, Bulgaria,  Judgment  26</w:t>
        <w:br/>
        <w:t>July 2007, para.98.</w:t>
        <w:br/>
        <w:br/>
        <w:br/>
        <w:t>[308]        Cfr.  contrato  de  prestación   de   servicios   profesionales</w:t>
        <w:br/>
        <w:t>celebrado por la Procuraduría General de Justicia del  Estado  de  Chihuahua</w:t>
        <w:br/>
        <w:t>con el Equipo Argentino de  Antropología  Forense  el  1  de  mayo  de  2005</w:t>
        <w:br/>
        <w:t>(expediente de anexos a la contestación de la demanda, tomo XLV, anexo  136,</w:t>
        <w:br/>
        <w:t>folios 16581 a 16586).</w:t>
        <w:br/>
        <w:br/>
        <w:br/>
        <w:t>[309]        Cfr.  Caso  Servellón  García  y  otros  Vs.  Honduras.  Fondo,</w:t>
        <w:br/>
        <w:t>Reparaciones y Costas. Sentencia de 21 de septiembre de 2006.  Serie  C  No.</w:t>
        <w:br/>
        <w:t>152, párr. 120; Caso del Penal Miguel Castro Castro  Vs.  Perú,  supra  nota</w:t>
        <w:br/>
        <w:t>248,  párr.  383,  y  Caso  Zambrano  Vélez  y  otros  Vs.  Ecuador.  Fondo,</w:t>
        <w:br/>
        <w:t>Reparaciones y Costas. Sentencia de 4 de julio de 2007.  Serie  C  No.  166,</w:t>
        <w:br/>
        <w:t>párr. 121.</w:t>
        <w:br/>
        <w:br/>
        <w:br/>
        <w:t>[310]       Cfr. Caso Juan Humberto Sánchez Vs. Honduras,  supra  nota  305,</w:t>
        <w:br/>
        <w:t>párr. 127; Caso Escué Zapata Vs. Colombia.  Fondo,  Reparaciones  y  Costas.</w:t>
        <w:br/>
        <w:t>Sentencia de 4 de julio de 2007. Serie C No. 165, párr. 106,  y  Caso  Kawas</w:t>
        <w:br/>
        <w:t>Fernández Vs. Honduras, supra nota 190, párr. 102.</w:t>
        <w:br/>
        <w:br/>
        <w:br/>
        <w:t>[311]       Cfr. Manual sobre la  Prevención  e  Investigación  Efectiva  de</w:t>
        <w:br/>
        <w:t>Ejecuciones Extrajudiciales, Arbitrarias  y  Sumarias  de  Naciones  Unidas,</w:t>
        <w:br/>
        <w:t>Doc. E/ST/CSDHA/.12 (1991).</w:t>
        <w:br/>
        <w:br/>
        <w:br/>
        <w:t>[312]       Cfr. Manual sobre la  Prevención  e  Investigación  Efectiva  de</w:t>
        <w:br/>
        <w:t>Ejecuciones Extrajudiciales, supra nota 310.</w:t>
        <w:br/>
        <w:br/>
        <w:br/>
        <w:t>[313]       Cfr. declaración testimonial rendida ante fedatario público  por</w:t>
        <w:br/>
        <w:t>el señor Máynez Grijalva el 21 de abril de 2009 (expediente de  fondo,  tomo</w:t>
        <w:br/>
        <w:t>XIII, folio 3845).</w:t>
        <w:br/>
        <w:br/>
        <w:br/>
        <w:t>[314]        Cfr.  aviso  emitido  por  el  agente  del  Ministerio  Público</w:t>
        <w:br/>
        <w:t>adscrito a la Fiscalía Especial  para  la  Investigación  de  Homicidios  de</w:t>
        <w:br/>
        <w:t>Mujeres en Ciudad Juárez el 6 de noviembre de 2001 (expediente de anexos  al</w:t>
        <w:br/>
        <w:t>escrito de solicitudes y argumentos,  tomo  XIV,  anexo  3,  folio  4742)  y</w:t>
        <w:br/>
        <w:t>resolución emitida  por  la  Cuarta  Sala  Penal  del  Supremo  Tribunal  de</w:t>
        <w:br/>
        <w:t>Justicia del Estado de Chihuahua el 14  de  julio  de  2005  (expediente  de</w:t>
        <w:br/>
        <w:t>anexos a la demanda, tomo IX, anexo 83, folio 3431).</w:t>
        <w:br/>
        <w:br/>
        <w:br/>
        <w:t>[315]       Cfr. fe ministerial de lugar y de  cadáveres,  supra  nota  238,</w:t>
        <w:br/>
        <w:t xml:space="preserve">      folio 2667.</w:t>
        <w:br/>
        <w:br/>
        <w:br/>
        <w:t>[316]       Cfr. actas de levantamiento de cadáver, supra nota 234.</w:t>
        <w:br/>
        <w:br/>
        <w:br/>
        <w:t>[317]       Cfr. lista de evidencias elaborada por el  Jefe  de  la  Oficina</w:t>
        <w:br/>
        <w:t>Técnica de Servicios Periciales y Medicina Legal el 13 de noviembre de  2001</w:t>
        <w:br/>
        <w:t>(expediente de anexos a la demanda, tomo IX, anexo 44, folios 2708,  2720  y</w:t>
        <w:br/>
        <w:t>2721) y fe ministerial de lugar y de cadáveres, supra nota 238, folio 2667.</w:t>
        <w:br/>
        <w:br/>
        <w:br/>
        <w:t>[318]       Cfr. actas de levantamiento de cadáver, supra nota  234,  folios</w:t>
        <w:br/>
        <w:t>2710, 2712, 2714, 2716 y 2718.</w:t>
        <w:br/>
        <w:br/>
        <w:br/>
        <w:t>[319]       En estos rastreos de los familiares  encontraron  la  credencial</w:t>
        <w:br/>
        <w:t>de elector y la  credencial  de  trabajo  de  la  joven  González  (Cfr.  fe</w:t>
        <w:br/>
        <w:t>ministerial de lugar y objetos emitida el 24  de  febrero  de  2002  por  la</w:t>
        <w:br/>
        <w:t>agente del Ministerio Público  adscrita  a  la  Fiscalía  Especial  para  la</w:t>
        <w:br/>
        <w:t>Investigación de Homicidios de Mujeres, expediente de anexos a  la  demanda,</w:t>
        <w:br/>
        <w:t>tomo IX, anexo 63, folios 2923 y 2924); fe prejudicial de  lugar  y  objetos</w:t>
        <w:br/>
        <w:t>emitida el 25 de febrero de  2002  por  el  agente  del  Ministerio  Público</w:t>
        <w:br/>
        <w:t>adscrito a la Fiscalía Especial  para  la  Investigación  de  Homicidios  de</w:t>
        <w:br/>
        <w:t>Mujeres, expediente de anexos a la demanda, tomo IX, anexo 64,  folios  2927</w:t>
        <w:br/>
        <w:t>y 2928), y declaración rendida  por  la  señora  Monárrez  Salgado  ante  el</w:t>
        <w:br/>
        <w:t>agente del Ministerio Público adscrito a la Contraloría de Asuntos  Internos</w:t>
        <w:br/>
        <w:t>Zona Norte el 23 de julio de 2006 (expediente de anexos a  la  demanda  tomo</w:t>
        <w:br/>
        <w:t>IX, anexo 84, folios 3504 a 3507).</w:t>
        <w:br/>
        <w:br/>
        <w:br/>
        <w:t>[320]       Cfr. testimonio rendido por una perito en Química adscrita a  la</w:t>
        <w:br/>
        <w:t>Dirección General de Servicios Periciales  y  Ciencias  Forenses  de  Ciudad</w:t>
        <w:br/>
        <w:t>Juárez ante el agente del Ministerio Público adscrito a  la  Fiscalía  Mixta</w:t>
        <w:br/>
        <w:t>para la Investigación de Homicidios de Mujeres en Ciudad  Juárez  el  15  de</w:t>
        <w:br/>
        <w:t>marzo de 2008 (expediente de anexos a la contestación de  la  demanda,  tomo</w:t>
        <w:br/>
        <w:t>XXXVIII, anexo 50, folios 14072 a 14074).</w:t>
        <w:br/>
        <w:br/>
        <w:br/>
        <w:t>[321]       Cfr. Manual sobre la  Prevención  e  Investigación  Efectiva  de</w:t>
        <w:br/>
        <w:t>Ejecuciones Extrajudiciales, supra nota 310.</w:t>
        <w:br/>
        <w:br/>
        <w:br/>
        <w:t>[322]       Cfr. declaración rendida ante fedatario público  por  el  perito</w:t>
        <w:br/>
        <w:t>Snow el 17 de abril de 2009 (expediente de fondo, tomo XIV, folio 4225).</w:t>
        <w:br/>
        <w:br/>
        <w:br/>
        <w:t>[323]       Cfr. Fiscalía Especial para la Atención de Delitos  relacionados</w:t>
        <w:br/>
        <w:t>con los Homicidios de Mujeres en el  Municipio  de  Juárez,  Informe  Final,</w:t>
        <w:br/>
        <w:t>supra nota 87, folio 14580 y declaración de la testigo Doretti,  supra  nota</w:t>
        <w:br/>
        <w:t>141, folio 2326.</w:t>
        <w:br/>
        <w:br/>
        <w:br/>
        <w:t>[324]       Cfr. Informe de la Comisión de Expertos Internacionales  de  las</w:t>
        <w:br/>
        <w:t>Naciones Unidas, supra nota 76, folio 1900 e  Informe  de  México  producido</w:t>
        <w:br/>
        <w:t>por el CEDAW, supra nota 64, folio 1929.</w:t>
        <w:br/>
        <w:br/>
        <w:br/>
        <w:t>[325]       Cfr. Informe de México producido por el CEDAW,  supra  nota  64,</w:t>
        <w:br/>
        <w:t>folio 1929.</w:t>
        <w:br/>
        <w:br/>
        <w:br/>
        <w:t>[326]       Cfr. declaración de la testigo Doretti, supra  nota  141,  folio</w:t>
        <w:br/>
        <w:t>2326.</w:t>
        <w:br/>
        <w:br/>
        <w:br/>
        <w:t>[327]       Cfr. Manual sobre la  Prevención  e  Investigación  Efectiva  de</w:t>
        <w:br/>
        <w:t>Ejecuciones Extrajudiciales, supra nota 310.</w:t>
        <w:br/>
        <w:br/>
        <w:br/>
        <w:t>[328]       Cfr. Manual sobre la  Prevención  e  Investigación  Efectiva  de</w:t>
        <w:br/>
        <w:t>Ejecuciones Extrajudiciales, supra nota 310.</w:t>
        <w:br/>
        <w:br/>
        <w:br/>
        <w:t>[329]       Cfr. declaración  rendida  por  el  perito  Bosio  rendida  ante</w:t>
        <w:br/>
        <w:t>fedarario público el 15 de abril de 2009  (expediente  de  fondo,  tomo  VI,</w:t>
        <w:br/>
        <w:t>folio 2279).</w:t>
        <w:br/>
        <w:br/>
        <w:br/>
        <w:t>[330]       Cfr. declaración del perito Bosio, supra nota 328, folio 2378.</w:t>
        <w:br/>
        <w:br/>
        <w:br/>
        <w:t>[331]       Cfr. certificados de autopsia, supra nota 239.</w:t>
        <w:br/>
        <w:br/>
        <w:br/>
        <w:t>[332]       Fiscalía Especial para la Atención de Delitos  relacionados  con</w:t>
        <w:br/>
        <w:t>los Homicidios de Mujeres en el Municipio de Juárez,  Informe  Final,  supra</w:t>
        <w:br/>
        <w:t>nota 87, folio 14580.</w:t>
        <w:br/>
        <w:br/>
        <w:br/>
        <w:t>[333]       Amnistía Internacional, Muertes  intolerables,  supra  nota  64,</w:t>
        <w:br/>
        <w:t>folio 2301.</w:t>
        <w:br/>
        <w:br/>
        <w:br/>
        <w:t>[334]       Cfr. Fiscalía Especial para la Atención de Delitos  relacionados</w:t>
        <w:br/>
        <w:t>con los Homicidios de Mujeres en el  Municipio  de  Juárez,  Informe  Final,</w:t>
        <w:br/>
        <w:t>supra nota 87, folio 14580 y declaración del perito Bosio, supra  nota  328,</w:t>
        <w:br/>
        <w:t>folios 2281, 2284 y 2286.</w:t>
        <w:br/>
        <w:br/>
        <w:br/>
        <w:t>[335]       Fiscalía Especial para la Atención de Delitos  relacionados  con</w:t>
        <w:br/>
        <w:t>los Homicidios de Mujeres en el Municipio de Juárez,  Informe  Final,  supra</w:t>
        <w:br/>
        <w:t>nota 87, folio 14580.</w:t>
        <w:br/>
        <w:br/>
        <w:br/>
        <w:t>[336]       Cfr. declaración de la testigo Doretti, supra  nota  141,  folio</w:t>
        <w:br/>
        <w:t>2331.</w:t>
        <w:br/>
        <w:br/>
        <w:br/>
        <w:t>[337]       declaración del perito Castresana  Fernández,  supra  nota  137,</w:t>
        <w:br/>
        <w:t>folio 2883.</w:t>
        <w:br/>
        <w:br/>
        <w:br/>
        <w:t>[338]       declaración del testigo Máynez Grijalva, supra nota  312,  folio</w:t>
        <w:br/>
        <w:t>3846.</w:t>
        <w:br/>
        <w:br/>
        <w:br/>
        <w:t>[339]       Cfr. EAAF, Dictamen en antropología y  genética  forense,  supra</w:t>
        <w:br/>
        <w:t>nota 189, folio 10330.</w:t>
        <w:br/>
        <w:br/>
        <w:br/>
        <w:t>[340]       Cfr. EAAF, Dictamen en antropología y  genética  forense,  supra</w:t>
        <w:br/>
        <w:t>nota 189, folio 10331.</w:t>
        <w:br/>
        <w:br/>
        <w:br/>
        <w:t>[341]       Cfr. Manual sobre la  Prevención  e  Investigación  Efectiva  de</w:t>
        <w:br/>
        <w:t>Ejecuciones Extrajudiciales, supra nota 310.</w:t>
        <w:br/>
        <w:br/>
        <w:br/>
        <w:t>[342]       Cfr. oficio No. 0504/00 emitido por  la  agente  del  Ministerio</w:t>
        <w:br/>
        <w:t>Público titular de la Fiscalía Especial para la Investigación de  Homicidios</w:t>
        <w:br/>
        <w:t>de Mujeres el 10 de noviembre de 2001 (expediente de anexos  a  la  demanda,</w:t>
        <w:br/>
        <w:t>tomo IX, anexo 39, folio 2687).</w:t>
        <w:br/>
        <w:br/>
        <w:br/>
        <w:t>[343]       Cfr. oficio No. 0507/01 emitido por  la  agente  del  Ministerio</w:t>
        <w:br/>
        <w:t>Público titular de la Fiscalía Especial para la Investigación de  Homicidios</w:t>
        <w:br/>
        <w:t>de Mujeres el 8 de noviembre de 2001 (expediente de  anexos  a  la  demanda,</w:t>
        <w:br/>
        <w:t>tomo IX, anexo 39, folio 2688); oficio 504/01  emitido  por  la  agente  del</w:t>
        <w:br/>
        <w:t>Ministerio Público titular de la Fiscalía Especial para la Investigación  de</w:t>
        <w:br/>
        <w:t>Homicidios de Mujeres el 8 de noviembre de 2001 (expediente de anexos  a  la</w:t>
        <w:br/>
        <w:t>demanda, tomo IX, anexo 39, folio 2689); oficio No. 513/01  emitido  por  la</w:t>
        <w:br/>
        <w:t>agente del Ministerio Público  titular  de  la  Fiscalía  Especial  para  la</w:t>
        <w:br/>
        <w:t>Investigación  de  Homicidios  de  Mujeres  el  9  de  noviembre   de   2001</w:t>
        <w:br/>
        <w:t>(expediente de anexos a la demanda,  tomo  IX,  anexo  39,  folio  2690),  y</w:t>
        <w:br/>
        <w:t>oficio No. 514/01 emitido por la agente del Ministerio  Público  titular  de</w:t>
        <w:br/>
        <w:t>la Fiscalía Especial para la Investigación de Homicidios de Mujeres el 9  de</w:t>
        <w:br/>
        <w:t>noviembre de 2001 (expediente de anexos a la demanda,  tomo  IX,  anexo  39,</w:t>
        <w:br/>
        <w:t>folio 2691).</w:t>
        <w:br/>
        <w:br/>
        <w:br/>
        <w:t>[344]       Cfr. EAAF, Dictamen en antropología y  genética  forense,  supra</w:t>
        <w:br/>
        <w:t>nota 189, folio 10331.</w:t>
        <w:br/>
        <w:br/>
        <w:br/>
        <w:t>[345]       Cfr. comparecencia de Mayela Banda  González,  supra  nota  173,</w:t>
        <w:br/>
        <w:t>folios 2796 y 2797.</w:t>
        <w:br/>
        <w:br/>
        <w:br/>
        <w:t>[346]       Cfr. oficio No. 530/01 emitido  por  la  agente  del  Ministerio</w:t>
        <w:br/>
        <w:t>Público adscrita a la Fiscalía Especial para la Investigación de  Homicidios</w:t>
        <w:br/>
        <w:t>de Mujeres el 15 de noviembre de 2001 (expediente de anexos  a  la  demanda,</w:t>
        <w:br/>
        <w:t>tomo IX, anexo 51 y 53, folio 2799).</w:t>
        <w:br/>
        <w:br/>
        <w:br/>
        <w:t>[347]        Cfr.  declaración  testimonial  de  identificación  de  cadáver</w:t>
        <w:br/>
        <w:t>efectuada por Adrián Herrera Monreal el 16 de noviembre de 2001  (expediente</w:t>
        <w:br/>
        <w:t>de anexos a la demanda,  tomo  IX,  anexo  54,  folio  2882)  y  declaración</w:t>
        <w:br/>
        <w:t>testimonial de identificación  de  cadáver  efectuada  por  Antonio  Herrera</w:t>
        <w:br/>
        <w:t>Rodríguez (expediente de anexos a la  demanda,  tomo  IX,  anexo  55,  folio</w:t>
        <w:br/>
        <w:t>2884).</w:t>
        <w:br/>
        <w:br/>
        <w:br/>
        <w:t>[348]       Cfr. oficio No. 534/01 emitido  por  la  agente  del  Ministerio</w:t>
        <w:br/>
        <w:t>Público adscrita a la Fiscalía Especial para la Investigación de  Homicidios</w:t>
        <w:br/>
        <w:t>de Mujeres el 16 de noviembre de 2001 (expediente de anexos  a  la  demanda,</w:t>
        <w:br/>
        <w:t>tomo IX, anexos 56 y 57, folio 2886).</w:t>
        <w:br/>
        <w:br/>
        <w:br/>
        <w:t>[349]       Cfr. declaración de la perita Doretti,  supra  nota  141,  folio</w:t>
        <w:br/>
        <w:t>2347.</w:t>
        <w:br/>
        <w:br/>
        <w:br/>
        <w:t>[350]        Cfr.  declaración  testimonial  de  identificación  de  cadáver</w:t>
        <w:br/>
        <w:t>efectuada por Benita Monárrez Salgado el 22 de marzo de 2002 (expediente  de</w:t>
        <w:br/>
        <w:t>anexos a la demanda, tomo IX, anexo 67, folio 2934).</w:t>
        <w:br/>
        <w:br/>
        <w:br/>
        <w:t>[351]        Cfr.  declaración  testimonial  de  identificación  de  cadáver</w:t>
        <w:br/>
        <w:t>efectuada por Pablo Monárrez Salgado el 22 de marzo de 2002  (expediente  de</w:t>
        <w:br/>
        <w:t>anexos a la demanda, tomo IX, anexo 68, folio 2937).</w:t>
        <w:br/>
        <w:br/>
        <w:br/>
        <w:t>[352]       Cfr. oficio No. 248/02 MP autorización de  entrega  del  cadáver</w:t>
        <w:br/>
        <w:t>de Laura Berenice Ramos  Monárrez  emitido  por  la  agente  del  Ministerio</w:t>
        <w:br/>
        <w:t>Público adscrita a la Fiscalía Especial para la Investigación de  Homicidios</w:t>
        <w:br/>
        <w:t>de Mujeres el 22 de marzo de 2002 (expediente de anexos a la  demanda,  tomo</w:t>
        <w:br/>
        <w:t>IX, anexo 69 y 70, folio 2939).</w:t>
        <w:br/>
        <w:br/>
        <w:br/>
        <w:t>[353]       Cfr. dictamen en identificación forense emitido por  la  Oficina</w:t>
        <w:br/>
        <w:t>de Servicios  Periciales  en  relación  con  la  joven  González  el  21  de</w:t>
        <w:br/>
        <w:t>noviembre de 2001 (expediente de anexos a la demanda,  tomo  IX,  anexo  58,</w:t>
        <w:br/>
        <w:t>folios 2888 a 2893); dictamen  en  identificación  forense  emitido  por  la</w:t>
        <w:br/>
        <w:t>Oficina de Servicios Periciales en relación con la joven Herrera  el  21  de</w:t>
        <w:br/>
        <w:t>noviembre de 2001 (expediente de anexos a la demanda,  tomo  IX,  anexo  59,</w:t>
        <w:br/>
        <w:t>folios 2895 a 2900), y dictamen en identificación  forense  emitido  por  la</w:t>
        <w:br/>
        <w:t>Oficina de Servicios Periciales en relación con  la  joven  Ramos  el  8  de</w:t>
        <w:br/>
        <w:t>enero de 2002 (expediente de anexos a la demanda, tomo IX, anexo 72,  folios</w:t>
        <w:br/>
        <w:t>2955 a 2962).</w:t>
        <w:br/>
        <w:br/>
        <w:br/>
        <w:t>[354]       Cfr. declaración del perito Snow, supra nota 321, folio  4224  y</w:t>
        <w:br/>
        <w:t>declaración de la perita Doretti, supra nota 141, folio 2345.</w:t>
        <w:br/>
        <w:br/>
        <w:br/>
        <w:t>[355]       Cfr. declaración de la perita Doretti,  supra  nota  141,  folio</w:t>
        <w:br/>
        <w:t>2347.</w:t>
        <w:br/>
        <w:br/>
        <w:br/>
        <w:t>[356]       Cfr. EAAF, dictamen en antropología y  genética  forense,  supra</w:t>
        <w:br/>
        <w:t>nota 189, folio 10341.</w:t>
        <w:br/>
        <w:br/>
        <w:br/>
        <w:t>[357]       Cfr. EAAF, dictamen en antropología y  genética  forense,  supra</w:t>
        <w:br/>
        <w:t>nota 189, folios 10358, 10367 y 10368.</w:t>
        <w:br/>
        <w:br/>
        <w:br/>
        <w:t>[358]       Cfr. testimonio de la señora Irma Monreal Jaime rendido ante  el</w:t>
        <w:br/>
        <w:t>agente del Ministerio Público adscrito al grupo de la  Fiscalía  Mixta  para</w:t>
        <w:br/>
        <w:t>la  Investigación  de  Homicidios  de  Mujeres  el  15  de  marzo  de   2006</w:t>
        <w:br/>
        <w:t>(expediente de anexos a la contestación de la demanda, tomo XXX,  anexo  50,</w:t>
        <w:br/>
        <w:t>Legajo, I tomo I, folio 10230).</w:t>
        <w:br/>
        <w:br/>
        <w:br/>
        <w:t>[359]       Cfr. EAAF, dictamen en antropología y  genética  forense,  supra</w:t>
        <w:br/>
        <w:t>nota 189, folio 10339.</w:t>
        <w:br/>
        <w:br/>
        <w:br/>
        <w:t>[360]       Cfr. declaración de la testigo Doretti, supra nota  141,  folios</w:t>
        <w:br/>
        <w:t>2352 y 2353.</w:t>
        <w:br/>
        <w:br/>
        <w:br/>
        <w:t>[361]       Cfr. dictamen realizado por una perita en genética forense el  8</w:t>
        <w:br/>
        <w:t>de octubre de 2002 (expediente de  anexos  a  la  demanda,  tomo  XI,  folio</w:t>
        <w:br/>
        <w:t>2908).</w:t>
        <w:br/>
        <w:br/>
        <w:br/>
        <w:t>[362]       Cfr. dictamen en genética forense, supra nota 360, folio 2908.</w:t>
        <w:br/>
        <w:br/>
        <w:br/>
        <w:t>[363]       Cfr. dictamen en genética forense, supra nota 360, folio 2908.</w:t>
        <w:br/>
        <w:br/>
        <w:br/>
        <w:t>[364]       Cfr. EAAF, dictamen en antropología y  genética  forense,  supra</w:t>
        <w:br/>
        <w:t>nota 189, folio 10339.</w:t>
        <w:br/>
        <w:br/>
        <w:br/>
        <w:t>[365]       Cfr. EAAF, dictamen en antropología y  genética  forense,  supra</w:t>
        <w:br/>
        <w:t>nota 189, folio 10339.</w:t>
        <w:br/>
        <w:br/>
        <w:br/>
        <w:t>[366]       Cfr. EAAF, dictamen en antropología y  genética  forense,  supra</w:t>
        <w:br/>
        <w:t>nota 189, folio 10341.</w:t>
        <w:br/>
        <w:br/>
        <w:br/>
        <w:t>[367]       Cfr. EAAF, dictamen en antropología y  genética  forense,  supra</w:t>
        <w:br/>
        <w:t>nota 189, folio 10338.</w:t>
        <w:br/>
        <w:br/>
        <w:br/>
        <w:t>[368]       Cfr. Informe de la Comisión de Expertos Internacionales  de  las</w:t>
        <w:br/>
        <w:t>Naciones Unidas, supra nota 76, folio 1901.</w:t>
        <w:br/>
        <w:br/>
        <w:br/>
        <w:t>[369]       Cfr. Informe de México producido por el CEDAW,  supra  nota  64,</w:t>
        <w:br/>
        <w:t>folio 1930 y declaración de la perita Doretti, supra nota 141, folio 2352.</w:t>
        <w:br/>
        <w:br/>
        <w:br/>
        <w:t>[370]       Cfr. declaración de la perita Doretti,  supra  nota  141,  folio</w:t>
        <w:br/>
        <w:t>2334.</w:t>
        <w:br/>
        <w:br/>
        <w:br/>
        <w:t>[371]       Cfr. declaración de Víctor Javier García Uribe  ante  el  Agente</w:t>
        <w:br/>
        <w:t>del Ministerio Público adscrito a la Procuraduría General  de  Justicia  del</w:t>
        <w:br/>
        <w:t>Estado de Chihuahua el 9 de noviembre  de  2001  (expediente  de  anexos  al</w:t>
        <w:br/>
        <w:t>escrito de solicitudes y argumentos, tomo XIV, anexo 3, folios 4839 a  4842)</w:t>
        <w:br/>
        <w:t>y declaración de  Gustavo  González  Meza  ante  el  Agente  del  Ministerio</w:t>
        <w:br/>
        <w:t>Público adscrito a  la  Procuraduría  General  de  Justicia  del  Estado  de</w:t>
        <w:br/>
        <w:t>Chihuahua el 9 de noviembre de 2001 (expediente  de  anexos  al  escrito  de</w:t>
        <w:br/>
        <w:t>solicitudes y argumentos, tomo XIV, anexo 3, folios 4854 a 4857).</w:t>
        <w:br/>
        <w:br/>
        <w:br/>
        <w:t>[372]       Cfr. declaración preparatoria de Gustavo González Meza  ante  el</w:t>
        <w:br/>
        <w:t>Juez Tercero de lo Penal del Distrito Bravos, Chihuahua, el 12 de  noviembre</w:t>
        <w:br/>
        <w:t>de 2001 (expediente de anexos al escrito de solicitudes y  argumentos,  tomo</w:t>
        <w:br/>
        <w:t>XIV, anexo 3, folios 4887 a  4894)  y  declaración  preparatoria  de  Víctor</w:t>
        <w:br/>
        <w:t>Javier García Uribe ante el Juez Tercero de lo Penal  del  Distrito  Bravos,</w:t>
        <w:br/>
        <w:t>Chihuahua, el 12 de noviembre de 2001 (expediente de anexos  al  escrito  de</w:t>
        <w:br/>
        <w:t>solicitudes y argumentos, tomo XIV, anexo 3, folios 4896 a 4904).</w:t>
        <w:br/>
        <w:br/>
        <w:br/>
        <w:t>[373]       La CNDH señaló que “fue asesinado al ser confundido, a decir  de</w:t>
        <w:br/>
        <w:t>las autoridades del estado  de  Chihuahua,  con  un  delincuente,  y,  según</w:t>
        <w:br/>
        <w:t>ciertos informes,  el  abogado  que  actualmente  defiende  a  García  Uribe</w:t>
        <w:br/>
        <w:t>también ha sido amenazado” (CNDH, Informe Especial,  supra  nota  66,  folio</w:t>
        <w:br/>
        <w:t>2230; CIDH, Situación de los Derechos de la Mujer en  Ciudad  Juárez,  supra</w:t>
        <w:br/>
        <w:t>nota 64, folio 1749, y Amnistía Internacional, Muertes  intolerables,  supra</w:t>
        <w:br/>
        <w:t>nota 64, folio 2294).</w:t>
        <w:br/>
        <w:br/>
        <w:br/>
        <w:t>[374]       La Comisión y los representantes señalaron que en enero de  2006</w:t>
        <w:br/>
        <w:t>fue  asesinado  el  abogado  del  señor  García  en  circunstancias  aún  no</w:t>
        <w:br/>
        <w:t>aclaradas. Sin embargo, la única prueba  obrante  en  el  expediente  es  la</w:t>
        <w:br/>
        <w:t>declaración de una periodista que fue rechazada por el Tribunal por  motivos</w:t>
        <w:br/>
        <w:t>de forma (supra párr. 106).</w:t>
        <w:br/>
        <w:br/>
        <w:br/>
        <w:t>[375]       Cfr. resolución  de  sobreseimiento  por  muerte  del  procesado</w:t>
        <w:br/>
        <w:t>Gustavo González Meza (expediente de anexos  al  escrito  de  solicitudes  y</w:t>
        <w:br/>
        <w:t>argumentos, tomo XVIII, anexo 3, folios 6164 a 6166).</w:t>
        <w:br/>
        <w:br/>
        <w:br/>
        <w:t>[376]       Cfr. Juez Tercero Penal del Distrito Judicial Bravos,  sentencia</w:t>
        <w:br/>
        <w:t>dictada en la causa penal 74/2004, “Guadalupe Luna de la Rosa  y  otras”  el</w:t>
        <w:br/>
        <w:t>13 de octubre de 2004 (expediente de anexos  al  escrito  de  solicitudes  y</w:t>
        <w:br/>
        <w:t>argumentos, tomo XVIII, folios 6213 a 6398).</w:t>
        <w:br/>
        <w:br/>
        <w:br/>
        <w:t>[377]       Cfr. Cuarta Sala Penal del  Supremo  Tribunal  de  Justicia  del</w:t>
        <w:br/>
        <w:t>Estado de Chihuahua, sentencia de 14 de julio de 2005 (expediente de  anexos</w:t>
        <w:br/>
        <w:t>a la demanda, tomo X, anexo 83, folios 3422 a 3500).</w:t>
        <w:br/>
        <w:br/>
        <w:br/>
        <w:t>[378]       CNDH, Informe Especial, supra nota 66,  folios  2229  y  2230  y</w:t>
        <w:br/>
        <w:t>Segundo Visitador General de  la  Comisión  Nacional  de  Derechos  Humanos,</w:t>
        <w:br/>
        <w:t>oficio No. V2/004191 de 27 de febrero de 2004 (expediente  de  anexos  a  la</w:t>
        <w:br/>
        <w:t>demanda, tomo IX, anexo 78, folios 2994 y 2995).</w:t>
        <w:br/>
        <w:br/>
        <w:br/>
        <w:t>[379]       Cfr. declaración de la testigo Doretti, supra  nota  141,  folio</w:t>
        <w:br/>
        <w:t>2379.</w:t>
        <w:br/>
        <w:br/>
        <w:br/>
        <w:t>[380]       CNDH, Informe Especial, supra nota 66, folios 2228 y 2229.</w:t>
        <w:br/>
        <w:br/>
        <w:br/>
        <w:t>[381]       Cfr. Informe de la Comisión de Expertos Internacionales  de  las</w:t>
        <w:br/>
        <w:t>Naciones Unidas, supra nota 76, folios 1878, 1879, 1883 y 1891.</w:t>
        <w:br/>
        <w:br/>
        <w:br/>
        <w:t>[382]       Cfr. Comisión para Prevenir y Erradicar la Violencia contra  las</w:t>
        <w:br/>
        <w:t>Mujeres en Ciudad Juárez, Tercer Informe de Gestión, supra nota  101,  folio</w:t>
        <w:br/>
        <w:t>9011.</w:t>
        <w:br/>
        <w:br/>
        <w:br/>
        <w:t>[383]       Cfr. Informe del Relator  Especial  sobre  la  Independencia  de</w:t>
        <w:br/>
        <w:t>Magistrados y Abogados, supra nota 74, folio 2100.</w:t>
        <w:br/>
        <w:br/>
        <w:br/>
        <w:t>[384]       Cfr. Amnistía Internacional, Muertes  intolerables,  supra  nota</w:t>
        <w:br/>
        <w:t>64, folio 2273.</w:t>
        <w:br/>
        <w:br/>
        <w:br/>
        <w:t>[385]       Caso de los “Niños de la Calle” (Villagrán Morales y otros)  Vs.</w:t>
        <w:br/>
        <w:t>Guatemala, supra nota 31, párr. 230.</w:t>
        <w:br/>
        <w:br/>
        <w:br/>
        <w:t>[386]       Cfr. acuerdo de 9 de marzo de 2006 de  la  Procuraduría  General</w:t>
        <w:br/>
        <w:t>de Justicia del estado de Chihuahua  Zona  Norte,  Fiscalía  Mixta  para  la</w:t>
        <w:br/>
        <w:t>Investigación de Homicidio de Mujeres en Ciudad Juárez en el  expediente  de</w:t>
        <w:br/>
        <w:t>averiguación previa 27913/01-I (expediente de anexos a  la  contestación  de</w:t>
        <w:br/>
        <w:t>la demanda, tomo XXX, anexo 50, folio 10184) y resolución de la Cuarta  Sala</w:t>
        <w:br/>
        <w:t>Penal del Supremo Tribunal de Justicia del estado  de  Chihuahua  de  14  de</w:t>
        <w:br/>
        <w:t>julio de 2005 (expediente de anexos a la contestación de  la  demanda,  tomo</w:t>
        <w:br/>
        <w:t>X, anexo 83, folios 3422 a 3500).</w:t>
        <w:br/>
        <w:br/>
        <w:br/>
        <w:t>[387]       Declaración rendida por el testigo  Caballero  Rodríguez  en  la</w:t>
        <w:br/>
        <w:t>audiencia pública celebrada el 28 de abril de 2009.</w:t>
        <w:br/>
        <w:br/>
        <w:br/>
        <w:t>[388]       Cfr.  informe  de  la  Procuraduría  General  de  la  República,</w:t>
        <w:br/>
        <w:t>“Homicidios de Mujeres en Ciudad Juárez, Chihuahua” (expediente de anexos  a</w:t>
        <w:br/>
        <w:t>la demanda, tomo II, apéndice 5, folios 184 a 216) y Fiscalía Especial  para</w:t>
        <w:br/>
        <w:t>la Atención de Delitos relacionados con los  Homicidios  de  Mujeres  en  el</w:t>
        <w:br/>
        <w:t>Municipio de Juárez, Chihuahua, tercer informe, enero  2005  (expediente  de</w:t>
        <w:br/>
        <w:t>anexos a la contestación de la demanda, tomo X, anexo 81, folio 3362).</w:t>
        <w:br/>
        <w:br/>
        <w:br/>
        <w:t>[389]       Cfr. Tercer Informe de la Fiscalía  Especial,  supra  nota  387,</w:t>
        <w:br/>
        <w:t>folio 3363.</w:t>
        <w:br/>
        <w:br/>
        <w:br/>
        <w:t>[390]       Declaración del perito Castresana  Fernández,  supra  nota  137,</w:t>
        <w:br/>
        <w:t>folio 2902.</w:t>
        <w:br/>
        <w:br/>
        <w:br/>
        <w:t>[391]       Cfr. artículo 73 fracción XXI de  la  Constitución  Política  de</w:t>
        <w:br/>
        <w:t>los Estados Unidos Mexicanos (expediente de anexos a la contestación  de  la</w:t>
        <w:br/>
        <w:t>demanda, Tomo XXVIII, Anexo 43, folio 9852).</w:t>
        <w:br/>
        <w:br/>
        <w:br/>
        <w:t>[392]       Cfr. declaración de la  testigo  Delgadillo  Pérez,  supra  nota</w:t>
        <w:br/>
        <w:t>187, folio 3513 y declaración del perito Castresana  Fernández,  supra  nota</w:t>
        <w:br/>
        <w:t>137, folio 2902.</w:t>
        <w:br/>
        <w:br/>
        <w:br/>
        <w:t>[393]       Cfr. constancias del 16 de agosto de 2007 por la cual el  agente</w:t>
        <w:br/>
        <w:t>del Ministerio Público adscrito a la Fiscalía Mixta  para  la  Investigación</w:t>
        <w:br/>
        <w:t>de Homicidios en Ciudad Juárez localiza diferentes  diligencias  (expediente</w:t>
        <w:br/>
        <w:t>de anexos a la contestación de la demanda, tomo  XXXVII,  anexo  50,  legajo</w:t>
        <w:br/>
        <w:t>III, tomo II, folios 10569, 10570, 13577, 13578, 13641 y 13642).</w:t>
        <w:br/>
        <w:br/>
        <w:br/>
        <w:t>[394]       Si  bien  la  Fiscalía  Especial  indicó  que  no  se  encuentra</w:t>
        <w:br/>
        <w:t>acreditado  que  en  ninguna  de  las  diecinueve  averiguaciones  se  hayan</w:t>
        <w:br/>
        <w:t>“vulnerado leyes federales que  justifiquen  la  figura  de  la  atracción",</w:t>
        <w:br/>
        <w:t>dicho órgano indicó  que  en  el  Anexo  B  del  informe  “se  detallan  las</w:t>
        <w:br/>
        <w:t>hipótesis de  investigación  correspondientes,  así  como  la  propuesta  de</w:t>
        <w:br/>
        <w:t>diligencias a practicarse en cada una de las 19 averiguaciones previas"  por</w:t>
        <w:br/>
        <w:t>los homicidios del total de 22 objeto de dicho informe. Aunque  lo  anterior</w:t>
        <w:br/>
        <w:t>significa un indicio de intercambio de información, la Corte observa que  no</w:t>
        <w:br/>
        <w:t>consta que se hayan recomendado diligencias similares para los casos de  las</w:t>
        <w:br/>
        <w:t>jóvenes Herrera, González y Ramos (Tercer Informe de la  Fiscalía  Especial,</w:t>
        <w:br/>
        <w:t>supra nota 387, folio 3363).</w:t>
        <w:br/>
        <w:br/>
        <w:br/>
        <w:t>[395]       Declaración de la testigo  Delgadillo  Pérez,  supra  nota  187,</w:t>
        <w:br/>
        <w:t>folio 3513.</w:t>
        <w:br/>
        <w:br/>
        <w:br/>
        <w:t>[396]       Declaración del perito Castresana  Fernández,  supra  nota  137,</w:t>
        <w:br/>
        <w:t>folios 2902 y 2903.</w:t>
        <w:br/>
        <w:br/>
        <w:br/>
        <w:t>[397]       Cfr. Informe de México producido por el CEDAW,  supra  nota  64,</w:t>
        <w:br/>
        <w:t>folios 1980 y 1981.</w:t>
        <w:br/>
        <w:br/>
        <w:br/>
        <w:t>[398]       Cfr. Caso de la Masacre  de  la  Rochela  Vs.  Colombia.  Fondo,</w:t>
        <w:br/>
        <w:t>Reparaciones y Costas. Sentencia de 11 de de mayo de 2007. Serie C No.  163,</w:t>
        <w:br/>
        <w:t>párrs. 156, 158 y 164.</w:t>
        <w:br/>
        <w:br/>
        <w:br/>
        <w:t>[399]       Cfr. acuerdo de 9 de marzo de 2006 de  la  Procuraduría  General</w:t>
        <w:br/>
        <w:t>de Justicia del estado de  Chihuahua  Zona  Norte,  supra  nota  385,  folio</w:t>
        <w:br/>
        <w:t>10184.</w:t>
        <w:br/>
        <w:br/>
        <w:br/>
        <w:t>[400]       Declaración del testigo Caballero Rodríguez, supra nota 386.</w:t>
        <w:br/>
        <w:br/>
        <w:br/>
        <w:t>[401]       Cfr. CNDH, Informe Especial, supra nota 66, folio 2235.</w:t>
        <w:br/>
        <w:br/>
        <w:br/>
        <w:t>[402]       Cfr. declaración de la  testigo  Delgadillo  Pérez,  supra  nota</w:t>
        <w:br/>
        <w:t>187, folio 3481.</w:t>
        <w:br/>
        <w:br/>
        <w:br/>
        <w:t>[403]       Cfr. declaración de la  testigo  Delgadillo  Pérez,  supra  nota</w:t>
        <w:br/>
        <w:t>187, folio 3481.</w:t>
        <w:br/>
        <w:br/>
        <w:br/>
        <w:t>[404]       Cfr. Caso de la “Masacre de Mapiripán” Vs. Colombia, supra  nota</w:t>
        <w:br/>
        <w:t>252, párr. 215.</w:t>
        <w:br/>
        <w:br/>
        <w:br/>
        <w:t>[405]       Cfr. Caso de la Masacre de la Rochela Vs. Colombia,  supra  nota</w:t>
        <w:br/>
        <w:t>397, párr. 207.</w:t>
        <w:br/>
        <w:br/>
        <w:br/>
        <w:t>[406]       Cfr. Fiscalía Especial para la Atención de Delitos  relacionados</w:t>
        <w:br/>
        <w:t>con los Homicidios de Mujeres en Ciudad Juárez, Informe  Final,  supra  nota</w:t>
        <w:br/>
        <w:t>87, folios 14881 al 14892.</w:t>
        <w:br/>
        <w:br/>
        <w:br/>
        <w:t>[407]       Cfr. Procuraduría General de Justicia del estado  de  Chihuahua,</w:t>
        <w:br/>
        <w:t>Informe de  Funcionarios  Sancionados,  emitido  el  27  de  abril  de  2009</w:t>
        <w:br/>
        <w:t>(expediente de anexos a la contestación de la demanda, tomo XLIX,  anexo  5,</w:t>
        <w:br/>
        <w:t>folios 17319 al 17346).</w:t>
        <w:br/>
        <w:br/>
        <w:br/>
        <w:t>[408]       Cfr. denuncia de hechos presentada por  la  Asociación  Nacional</w:t>
        <w:br/>
        <w:t>de Abogados Democráticos A.C. el 5 de junio de 2007 (expediente de anexos  a</w:t>
        <w:br/>
        <w:t>la demanda, tomo X, anexo 92, folios 3546 al 3588).</w:t>
        <w:br/>
        <w:br/>
        <w:br/>
        <w:t>[409]       Declaración rendida por el testigo  Caballero  Rodríguez,  supra</w:t>
        <w:br/>
        <w:t>nota 386.</w:t>
        <w:br/>
        <w:br/>
        <w:br/>
        <w:t>[410]       Cfr. acuerdo emitido por un Licenciado  del  Ministerio  Público</w:t>
        <w:br/>
        <w:t>adscrito a la Fiscalía Mixta para la Atención de Homicidios de Mujeres el  3</w:t>
        <w:br/>
        <w:t>de  mayo  de  2007  (expediente  de  anexos  al  escrito  de  solicitudes  y</w:t>
        <w:br/>
        <w:t>argumentos, tomo XXIV, anexo 34, folios 8480).</w:t>
        <w:br/>
        <w:br/>
        <w:br/>
        <w:t>[411]       Cfr. acuerdo emitido por un Agente del Ministerio Público el  30</w:t>
        <w:br/>
        <w:t>de enero de 2008 (expediente de anexos a  la  contestación  de  la  demanda,</w:t>
        <w:br/>
        <w:t>tomo XXXV, anexo 50, legajo II, tomo IV, folio 12982).</w:t>
        <w:br/>
        <w:br/>
        <w:br/>
        <w:t>[412]       En el caso de la joven González se solicitaron copias  el  1  de</w:t>
        <w:br/>
        <w:t>de abril de 2002, 2 de mayo de 2007, 29 de enero de 2008, 4 de noviembre  de</w:t>
        <w:br/>
        <w:t>2008 y 12 de febrero de 2009 y se expidieron copias el 1 de abril  de  2002,</w:t>
        <w:br/>
        <w:t>12 de febrero de 2009 y 11 de marzo de 2009 (Cfr. expediente de anexos a  la</w:t>
        <w:br/>
        <w:t>contestación de la demanda, tomo XXXII, anexo 50, legajo II, tomo  I,  folio</w:t>
        <w:br/>
        <w:t>11122; tomo XXIV, anexo 34, folios 8478  y  8479;  tomo  XLVIII,  anexo  4b,</w:t>
        <w:br/>
        <w:t>folio 17313, tomo XLVIII, folio 17193, y tomo XLVIII, folio  17208).  En  el</w:t>
        <w:br/>
        <w:t>caso de la joven Ramos se solicitaron copias el 26 de febrero de 2002, 6  de</w:t>
        <w:br/>
        <w:t>marzo de 2007, 3 de mayo de 2007 y 29 de  enero  de  2008  y  se  expidieron</w:t>
        <w:br/>
        <w:t>copias el 26 de febrero de 2002 y 1 de junio de  2007  (Cfr.  expediente  de</w:t>
        <w:br/>
        <w:t>anexos a la contestación de la demanda, tomo XXXVI, anexo  50,  legajo  III,</w:t>
        <w:br/>
        <w:t>tomo I, folio 13069; tomo XXIV, anexo 34, folios  8481;  tomo  XXXVI,  anexo</w:t>
        <w:br/>
        <w:t>50, legajo III, tomo I, folio 13129; expediente  de  anexos  al  escrito  de</w:t>
        <w:br/>
        <w:t>solicitudes y argumentos, tomo XXIV, anexo 34, folios  8477;  expediente  de</w:t>
        <w:br/>
        <w:t>anexos a la contestación de la demanda, tomo XXXVI, anexo  50,  legajo  III,</w:t>
        <w:br/>
        <w:t>tomo I, folio 13070, y anexo 50, legajo III, tomo  I,  folio  13130.  En  el</w:t>
        <w:br/>
        <w:t>caso de la joven Herrera se  expidieron  copias  el  11  de  marzo  de  2002</w:t>
        <w:br/>
        <w:t>(expediente de anexos a la contestación de la demanda, tomo XXX,  anexo  50,</w:t>
        <w:br/>
        <w:t>folio 13171).</w:t>
        <w:br/>
        <w:br/>
        <w:br/>
        <w:t>[413] Cfr. CEDAW, Recomendación general 19: La Violencia  contra  la  Mujer,</w:t>
        <w:br/>
        <w:t>supra nota 268, párr. 1 y 6.</w:t>
        <w:br/>
        <w:br/>
        <w:br/>
        <w:t>[414] ECHR, Case of Opuz v. Turkey, Judgment of 9  June  2009,  paras.  180,</w:t>
        <w:br/>
        <w:t>191 y 200.</w:t>
        <w:br/>
        <w:br/>
        <w:br/>
        <w:t>[415]       Cfr. Caso del Penal Miguel Castro Castro Vs.  Perú,  supra  nota</w:t>
        <w:br/>
        <w:t>248, párr. 303.</w:t>
        <w:br/>
        <w:br/>
        <w:br/>
        <w:t>[416]       CIDH,  Acceso  a  la  justicia  para  las  mujeres  víctimas  de</w:t>
        <w:br/>
        <w:t>violencia  en  las  Américas,  OEA/Ser.L/V/II.  Doc.  68,  20   enero   2007</w:t>
        <w:br/>
        <w:t>(expediente de anexos a la demanda, tomo VII, anexo 2, folio 1822).</w:t>
        <w:br/>
        <w:br/>
        <w:br/>
        <w:t>[417]       Naciones Unidas,  Informe  del  experto  independiente  para  el</w:t>
        <w:br/>
        <w:t>estudio de la violencia contra los niños, Paulo Sérgio Pinheiro,  presentado</w:t>
        <w:br/>
        <w:t>con arreglo a la resolución 60/231 de la Asamblea General, A/61/299,  29  de</w:t>
        <w:br/>
        <w:t>agosto de 2006, párrs. 25, 29 y 30.</w:t>
        <w:br/>
        <w:br/>
        <w:br/>
        <w:t>[418]  Cfr.  Condición  Jurídica  y  Derechos  Humanos  del  Niño.   Opinión</w:t>
        <w:br/>
        <w:t>Consultiva OC-17/02 de 28 de agosto de 2002. Serie A No. 17, párrs.  53,  54</w:t>
        <w:br/>
        <w:t>y 60; Caso de los Hermanos Gómez Paquiyauri Vs. Perú. Fondo, Reparaciones  y</w:t>
        <w:br/>
        <w:t>Costas. Sentencia de 8 de julio de 2004. Serie C No. 110, párr. 164, y  Caso</w:t>
        <w:br/>
        <w:t>de  las  Niñas  Yean  y  Bosico  Vs.   República   Dominicana.   Excepciones</w:t>
        <w:br/>
        <w:t>Preliminares, Fondo, Reparaciones y Costas. Sentencia de 8 de septiembre  de</w:t>
        <w:br/>
        <w:t>2005. Serie C No. 130, párr. 133.</w:t>
        <w:br/>
        <w:br/>
        <w:br/>
        <w:t>[419] Cfr. Condición Jurídica y Derechos Humanos del Niño, supra  nota  417,</w:t>
        <w:br/>
        <w:t>párrs. 56, 57 y 60  y  Caso  de  las  Niñas  Yean  y  Bosico  Vs.  República</w:t>
        <w:br/>
        <w:t>Dominicana, supra nota 417, párr. 134.</w:t>
        <w:br/>
        <w:br/>
        <w:br/>
        <w:t>[420] Cfr. CEDAW, Recomendación  general  24:  La  mujer  y  la  salud,  20°</w:t>
        <w:br/>
        <w:t>período de sesiones, A/54/38/Rev.1, 1999, párr. 6 y Caso de las  Niñas  Yean</w:t>
        <w:br/>
        <w:t>y Bosico Vs. República Dominicana, supra nota 417, párr. 134.</w:t>
        <w:br/>
        <w:br/>
        <w:br/>
        <w:t>[421]       Cfr. Constitución Política  de  los  Estados  Unidos  Mexicanos,</w:t>
        <w:br/>
        <w:t>artículo 4 (expediente de anexos a la contestación de la demanda, anexo  43,</w:t>
        <w:br/>
        <w:t>tomo XXVIII, folio 9816) y Ley para la Protección de  los  Derechos  de  las</w:t>
        <w:br/>
        <w:t>Niñas,  Niños  y  Adolescentes,  publicada  en  el  Diario  Oficial  de   la</w:t>
        <w:br/>
        <w:t>Federación el 29 de mayo de 2000, artículos 2 a 5 (expediente  de  anexos  a</w:t>
        <w:br/>
        <w:t>la contestación  de la demanda, anexo 103, tomo XLIII, folio 16049).</w:t>
        <w:br/>
        <w:br/>
        <w:br/>
        <w:t>[422]       Como por ejemplo  la  creación  del  Consejo  Nacional  para  la</w:t>
        <w:br/>
        <w:t>Infancia y la Adolescencia (expediente de anexos a  la  contestación  de  la</w:t>
        <w:br/>
        <w:t>demanda, anexo 104, tomo XLIII, folios 16065 a 16068); el  Sistema  Nacional</w:t>
        <w:br/>
        <w:t>para el Desarrollo Integral de la Familia (expediente de  fondo,  tomo  III,</w:t>
        <w:br/>
        <w:t>folio 1082); el Plan de Acción Nacional para Prevenir, Atender  y  Erradicar</w:t>
        <w:br/>
        <w:t>la Explotación Sexual Comercial Infantil (expediente  de  fondo,  tomo  III,</w:t>
        <w:br/>
        <w:t>folio 1082), y la Campaña de Prevención  de  la  Violencia  hacia  la  Niñez</w:t>
        <w:br/>
        <w:t>(expediente de fondo, tomo III, folio 1085).</w:t>
        <w:br/>
        <w:br/>
        <w:br/>
        <w:t>[423]       Cfr. Caso Bámaca Velásquez Vs. Guatemala.  Fondo.  Sentencia  de</w:t>
        <w:br/>
        <w:t>25 de noviembre de 2000. Serie C No. 70, párr. 160; Caso  Escué  Zapata  Vs.</w:t>
        <w:br/>
        <w:t>Colombia, supra nota 309, párr. 77 y Caso Anzualdo Castro  Vs.  Perú,  supra</w:t>
        <w:br/>
        <w:t>nota 30, párr 105. Si bien en la sentencia  del  caso  Valle  Jaramillo,  la</w:t>
        <w:br/>
        <w:t>Corte estableció que con respecto a los  familiares  que  no  pertenecen  al</w:t>
        <w:br/>
        <w:t>núcleo de “familiares directos” no hay presunción de sufrimiento si  no  que</w:t>
        <w:br/>
        <w:t>corresponde al Tribunal analizar  en  esos  casos  si  existe,  inter  alia,</w:t>
        <w:br/>
        <w:t>vínculo afectivo, sufrimiento  o  si  participaron  en  la  búsqueda  de  la</w:t>
        <w:br/>
        <w:t>verdad, en el  presente  caso  el  Estado  se  allanó  respecto  al  alegado</w:t>
        <w:br/>
        <w:t>sufrimiento de los familiares, por lo que la Corte no aplica en el  presente</w:t>
        <w:br/>
        <w:t>caso tal análisis (Cfr. Caso Valle Jaramillo y  otros  Vs.  Colombia.  supra</w:t>
        <w:br/>
        <w:t>nota 49, párr 119).</w:t>
        <w:br/>
        <w:br/>
        <w:br/>
        <w:t>[424]       Cfr. declaración de la señora Monárrez en la audiencia  pública,</w:t>
        <w:br/>
        <w:t>supra nota 183.  Ver  también  declaración  de  la  señora  Benita  Monárrez</w:t>
        <w:br/>
        <w:t>Salgado ante el agente del Ministerio Público de la Procuraduría General  de</w:t>
        <w:br/>
        <w:t>Justicia del estado de Chihuahua el 24  de  julio  de  2006  (expediente  de</w:t>
        <w:br/>
        <w:t>anexos a la contestación a la demanda, tomo XXIX, anexo 46, folio 10046).</w:t>
        <w:br/>
        <w:br/>
        <w:br/>
        <w:t>[425]       Cfr. declaración de la señora Monárrez, supra nota 183.</w:t>
        <w:br/>
        <w:br/>
        <w:br/>
        <w:t>[426]       Cfr. declaración de la señora González, supra nota 183.</w:t>
        <w:br/>
        <w:br/>
        <w:br/>
        <w:t>[427]       Cfr. declaración  rendida  mediante  fedatario  público  por  la</w:t>
        <w:br/>
        <w:t>perito Lira Kornfeld el 21 de abril de 2009 (expediente de fondo,  tomo  XI,</w:t>
        <w:br/>
        <w:t>folio 3340).</w:t>
        <w:br/>
        <w:br/>
        <w:br/>
        <w:t>[428]       Cfr. declaración de la perito Lira  Kornfeld,  supra  nota  426,</w:t>
        <w:br/>
        <w:t>folio 3340.</w:t>
        <w:br/>
        <w:br/>
        <w:br/>
        <w:t>[429]       Cfr. Amnistía Internacional, Muertes  intolerables,  supra  nota</w:t>
        <w:br/>
        <w:t>64, folio 2282 En igual sentido CIDH, Situación de los Derechos de la  Mujer</w:t>
        <w:br/>
        <w:t>en Ciudad Juárez, supra nota 64, folio 1745.</w:t>
        <w:br/>
        <w:br/>
        <w:br/>
        <w:t>[430]       Cfr. declaración de la perito Lira  Kornfeld,  supra  nota  426,</w:t>
        <w:br/>
        <w:t>folio 3339.</w:t>
        <w:br/>
        <w:br/>
        <w:br/>
        <w:t>[431]       Cfr. declaración rendida por  la  señora  Monárrez,  supra  nota</w:t>
        <w:br/>
        <w:t>183.</w:t>
        <w:br/>
        <w:br/>
        <w:br/>
        <w:t>[432]       Cfr. declaración  de  Claudia  Ivonne  Ramos  Monárrez  ante  el</w:t>
        <w:br/>
        <w:t>agente del Ministerio Público de la  Procuraduría  General  de  Justicia  de</w:t>
        <w:br/>
        <w:t>Chihuahua el 9 de julio de 2007 (expediente de anexos a la demanda, tomo  X,</w:t>
        <w:br/>
        <w:t>anexo 91, folio  3544).  En  relación  con  esta  denuncia  ver  también  la</w:t>
        <w:br/>
        <w:t>solicitud de copia de la denuncia  por  hostigamiento  realizada  el  25  de</w:t>
        <w:br/>
        <w:t>agosto de 2006, por Claudia Ivonne Ramos Monárrez ante la Fiscalía  Especial</w:t>
        <w:br/>
        <w:t>de asesinatos contra mujeres el 1 de mayo de 2007 (expediente  de  anexos  a</w:t>
        <w:br/>
        <w:t>la contestación a la demanda, tomo XXXVI, folio 13128).</w:t>
        <w:br/>
        <w:br/>
        <w:br/>
        <w:t>[433]       Cfr. United States Department of Justice, Executive Office for</w:t>
        <w:br/>
        <w:t>Immigration Review, written decision of the Immigration Court, April 13,</w:t>
        <w:br/>
        <w:t>2009 (expediente de fondo, tomo XIII, folio 4015).</w:t>
        <w:br/>
        <w:br/>
        <w:br/>
        <w:t>[434]       Cfr. written decision of the Immigration Court, supra nota  432,</w:t>
        <w:br/>
        <w:t>folio 4023.</w:t>
        <w:br/>
        <w:br/>
        <w:br/>
        <w:t>[435]       Cfr. written decision of the Immigration Court, supra nota  432,</w:t>
        <w:br/>
        <w:t>folio 4025.</w:t>
        <w:br/>
        <w:br/>
        <w:br/>
        <w:t>[436]       Cfr. written decision of the Immigration Court, supra nota  432,</w:t>
        <w:br/>
        <w:t>folios 4018 a 4020.</w:t>
        <w:br/>
        <w:br/>
        <w:br/>
        <w:t>[437]       Cfr. written decision of the Immigration Court, supra nota  432,</w:t>
        <w:br/>
        <w:t>folios 4028 y 4029.</w:t>
        <w:br/>
        <w:br/>
        <w:br/>
        <w:t>[438]       Cfr. declaración del perito de  la  Peña  Martínez,  supra  nota</w:t>
        <w:br/>
        <w:t>186, folio 3352.</w:t>
        <w:br/>
        <w:br/>
        <w:br/>
        <w:t>[439]       Cfr. CIDH, Situación de los  Derechos  de  la  Mujer  en  Ciudad</w:t>
        <w:br/>
        <w:t>Juárez, supra nota 64, folios 1745 y 1770  y  Naciones  Unidas,  Informe  de</w:t>
        <w:br/>
        <w:t>México producido por el CEDAW, supra nota 64, folio 1924.</w:t>
        <w:br/>
        <w:br/>
        <w:br/>
        <w:t>[440]       Cfr. CIDH, Situación de los  Derechos  de  la  Mujer  en  Ciudad</w:t>
        <w:br/>
        <w:t>Juárez, supra nota 64, folios 1748 y 1769.</w:t>
        <w:br/>
        <w:br/>
        <w:br/>
        <w:t>[441]       Cfr. Informe de México producido por el CEDAW,  supra  nota  64,</w:t>
        <w:br/>
        <w:t>folio 1946.</w:t>
        <w:br/>
        <w:br/>
        <w:br/>
        <w:t>[442]       declaración testimonial de Irma Monreal  Jaime  ante  el  agente</w:t>
        <w:br/>
        <w:t>del Ministerio Público, adscrito al grupo  de  la  Fiscalía  Mixta  para  la</w:t>
        <w:br/>
        <w:t>Investigación de Homicidios de Mujeres el 5 de abril de 2006 (expediente  de</w:t>
        <w:br/>
        <w:t>anexos a la contestación a la demanda, tomo XXX, anexo 50 legajo I  tomo  I,</w:t>
        <w:br/>
        <w:t>folio 10290).</w:t>
        <w:br/>
        <w:br/>
        <w:br/>
        <w:t>[443]       Cfr. declaración rendida por la señora Monreal, supra nota 183.</w:t>
        <w:br/>
        <w:br/>
        <w:br/>
        <w:t>[444]       Cfr. declaración de la perito Azaola Garrido,  supra  nota  186,</w:t>
        <w:br/>
        <w:t>folio 3366.</w:t>
        <w:br/>
        <w:br/>
        <w:br/>
        <w:t>[445]       El artículo 11 establece:</w:t>
        <w:br/>
        <w:br/>
        <w:br/>
        <w:t xml:space="preserve">      1.  Toda  persona  tiene  derecho  al  respeto  de  su  honra   y   al</w:t>
        <w:br/>
        <w:t xml:space="preserve">      reconocimiento de su dignidad.</w:t>
        <w:br/>
        <w:br/>
        <w:br/>
        <w:t xml:space="preserve">      2. Nadie puede ser objeto de injerencias arbitrarias o abusivas en  su</w:t>
        <w:br/>
        <w:t xml:space="preserve">      vida  privada,  en  la  de  su  familia,  en  su  domicilio  o  en  su</w:t>
        <w:br/>
        <w:t xml:space="preserve">      correspondencia, ni de ataques ilegales a su honra o reputación.</w:t>
        <w:br/>
        <w:br/>
        <w:br/>
        <w:t xml:space="preserve">      3. Toda persona tiene derecho a la protección de la  ley  contra  esas</w:t>
        <w:br/>
        <w:t xml:space="preserve">      injerencias o esos ataques.</w:t>
        <w:br/>
        <w:br/>
        <w:br/>
        <w:t>[446]            Cfr. Caso Tristán Donoso, supra nota 9,  párr.  57  y  Caso</w:t>
        <w:br/>
        <w:t>Escher y otros Vs. Brasil, supra nota 46, párr. 117.</w:t>
        <w:br/>
        <w:br/>
        <w:br/>
        <w:t>[447]       Cfr. Caso  Velásquez  Rodríguez  Vs.  Honduras.  Reparaciones  y</w:t>
        <w:br/>
        <w:t>Costas. Sentencia de 21 de julio de 1989. Serie C  No.  7,  párr.  25;  Caso</w:t>
        <w:br/>
        <w:t>Anzualdo Castro Vs. Perú, supra nota 30, párr. 170, y Caso  Dacosta  Cadogan</w:t>
        <w:br/>
        <w:t>Vs.  Barbados.  Excepciones  Preliminares,  Fondo,  Reparaciones  y  Costas.</w:t>
        <w:br/>
        <w:t>Sentencia de 24 de Septiembre de 2009. Serie C No. 204, párr. 94.</w:t>
        <w:br/>
        <w:br/>
        <w:br/>
        <w:t>[448]       Cfr. Caso Anzualdo Castro Vs. Perú, supra nota 30, párr.  170  y</w:t>
        <w:br/>
        <w:t>Caso Dacosta Cadogan Vs. Barbados, supra nota 446, párr. 94.</w:t>
        <w:br/>
        <w:br/>
        <w:br/>
        <w:t>[449]       Cfr. Caso  Velásquez  Rodríguez  Vs.  Honduras.  Reparaciones  y</w:t>
        <w:br/>
        <w:t>Costas, supra nota 446, párrs. 25 y  26;  Caso  Anzualdo  Castro  Vs.  Perú,</w:t>
        <w:br/>
        <w:t>supra nota 30, párr. 173 y Caso Dacosta Cadogan  Vs.  Barbados,  supra  nota</w:t>
        <w:br/>
        <w:t>446, párr. 95.</w:t>
        <w:br/>
        <w:br/>
        <w:br/>
        <w:t>[450]       Cfr. Caso de la “Panel Blanca” (Paniagua Morales  y  otros)  Vs.</w:t>
        <w:br/>
        <w:t>Guatemala. Reparaciones y Costas. Sentencia de 25 de mayo de 2001.  Serie  C</w:t>
        <w:br/>
        <w:t>No. 76, párr. 82; Caso Acevedo Buendía y otros (“Cesantes y Jubilados de  la</w:t>
        <w:br/>
        <w:t>Contraloría”) Vs. Perú, supra nota 46, párr. 112,  y  Caso  Dacosta  Cadogan</w:t>
        <w:br/>
        <w:t>Vs. Barbados, supra nota 446, párr. 97.</w:t>
        <w:br/>
        <w:br/>
        <w:br/>
        <w:t>[451]       Cfr. Caso Goiburú y otros Vs. Paraguay.  Fondo,  Reparaciones  y</w:t>
        <w:br/>
        <w:t>Costas. Sentencia de 22 de septiembre de 2006. Serie C No. 153,  párr.  164;</w:t>
        <w:br/>
        <w:t>Caso de las Masacres de Ituango Vs. Colombia. Excepción  Preliminar,  Fondo,</w:t>
        <w:br/>
        <w:t>Reparaciones y Costas. Sentencia de 1 de julio de 2006.  Serie  C  No.  148,</w:t>
        <w:br/>
        <w:t>párr. 399, y Caso Baldeón García Vs. Perú, supra nota 261, párr. 195.</w:t>
        <w:br/>
        <w:br/>
        <w:br/>
        <w:t>[452]       Cfr. Caso Heliodoro Portugal Vs. Panamá, supra nota  297,  párr.</w:t>
        <w:br/>
        <w:t>146, y Caso Valle Jaramillo y otros Vs. Colombia, supra nota 49, párr. 102.</w:t>
        <w:br/>
        <w:br/>
        <w:br/>
        <w:t>[453]       Cfr. Caso de la Masacre de La Rochela Vs. Colombia,  supra  nota</w:t>
        <w:br/>
        <w:t>397, párr. 195 y Caso Valle Jaramillo y otros Vs. Colombia, supra  nota  49,</w:t>
        <w:br/>
        <w:t>párr. 102.</w:t>
        <w:br/>
        <w:br/>
        <w:br/>
        <w:t>[454]       Cfr. Caso Garibaldi Vs. Brasil, supra nota 252, párr. 157;  Caso</w:t>
        <w:br/>
        <w:t>Kawas Fernández Vs. Honduras, supra nota 190, párr. 199,  y  Caso  Escher  y</w:t>
        <w:br/>
        <w:t>otros Vs. Brasil, supra nota 46, párr. 239.</w:t>
        <w:br/>
        <w:br/>
        <w:br/>
        <w:t>[455] Cfr. Caso de  las  Hermanas  Serrano  Cruz  Vs.  El  Salvador.  Fondo,</w:t>
        <w:br/>
        <w:t>Reparaciones y Costas. Sentencia de 1 de marzo de 2005.  Serie  C  No.  120,</w:t>
        <w:br/>
        <w:t>párr. 195; Caso Escher y otros Vs. Brasil, supra nota 46, párr. 239, y  Caso</w:t>
        <w:br/>
        <w:t>Garibaldi Vs. Brasil, supra nota 252, párr. 157.</w:t>
        <w:br/>
        <w:br/>
        <w:br/>
        <w:t>[456]       Cfr. Caso Kawas Fernández Vs. Honduras, supra  nota  190,  párr.</w:t>
        <w:br/>
        <w:t>202 y Caso Anzualdo Castro Vs. Perú, supra nota 30, párr. 200.</w:t>
        <w:br/>
        <w:br/>
        <w:br/>
        <w:t>[457]       Cfr. Código Penal del  estado  de  Chihuahua,  publicado  en  el</w:t>
        <w:br/>
        <w:t>Periódico Oficial el 27 de diciembre de 2006  (expediente  de  anexos  a  la</w:t>
        <w:br/>
        <w:t>contestación de la demanda, tomo XXXIX, anexo 55, folios 14364 a 14452).</w:t>
        <w:br/>
        <w:br/>
        <w:br/>
        <w:t>[458]       Cfr. Código de Procedimientos Penales del estado  de  Chihuahua,</w:t>
        <w:br/>
        <w:t>publicado en el Periódico Oficial el 9 de  agosto  de  2006  (expediente  de</w:t>
        <w:br/>
        <w:t>anexos a la contestación de la demanda, tomo XXXIX, anexo 54,  folios  14266</w:t>
        <w:br/>
        <w:t>a 14362).</w:t>
        <w:br/>
        <w:br/>
        <w:br/>
        <w:t>[459]       Cfr. Ley Estatal de Derecho de las Mujeres a una Vida  Libre  de</w:t>
        <w:br/>
        <w:t>Violencia, publicada en  el  Periódico  Oficial  el  24  de  enero  de  2007</w:t>
        <w:br/>
        <w:t>(expediente de anexos a la contestación de la  demanda,  tomo  XLIII,  anexo</w:t>
        <w:br/>
        <w:t>110, folios 16144 a 16163).</w:t>
        <w:br/>
        <w:br/>
        <w:br/>
        <w:t>[460]       Cfr. Ley para  Prevenir  y  Eliminar  la  Discriminación  en  el</w:t>
        <w:br/>
        <w:t>estado de Chihuahua, publicada en el Periódico Oficial  el  7  de  julio  de</w:t>
        <w:br/>
        <w:t>2007 (expediente de anexos a la contestación  de  la  demanda,  tomo  XLIII,</w:t>
        <w:br/>
        <w:t>anexo 111, folios 16165 a 16178).</w:t>
        <w:br/>
        <w:br/>
        <w:br/>
        <w:t>[461]       Cfr. Ley Orgánica del Poder Judicial del  estado  de  Chihuahua,</w:t>
        <w:br/>
        <w:t>publicada en el Periódico Oficial el 9 de  agosto  de  2006  (expediente  de</w:t>
        <w:br/>
        <w:t>anexos a la contestación de la demanda, tomo XXXIX, anexo 53,  folios  14187</w:t>
        <w:br/>
        <w:t>a 14264).</w:t>
        <w:br/>
        <w:br/>
        <w:br/>
        <w:t>[462]       Cfr. Ley de Atención y Protección a  Víctimas  u  Ofendidos  del</w:t>
        <w:br/>
        <w:t>Delito del estado de Chihuahua, publicada en el Periódico Oficial el  21  de</w:t>
        <w:br/>
        <w:t>octubre de 2006 (expediente de anexos a la contestación de la demanda,  tomo</w:t>
        <w:br/>
        <w:t>XXXIX, anexo 58, folios 14506 a 14513).</w:t>
        <w:br/>
        <w:br/>
        <w:br/>
        <w:t>[463]        Cfr.  Ley  Orgánica  del  Ministerio  Público  del  estado   de</w:t>
        <w:br/>
        <w:t>Chihuahua, publicada en  el  Periódico  Oficial  el  9  de  agosto  de  2006</w:t>
        <w:br/>
        <w:t>(expediente de anexos a la contestación de la  demanda,  tomo  XXXIX,  anexo</w:t>
        <w:br/>
        <w:t>52, folios 14174 a 14185).</w:t>
        <w:br/>
        <w:br/>
        <w:br/>
        <w:t>[464]       Cfr. Procuraduría General de Justicia del estado  de  Chihuahua,</w:t>
        <w:br/>
        <w:t>informe  acerca  de  las  políticas   institucionales   implementadas   para</w:t>
        <w:br/>
        <w:t>prevenir, investigar, sancionar y eliminar la violencia  en  contra  de  las</w:t>
        <w:br/>
        <w:t>mujeres (expediente de anexos a la contestación  de  la  demanda,  tomo  XL,</w:t>
        <w:br/>
        <w:t>anexo 60, folio 14946).</w:t>
        <w:br/>
        <w:br/>
        <w:br/>
        <w:t>[465]       Cfr. CNDH, Segundo Informe de Evaluación  Integral,  supra  nota</w:t>
        <w:br/>
        <w:t>79, folio 4714.</w:t>
        <w:br/>
        <w:br/>
        <w:br/>
        <w:t>[466]        Cfr.  Decreto  No.  274/02-II-P.O  de  30  de  mayo   de   2002</w:t>
        <w:br/>
        <w:t>(expediente de anexos a la contestación de la  demanda,  tomo  XLIII,  anexo</w:t>
        <w:br/>
        <w:t>112, folios 16179 a 16193).</w:t>
        <w:br/>
        <w:br/>
        <w:br/>
        <w:t>[467]       Cfr. Informe de la Procuraduría General de Justicia  del  estado</w:t>
        <w:br/>
        <w:t>de Chihuahua, supra nota 463, folio 14944.</w:t>
        <w:br/>
        <w:br/>
        <w:br/>
        <w:t>[468]       Cfr. Informe de la Procuraduría General de Justicia  del  estado</w:t>
        <w:br/>
        <w:t>de Chihuahua, supra nota463, folios 14951 y 14952.</w:t>
        <w:br/>
        <w:br/>
        <w:br/>
        <w:t>[469]       En febrero de 2004 se instaló en la FEIHM la base de  datos  del</w:t>
        <w:br/>
        <w:t>Registro Nacional de Víctimas del Delito y se anunció la creación del  Banco</w:t>
        <w:br/>
        <w:t>de Datos en Génetica Forense (Cfr. Fiscalía Especial  para  la  Atención  de</w:t>
        <w:br/>
        <w:t>Delitos Relacionados con los  Homicidios  de  Mujeres  en  el  Municipio  de</w:t>
        <w:br/>
        <w:t>Juárez, Chihuahua, Primer Informe, 3 de junio de 2004, expediente de  anexos</w:t>
        <w:br/>
        <w:t>a la demanda, tomo X, anexo 79, folios 3103 y 3098).</w:t>
        <w:br/>
        <w:br/>
        <w:br/>
        <w:t>[470]       Cfr. Informe de México producido por el CEDAW,  supra  nota  64,</w:t>
        <w:br/>
        <w:t>folios 1940 y 1970 y Comisión para Prevenir y Erradicar la Violencia  contra</w:t>
        <w:br/>
        <w:t>las Mujeres en Ciudad Juárez, Tercer Informe de  Gestión,  supra  nota  101,</w:t>
        <w:br/>
        <w:t>folio 9030.</w:t>
        <w:br/>
        <w:br/>
        <w:br/>
        <w:t>[471]       Cfr. Informe de México producido por el CEDAW,  supra  nota  64,</w:t>
        <w:br/>
        <w:t>folios  1938  a  1940;  Fiscalía  Especial  para  la  Atención  de   Delitos</w:t>
        <w:br/>
        <w:t>relacionados con los Homicidios  de  Mujeres  en  el  Municipio  de  Juárez,</w:t>
        <w:br/>
        <w:t>Informe Final, supra nota 87, folios 7449 y 7450.</w:t>
        <w:br/>
        <w:br/>
        <w:br/>
        <w:t>[472]       Cfr. Comisión para Prevenir y Erradicar la Violencia contra  las</w:t>
        <w:br/>
        <w:t>Mujeres en Ciudad Juárez, Tercer Informe de Gestión, supra nota 101,  folios</w:t>
        <w:br/>
        <w:t>9156 a 9292 e Informe de México producido  por  el  CEDAW,  supra  nota  64,</w:t>
        <w:br/>
        <w:t>folios 1938 a 1940.</w:t>
        <w:br/>
        <w:br/>
        <w:br/>
        <w:t>[473]       Cfr. Decreto por el  que  se  crea  como  órgano  administrativo</w:t>
        <w:br/>
        <w:t>desconcentrado de la Secretaría de Gobernación, la Comisión para Prevenir  y</w:t>
        <w:br/>
        <w:t>Erradicar la Violencia contra las Mujeres en Ciudad Juárez, publicado en  el</w:t>
        <w:br/>
        <w:t>Diario Oficial de la Federación el 18 de  febrero  de  2004  (expediente  de</w:t>
        <w:br/>
        <w:t>anexos al escrito de alegatos  finales  del  Estado,  tomo  XLIX,  anexo  7,</w:t>
        <w:br/>
        <w:t>folios 17403 y 17404) y Comisión para  Prevenir  y  Erradicar  la  Violencia</w:t>
        <w:br/>
        <w:t>contra las Mujeres en Ciudad Juárez, Primer informe de gestión,  supra  nota</w:t>
        <w:br/>
        <w:t>67, folio 8690.</w:t>
        <w:br/>
        <w:br/>
        <w:br/>
        <w:t>[474]       Cfr. Comisión para Prevenir y Erradicar la Violencia contra  las</w:t>
        <w:br/>
        <w:t>Mujeres en Ciudad Juárez, Primer informe de gestión, supra  nota  67,  folio</w:t>
        <w:br/>
        <w:t>8708.</w:t>
        <w:br/>
        <w:br/>
        <w:br/>
        <w:t>[475]       Cfr. Comisión para Prevenir y Erradicar la Violencia contra  las</w:t>
        <w:br/>
        <w:t>Mujeres en Ciudad Juárez, Primer informe de gestión, supra  nota  67,  folio</w:t>
        <w:br/>
        <w:t>8707.</w:t>
        <w:br/>
        <w:br/>
        <w:br/>
        <w:t>[476]       Cfr. Decreto por el  que  se  crea  como  órgano  administrativo</w:t>
        <w:br/>
        <w:t>desconcentrado de la Secretaría de Gobernación, la  Comisión  Nacional  para</w:t>
        <w:br/>
        <w:t>Prevenir y Erradicar la  Violencia  contra  las  Mujeres,  publicado  en  el</w:t>
        <w:br/>
        <w:t>Diario Oficial de la Federación el 1 de junio de 2009 (expediente de  anexos</w:t>
        <w:br/>
        <w:t>al escrito de alegatos finales del Estado  mexicano,  tomo  XLIX,  anexo  8,</w:t>
        <w:br/>
        <w:t>folios 17406 al 17409).</w:t>
        <w:br/>
        <w:br/>
        <w:br/>
        <w:t>[477]       Cfr. Presupuesto de Egresos de la Federación para  el  Ejercicio</w:t>
        <w:br/>
        <w:t>Fiscal 2008, publicado en el Diario  Oficial  de  la  Federación  el  13  de</w:t>
        <w:br/>
        <w:t>diciembre de 2007 (expediente de anexos a la  contestación  de  la  demanda,</w:t>
        <w:br/>
        <w:t>tomo XLIII, anexo 85, folios 15794 a 15910). En el presupuesto  aparece  que</w:t>
        <w:br/>
        <w:t>el INMUJERES recibió 543.2 millones de pesos mexicanos.</w:t>
        <w:br/>
        <w:br/>
        <w:br/>
        <w:t>[478]       Cfr. Ley del Instituto Nacional de las Mujeres, publicada en  el</w:t>
        <w:br/>
        <w:t>Diario Oficial de la Federación el  12  de  enero  de  2001  (expediente  de</w:t>
        <w:br/>
        <w:t>anexos a la contestación de la demanda, tomo XLIII, anexo 87,  folios  16010</w:t>
        <w:br/>
        <w:t>a 16047). Algunas de las actividades que menciona el  Estado  se  encuentran</w:t>
        <w:br/>
        <w:t>contenidas  en  el  Anexo  del  Sexto  Informe  Periódico   de   México   en</w:t>
        <w:br/>
        <w:t>cumplimiento de la Convención sobre la Eliminación de todas  las  Formas  de</w:t>
        <w:br/>
        <w:t>Discriminación contra la Mujer, noviembre de 2005 (expediente  de  anexos  a</w:t>
        <w:br/>
        <w:t>la contestación de la demanda, tomo XLII, anexo 82, folio 15479).</w:t>
        <w:br/>
        <w:br/>
        <w:br/>
        <w:t>[479]        En  sus  alegatos  finales  escritos  de  junio  de  2009   los</w:t>
        <w:br/>
        <w:t>representantes señalaron que “de 2008 a la fecha han desaparecido  24  niñas</w:t>
        <w:br/>
        <w:t>y mujeres en Ciudad Juárez sin que se conozca su  paradero  y  sin  que  las</w:t>
        <w:br/>
        <w:t>autoridades  hayan  realizado  diligencias  lo  suficientemente   serias   y</w:t>
        <w:br/>
        <w:t>exhaustivas para localizarlas”, según una “cifra computada  con  información</w:t>
        <w:br/>
        <w:t>oficial que tiene  registrada”  la  organización  civil  Nuestras  Hijas  de</w:t>
        <w:br/>
        <w:t>Regreso a Casa A.C. Sin embargo, ante la Corte no se precisó  cuál  era  esa</w:t>
        <w:br/>
        <w:t>información oficial, ni con base en qué metodología se obtenía dicha  cifra.</w:t>
        <w:br/>
        <w:t>Tampoco se adjuntó documento probatorio alguno al respecto.</w:t>
        <w:br/>
        <w:br/>
        <w:br/>
        <w:t>[480]       Cfr. Artículos 32, párrafo tercero; 125, párrafo  segundo;  126;</w:t>
        <w:br/>
        <w:t>130, y 193 del Código Penal del estado de Chihuahua, supra nota 456,  folios</w:t>
        <w:br/>
        <w:t>14371, 14390, 14391 y 14404.</w:t>
        <w:br/>
        <w:br/>
        <w:br/>
        <w:t>[481]       Cfr. Artículo 83,  fracción  I,  párrafo  segundo;  121,  último</w:t>
        <w:br/>
        <w:t>párrafo, y 169, fracción IX del Código de Procedimientos Penales del  estado</w:t>
        <w:br/>
        <w:t>de Chihuahua, supra nota 457, folios 14281, 14291 y 14301.</w:t>
        <w:br/>
        <w:br/>
        <w:br/>
        <w:t>[482]       Cfr. Procuraduría General de Justicia del estado  de  Chihuahua,</w:t>
        <w:br/>
        <w:t>Protocolos de Investigación  en  Criminalística  y  Protocolos  de  Personal</w:t>
        <w:br/>
        <w:t>Especializado en Atención a Víctimas (expediente de anexos  a  los  alegatos</w:t>
        <w:br/>
        <w:t>finales escritos del Estado, tomo XLVII, anexo 3, folios 16955 a 17082).</w:t>
        <w:br/>
        <w:br/>
        <w:br/>
        <w:t>[483]       Cfr. Caso Gutiérrez Soler Vs. Colombia.  Fondo,  Reparaciones  y</w:t>
        <w:br/>
        <w:t>Costas. Sentencia de 12 de septiembre de 2005. Serie C No. 132,  párrs.  109</w:t>
        <w:br/>
        <w:t>y 110.</w:t>
        <w:br/>
        <w:br/>
        <w:br/>
        <w:t>[484]       Cfr. Comisión para Prevenir y Erradicar la Violencia contra  las</w:t>
        <w:br/>
        <w:t>Mujeres en Ciudad Juárez, Tercer Informe de Gestión, supra nota  101,  folio</w:t>
        <w:br/>
        <w:t>9054.</w:t>
        <w:br/>
        <w:br/>
        <w:br/>
        <w:t>[485]       Cfr. Procuraduría General de Justicia del estado  de  Chihuahua,</w:t>
        <w:br/>
        <w:t>Oficio dirigido al Director de Derechos Humanos de la Secretaría  Relaciones</w:t>
        <w:br/>
        <w:t>Exteriores, 17 de febrero de 2003 (expediente de anexos  a  la  contestación</w:t>
        <w:br/>
        <w:t>de la demanda, tomo XLII, anexo 75, folio 15381).</w:t>
        <w:br/>
        <w:br/>
        <w:br/>
        <w:t>[486]       Cfr. Informe de México elaborado por el CEDAW,  supra  nota  71,</w:t>
        <w:br/>
        <w:t>folio 1929.</w:t>
        <w:br/>
        <w:br/>
        <w:br/>
        <w:t>[487] Cfr. CNDH, Informe Especial, supra nota  66,  folio  2174  y  Amnistía</w:t>
        <w:br/>
        <w:t>Internacional, Muertes Intolerables, supra nota 64, folio 2274.</w:t>
        <w:br/>
        <w:br/>
        <w:br/>
        <w:t>[488]       Cfr. CIDH, Situación de los  Derechos  de  la  Mujer  en  Ciudad</w:t>
        <w:br/>
        <w:t>Juárez, supra nota 64, folio 1746.</w:t>
        <w:br/>
        <w:br/>
        <w:br/>
        <w:t>[489]       Cfr. Comisión para Prevenir y Erradicar la Violencia contra  las</w:t>
        <w:br/>
        <w:t>Mujeres en Ciudad Juárez, Tercer Informe de Gestión, supra nota  101,  folio</w:t>
        <w:br/>
        <w:t>9200.</w:t>
        <w:br/>
        <w:br/>
        <w:br/>
        <w:t>[490]       Cfr. Caso de las Hermanas Serrano Cruz Vs.  El  Salvador.  supra</w:t>
        <w:br/>
        <w:t>nota 454, párr. 190.</w:t>
        <w:br/>
        <w:br/>
        <w:br/>
        <w:t>[491]       Cfr. Fiscalía Especial para la Atención de Delitos  relacionados</w:t>
        <w:br/>
        <w:t>con los Homicidios de Mujeres en el  Municipio  de  Juárez,  Informe  final,</w:t>
        <w:br/>
        <w:t>supra nota 87, folios 14582 y 14587 a 14594.</w:t>
        <w:br/>
        <w:br/>
        <w:br/>
        <w:t>[492]       Cfr. Fiscalía Especial para la Atención de Delitos  relacionados</w:t>
        <w:br/>
        <w:t>con los Homicidios de Mujeres en el  Municipio  de  Juárez,  Informe  final,</w:t>
        <w:br/>
        <w:t>supra nota 87, folios 14582 y 14587 a 14594.</w:t>
        <w:br/>
        <w:br/>
        <w:br/>
        <w:t>[493]       Cfr. Caso Molina Theissen Vs. Guatemala. Reparaciones y  Costas.</w:t>
        <w:br/>
        <w:t>Sentencia de 3 de julio de 2004. Serie C No. 108,  párr.  91;  Caso  de  las</w:t>
        <w:br/>
        <w:t>Hermanas Serrano Cruz Vs. El Salvador, supra nota 454,  párr.  193,  y  Caso</w:t>
        <w:br/>
        <w:t>Servellón García y otros Vs. Honduras, supra nota 308, párr. 203.</w:t>
        <w:br/>
        <w:br/>
        <w:br/>
        <w:t>[494]       Cfr. Fiscalía Especial para la Atención de Delitos  Relacionados</w:t>
        <w:br/>
        <w:t>con los Homicidios de Mujeres en el Municipio de Juárez,  Chihuahua,  Primer</w:t>
        <w:br/>
        <w:t>Informe, supra nota 468, folios 2999  a  3142;  Fiscalía  Especial  para  la</w:t>
        <w:br/>
        <w:t>Atención de Delitos  relacionados  con  los  Homicidios  de  Mujeres  en  el</w:t>
        <w:br/>
        <w:t>Municipio de Juárez, Informe final, supra nota 87, folio  14536,  e  Informe</w:t>
        <w:br/>
        <w:t>de México producido por el CEDAW, supra nota 64, folio 1939.</w:t>
        <w:br/>
        <w:br/>
        <w:br/>
        <w:t>[495]       Cfr. Fiscalía Especial para la Atención de Delitos  relacionados</w:t>
        <w:br/>
        <w:t>con los Homicidios de Mujeres en el  Municipio  de  Juárez,  Informe  final,</w:t>
        <w:br/>
        <w:t>supra nota 87, folio 14532.</w:t>
        <w:br/>
        <w:br/>
        <w:br/>
        <w:t>[496] Cfr. Fiscalía Especial para la Atención de  Delitos  relacionados  con</w:t>
        <w:br/>
        <w:t>los Homicidios de Mujeres en el Municipio de Juárez,  Informe  final,  supra</w:t>
        <w:br/>
        <w:t>nota 87, folios 14532, 14536 y 14537.</w:t>
        <w:br/>
        <w:br/>
        <w:br/>
        <w:t>[497]        Cfr.  Procuraduría  General  de  la  República,   Acuerdo   No.</w:t>
        <w:br/>
        <w:t>A/003/06, supra nota 498, folio 15464.</w:t>
        <w:br/>
        <w:br/>
        <w:br/>
        <w:t>[498]       Cfr. CNDH, Segundo Informe de Evaluación  Integral,  supra  nota</w:t>
        <w:br/>
        <w:t>72, folio 4664.</w:t>
        <w:br/>
        <w:br/>
        <w:br/>
        <w:t>[499]        Cfr.  Procuraduría  General  de  la  República,   Acuerdo   No.</w:t>
        <w:br/>
        <w:t>A/003/06, 19 de enero de 2006 (expediente de anexos a la contestación de  la</w:t>
        <w:br/>
        <w:t>demanda, tomo XLII, anexo 78, folios 15462 a 15465).</w:t>
        <w:br/>
        <w:br/>
        <w:br/>
        <w:t>[500]        Cfr.  Procuraduría  General  de  la  República,   Acuerdo   No.</w:t>
        <w:br/>
        <w:t>A/024/08, 29 de enero de 2008 (expediente de anexos a la contestación de  la</w:t>
        <w:br/>
        <w:t>demanda, tomo XLII, anexo 80, folios 15470 a 15473).</w:t>
        <w:br/>
        <w:br/>
        <w:br/>
        <w:t>[501]       Cfr Informe de México producido por el  CEDAW,  supra  nota  64,</w:t>
        <w:br/>
        <w:t>folios 1937 y 1963 y CNDH, Segundo Informe  de  Evaluación  Integral,  supra</w:t>
        <w:br/>
        <w:t>nota 72, folio 4697.</w:t>
        <w:br/>
        <w:br/>
        <w:br/>
        <w:t>[502]       Cfr. Fiscalía Especial para la Atención de Delitos  relacionados</w:t>
        <w:br/>
        <w:t>con los Homicidios de Mujeres en el  Municipio  de  Juárez,  Informe  final,</w:t>
        <w:br/>
        <w:t>supra nota 87, folios 14532, 14538, 14539 y 14544.</w:t>
        <w:br/>
        <w:br/>
        <w:br/>
        <w:t>[503]       Cfr. Ley General para  la  Igualdad  entre  Mujeres  y  Hombres,</w:t>
        <w:br/>
        <w:t>publicada en el Diario Oficial de la Federación  el  2  de  agosto  de  2006</w:t>
        <w:br/>
        <w:t>(expediente de anexos a la contestación de la  demanda,  tomo  XLIII,  anexo</w:t>
        <w:br/>
        <w:t>106, folios 16079 a 16089).</w:t>
        <w:br/>
        <w:br/>
        <w:br/>
        <w:t>[504]       Cfr. Plan Nacional de Desarrollo 2007-2012, estrategia 5.4.  del</w:t>
        <w:br/>
        <w:t>eje 1 y objetivo 16 del eje 3 (expediente de anexos a la contestación de  la</w:t>
        <w:br/>
        <w:t>demanda, tomo XLII, anexo 84, folios 15495 a 15792).</w:t>
        <w:br/>
        <w:br/>
        <w:br/>
        <w:t>[505]       Cfr. Ley para  Prevenir  y  Eliminar  la  Discriminación  en  el</w:t>
        <w:br/>
        <w:t>estado de Chihuahua, supra nota 459, folios 16164 a 16178.</w:t>
        <w:br/>
        <w:br/>
        <w:br/>
        <w:t>[506]       Cfr. Ley General de Acceso de las Mujeres a una  Vida  Libre  de</w:t>
        <w:br/>
        <w:t>Violencia, supra nota 124, folios 16091 a 16107.</w:t>
        <w:br/>
        <w:br/>
        <w:br/>
        <w:t>[507]       Cfr. Ley para la Protección de los Derechos de  Niñas,  Niños  y</w:t>
        <w:br/>
        <w:t>Adolescentes, supra nota 420, folios 16049 a 16063).</w:t>
        <w:br/>
        <w:br/>
        <w:br/>
        <w:t>[508]       Cfr. artículos 30, 31 y 32 de Ley para Prevenir  y  Eliminar  la</w:t>
        <w:br/>
        <w:t>Discriminación en el estado de  Chihuahua,  supra  nota  459,  folio  16177;</w:t>
        <w:br/>
        <w:t>artículo 197 del Código Penal para el estado de Chihuahua, supra  nota  456,</w:t>
        <w:br/>
        <w:t>folios 14364 a 14452, y artículo 3 de la Ley General para la Igualdad  entre</w:t>
        <w:br/>
        <w:t>Mujeres y Hombres, supra nota 502, folio 16079.</w:t>
        <w:br/>
        <w:br/>
        <w:br/>
        <w:t>[509]       Cfr. Comisión para Prevenir y Erradicar la Violencia contra  las</w:t>
        <w:br/>
        <w:t>Mujeres en Ciudad Juárez, Tercer Informe de Gestión, supra nota  101,  folio</w:t>
        <w:br/>
        <w:t>9185.</w:t>
        <w:br/>
        <w:br/>
        <w:br/>
        <w:t>[510]       El Estado adjuntó diversos contratos  celebrados  entre  2005  y</w:t>
        <w:br/>
        <w:t>2008 con  instituciones  nacionales  e  internacionales  como  la  UNAM,  el</w:t>
        <w:br/>
        <w:t>Instituto  de  Mediación  de  México,  S.C.,  la  Universidad  Autónoma   de</w:t>
        <w:br/>
        <w:t>Chihuahua, la Universidad Autónoma  de  Ciudad  Juárez,  la  Universidad  de</w:t>
        <w:br/>
        <w:t>Barcelona, la Universidad de  Gerona,  el  IMCAA,  S.A.  de  C.V.,  el  Foro</w:t>
        <w:br/>
        <w:t>Latinoamericano para la  Seguridad  Urbana  y  la  Democracia,  A.C.,  entre</w:t>
        <w:br/>
        <w:t>otros, en colaboración con instancias locales como la  Procuraduría  General</w:t>
        <w:br/>
        <w:t>de Justicia del estado de  Chihuahua  o  la  Comisión  Estatal  de  Derechos</w:t>
        <w:br/>
        <w:t>Humanos e  instancias  federales  como  la  Comisión  Nacional  de  Derechos</w:t>
        <w:br/>
        <w:t>Humanos (expediente de anexos a los alegatos finales  escritos  del  Estado,</w:t>
        <w:br/>
        <w:t>tomo L, folios 17565 17833).</w:t>
        <w:br/>
        <w:br/>
        <w:br/>
        <w:t>[511]       El Estado exhibió un listado de  cursos  impartidos  durante  el</w:t>
        <w:br/>
        <w:t>2005 y el 2009 con el nombre del curso, el lugar y fecha  de  celebración  y</w:t>
        <w:br/>
        <w:t>las personas que fueron capacitadas (Cfr. Procuraduría General  de  Justicia</w:t>
        <w:br/>
        <w:t>del estado de Chihuahua, Centro  de  Estudios  Penales  y  Forenses,  Cursos</w:t>
        <w:br/>
        <w:t>impartidos durante 2005-2009, expediente de anexos a  los  alegatos  finales</w:t>
        <w:br/>
        <w:t>escritos del Estado, tomo XLIX, folios 17537 a 17564).</w:t>
        <w:br/>
        <w:br/>
        <w:br/>
        <w:t>[512]       Cfr. artículos  135  y  145-k  de  la  Ley  Orgánica  del  Poder</w:t>
        <w:br/>
        <w:t>Judicial del estado de Chihuahua, supra nota 460, folios 14220 y 14226.</w:t>
        <w:br/>
        <w:br/>
        <w:br/>
        <w:t>[513]       La Corte observa que consta un  comprobante  de  la  realización</w:t>
        <w:br/>
        <w:t>del curso de formación de multiplicadores a nivel nacional  del  Subprograma</w:t>
        <w:br/>
        <w:t>de Equidad y Aplicación del Manual de Equidad de Género  en  “Prevención  de</w:t>
        <w:br/>
        <w:t>la Violencia Familiar” a autoridades de la Secretaría de  Seguridad  Pública</w:t>
        <w:br/>
        <w:t>del estado de Chihuahua, y en “Derechos Humanos de la Mujer  y  Autoestima”,</w:t>
        <w:br/>
        <w:t>“Masculinidad  y  Autoestima”  y  “Violencia  Familiar  y  Asertividad”,   a</w:t>
        <w:br/>
        <w:t>funcionarios de Chihuahua (Cfr. Avances o resultados de las acciones  en  el</w:t>
        <w:br/>
        <w:t>marco del “PROEQUIDAD”, realizado por el Instituto Nacional de las  Mujeres,</w:t>
        <w:br/>
        <w:t>Dirección General de  Evaluación  y  Desarrollo  Estadístico,  Dirección  de</w:t>
        <w:br/>
        <w:t>Evaluación en el periodo de enero a diciembre de 2005, expediente de  anexos</w:t>
        <w:br/>
        <w:t>a la contestación de la demanda, tomo XLI, anexo 6, folios 15014 a 15016).</w:t>
        <w:br/>
        <w:br/>
        <w:br/>
        <w:t>[514]       Cfr. Plan Nacional de  Desarrollo  2007-2012,  estrategia  5.4.,</w:t>
        <w:br/>
        <w:t>supra nota 503, folio 15495 a 15792.</w:t>
        <w:br/>
        <w:br/>
        <w:br/>
        <w:t>[515]       Cfr. convenio celebrado entre el  Secretario  General  Ejecutivo</w:t>
        <w:br/>
        <w:t>del Foro Latinoamericano para la Seguridad Urbana y la Democracia A.C. y  la</w:t>
        <w:br/>
        <w:t>Procuraduría General de Justicia del estado de Chihuahua el 15  de  mayo  de</w:t>
        <w:br/>
        <w:t>2007 (expediente de anexos a los alegatos finales escritos del Estado,  tomo</w:t>
        <w:br/>
        <w:t>L, folios 17675 a 17688).</w:t>
        <w:br/>
        <w:br/>
        <w:br/>
        <w:t>[516]       Cfr. convenio  de  colaboración  para  el  diplomado  “Violencia</w:t>
        <w:br/>
        <w:t>Familiar y Derechos Humanos” entre la Procuraduría General de  Justicia  del</w:t>
        <w:br/>
        <w:t>Estado de Chihuahua y la Universidad Nacional Autónoma de México  del  9  de</w:t>
        <w:br/>
        <w:t>abril de 2007 (expediente de anexos a  los  alegatos  finales  escritos  del</w:t>
        <w:br/>
        <w:t>Estado,  tomo  L,  folio  17689)  e  informe   acerca   de   las   políticas</w:t>
        <w:br/>
        <w:t>institucionales  implementadas  para  prevenir,  investigar,   sancionar   y</w:t>
        <w:br/>
        <w:t>eliminar la violencia en contra de las mujeres, emitido por la  Procuraduría</w:t>
        <w:br/>
        <w:t>General del estado de Chihuahua (expediente de anexos a la  contestación  de</w:t>
        <w:br/>
        <w:t>la demanda, tomo XL, anexos 60, folio 14960).</w:t>
        <w:br/>
        <w:br/>
        <w:br/>
        <w:t>[517]       Cfr. contrato de prestación de servicios entre  la  Procuraduría</w:t>
        <w:br/>
        <w:t>General de Justicia del estado de  Chihuahua  y  el  Instituto  Mexicano  de</w:t>
        <w:br/>
        <w:t>Ciencias y Artes Aplicadas (INMCAA S.A. de C.V.) de 1  de  febrero  de  2007</w:t>
        <w:br/>
        <w:t>(expediente de anexos a los alegatos finales escritos del  Estado,  tomo  L,</w:t>
        <w:br/>
        <w:t>folio 17696).</w:t>
        <w:br/>
        <w:br/>
        <w:br/>
        <w:t>[518]       El Estado anexó un listado del  Centro  de  Estudios  Penales  y</w:t>
        <w:br/>
        <w:t>Forenses, con los cursos impartidos del 2005 al 2009.  En  el  mismo  consta</w:t>
        <w:br/>
        <w:t>que se impartió un  curso  denominado  “Curso  de  Violencia  Doméstica;  Un</w:t>
        <w:br/>
        <w:t>Problema para Todos”, con una duración de 12 horas, dirigido a 26  personas,</w:t>
        <w:br/>
        <w:t>entre el 26 al 28 de junio de 2007 (expediente  de  anexos  a  los  alegatos</w:t>
        <w:br/>
        <w:t>finales escritos del Estado, tomo XLIX, folio 17551).</w:t>
        <w:br/>
        <w:br/>
        <w:br/>
        <w:t>[519]       Dentro del listado de cursos impartidos durante el 2005 y el</w:t>
        <w:br/>
        <w:t>2009, el Estado indicó que en octubre de 2008 el Instituto Chihuahuense de</w:t>
        <w:br/>
        <w:t>la Mujer impartió el curso "Peritajes Forenses en caso de Violencia de</w:t>
        <w:br/>
        <w:t>Género" a 8 psicólogos de atención a víctimas de la Procuraduría (Cfr.</w:t>
        <w:br/>
        <w:t>Procuraduría General de Justicia del estado de Chihuahua, Centro de</w:t>
        <w:br/>
        <w:t>Estudios Penales y Forenses, supra nota 510, folio 17563).</w:t>
        <w:br/>
        <w:br/>
        <w:br/>
        <w:t>[520]       El Estado anexó un listado sobre capacitación en el  2005  donde</w:t>
        <w:br/>
        <w:t>se hace referencia a una  “Licenciatura  en  Procuración  de  Justicia”  que</w:t>
        <w:br/>
        <w:t>involucraría a una cantidad de 549 personas  (expediente  de  anexos  a  los</w:t>
        <w:br/>
        <w:t>alegatos finales escritos del Estado, tomo XLIX, folio 17535).</w:t>
        <w:br/>
        <w:br/>
        <w:br/>
        <w:t>[521] Cfr. declaración rendida ante fedatario público por la testigo  Castro</w:t>
        <w:br/>
        <w:t>Romero el 27 de abril de 2009, anexo 1  (expediente  de  fondo,  tomo  VIII,</w:t>
        <w:br/>
        <w:t>folios 2927 y 2928).</w:t>
        <w:br/>
        <w:br/>
        <w:br/>
        <w:t>[522]       Cfr. declaración del testigo  Caballero  Rodríguez,  supra  nota</w:t>
        <w:br/>
        <w:t>386.</w:t>
        <w:br/>
        <w:br/>
        <w:br/>
        <w:t>[523] Cfr. Caso Escher y otros Vs. Brasil, supra nota 46, párr. 251.</w:t>
        <w:br/>
        <w:br/>
        <w:br/>
        <w:t>[524] Cfr. relación de pagos en el Hospital General de  Madres  de  Víctimas</w:t>
        <w:br/>
        <w:t>de Feminicidios que comprende el periodo del 2002  al  8  de  mayo  de  2007</w:t>
        <w:br/>
        <w:t>elaborada por la jefatura de trabajo social de dicha institución  el  11  de</w:t>
        <w:br/>
        <w:t>mayo de 2007 (expediente de anexos a la contestación  de  la  demanda,  tomo</w:t>
        <w:br/>
        <w:t>XLI, anexo 133, folio 15138); relación de  medicamentos  proporcionados  por</w:t>
        <w:br/>
        <w:t>la  Dirección  de  Fomento  Social  a  la  señora  Benita  Monárrez  Salgado</w:t>
        <w:br/>
        <w:t>elaborado por  el  Director  de  Fomento  Social  el  11  de  mayo  de  2007</w:t>
        <w:br/>
        <w:t>(expediente de anexos a la contestación de la demanda, tomo XLI, anexo  133,</w:t>
        <w:br/>
        <w:t>folio 15140); relación de medicamentos proporcionados por  la  Dirección  de</w:t>
        <w:br/>
        <w:t>Fomento Social a la señora Irma Monreal Jaime elaborado por el  Director  de</w:t>
        <w:br/>
        <w:t>Fomento  Social  el  11  de  mayo  de  2007  (expediente  de  anexos  a   la</w:t>
        <w:br/>
        <w:t>contestación de la demanda, tomo XLI, anexo 133, folio 15141);  relación  de</w:t>
        <w:br/>
        <w:t>servicios médicos otorgados a las personas que  pertenecen  al  Programa  de</w:t>
        <w:br/>
        <w:t>Atención a Víctimas elaborada por el Director General  del  Hospital  de  la</w:t>
        <w:br/>
        <w:t>Mujer el 11 de mayo de 2007 (expediente de anexos a la  contestación  de  la</w:t>
        <w:br/>
        <w:t>demanda, tomo XLI, anexo 133, folio 15143); relación de  atención  médica  y</w:t>
        <w:br/>
        <w:t>atención psicológica elaborada por el Centro  de  Prevención  y  Atención  a</w:t>
        <w:br/>
        <w:t>Mujeres y Familias  en  Situación  de  Violencia  el  11  de  mayo  de  2007</w:t>
        <w:br/>
        <w:t>(expediente de anexos a la contestación de la demanda, tomo XLI, anexo  133,</w:t>
        <w:br/>
        <w:t>folio  15165),  y  oficio  No.  Jur/0223/2007  emitido  por   el   Instituto</w:t>
        <w:br/>
        <w:t>Chihuahuense de la Mujer el 4 de mayo de 2004 (expediente  de  anexos  a  la</w:t>
        <w:br/>
        <w:t>contestación de la demanda, tomo XLI, anexo 133, folios 15173 y 15174).</w:t>
        <w:br/>
        <w:br/>
        <w:br/>
        <w:t>[525] Cfr.  declaración  rendida  ante  fedatario  público  por  la  testigo</w:t>
        <w:br/>
        <w:t>Camberos Revilla el 8 de abril  de  2009  (expediente  de  fondo,  tomo  IX,</w:t>
        <w:br/>
        <w:t>folios 2981 a 2983).</w:t>
        <w:br/>
        <w:br/>
        <w:br/>
        <w:t>[526]       Cfr. declaración rendida ante fedatario público por  la  testigo</w:t>
        <w:br/>
        <w:t>Galindo López el 16 de abril de 2009 (expediente de fondo,  tomo  X,  folios</w:t>
        <w:br/>
        <w:t>3308 y 3309).</w:t>
        <w:br/>
        <w:br/>
        <w:br/>
        <w:t>[527]       Cfr. declaración rendida por la  testigo  Castro  Romero,  supra</w:t>
        <w:br/>
        <w:t>nota 520, folios 2922 a 2924.</w:t>
        <w:br/>
        <w:br/>
        <w:br/>
        <w:t>[528]       Cfr. declaración rendida por  la  señora  González,  supra  nota</w:t>
        <w:br/>
        <w:t>183.</w:t>
        <w:br/>
        <w:br/>
        <w:br/>
        <w:t>[529]       Cfr. Caso Kawas Fernández Vs. Honduras, supra  nota  190,  párr.</w:t>
        <w:br/>
        <w:t>209 y Caso Anzualdo Castro Vs. Perú, supra nota 30, párr. 203.</w:t>
        <w:br/>
        <w:br/>
        <w:br/>
        <w:t>[530]       El Estado cuantificó el valor de los apoyos materiales  por  los</w:t>
        <w:br/>
        <w:t>siguientes montos: $551.874,27 (quinientos cincuenta y  un  mil  ochocientos</w:t>
        <w:br/>
        <w:t>setenta y cuatro pesos mexicanos con 27/100) para los  familiares  de  Laura</w:t>
        <w:br/>
        <w:t>Berenice Ramos Monárrez; $  545.358,01  (quinientos  cuarenta  y  cinco  mil</w:t>
        <w:br/>
        <w:t>trescientos cincuenta y ocho pesos mexicanos con 01/100) para la familia  de</w:t>
        <w:br/>
        <w:t>Esmeralda Herrera Monreal, y $504.602,62 (quinientos cuatro mil  seiscientos</w:t>
        <w:br/>
        <w:t>dos pesos mexicanos con  62/100)  para  los  familiares  de  Claudia  Ivette</w:t>
        <w:br/>
        <w:t>González.</w:t>
        <w:br/>
        <w:br/>
        <w:br/>
        <w:t>[531]       El padre de la joven Ramos no fue incluido por la Comisión  como</w:t>
        <w:br/>
        <w:t>víctima en el presente caso.</w:t>
        <w:br/>
        <w:br/>
        <w:br/>
        <w:t>[532]       Cfr. certificación de entrega del apoyo  del  Fondo  de  Auxilio</w:t>
        <w:br/>
        <w:t>Económico a Familiares de  las  Víctimas  de  Homicidio  de  Mujeres  en  el</w:t>
        <w:br/>
        <w:t>Municipio de Juárez, Chihuahua, a favor de: Benita Monárrez Salgado,  el  11</w:t>
        <w:br/>
        <w:t>de noviembre de 2005 (expediente de anexos a la contestación de la  demanda,</w:t>
        <w:br/>
        <w:t>tomo XLI, anexo 133, folios 15069 a 15072); Daniel Ramos Canales, el  13  de</w:t>
        <w:br/>
        <w:t>diciembre de 2005 (expediente de anexos a la  contestación  de  la  demanda,</w:t>
        <w:br/>
        <w:t>tomo XLI, anexo 133, folios 15057 a 15061); Cecilia  Herrera  Monreal,  Juan</w:t>
        <w:br/>
        <w:t>Antonio Herrera Monreal, Benigno Herrera Monreal y Adrián  Herrera  Monreal,</w:t>
        <w:br/>
        <w:t>el 27 de noviembre de 2006 (expediente de anexos a  la  contestación  de  la</w:t>
        <w:br/>
        <w:t>demanda, tomo XLIV, anexo 129 y 130, folios 16303  a  16305);  Irma  Monreal</w:t>
        <w:br/>
        <w:t>Jaime, el 27 de abril de 2006 (expediente de anexos a la contestación de  la</w:t>
        <w:br/>
        <w:t>demanda, tomo XLIV, anexos  129  y  130,  folios  16327  a  16329),  e  Irma</w:t>
        <w:br/>
        <w:t>Josefina González Rodríguez, el 11  de  noviembre  de  2005  (expediente  de</w:t>
        <w:br/>
        <w:t>anexos a la contestación de la demanda, tomo XLV, anexo 132, folios 16527  a</w:t>
        <w:br/>
        <w:t>16530).</w:t>
        <w:br/>
        <w:br/>
        <w:br/>
        <w:t>[533]       En el acervo probatorio sólo consta un listado de viviendas  del</w:t>
        <w:br/>
        <w:t>IVI donde aparace que las señoras González y Monreal recibieron cada una  un</w:t>
        <w:br/>
        <w:t>inmueble en la calle "Vista del Pino". Por otro lado, consta un contrato  de</w:t>
        <w:br/>
        <w:t>compraventa de inmueble por la cantidad de  $30.000,00  (treinta  mil  pesos</w:t>
        <w:br/>
        <w:t>mexicanos) celebrado por Adrían Herrera  Monreal  en  la  calle  "Vista  del</w:t>
        <w:br/>
        <w:t>Prado". No existe constancia de que alguno de los tres  inmuebles  recibidos</w:t>
        <w:br/>
        <w:t>asciendan al valor que alega el Estado (Cfr. relación de madres de  víctimas</w:t>
        <w:br/>
        <w:t>que cuentan con vivienda del Instituto de la Vivienda, expediente de  anexos</w:t>
        <w:br/>
        <w:t>a la contestación de la demanda,  tomo  XLV,  anexo  132,  folio  16570),  y</w:t>
        <w:br/>
        <w:t>contrato privado de compraventa del inmueble celebrado  por  Adrián  Herrera</w:t>
        <w:br/>
        <w:t>Monreal el 19 de junio de 2007, expediente de anexos a  la  contestación  de</w:t>
        <w:br/>
        <w:t>la demanda, tomo XLIV, anexo 130, folios 16458 a 16460).</w:t>
        <w:br/>
        <w:br/>
        <w:br/>
        <w:t>[534]       Cfr. declaración de la señora  Monárrez,  supra  nota  183.  Ver</w:t>
        <w:br/>
        <w:t>además, contrato de compra venta celebrado por  la  señora  Benita  Monárrez</w:t>
        <w:br/>
        <w:t>Salgado el 18 de abril de 2006 (expediente de anexos a  la  contestación  de</w:t>
        <w:br/>
        <w:t>la demanda, tomo XLI, anexo 127, folios 15078 y 15079);  declaración  de  la</w:t>
        <w:br/>
        <w:t>testigo  Camberos  Revilla,  supra  nota  524,  folio   2982;   oficio   No.</w:t>
        <w:br/>
        <w:t>Jur/0223/2007 del Instituto Chihuahuense de la Mujer de 4 de  mayo  de  2004</w:t>
        <w:br/>
        <w:t>(expediente de anexos a la contestación de la demanda, tomo XLI, anexo  133,</w:t>
        <w:br/>
        <w:t>folio 15173), y declaración de la testigo Galindo  López,  supra  nota  525,</w:t>
        <w:br/>
        <w:t>folio 3308.</w:t>
        <w:br/>
        <w:br/>
        <w:br/>
        <w:t>[535]       Cfr. comprobante de entrega a la señora Benita Monárrez  Salgado</w:t>
        <w:br/>
        <w:t>de  $60.000,00  (sesenta  mil  pesos  mexicanos)  mediante  el  programa  de</w:t>
        <w:br/>
        <w:t>opciones productivas el 31 de mayo  de  2005  (expediente  de  anexos  a  la</w:t>
        <w:br/>
        <w:t>contestación  de  la  demanda,  tomo  XLIV,  anexo  128,  folio   16262)   y</w:t>
        <w:br/>
        <w:t>comprobante de  entrega  a  la  señora  Irma  Monreal  Jaime  de  $83.660,00</w:t>
        <w:br/>
        <w:t>(ochenta y  tres  mil  seiscientos  sesenta  pesos  mexicanos)  mediante  el</w:t>
        <w:br/>
        <w:t>programa de opciones productivas el  31  de  mayo  de  2005  (expediente  de</w:t>
        <w:br/>
        <w:t>anexos a la contestación de la demanda, tomo XLIV, anexo 131, folio 16464).</w:t>
        <w:br/>
        <w:br/>
        <w:br/>
        <w:t>[536]       Relacionados con la joven  Ramos:  lista  de  apoyos  (despensa)</w:t>
        <w:br/>
        <w:t>elaborada por el programa de Atención a Víctimas de  la  Subprocuraduría  de</w:t>
        <w:br/>
        <w:t>Justicia el 30 de marzo de 2004 (expediente de anexos a la  contestación  de</w:t>
        <w:br/>
        <w:t>la demanda, tomo XLI, anexo 133,  folio  15094);  lista  de  apoyos  (carne)</w:t>
        <w:br/>
        <w:t>elaborada por el programa de Atención a Víctimas de  la  Subprocuraduría  de</w:t>
        <w:br/>
        <w:t>Justicia el 30 de marzo de 2004 (expediente de anexos a la  contestación  de</w:t>
        <w:br/>
        <w:t>la demanda, tomo XLI, anexo 133, folio 15100); constancia de  entrega  (caja</w:t>
        <w:br/>
        <w:t>de carne) a la señora Benita Monárrez Salgado emitida  por  el  Departamento</w:t>
        <w:br/>
        <w:t>de Atención a Víctimas de los Delitos el 30 de marzo de 2004 (expediente  de</w:t>
        <w:br/>
        <w:t>anexos a la contestación de la demanda, tomo XLI, anexo 133,  folio  15098);</w:t>
        <w:br/>
        <w:t>constancia de entrega (despensa) a Claudia  Ivonne  Ramos  Monárrez  emitida</w:t>
        <w:br/>
        <w:t>por la Oficina de Atención a Víctimas de los Delitos el 22 de abril de  2004</w:t>
        <w:br/>
        <w:t>(expediente de anexos a la contestación de la demanda, tomo XLI, anexo  133,</w:t>
        <w:br/>
        <w:t>folio 15103); declaración de la  testigo  Galindo  López,  supra  nota  525,</w:t>
        <w:br/>
        <w:t>folios 3305 a 3309; recibos de  pago  emitidos  por  la  Subprocuraduría  de</w:t>
        <w:br/>
        <w:t>Justicia a favor de la señora Monárrez Salgado el 29 de octubre, 14 y 28  de</w:t>
        <w:br/>
        <w:t>noviembre y 12 y 29  de  diciembre  de  2003  (expediente  de  anexos  a  la</w:t>
        <w:br/>
        <w:t>contestación de la demanda,  tomo  XLI,  anexo  133,  folios  15109,  15111,</w:t>
        <w:br/>
        <w:t>15113, 15115 y 15117); recibos de pago No. AFV-00294,  AFV-00335,  AFV-00376</w:t>
        <w:br/>
        <w:t>y uno sin número emitidos por el Instituto Chihuahuense de la  Mujer  el  31</w:t>
        <w:br/>
        <w:t>de mayo, 15 de junio, 30 de junio y 3 de  febrero  de  2004  (expediente  de</w:t>
        <w:br/>
        <w:t>anexos a la contestación de la demanda, tomo XLI, anexo 133,  folios  15145,</w:t>
        <w:br/>
        <w:t>15147, 15151 y 15155); constancia de entrega  (calentón  y  tanque  de  gas)</w:t>
        <w:br/>
        <w:t>emitida por la Unidad de Atención a Víctimas de los Delitos el 3 de  febrero</w:t>
        <w:br/>
        <w:t>de 2004 (expediente de anexos a la contestación de  la  demanda,  tomo  XLI,</w:t>
        <w:br/>
        <w:t>anexo 133, folio 15233); declaración de la testigo Camberos  Revilla,  supra</w:t>
        <w:br/>
        <w:t>nota 524, folios 2981 a 2983, y oficio  No.  Jur/0223/2007  emitido  por  el</w:t>
        <w:br/>
        <w:t>Instituto Chihuahuense de la Mujer el 4  de  mayo  de  2004  (expediente  de</w:t>
        <w:br/>
        <w:t>anexos a la contestación de la demanda, tomo XLI, anexo 133, folios 15173  y</w:t>
        <w:br/>
        <w:t>15174).  Relacionados  con  la  joven  Herrera:  lista  de  apoyos   (carne)</w:t>
        <w:br/>
        <w:t>elaborada por el programa de Atención a Víctimas de  la  Subprocuraduría  de</w:t>
        <w:br/>
        <w:t>Justicia el 30 de marzo de 2004 (expedientes de anexos a la contestación  de</w:t>
        <w:br/>
        <w:t>la demanda, tomo XLIV, anexo 130, folio 16277); lista de apoyos  (despensas)</w:t>
        <w:br/>
        <w:t>elaborada por el programa de Atención a Víctimas de  la  Subprocuraduría  de</w:t>
        <w:br/>
        <w:t>Justicia el 30 de marzo de 2004 (expedientes de anexos a la contestación  de</w:t>
        <w:br/>
        <w:t>la demanda, tomo XLIV,  anexo  130,  folio  16274);  constancia  de  entrega</w:t>
        <w:br/>
        <w:t>(despensa) emitida por Departamento de Atención a Víctimas  de  los  Delitos</w:t>
        <w:br/>
        <w:t>el 31 de marzo de 2004 (expedientes  de  anexos  a  la  contestación  de  la</w:t>
        <w:br/>
        <w:t>demanda, tomo XLIV, anexo 130, folio 16280); recibos de  pago  emitidos  por</w:t>
        <w:br/>
        <w:t>la Subprocuraduría de Justicia a favor de la señora Monreal Jaime el  29  de</w:t>
        <w:br/>
        <w:t>abril, 29 de mayo, 12 de junio, 10 y 31 de julio, 14 y 28 de agosto de  2003</w:t>
        <w:br/>
        <w:t>(expedientes de anexos a la contestación de la  demanda,  tomo  XLIV,  anexo</w:t>
        <w:br/>
        <w:t>130,  folios  16267,  16268,  16269,  16270,  16271,  16272  y   16273),   y</w:t>
        <w:br/>
        <w:t>declaración de la testigo Galindo López,  supra  nota  525,  folios  3305  a</w:t>
        <w:br/>
        <w:t>3309. Relacionados con la joven González: lista de apoyos (carne)  elaborada</w:t>
        <w:br/>
        <w:t>del programa de Atención a Víctimas de la Subprocuraduría de Justicia el  30</w:t>
        <w:br/>
        <w:t>de marzo de 2004, (expediente de anexos a la  contestación  de  la  demanda,</w:t>
        <w:br/>
        <w:t>tomo XLV, anexo 132, folio 16476); lista de apoyos (despensa) elaborada  por</w:t>
        <w:br/>
        <w:t>el programa de Atención a Víctimas de la Subprocuraduría de Justicia  el  30</w:t>
        <w:br/>
        <w:t>de marzo de 2004 (expediente de anexos a  la  contestación  de  la  demanda,</w:t>
        <w:br/>
        <w:t>tomo XLV, anexo 132, folio 16479); constancia de entrega (caja de  carne)  a</w:t>
        <w:br/>
        <w:t>la señora Irma Josefina González Rodríguez emitida por  el  Departamento  de</w:t>
        <w:br/>
        <w:t>Atención a Víctimas de los Delitos el 30 de marzo  de  2004  (expediente  de</w:t>
        <w:br/>
        <w:t>anexos a la contestación de la demanda, tomo XLV, anexo 132,  folio  16481),</w:t>
        <w:br/>
        <w:t>y constancia de entrega  (despensa)  a  la  señora  Irma  Josefina  González</w:t>
        <w:br/>
        <w:t>Rodríguez emitida por el Departamento de Atención a Víctimas de los  Delitos</w:t>
        <w:br/>
        <w:t>el 2 de abril de  2004  (expediente  de  anexos  a  la  contestación  de  la</w:t>
        <w:br/>
        <w:t>demanda, tomo XLV, anexo 132, folio 16538). En el  expediente  se  encuentra</w:t>
        <w:br/>
        <w:t>una lista elaborada por el departamento administrativo  de  la  Procuraduría</w:t>
        <w:br/>
        <w:t>General  de  Justicia  del  estado  de  Chihuahua   refiriéndose   a cheques</w:t>
        <w:br/>
        <w:t>girados por la Subprocuraduría de Justicia Zona Norte en el período  2002  a</w:t>
        <w:br/>
        <w:t>2006. Sin embargo, esta Corte no analiza dicha lista ya que el Estado no  la</w:t>
        <w:br/>
        <w:t>relacionó con algún apoyo, ni las cantidades coinciden  con  algún  concepto</w:t>
        <w:br/>
        <w:t>alegado por el Estado. Además, el Estado no  anexó  al  material  probatorio</w:t>
        <w:br/>
        <w:t>los cheques que supuestamente se habrían girado (expediente de anexos  a  la</w:t>
        <w:br/>
        <w:t>contestación de la demanda, tomo XLI, anexo 133, folios 15168 al 15172).</w:t>
        <w:br/>
        <w:br/>
        <w:br/>
        <w:t>[537]       Cfr. declaración de la  testigo  Camberos  Revilla,  supra  nota</w:t>
        <w:br/>
        <w:t>524, folios 2977 a 2985; oficio No. Jur/0223/2007 emitido por  el  Instituto</w:t>
        <w:br/>
        <w:t>Chihuahuense de la Mujer el 4 de mayo de 2004 (expediente  de  anexos  a  la</w:t>
        <w:br/>
        <w:t>contestación de la demanda, tomo XLI, anexo 133, folios 15173  y  15174),  y</w:t>
        <w:br/>
        <w:t>declaración de la testigo Galindo López,  supra  nota  525,  folios  3305  a</w:t>
        <w:br/>
        <w:t>3309.</w:t>
        <w:br/>
        <w:br/>
        <w:br/>
        <w:t>[538]       Cfr. Fiscalía Especial para la Atención de Delitos  relacionados</w:t>
        <w:br/>
        <w:t>con los Homicidios de Mujeres en el  Municipio  de  Juárez,  Informe  final,</w:t>
        <w:br/>
        <w:t>supra nota 87, folio 14598.</w:t>
        <w:br/>
        <w:br/>
        <w:br/>
        <w:t>[539]       Cfr. acuerdo No. CA/001/05 del Consejo Asesor de Aplicación  del</w:t>
        <w:br/>
        <w:t>Fondo de Auxilio Económico a Familiares de  las  Víctimas  de  Homicidio  de</w:t>
        <w:br/>
        <w:t>Mujeres en el Municipio de Juárez, Chihuahua, de la Procuraduría General  de</w:t>
        <w:br/>
        <w:t>la República de 29 de julio de 2005 (expediente de anexos a la  contestación</w:t>
        <w:br/>
        <w:t>de la demanda, tomo XL, anexo 59, folio 14919).</w:t>
        <w:br/>
        <w:br/>
        <w:br/>
        <w:t>[540]       Cfr. certificación de entrega del apoyo  del  Fondo  de  Auxilio</w:t>
        <w:br/>
        <w:t>Económico a Familiares  a  favor  de  Benita  Monárrez  Salgado,  el  11  de</w:t>
        <w:br/>
        <w:t>noviembre de 2005; Daniel  Ramos  Canales,  el  13  de  diciembre  de  2005;</w:t>
        <w:br/>
        <w:t>Cecilia Herrera Monreal,  Juan  Antonio  Herrera  Monreal,  Benigno  Herrera</w:t>
        <w:br/>
        <w:t>Monreal y Adrián Herrera Monreal, el 27 de noviembre de 2006;  Irma  Monreal</w:t>
        <w:br/>
        <w:t>Jaime, el 27 de abril de 2006, e Irma Josefina González Rodríguez, el 11  de</w:t>
        <w:br/>
        <w:t>noviembre de 2005, (expediente de anexos a la contestación, tomo  XLI,folios</w:t>
        <w:br/>
        <w:t>15057 a 15061, 15069 a 15072, y expediente de anexos a los alegatos  finales</w:t>
        <w:br/>
        <w:t>escritos, tomo XLIV, anexo 128, folios, 16303 a  16305,  16327  a  16329,  y</w:t>
        <w:br/>
        <w:t>volume XLV, anexo 131, folios, 16527 a 16530).</w:t>
        <w:br/>
        <w:br/>
        <w:br/>
        <w:t>[541]       Cfr. Responsabilidad internacional por expedición  y  aplicación</w:t>
        <w:br/>
        <w:t>de leyes violatorias de la Convención (arts. 1 y 2 Convención  Americana  de</w:t>
        <w:br/>
        <w:t>Derechos Humanos). Opinión Consultiva OC-14/94 del 9 de diciembre  de  1994,</w:t>
        <w:br/>
        <w:t>párr. 35 y Caso Castillo Páez  Vs.  Perú.  Supervisión  de  Cumplimiento  de</w:t>
        <w:br/>
        <w:t>Sentencia. Resolución de la Corte Interamericana de  3  de  abril  de  2009,</w:t>
        <w:br/>
        <w:t>considerando quinto.</w:t>
        <w:br/>
        <w:br/>
        <w:br/>
        <w:t>[542]       Las señoras González y Monreal reconocieron haber  recibido  los</w:t>
        <w:br/>
        <w:t>“pies  de  casa”.  No  obstante,  el  Estado  no  contravino  una   de   las</w:t>
        <w:br/>
        <w:t>declaraciones de las madres en la audiencia  pública  en  relación  con  las</w:t>
        <w:br/>
        <w:t>condiciones de los inmuebles, según las cuales “nos dieron un  pie  de  casa</w:t>
        <w:br/>
        <w:t>que son veinte metros con algo así, está en  zona  de  riesgo,  está  en  un</w:t>
        <w:br/>
        <w:t>basurero, […] está peligroso, es una zona de riesgo”  (Cfr.  declaración  de</w:t>
        <w:br/>
        <w:t>la señora González, supra nota 183). Tampoco contravino una  declaración  de</w:t>
        <w:br/>
        <w:t>la perita Azaola Garrido en el sentido de  que  el  “pie  de  casa”  que  el</w:t>
        <w:br/>
        <w:t>Estado les concedió “[s]e trata de una habitación de, aproximadamente,  4  x</w:t>
        <w:br/>
        <w:t>4 metros, en un paraje distante de la ciudad, que carece  de  todo  tipo  de</w:t>
        <w:br/>
        <w:t>servicios y que inclusive en sus inicios carecía de transporte  público,  lo</w:t>
        <w:br/>
        <w:t>que implicaba tiempos de traslado para sus sitios de trabajo  hasta  de  dos</w:t>
        <w:br/>
        <w:t>horas, así como largas jornadas en que los niños  debían  permanecer  solos”</w:t>
        <w:br/>
        <w:t>(Cfr. declaración de la perito Azaola Garrifo, supra nota 186, folio 3370).</w:t>
        <w:br/>
        <w:br/>
        <w:br/>
        <w:t>[543]       Cfr. declaración de la testigo Galindo López,  supra  nota  525,</w:t>
        <w:br/>
        <w:t>folio 3308.</w:t>
        <w:br/>
        <w:br/>
        <w:br/>
        <w:t>[544]       Cfr. declaración de la  testigo  Camberos  Revilla,  supra  nota</w:t>
        <w:br/>
        <w:t>524, folio 2982.</w:t>
        <w:br/>
        <w:br/>
        <w:br/>
        <w:t>[545]       La señora González hizo referencia a gastos por copias  y  otros</w:t>
        <w:br/>
        <w:t>conceptos. Por su parte, la señora Monárrez hizo  referencia  a  gastos  por</w:t>
        <w:br/>
        <w:t>estudios de ADN (Cfr. declaraciones de  las  señoras  Monárrez  y  González,</w:t>
        <w:br/>
        <w:t>supra nota 183).</w:t>
        <w:br/>
        <w:br/>
        <w:br/>
        <w:t>[546]       Los representantes exhibieron cuadros de cálculo para  monto  de</w:t>
        <w:br/>
        <w:t>lucro cesante de las víctimas sin explicitar en los mismos el desarrollo  de</w:t>
        <w:br/>
        <w:t>la fórmula (expediente de anexos al escrito  de  solicitudes  y  argumentos,</w:t>
        <w:br/>
        <w:t>tomo XXIII, anexo 19, folios 8099 a 8105).</w:t>
        <w:br/>
        <w:br/>
        <w:br/>
        <w:t>[547]       Para obtener el índice de  esperanza  de  vida  en  México  para</w:t>
        <w:br/>
        <w:t>mujeres, el Estado remitió a la página oficial  del  Instituto  Nacional  de</w:t>
        <w:br/>
        <w:t>Información Estadística y Geografía de México (INEGI): www.inegi.gob.mx   En</w:t>
        <w:br/>
        <w:t>dicha página se observa que el promedio de esperanza  de  vida  es  extraído</w:t>
        <w:br/>
        <w:t>del Consejo Nacional de Población de México (CONAPO).</w:t>
        <w:br/>
        <w:br/>
        <w:br/>
        <w:t>[548]       El daño inmaterial puede comprender  tanto  los  sufrimientos  y</w:t>
        <w:br/>
        <w:t>las aflicciones causados a la víctima y a sus  allegados,  el  menoscabo  de</w:t>
        <w:br/>
        <w:t>valores muy significativos para las personas, así como las alteraciones,  de</w:t>
        <w:br/>
        <w:t>carácter no pecuniario, en las condiciones de existencia de la víctima o  su</w:t>
        <w:br/>
        <w:t>familia. Dado que no es posible asignar al daño  inmaterial  un  equivalente</w:t>
        <w:br/>
        <w:t>monetario preciso, sólo puede ser objeto de compensación, mediante  el  pago</w:t>
        <w:br/>
        <w:t>de una cantidad de dinero o la entrega de bienes o servicios apreciables  en</w:t>
        <w:br/>
        <w:t>dinero, que el Tribunal determina en términos de equidad, así como  mediante</w:t>
        <w:br/>
        <w:t>la realización de actos u obras  de  alcance  o  repercusión  públicos,  que</w:t>
        <w:br/>
        <w:t>tengan como efecto el reconocimiento de la dignidad de la víctima  y  evitar</w:t>
        <w:br/>
        <w:t>que vuelvan a  ocurrir  violaciones  de  los  derechos  humanos  (Cfr.  Caso</w:t>
        <w:br/>
        <w:t>Anzualdo Castro Vs. Perú, supra nota 30, párr. 218, y Caso  Dacosta  Cadogan</w:t>
        <w:br/>
        <w:t>Vs. Barbados, supra nota 446, párr. 111).</w:t>
        <w:br/>
        <w:br/>
        <w:br/>
        <w:t>[549]       Cfr. Caso  Neira  Alegría  y  otros  Vs.  Perú.  Reparaciones  y</w:t>
        <w:br/>
        <w:t>Costas. Sentencia de 19 de septiembre de 1996. Serie C  No.  29,  párr.  56;</w:t>
        <w:br/>
        <w:t>Caso Anzualdo Castro Vs. Perú, supra nota 30,  párr.  219,  y  Caso  Dacosta</w:t>
        <w:br/>
        <w:t>Cadogan Vs. Barbados, supra nota 446, párr. 100.</w:t>
        <w:br/>
        <w:br/>
        <w:br/>
        <w:t>[550]       Cfr. Caso de la “Masacre de Mapiripán” Vs. Colombia, supra  nota</w:t>
        <w:br/>
        <w:t>252, párr. 288; Caso Heliodoro Portugal Vs. Panamá, supra  nota  297,  párr.</w:t>
        <w:br/>
        <w:t>239, y Caso Kawas Fernández Vs. Honduras, supra nota 190, párr. 184.</w:t>
        <w:br/>
        <w:br/>
        <w:br/>
        <w:t>[551]       Cfr. Caso Garrido y  Baigorria  Vs.  Argentina.  Reparaciones  y</w:t>
        <w:br/>
        <w:t>Costas. Sentencia de 27 de agosto de 1998. Serie C No. 39,  párr.  79;  Caso</w:t>
        <w:br/>
        <w:t>Perozo y otros Vs. Venezuela, supra nota 22, párr. 417; Caso  Garibaldi  Vs.</w:t>
        <w:br/>
        <w:t>Brasil, supra nota 252, párr. 194.</w:t>
        <w:br/>
        <w:br/>
        <w:br/>
        <w:t>[552]       Cfr. Caso Chaparro Álvarez y Lapo Íñiguez.  Vs.  Ecuador,  supra</w:t>
        <w:br/>
        <w:t>nota 265, párr. 275; Caso Escher y otros Vs. Brasil, supra  nota  46,  párr.</w:t>
        <w:br/>
        <w:t>259, y Caso Tristán Donoso Vs. Panamá, supra nota 9, párr. 215.</w:t>
        <w:br/>
        <w:br/>
        <w:br/>
        <w:t>[553]       Cfr. Caso  Ximenes  Lopes  Vs.  Brasil.  Fondo,  Reparaciones  y</w:t>
        <w:br/>
        <w:t>Costas. Sentencia de 4 de julio de 2006. Serie C No. 149.</w:t>
        <w:br/>
        <w:br/>
        <w:br/>
        <w:t>[554]       Cfr.Caso  Comunidad  Indígena  Yakye  Axa  Vs.  Paraguay.  Fondo</w:t>
        <w:br/>
        <w:t>Reparaciones y Costas. Sentencia 17 de junio de 2005. Serie C No. 125</w:t>
        <w:br/>
        <w:br/>
        <w:br/>
        <w:t>[555]       Cfr. Caso Ximenes Lopes Vs. Brasil, supra nota 1, párr. 138.</w:t>
        <w:br/>
        <w:br/>
        <w:br/>
        <w:t>[556]       Cfr. Caso Ximenes Lopes Vs. Brasil, supra nota 1, párr. 146.</w:t>
        <w:br/>
        <w:br/>
        <w:br/>
        <w:t>[557]       Cfr.Caso Comunidad Indígena Yakye Axa Vs. Paraguay,  supra  nota</w:t>
        <w:br/>
        <w:t>2, párr. 162</w:t>
        <w:br/>
        <w:br/>
        <w:br/>
        <w:t>[558]       Por ejemplo, European Court  of  Human  Rights,  Case  Kilic  v.</w:t>
        <w:br/>
        <w:t>Turkey (Application no. 22492/93) Judgment Strasbourg, 28 March 2000,  párr.</w:t>
        <w:br/>
        <w:t>63, Cfr. Case  of  Opuz  v.  Turkey  (Application  no.  33401/02),  Judgment</w:t>
        <w:br/>
        <w:t>Strasbourg, 9 June 2009. párr. 129.</w:t>
        <w:br/>
        <w:br/>
        <w:br/>
        <w:t>[559]       Cfr. Case of Osman v.  The  United  Kingdom  (87/1997/871/1083).</w:t>
        <w:br/>
        <w:t>Judgment Strasbourg, 28 October 1998, para. 116. Texto original y oficial:</w:t>
        <w:br/>
        <w:br/>
        <w:br/>
        <w:t xml:space="preserve">      For the Court, and  bearing  in  mind  the  difficulties  involved  in</w:t>
        <w:br/>
        <w:t xml:space="preserve">      policing modern societies, the unpredictability of human  conduct  and</w:t>
        <w:br/>
        <w:t xml:space="preserve">      the operational choices which must be made in terms of priorities  and</w:t>
        <w:br/>
        <w:t xml:space="preserve">      resources, such an obligation must be interpreted in a way which  does</w:t>
        <w:br/>
        <w:t xml:space="preserve">      not  impose  an  impossible  or   disproportionate   burden   on   the</w:t>
        <w:br/>
        <w:t xml:space="preserve">      authorities. […] In the  opinion  of  the  Court  where  there  is  an</w:t>
        <w:br/>
        <w:t xml:space="preserve">      allegation  that  the  authorities  have   violated   their   positive</w:t>
        <w:br/>
        <w:t xml:space="preserve">      obligation to protect the right to life […] it must be established  to</w:t>
        <w:br/>
        <w:t xml:space="preserve">      its satisfaction that the authorities knew or ought to have  known  at</w:t>
        <w:br/>
        <w:t xml:space="preserve">      the time of the existence of a real and immediate risk to the life  of</w:t>
        <w:br/>
        <w:t xml:space="preserve">      an identified individual or individuals from the criminal  acts  of  a</w:t>
        <w:br/>
        <w:t xml:space="preserve">      third party and that they failed to take measures within the scope  of</w:t>
        <w:br/>
        <w:t xml:space="preserve">      their powers which, judged reasonably, might  have  been  expected  to</w:t>
        <w:br/>
        <w:t xml:space="preserve">      avoid that risk.</w:t>
        <w:br/>
        <w:br/>
        <w:br/>
        <w:t>[560]       Cfr. Case of Osman v. The United Kingdom, supra  nota  7,  párr.</w:t>
        <w:br/>
        <w:t>115</w:t>
        <w:br/>
        <w:br/>
        <w:br/>
        <w:t>[561]       Cfr. Case of Osman v. The United Kingdom, supra  nota  7,  párr.</w:t>
        <w:br/>
        <w:t>115</w:t>
        <w:br/>
        <w:br/>
        <w:br/>
        <w:t>[562]       Cfr. Case of Osman v. The United Kingdom, supra  nota  7,  párr.</w:t>
        <w:br/>
        <w:t>115</w:t>
        <w:br/>
        <w:br/>
        <w:br/>
        <w:t>[563]        Cfr.  Caso  Velásquez  Rodríguez  Vs.   Honduras.   Excepciones</w:t>
        <w:br/>
        <w:t>Preliminares. Sentencia de 26 de junio de 1987. Serie C No. 1, párr. 174.</w:t>
        <w:br/>
        <w:br/>
        <w:br/>
        <w:t>[564]       Cfr. Caso Comunidad Indígena Sawhoyamaxa  Vs.  Paraguay.  Fondo,</w:t>
        <w:br/>
        <w:t>Reparaciones y Costas. Sentencia de 29 de marzo de 2006. Serie  C  No.  146,</w:t>
        <w:br/>
        <w:t>párr. 155.</w:t>
        <w:br/>
        <w:br/>
        <w:br/>
        <w:t>[565]        Cfr.  Caso  Valle  Jaramillo  y  otros  Vs.  Colombia.   Fondo,</w:t>
        <w:br/>
        <w:t>Reparaciones y Costas. Sentencia de 27 de noviembre de  2008.  Serie  C  No.</w:t>
        <w:br/>
        <w:t>192, párr. 78.</w:t>
        <w:br/>
        <w:br/>
        <w:br/>
        <w:t>[566]       Cfr. Caso de la Masacre de Pueblo  Bello  Vs.  Colombia.  Fondo,</w:t>
        <w:br/>
        <w:t>Reparaciones y Costas. Sentencia de 31 de enero de 2006. Serie  C  No.  140,</w:t>
        <w:br/>
        <w:t>párr. 123.</w:t>
        <w:br/>
        <w:br/>
        <w:br/>
        <w:t>[567]       Cfr. Caso de la Masacre de  Pueblo  Bello  Vs.  Colombia,  supra</w:t>
        <w:br/>
        <w:t>nota 14, párr. 123.</w:t>
        <w:br/>
        <w:br/>
        <w:br/>
        <w:t>[568]       Cfr. Caso de la Masacre de  Pueblo  Bello  Vs.  Colombia,  supra</w:t>
        <w:br/>
        <w:t>nota  14, párr. 123.</w:t>
        <w:br/>
        <w:br/>
        <w:br/>
        <w:t>[569]       Cfr. Caso Ríos y otros Vs. Venezuela. Excepciones  Preliminares,</w:t>
        <w:br/>
        <w:t>Fondo, Reparaciones y Costas. Sentencia de 28 de enero de 2009. Serie C  No.</w:t>
        <w:br/>
        <w:t>194, párr. 110.</w:t>
        <w:br/>
        <w:br/>
        <w:br/>
        <w:t>[570]        Cfr.  Caso  Perozo   y   otros   Vs.   Venezuela.   Excepciones</w:t>
        <w:br/>
        <w:t>Preliminares, Fondo, Reparaciones y Costas. Sentencia  de  28  de  enero  de</w:t>
        <w:br/>
        <w:t>2009. Serie C No. 195, párr. 121.</w:t>
        <w:br/>
        <w:br/>
        <w:br/>
        <w:br/>
        <w:br/>
        <w:br/>
        <w:t>[571]       Cfr. Caso  Bueno  Alves  Vs  Argentina.  Fondo,  Reparaciones  y</w:t>
        <w:br/>
        <w:t>Costas. Sentencia de 11 de mayo de 2007. Serie C No.164, párr.  79,  y  Caso</w:t>
        <w:br/>
        <w:t>Bayarri Vs. Argentina. Excepción Preliminar, Fondo, Reparaciones  y  Costas.</w:t>
        <w:br/>
        <w:t>Sentencia de 30 de octubre de 2008. Serie C No. 187, párr. 81.</w:t>
        <w:br/>
        <w:br/>
        <w:br/>
        <w:t>[572]       Cfr. European Court of Human Rights,  Case  of  Ireland  v.  The</w:t>
        <w:br/>
        <w:t>United Kingdom, (Application no. 5310/71) Judgment  Strasbourg,  18  January</w:t>
        <w:br/>
        <w:t>1978, para. 167.</w:t>
        <w:br/>
        <w:br/>
        <w:br/>
        <w:t>[573]        Cfr.  General  Comment  No.  20:   Replaces   general   comment</w:t>
        <w:br/>
        <w:t>concerning prohibition of torture and cruel treatment  or  punishment  (Art.</w:t>
        <w:br/>
        <w:t>7): 10/03/92 CCPR General Comment No.20.</w:t>
        <w:br/>
        <w:br/>
        <w:br/>
        <w:t>[574]       Cfr. General Comment No. 20, supra nota 3, párr. 4.</w:t>
        <w:br/>
        <w:br/>
        <w:br/>
        <w:t>[575]       Cfr. General Comment No. 20, supra  nota  3,  párr.  2.  También</w:t>
        <w:br/>
        <w:t>hace referencia a actos de tortura cometidos por particulares  en  el  párr.</w:t>
        <w:br/>
        <w:t>13 de la misma Observación General, en el sentido de que</w:t>
        <w:br/>
        <w:br/>
        <w:br/>
        <w:t xml:space="preserve">      [a]l presentar sus informes, los Estados Partes  deberán  indicar  las</w:t>
        <w:br/>
        <w:t xml:space="preserve">      disposiciones de su derecho penal  que  sancionan  la  tortura  y  los</w:t>
        <w:br/>
        <w:t xml:space="preserve">      tratos o castigos crueles, inhumanos y degradantes, y  especificar  la</w:t>
        <w:br/>
        <w:t xml:space="preserve">      sanciones  aplicables  a  esos  actos,  sean   éstos   cometidos   por</w:t>
        <w:br/>
        <w:t xml:space="preserve">      funcionarios públicos u otras personas que actúen en nombre del Estado</w:t>
        <w:br/>
        <w:t xml:space="preserve">      o por particulares. Serán considerados responsables quienes violen  el</w:t>
        <w:br/>
        <w:t xml:space="preserve">      artículo 7, ya sea alentando, ordenando o perpetrando actos prohibidos</w:t>
        <w:br/>
        <w:br/>
        <w:br/>
        <w:t>[576]       Cfr. European Court of Human Rights, Case  of  Opuz  v.  Turkey,</w:t>
        <w:br/>
        <w:t>(Application no. 33401/02), Judgment Strasbourg, 9  June  2009,  para.  159.</w:t>
        <w:br/>
        <w:t>Ver también Case of Z and others v.  the  United  Kingdom  (Application  no.</w:t>
        <w:br/>
        <w:t>29392/95), Judgment Strasbourg 10 May 2001, párr. 73-</w:t>
        <w:br/>
        <w:br/>
        <w:br/>
        <w:t>[577]       Cfr. European Court of Human Rights, Case  of  Opuz  v.  Turkey,</w:t>
        <w:br/>
        <w:t>supra nota 6, párra. 159.</w:t>
        <w:br/>
        <w:br/>
        <w:br/>
        <w:t>[578]       El artículo 3 de la Convención Interamericana  para  Prevenir  y</w:t>
        <w:br/>
        <w:t>Sancionar la Tortura establece:</w:t>
        <w:br/>
        <w:br/>
        <w:br/>
        <w:t xml:space="preserve">      Serán responsables del delito de tortura:</w:t>
        <w:br/>
        <w:br/>
        <w:br/>
        <w:t xml:space="preserve">      a. los empleados o funcionarios públicos que actuando en ese  carácter</w:t>
        <w:br/>
        <w:t xml:space="preserve">      ordenen, instiguen, induzcan a su comisión, lo cometan directamente  o</w:t>
        <w:br/>
        <w:t xml:space="preserve">      que, pudiendo impedirlo, no lo hagan.</w:t>
        <w:br/>
        <w:br/>
        <w:br/>
        <w:t xml:space="preserve">      b. las personas que a instigación  de  los  funcionarios  o  empleados</w:t>
        <w:br/>
        <w:t xml:space="preserve">      públicos a que se refiere el inciso a. ordenen, instiguen o induzcan a</w:t>
        <w:br/>
        <w:t xml:space="preserve">      su comisión, lo cometan directamente o sean cómplices.</w:t>
        <w:br/>
        <w:br/>
        <w:br/>
        <w:t>[579]       El artículo 1.1 de la  Convención  contra  la  Tortura  y  Otros</w:t>
        <w:br/>
        <w:t>Tratos o Penas Crueles, Inhumanos o Degradantes establece:</w:t>
        <w:br/>
        <w:br/>
        <w:br/>
        <w:t xml:space="preserve">      A los efectos de la presente Convención, se entenderá por  el  término</w:t>
        <w:br/>
        <w:t xml:space="preserve">      "tortura" todo acto por el cual se  inflija  intencionadamente  a  una</w:t>
        <w:br/>
        <w:t xml:space="preserve">      persona dolores o sufrimientos graves, ya sean físicos o mentales, con</w:t>
        <w:br/>
        <w:t xml:space="preserve">      el fin de obtener de ella o de un tercero información o una confesión,</w:t>
        <w:br/>
        <w:t xml:space="preserve">      de castigarla por un acto que haya cometido,  o  se  sospeche  que  ha</w:t>
        <w:br/>
        <w:t xml:space="preserve">      cometido, o de intimidar o coaccionar a esa persona o a otras,  o  por</w:t>
        <w:br/>
        <w:t xml:space="preserve">      cualquier razón basada en cualquier  tipo  de  discriminación,  cuando</w:t>
        <w:br/>
        <w:t xml:space="preserve">      dichos dolores o  sufrimientos  sean  infligidos  por  un  funcionario</w:t>
        <w:br/>
        <w:t xml:space="preserve">      público u otra persona  en  el  ejercicio  de  funciones  públicas,  a</w:t>
        <w:br/>
        <w:t xml:space="preserve">      instigación suya, o  con  su  consentimiento  o  aquiescencia.  No  se</w:t>
        <w:br/>
        <w:t xml:space="preserve">      considerarán torturas los dolores o sufrimientos que sean consecuencia</w:t>
        <w:br/>
        <w:t xml:space="preserve">      únicamente  de  sanciones  legítimas,  o   que   sean   inherentes   o</w:t>
        <w:br/>
        <w:t xml:space="preserve">      incidentales a éstas.</w:t>
        <w:br/>
        <w:br/>
        <w:br/>
        <w:t>[580]       Comité contra  la  tortura,  Observación  General  No.  2  sobre</w:t>
        <w:br/>
        <w:t>aplicación del artículo 2 por los Estados Partes, documento  CAT/C/GC/2,  de</w:t>
        <w:br/>
        <w:t>24 de enero de 2008, párr. 18..</w:t>
        <w:br/>
        <w:br/>
        <w:br/>
        <w:t>[581]       Informe 2008 del Relator  Especial  sobre  la  tortura  y  otros</w:t>
        <w:br/>
        <w:t>tratos o  penas  crueles,  inhumanos  o  degradantes,  Manfred  Nowak,  doc.</w:t>
        <w:br/>
        <w:t>A/HRC/7/3 de 15 de enero de 2008, párr. 31.</w:t>
        <w:br/>
        <w:br/>
        <w:br/>
        <w:t>[582]        Caso  de  los  Hermanos  Gómez  Paquiyauri  Vs.  Perú.   Fondo,</w:t>
        <w:br/>
        <w:t>Reparaciones y Costas. Sentencia de 8 de julio de 2004.  Serie  C  No.  110,</w:t>
        <w:br/>
        <w:t>párr.  112..Ver  también  Caso  Fermín   Ramírez   Vs.   Guatemala.   Fondo,</w:t>
        <w:br/>
        <w:t>Reparaciones y Costas. Sentencia de 20 de junio de 2005. Serie  C  No.  126,</w:t>
        <w:br/>
        <w:t>párr.  117,  y  Caso  del  Penal  Miguel  Castro  Castro  Vs.  Perú.  Fondo,</w:t>
        <w:br/>
        <w:t>Reparaciones y Costas. Sentencia de 25 de noviembre de  2006.  Serie  C  No.</w:t>
        <w:br/>
        <w:t>160, párr. 271.</w:t>
        <w:br/>
        <w:br/>
        <w:br/>
        <w:t>[583]        Cfr.  Caso  Velásquez  Rodríguez  Vs.   Honduras.   Excepciones</w:t>
        <w:br/>
        <w:t>Preliminares. Sentencia de 26 de junio de 1987. Serie  C  No.  1,  párr.103.</w:t>
        <w:br/>
        <w:t>Igualmente, Caso Cantoral Benavides Vs. Perú.  Fondo.  Sentencia  de  18  de</w:t>
        <w:br/>
        <w:t>agosto de 2000.  Serie  C  No.  69,  párr  102;  Caso  Maritza  Urrutia  Vs.</w:t>
        <w:br/>
        <w:t>Guatemala. Fondo, Reparaciones y Costas. Sentencia de  27  de  noviembre  de</w:t>
        <w:br/>
        <w:t>2003. Serie C No. 103, párr. 92; Caso de los Hermanos Gómez  Paquiyauri  Vs.</w:t>
        <w:br/>
        <w:t>Perú. Fondo, Reparaciones y Costas. Sentencia de 8 de julio de  2004.  Serie</w:t>
        <w:br/>
        <w:t>C No. 110, párr. 112.</w:t>
        <w:br/>
        <w:br/>
        <w:br/>
        <w:t>[584]       Cfr. International  Tribunal  for  the  Prosecution  of  Persons</w:t>
        <w:br/>
        <w:t>Responsible  for  Serious  violations  of  International  Humanitarian   Law</w:t>
        <w:br/>
        <w:t>Committed in the Territory  of  the  Former  Yugoslavia  since  1991,  Trial</w:t>
        <w:br/>
        <w:t>chamber, Prosecutor v. Dragoljub Kunarac, Radomir Kovac and  Zoran  Vukovic,</w:t>
        <w:br/>
        <w:t>Judgment of 22 February 2001.</w:t>
        <w:br/>
        <w:br/>
        <w:br/>
        <w:t>[585]       Costello-Roberts v. UK, 25 Mar 1993, Series A, No 247-C,  paras.</w:t>
        <w:br/>
        <w:t>27-28; HLR v. France, 29 Apr 1997, Reports 1997-III, p. 758, para.  40;  and</w:t>
        <w:br/>
        <w:t>A v. UK, 23 Sept 1998, Reports of Judgments and Decisions 1998-VI, p.  2692,</w:t>
        <w:br/>
        <w:t>para. 22.</w:t>
        <w:br/>
        <w:br/>
        <w:br/>
        <w:t>[586]       Cfr. International  Tribunal  for  the  Prosecution  of  Persons</w:t>
        <w:br/>
        <w:t>Responsible  for  Serious  violations  of  International  Humanitarian   Law</w:t>
        <w:br/>
        <w:t>Committed in the Territory  of  the  Former  Yugoslavia  since  1991,  Trial</w:t>
        <w:br/>
        <w:t>Chamber, Prosecutor v Furund~[pic]ija, Case IT-95-17/1-T, Judgment,  10  Dec</w:t>
        <w:br/>
        <w:t>1998, para. 160.</w:t>
        <w:br/>
        <w:br/>
        <w:br/>
        <w:t>[587]       El artículo 29.b de la Convención establece:</w:t>
        <w:br/>
        <w:br/>
        <w:br/>
        <w:t xml:space="preserve">       Ninguna  disposición  de  la  presente  Convención   puProsecutor   v</w:t>
        <w:br/>
        <w:t xml:space="preserve">      Furundžija, Case IT-95-17/1-T, Judgment, 10 Dec 1998, para. 160.</w:t>
        <w:br/>
        <w:br/>
        <w:t>[588]       El artículo 29.b de la Convención establece:</w:t>
        <w:br/>
        <w:t xml:space="preserve"> Ninguna disposición de la presente Convención puede ser interpretada en  el</w:t>
        <w:br/>
        <w:t>sentido de:</w:t>
        <w:br/>
        <w:br/>
        <w:t xml:space="preserve">       b) limitar el goce y ejercicio de cualquier derecho  o 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br/>
        <w:t>[589]       El artículo 5.2 del Pacto establece:</w:t>
        <w:br/>
        <w:br/>
        <w:br/>
        <w:t xml:space="preserve">      No podrá admitirse restricción o menoscabo de ninguno de los  derechos</w:t>
        <w:br/>
        <w:t xml:space="preserve">      humanos fundamentales reconocidos o vigentes en  un  Estado  Parte  en</w:t>
        <w:br/>
        <w:t xml:space="preserve">      virtud de leyes, convenciones, reglamentos o costumbres,  so  pretexto</w:t>
        <w:br/>
        <w:t xml:space="preserve">      de que el presente Pacto no los  reconoce  o  los  reconoce  en  menor</w:t>
        <w:br/>
        <w:t xml:space="preserve">      grado.</w:t>
        <w:br/>
        <w:br/>
        <w:br/>
        <w:t>[590]       Cfr. Prosecutor v. Dragoljub Kunarac, Radomir  Kovac  and  Zoran</w:t>
        <w:br/>
        <w:t>Vukovic, supra nota 14, párr. 483.</w:t>
        <w:br/>
        <w:br/>
        <w:br/>
        <w:t>[591]       Cfr. Prosecutor v. Dragoljub Kunarac, Radomir  Kovac  and  Zoran</w:t>
        <w:br/>
        <w:t>Vukovic, supra nota 14, párr. 484.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