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 CASO ESCHER Y OTROS VS. BRASIL</w:t>
        <w:br/>
        <w:br/>
        <w:t xml:space="preserve">                    SENTENCIA DE 20 DE NOVIEMBRE DE 2009</w:t>
        <w:br/>
        <w:br/>
        <w:t xml:space="preserve">        (Interpretación de la Sentencia de Excepciones Preliminares,</w:t>
        <w:br/>
        <w:t xml:space="preserve">                        Fondo, Reparaciones y Costas)</w:t>
        <w:br/>
        <w:br/>
        <w:t>En el caso Escher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Diego García-Sayán, Presidente en ejercicio;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  Americana”  o  “la  Convención”)  y  el</w:t>
        <w:br/>
        <w:t>artículo 59 del Reglamento de la Corte  (en  adelante  “el  Reglamento”)[2],</w:t>
        <w:br/>
        <w:t>resuelve la  demanda  de  interpretación  de  la  Sentencia  de  excepciones</w:t>
        <w:br/>
        <w:t>preliminares, fondo, reparaciones y costas emitida por el Tribunal el  6  de</w:t>
        <w:br/>
        <w:t>julio de 2009 en el presente caso (en adelante “la Sentencia”),  interpuesta</w:t>
        <w:br/>
        <w:t>el 3 de noviembre de  2009  por  los  representantes  de  las  víctimas  (en</w:t>
        <w:br/>
        <w:t>adelante “los representantes”).</w:t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br/>
        <w:t>El 6 de julio de 2009 la Corte emitió la Sentencia, la cual  fue  notificada</w:t>
        <w:br/>
        <w:t>a las partes el 6 de agosto de 2009.</w:t>
        <w:br/>
        <w:br/>
        <w:t>El 3 de noviembre de 2009 los  representantes  presentaron  una  demanda  de</w:t>
        <w:br/>
        <w:t>interpretación, de conformidad con los artículos 67 de la  Convención  y  59</w:t>
        <w:br/>
        <w:t>del Reglamento, la cual “se refiere a las violaciones a los  artículos  8  y</w:t>
        <w:br/>
        <w:t>25 de la Convención Americana” declaradas en la  Sentencia.  Solicitaron  al</w:t>
        <w:br/>
        <w:t>Tribunal que interprete  el  punto  resolutivo  noveno  de  dicho  Fallo  y,</w:t>
        <w:br/>
        <w:t>específicamente,  aclare  si  el  deber  de  investigar  allí  previsto   se</w:t>
        <w:br/>
        <w:t>extiende: i) a la investigación administrativa  respecto  de  la  jueza  que</w:t>
        <w:br/>
        <w:t>autorizó   la   interceptación   telefónica;   ii)   a   la    investigación</w:t>
        <w:br/>
        <w:t>administrativa respecto de los policías militares y  del  ex  secretario  de</w:t>
        <w:br/>
        <w:t>seguridad por la interceptación y divulgación de las conversaciones, y  iii)</w:t>
        <w:br/>
        <w:t>al procesamiento judicial de esas conductas, con  la  debida  atribución  de</w:t>
        <w:br/>
        <w:t>responsabilidad penal.</w:t>
        <w:br/>
        <w:br/>
        <w:t>El 9 de noviembre de 2009, de conformidad con lo dispuesto  en  el  artículo</w:t>
        <w:br/>
        <w:t>59.2  del  Reglamento  y  siguiendo  instrucciones  de  la  Presidenta   del</w:t>
        <w:br/>
        <w:t>Tribunal, la Secretaría de la Corte transmitió una copia de  la  demanda  de</w:t>
        <w:br/>
        <w:t>interpretación a la República Federativa de Brasil (en adelante “el  Estado”</w:t>
        <w:br/>
        <w:t>o “Brasil”) y a la Comisión Interamericana de Derechos Humanos (en  adelante</w:t>
        <w:br/>
        <w:t>“la  Comisión  Interamericana”  o  “la  Comisión”).   Asimismo,   “dada   la</w:t>
        <w:br/>
        <w:t>naturaleza y el tenor de la demanda de interpretación”, se  informó  que  la</w:t>
        <w:br/>
        <w:t>Comisión Interamericana y el Estado podrían presentar los alegatos  escritos</w:t>
        <w:br/>
        <w:t>que estimaran pertinentes a más tardar el 16 de noviembre de 2009.</w:t>
        <w:br/>
        <w:br/>
        <w:t>El 16 de noviembre de 2009  el  Estado  presentó  sus  alegatos  escritos  y</w:t>
        <w:br/>
        <w:t>solicitó al Tribunal que declare inadmisible la demanda  de  interpretación.</w:t>
        <w:br/>
        <w:t>A su juicio se trataba de “un intento [de  los  representantes]  de  obtener</w:t>
        <w:br/>
        <w:t>una alteración sustancial del contenido de la  [S]entencia  [y]  ampliar  el</w:t>
        <w:br/>
        <w:t>ámbito  condenatorio”.  Subsidiariamente,  en  caso  que  la  demanda  fuera</w:t>
        <w:br/>
        <w:t>admitida, Brasil requirió al Tribunal que la  considere  improcedente,  toda</w:t>
        <w:br/>
        <w:t>vez que: i) no existe divergencia alguna acerca del sentido  o  alcance  del</w:t>
        <w:br/>
        <w:t>punto resolutivo noveno de la Sentencia, y ii) la  eventual  alteración  del</w:t>
        <w:br/>
        <w:t>contenido del Fallo implicaría la revisión de hechos  sobre  los  cuales  ya</w:t>
        <w:br/>
        <w:t>existe cosa juzgada material y la vulneración del principio ne bis in idem.</w:t>
        <w:br/>
        <w:br/>
        <w:t>También el 16 de  noviembre  de  2009  la  Comisión  presentó  sus  alegatos</w:t>
        <w:br/>
        <w:t>escritos  sobre  la  demanda  de  los  representantes  y  sostuvo   que   la</w:t>
        <w:br/>
        <w:t>interpretación de la Sentencia resulta innecesaria, pues  el  alcance  y  el</w:t>
        <w:br/>
        <w:t>contenido de la obligación de investigar como  medida  de  reparación  están</w:t>
        <w:br/>
        <w:t>determinados en el párrafo 247 de la Sentencia.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br/>
        <w:t>El artículo 67 de la Convención establece que:</w:t>
        <w:br/>
        <w:br/>
        <w:t xml:space="preserve">      El fallo de  la 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 sus  fallos.  Para  realizar  el  examen  de  la   demanda 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59.3  del  Reglamento.  En</w:t>
        <w:br/>
        <w:t>esta ocasión, la Corte se integra con los jueces que dictaron  la  Sentencia</w:t>
        <w:br/>
        <w:t>cuya interpretación ha  sido  solicitada  por  los  representantes,  con  la</w:t>
        <w:br/>
        <w:t>modificación mencionada[3].</w:t>
        <w:br/>
        <w:br/>
        <w:br/>
        <w:t xml:space="preserve">                                     III</w:t>
        <w:br/>
        <w:t xml:space="preserve">                                ADMISIBILIDAD</w:t>
        <w:br/>
        <w:br/>
        <w:br/>
        <w:t xml:space="preserve">   8. Corresponde a la Corte  verificar  si  la  demanda  de  interpretación</w:t>
        <w:br/>
        <w:t xml:space="preserve">      cumple con los requisitos establecidos en  las  normas  aplicables,  a</w:t>
        <w:br/>
        <w:t xml:space="preserve">      saber, el artículo 67 de la Convención,  anteriormente  citado,  y  el</w:t>
        <w:br/>
        <w:t xml:space="preserve">      artículo 59 del Reglamento que dispone, en lo pertinente,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Asimismo, el artículo  29.3  del  Reglamento  establece  que  “[c]ontra  las</w:t>
        <w:br/>
        <w:t>sentencias  y  resoluciones  de  la  Corte  no  procede  ningún   medio   de</w:t>
        <w:br/>
        <w:t>impugnación”.</w:t>
        <w:br/>
        <w:br/>
        <w:t>La  Corte  observa  que  los  representantes  interpusieron  la  demanda  de</w:t>
        <w:br/>
        <w:t>interpretación dentro  del  plazo  establecido  en  el  artículo  67  de  la</w:t>
        <w:br/>
        <w:t>Convención, ya que la misma fue presentada el día 3 de noviembre de  2009  y</w:t>
        <w:br/>
        <w:t>la Sentencia fue notificada a las partes el 6 de agosto de 2009.</w:t>
        <w:br/>
        <w:br/>
        <w:t>Por otro lado, tal como lo ha dispuesto este Tribunal en  su  jurisprudencia</w:t>
        <w:br/>
        <w:t>constante, claramente sustentada en el ordenamiento aplicable,  una  demanda</w:t>
        <w:br/>
        <w:t>de interpretación de sentencia no debe utilizarse como medio de  impugnación</w:t>
        <w:br/>
        <w:t>de la decisión cuya interpretación se solicita.  Dicha  demanda  tiene  como</w:t>
        <w:br/>
        <w:t>objeto, exclusivamente, desentrañar el sentido de un fallo cuando alguna  de</w:t>
        <w:br/>
        <w:t>las partes sostiene que  el  texto  de  sus  puntos  resolutivos  o  de  sus</w:t>
        <w:br/>
        <w:t>consideraciones carece de  claridad  o  precisión,  siempre  y  cuando  esas</w:t>
        <w:br/>
        <w:t>consideraciones incidan en dicha parte  resolutiva.  Por  lo  tanto,  no  se</w:t>
        <w:br/>
        <w:t>puede pedir la modificación o anulación de la sentencia respectiva a  través</w:t>
        <w:br/>
        <w:t>de una demanda de interpretación[4]. De igual manera, por esta  vía  tampoco</w:t>
        <w:br/>
        <w:t>se puede intentar que se amplíe el  alcance  de  una  medida  de  reparación</w:t>
        <w:br/>
        <w:t>ordenada oportunamente.</w:t>
        <w:br/>
        <w:br/>
        <w:t>En relación con lo anterior, la Corte  ha  establecido  que  la  demanda  de</w:t>
        <w:br/>
        <w:t>interpretación de sentencia no  puede  abordar  cuestiones  de  hecho  y  de</w:t>
        <w:br/>
        <w:t>derecho que ya fueron planteadas en su  oportunidad  procesal  y  sobre  las</w:t>
        <w:br/>
        <w:t>cuales el Tribunal adoptó una decisión[5].</w:t>
        <w:br/>
        <w:br/>
        <w:t>La Corte procederá a analizar la demanda de  interpretación  presentada  por</w:t>
        <w:br/>
        <w:t>los representantes y, en su caso, a aclarar el alcance del punto  resolutivo</w:t>
        <w:br/>
        <w:t>noveno de la Sentencia. Para ello, examinará las cuestiones  planteadas  por</w:t>
        <w:br/>
        <w:t>los  representantes,   así   como   las   observaciones   de   la   Comisión</w:t>
        <w:br/>
        <w:t>Interamericana y del Estado.</w:t>
        <w:br/>
        <w:br/>
        <w:br/>
        <w:t xml:space="preserve">                                     IV</w:t>
        <w:br/>
        <w:t xml:space="preserve">             ALCANCE DEL PUNTO RESOLUTIVO NOVENO DE LA SENTENCIA</w:t>
        <w:br/>
        <w:br/>
        <w:br/>
        <w:t>Los representantes solicitaron a la Corte Interamericana que  interprete  el</w:t>
        <w:br/>
        <w:t>punto resolutivo noveno de la Sentencia, el cual establece que “[e]l  Estado</w:t>
        <w:br/>
        <w:t>debe investigar los hechos que generaron las violaciones del  […]  caso,  en</w:t>
        <w:br/>
        <w:t>los términos del párrafo 247 de la […] Sentencia” con el fin de  aclarar  lo</w:t>
        <w:br/>
        <w:t>siguiente:</w:t>
        <w:br/>
        <w:br/>
        <w:t xml:space="preserve">      a)    Considerando que la Corte, en los párrafos  208  y  209  [de  la</w:t>
        <w:br/>
        <w:t xml:space="preserve">      Sentencia], afirmó que el Estado incumplió  su  deber  de  motivar  la</w:t>
        <w:br/>
        <w:t xml:space="preserve">      decisión en cuanto a la responsabilidad  administrativa  de  la  jueza</w:t>
        <w:br/>
        <w:t xml:space="preserve">      Eli[s]abeth Khater, y por ello violó las garantías judiciales,  si  lo</w:t>
        <w:br/>
        <w:t xml:space="preserve">      determinado por el Tribunal en el  [punto  resolutivo  noveno]  de  la</w:t>
        <w:br/>
        <w:t xml:space="preserve">      [S]entencia se aplica al procedimiento administrativo en cuestión;</w:t>
        <w:br/>
        <w:br/>
        <w:br/>
        <w:t xml:space="preserve">      b)    Considerando que la Corte, en el párrafo 210 [de la  Sentencia],</w:t>
        <w:br/>
        <w:t xml:space="preserve">      afirmó la inexistencia de procedimientos administrativos para analizar</w:t>
        <w:br/>
        <w:t xml:space="preserve">      la responsabilidad administrativa de los policías militares y  del  ex</w:t>
        <w:br/>
        <w:t xml:space="preserve">      secretario [de seguridad] por la interceptación y divulgación  de  las</w:t>
        <w:br/>
        <w:t xml:space="preserve">      conversaciones telefónicas; si lo determinado por el  Tribunal  en  el</w:t>
        <w:br/>
        <w:t xml:space="preserve">      [punto  resolutivo  noveno]  de  la  [S]entencia  se  aplica   a   los</w:t>
        <w:br/>
        <w:t xml:space="preserve">      procedimientos administrativos en cuestión;</w:t>
        <w:br/>
        <w:br/>
        <w:br/>
        <w:t xml:space="preserve">      c)    Finalmente,  si  lo  determinado  por  la  Corte  en  el  [punto</w:t>
        <w:br/>
        <w:t xml:space="preserve">      resolutivo noveno] de la [S]entencia se refiere  no  solamente  a  las</w:t>
        <w:br/>
        <w:t xml:space="preserve">      investigaciones mencionadas, sino también al debido  procesamiento  en</w:t>
        <w:br/>
        <w:t xml:space="preserve">      el ámbito judicial, con las debidas responsabilidades penales.</w:t>
        <w:br/>
        <w:br/>
        <w:t>La Comisión afirmó que “los párrafos [204, 205 y 247] establecen el  alcance</w:t>
        <w:br/>
        <w:t>del punto resolutivo noveno respecto de la falta de investigación penal  por</w:t>
        <w:br/>
        <w:t>la  divulgación  de  las  grabaciones  que  contenían   las   conversaciones</w:t>
        <w:br/>
        <w:t>telefónicas  y  que  generó  la  consecuente  obligación  internacional   de</w:t>
        <w:br/>
        <w:t>investigar como medida de reparación, a pesar de que este  no  es  el  único</w:t>
        <w:br/>
        <w:t>hecho que  generó  violaciones  en  el  presente  caso”.  Manifestó  que  la</w:t>
        <w:br/>
        <w:t>referencia explícita del párrafo 247 establece el alcance y el contenido  de</w:t>
        <w:br/>
        <w:t>la obligación de investigar ordenada como medida de  reparación,  razón  por</w:t>
        <w:br/>
        <w:t>la cual consideró innecesaria la interpretación de la Sentencia.</w:t>
        <w:br/>
        <w:br/>
        <w:t>El Estado solicitó a la Corte que declare  inadmisible  la  demanda  por  no</w:t>
        <w:br/>
        <w:t>cumplir con los requisitos previstos en los artículos 67 de la Convención  y</w:t>
        <w:br/>
        <w:t>29.3 y 59.1 del Reglamento. Señaló  que  se  trata  de  un  intento  de  los</w:t>
        <w:br/>
        <w:t>representantes de reformar el contenido de la Sentencia y la admisión de  la</w:t>
        <w:br/>
        <w:t>demanda podría conducir al establecimiento de tres nuevas obligaciones  para</w:t>
        <w:br/>
        <w:t>el Estado. Adicionalmente, en cuanto al fondo de la demanda, afirmó  que  no</w:t>
        <w:br/>
        <w:t>hay ninguna imprecisión o  divergencia  en  el  Fallo,  dado  que  el  punto</w:t>
        <w:br/>
        <w:t>resolutivo noveno no deja dudas  en  cuanto  al  sentido  o  alcance  de  la</w:t>
        <w:br/>
        <w:t>obligación en él reconocida. Alegó que dicho punto resolutivo  relaciona  el</w:t>
        <w:br/>
        <w:t>contenido de la obligación al párrafo 247, el cual establece los hechos  que</w:t>
        <w:br/>
        <w:t>deben ser investigados y determina que, respecto de  las  demás  violaciones</w:t>
        <w:br/>
        <w:t>encontradas, la Sentencia, su publicación y la indemnización por  los  daños</w:t>
        <w:br/>
        <w:t>inmateriales resultan medidas  suficientes  de  reparación.  Adicionalmente,</w:t>
        <w:br/>
        <w:t>expresó que la eventual alteración del contenido  de  la  Sentencia,  en  el</w:t>
        <w:br/>
        <w:t>sentido de ordenar  la  investigación  de  los  hechos  mencionados  en  sus</w:t>
        <w:br/>
        <w:t>párrafos 208, 209 y 210, llevaría al Estado a incurrir en bis  in  idem.  Lo</w:t>
        <w:br/>
        <w:t>anterior en virtud de  que  “la  jueza  […]  que  autorizó  las  grabaciones</w:t>
        <w:br/>
        <w:t>(referente a los párrafos 208 y 209 de la Sentencia), el  ex  secretario  de</w:t>
        <w:br/>
        <w:t>seguridad y los policías (referente al párrafo 210 de la  Sentencia)  fueron</w:t>
        <w:br/>
        <w:t>debidamente procesados judicialmente [existiendo] cosa juzgada  material”  a</w:t>
        <w:br/>
        <w:t>su respecto. Por lo anterior, concluyó que la demanda debe  ser  considerada</w:t>
        <w:br/>
        <w:t>improcedente por la Corte.</w:t>
        <w:br/>
        <w:br/>
        <w:t>El Tribunal considera que el alcance y el  contenido  del  punto  resolutivo</w:t>
        <w:br/>
        <w:t>noveno de la Sentencia resultan evidentes. No obstante,  a  fin  de  aclarar</w:t>
        <w:br/>
        <w:t>cualquier eventual  duda  que  pudiera  existir  al  respecto,  procederá  a</w:t>
        <w:br/>
        <w:t>responder las preguntas formuladas por los representantes y  a  realizar  la</w:t>
        <w:br/>
        <w:t>interpretación  solicitada  de  dicho  punto  resolutivo  y   los   párrafos</w:t>
        <w:br/>
        <w:t>considerativos correspondientes, en los  términos  del  artículo  67  de  la</w:t>
        <w:br/>
        <w:t>Convención Americana y del artículo 59 del Reglamento.</w:t>
        <w:br/>
        <w:br/>
        <w:t>En primer lugar, la Corte Interamericana recuerda que en su  decisión  de  6</w:t>
        <w:br/>
        <w:t>de julio de 2009 encontró violaciones a los derechos a las garantías y a  la</w:t>
        <w:br/>
        <w:t>protección judiciales  reconocidos  en  los  artículos  8.1  y  25.1  de  la</w:t>
        <w:br/>
        <w:t>Convención  Americana,  “en  relación  con  los  procesos  y  procedimientos</w:t>
        <w:br/>
        <w:t>penales y administrativos” indicados en los párrafos 204, 205 y  209  de  la</w:t>
        <w:br/>
        <w:t>Sentencia[6]. En consecuencia, en el Capítulo XI del  Fallo  correspondiente</w:t>
        <w:br/>
        <w:t>a las reparaciones, bajo el título C.iii) “Deber de  investigar,  juzgar  y,</w:t>
        <w:br/>
        <w:t>en  su  caso,  sancionar  a  responsables  de  violaciones  a  los  derechos</w:t>
        <w:br/>
        <w:t>humanos”, el  Tribunal  estableció  en  el  párrafo  247  la  obligación  de</w:t>
        <w:br/>
        <w:t>investigar determinadas conductas, conclusión que se  refleja  en  la  parte</w:t>
        <w:br/>
        <w:t>dispositiva de la Sentencia, en su punto resolutivo noveno.</w:t>
        <w:br/>
        <w:br/>
        <w:t>El punto resolutivo noveno de la  Sentencia  dispone  que  el  Estado  “debe</w:t>
        <w:br/>
        <w:t>investigar los hechos que generaron las violaciones del  […]  caso,  en  los</w:t>
        <w:br/>
        <w:t>términos del párrafo 247 de la […] Sentencia”. De la lectura  del  mismo  se</w:t>
        <w:br/>
        <w:t>desprende que el Tribunal consideró que el  deber  de  investigar  resultaba</w:t>
        <w:br/>
        <w:t>una  medida  de  reparación  pertinente  sólo  para   aquellas   violaciones</w:t>
        <w:br/>
        <w:t>declaradas por el Tribunal en la Sentencia identificadas en el  párrafo  247</w:t>
        <w:br/>
        <w:t>del Fallo.</w:t>
        <w:br/>
        <w:br/>
        <w:t>Por su parte, el párrafo 247 de la Sentencia establece que:</w:t>
        <w:br/>
        <w:br/>
        <w:t xml:space="preserve">      En el presente caso la Corte encontró acreditada una violación  a  los</w:t>
        <w:br/>
        <w:t xml:space="preserve">      artículos 8 y 25 en relación con la investigación penal en cuanto a la</w:t>
        <w:br/>
        <w:t xml:space="preserve">      divulgación  de  conversaciones  telefónicas  seguida  contra  el   ex</w:t>
        <w:br/>
        <w:t xml:space="preserve">      secretario de seguridad  (supra  párr.  204).  Asimismo,  el  Tribunal</w:t>
        <w:br/>
        <w:t xml:space="preserve">      encontró probado que el Estado no investigó la entrega  y  divulgación</w:t>
        <w:br/>
        <w:t xml:space="preserve">      de  las  cintas  con  las  conversaciones  grabadas  a  un  medio   de</w:t>
        <w:br/>
        <w:t xml:space="preserve">      comunicación ni estableció las responsabilidades penales por ese hecho</w:t>
        <w:br/>
        <w:t xml:space="preserve">      (supra párr. 205). En lo que respecta a la entrega  y  divulgación  de</w:t>
        <w:br/>
        <w:t xml:space="preserve">      las cintas con las conversaciones grabadas,  de  conformidad  con  los</w:t>
        <w:br/>
        <w:t xml:space="preserve">      criterios establecidos en la jurisprudencia del  Tribunal,  el  Estado</w:t>
        <w:br/>
        <w:t xml:space="preserve">      debe investigar los hechos y actuar en consecuencia. Por  otra  parte,</w:t>
        <w:br/>
        <w:t xml:space="preserve">      respecto a las demás violaciones encontradas, la Corte  considera  que</w:t>
        <w:br/>
        <w:t xml:space="preserve">      esta Sentencia, su  publicación  y  la  indemnización  por  los  daños</w:t>
        <w:br/>
        <w:t xml:space="preserve">      inmateriales, son medidas suficientes de reparación.</w:t>
        <w:br/>
        <w:br/>
        <w:t>También de la simple lectura de este párrafo se  desprenden  claramente  los</w:t>
        <w:br/>
        <w:t>hechos sobre los cuales recae el deber de investigar del Estado.  En  primer</w:t>
        <w:br/>
        <w:t>lugar, el párrafo 247 de la Sentencia señala expresamente las conductas  que</w:t>
        <w:br/>
        <w:t>deben ser objeto de investigación y, si así fuera  su  consecuencia,  de  la</w:t>
        <w:br/>
        <w:t>acción  penal  correspondiente:  a)  “la   divulgación   de   conversaciones</w:t>
        <w:br/>
        <w:t>telefónicas […] contra el ex secretario de  seguridad”,  que  consta  en  la</w:t>
        <w:br/>
        <w:t>primera oración del párrafo, y b) “la entrega y divulgación  de  las  cintas</w:t>
        <w:br/>
        <w:t>con las conversaciones grabadas a un medio de comunicación”, que aparece  en</w:t>
        <w:br/>
        <w:t>su segunda oración. Adicionalmente, a fin  de  despejar  cualquier  eventual</w:t>
        <w:br/>
        <w:t>interpretación errónea, en ese mismo párrafo se hace una remisión  explícita</w:t>
        <w:br/>
        <w:t>a los párrafos 204[7] y 205[8] de  la  Sentencia  en  los  que  constan  con</w:t>
        <w:br/>
        <w:t>claridad aquellos hechos, que deben ser  investigados.  Más  aún,  el  mismo</w:t>
        <w:br/>
        <w:t>párrafo  247  aclara  de  manera  manifiesta  que  “respecto  a  las   demás</w:t>
        <w:br/>
        <w:t>violaciones  encontradas”,  las  reparaciones  que  el  Tribunal   consideró</w:t>
        <w:br/>
        <w:t>pertinentes fueron la emisión de la propia Sentencia, su  publicación  y  la</w:t>
        <w:br/>
        <w:t>indemnización por los daños inmateriales. Con base en lo anterior, la  Corte</w:t>
        <w:br/>
        <w:t>Interamericana  advierte  que  la  mera  interpretación  literal  del  punto</w:t>
        <w:br/>
        <w:t>resolutivo noveno, leído con el párrafo allí  señalado,  permite  determinar</w:t>
        <w:br/>
        <w:t>el contenido y el  alcance  de  dicho  punto  resolutivo  y  la  consecuente</w:t>
        <w:br/>
        <w:t>obligación estatal.</w:t>
        <w:br/>
        <w:br/>
        <w:br/>
        <w:t xml:space="preserve">                                      V</w:t>
        <w:br/>
        <w:t xml:space="preserve">                             PUNTOS RESOLUTIVOS</w:t>
        <w:br/>
        <w:br/>
        <w:br/>
        <w:t>22.   Por las razones expuestas,</w:t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29.3 y 59 del Reglamento,</w:t>
        <w:br/>
        <w:br/>
        <w:br/>
        <w:t>Decide:</w:t>
        <w:br/>
        <w:br/>
        <w:br/>
        <w:t>Por unanimidad,</w:t>
        <w:br/>
        <w:br/>
        <w:br/>
        <w:t>Declarar  admisible  la  demanda  de  interpretación  de  la  Sentencia   de</w:t>
        <w:br/>
        <w:t>excepciones preliminares, fondo, reparaciones y costas en el  presente  caso</w:t>
        <w:br/>
        <w:t>interpuesta por los representantes de las  víctimas,  en  los  términos  del</w:t>
        <w:br/>
        <w:t>párrafo 17 de la presente Sentencia de Interpretación.</w:t>
        <w:br/>
        <w:br/>
        <w:t>Determinar el sentido y el alcance  de  lo  dispuesto  en  la  Sentencia  de</w:t>
        <w:br/>
        <w:t>excepciones preliminares, fondo, reparaciones y costas, en los  términos  de</w:t>
        <w:br/>
        <w:t>los párrafos 18 a 21 de la presente Sentencia de Interpretación.</w:t>
        <w:br/>
        <w:br/>
        <w:t>Requerir a la Secretaría de la Corte Interamericana de Derechos Humanos  que</w:t>
        <w:br/>
        <w:t>notifique  la  presente  Sentencia  de  Interpretación  al  Estado,  a   los</w:t>
        <w:br/>
        <w:t>representantes de las víctimas y a la Comisión  Interamericana  de  Derechos</w:t>
        <w:br/>
        <w:t>Humanos.</w:t>
        <w:br/>
        <w:br/>
        <w:t>Redactada en español, portugués e inglés, haciendo fe los textos en  español</w:t>
        <w:br/>
        <w:t>y en portugués, en San José, Costa Rica, el 20 de noviembre de 2009.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Presidente en Ejercicio</w:t>
        <w:br/>
        <w:br/>
        <w:br/>
        <w:br/>
        <w:br/>
        <w:br/>
        <w:t>Sergio García Ramírez                        Manuel Ventura Robles</w:t>
        <w:br/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Diego García-Sayán</w:t>
        <w:br/>
        <w:t xml:space="preserve">                           Presidente en Ejercicio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>-----------------------</w:t>
        <w:br/>
        <w:t>[1]   Los jueces Cecilia Medina Quiroga y Leonardo A.  Franco  informaron  a</w:t>
        <w:br/>
        <w:t>la Corte que, por razones de  fuerza  mayor,  no  podían  participar  en  la</w:t>
        <w:br/>
        <w:t>deliberación y firma de la presente Sentencia  de  Interpretación.  Por  tal</w:t>
        <w:br/>
        <w:t>motivo la Jueza Medina Quiroga cedió la  Presidencia  en  los  términos  del</w:t>
        <w:br/>
        <w:t>artículo 4.3 del Reglamento al Vicepresidente  del  Tribunal,  Juez  García-</w:t>
        <w:br/>
        <w:t>Sayán, Presidente en ejercicio para el presente caso. Asimismo, el  Juez  ad</w:t>
        <w:br/>
        <w:t>hoc Roberto de Figueiredo Caldas por razones no atribuibles  a  su  persona,</w:t>
        <w:br/>
        <w:t>si bien no participó en la deliberación y firma de la presente Sentencia  de</w:t>
        <w:br/>
        <w:t>Interpretación, fue consultado por el pleno de la Corte  por  medio  de  una</w:t>
        <w:br/>
        <w:t>teleconferencia y por escrito, prestando su conformidad con el texto  de  la</w:t>
        <w:br/>
        <w:t>misma.</w:t>
        <w:br/>
        <w:br/>
        <w:t>[2]   Conforme a lo dispuesto en el  artículo  72.2  del  Reglamento  de  la</w:t>
        <w:br/>
        <w:t>Corte Interamericana vigente, cuyas últimas reformas entraron  en  vigor  el</w:t>
        <w:br/>
        <w:t>24 de marzo de  2009,  “[l]os  casos  en  curso  se  continuarán  tramitando</w:t>
        <w:br/>
        <w:t>conforme a este Reglamento, con la excepción de aquellos  casos  en  que  se</w:t>
        <w:br/>
        <w:t>haya convocado a audiencia al momento  de  entrada  en  vigor  del  presente</w:t>
        <w:br/>
        <w:t>Reglamento, los cuales seguirán tramitándose conforme  a  las  disposiciones</w:t>
        <w:br/>
        <w:t>del Reglamento anterior”. De ese modo, el Reglamento de la Corte  mencionado</w:t>
        <w:br/>
        <w:t>en la  presente  Sentencia  de  Interpretación  corresponde  al  instrumento</w:t>
        <w:br/>
        <w:t>aprobado  por  el  Tribunal  en  su  XLIX  Período  Ordinario  de  Sesiones,</w:t>
        <w:br/>
        <w:t>celebrado del 16 al 25 de noviembre de 2000, y  reformado  parcialmente  por</w:t>
        <w:br/>
        <w:t>la Corte en su LXI Período  Ordinario  de  Sesiones,  celebrado  del  20  de</w:t>
        <w:br/>
        <w:t>noviembre al 4 de diciembre de 2003.</w:t>
        <w:br/>
        <w:t>[3]   Cfr. supra nota 1.</w:t>
        <w:br/>
        <w:br/>
        <w:t>[4]   Cfr. Caso Loayza Tamayo Vs. Perú. Interpretación de  la  Sentencia  de</w:t>
        <w:br/>
        <w:t>Fondo. Resolución de la Corte Interamericana de Derechos  Humanos  de  8  de</w:t>
        <w:br/>
        <w:t>marzo de 1998. Serie C No. 47, párr. 16; Caso Valle Jaramillo  y  otros  Vs.</w:t>
        <w:br/>
        <w:t>Colombia. Interpretación de la Sentencia de Fondo,  Reparaciones  y  Costas.</w:t>
        <w:br/>
        <w:t>Sentencia de 7 de julio de 2009. Serie C No. 201, párr.  8,  y  Caso  Ticona</w:t>
        <w:br/>
        <w:t>Estrada y otros Vs.  Bolivia.  Interpretación  de  la  Sentencia  de  Fondo,</w:t>
        <w:br/>
        <w:t>Reparaciones y Costas. Sentencia de 1 de julio de 2009.  Serie  C  No.  199,</w:t>
        <w:br/>
        <w:t>párr. 7.</w:t>
        <w:br/>
        <w:br/>
        <w:t>[5]   Cfr. Caso Loayza Tamayo Vs. Perú. Interpretación de  la  Sentencia  de</w:t>
        <w:br/>
        <w:t>Reparaciones y Costas. Sentencia de 3 de junio de  1999.  Serie  C  No.  53,</w:t>
        <w:br/>
        <w:t>párr. 15; Caso del Penal Miguel Castro Castro Vs.  Perú.  Interpretación  de</w:t>
        <w:br/>
        <w:t>la Sentencia de Fondo, Reparaciones y Costas. Sentencia de 2  de  agosto  de</w:t>
        <w:br/>
        <w:t>2008. Serie C No. 181, párr. 26, y Caso  Cantoral  Huamaní  y  García  Santa</w:t>
        <w:br/>
        <w:t>Cruz Vs. Perú. Interpretación  de  la  Sentencia  de  Excepción  Preliminar,</w:t>
        <w:br/>
        <w:t>Fondo, Reparaciones y Costas. Sentencia de 28 de enero de 2008. Serie C  No.</w:t>
        <w:br/>
        <w:t>176, párr. 11.</w:t>
        <w:br/>
        <w:br/>
        <w:t>[6]   Cfr. Caso Escher y otros Vs. Brasil. Excepciones Preliminares,  Fondo,</w:t>
        <w:br/>
        <w:t>Reparaciones y Costas. Sentencia de 6 de julio de 2009.  Serie  C  No.  200,</w:t>
        <w:br/>
        <w:t>párr. 214.</w:t>
        <w:br/>
        <w:br/>
        <w:t>[7]   Cfr. Caso Escher y otros Vs. Brasil, supra nota 6, párr. 204:</w:t>
        <w:br/>
        <w:br/>
        <w:t xml:space="preserve">    204.    El Tribunal ya señaló que el ex secretario  de  seguridad,  sin</w:t>
        <w:br/>
        <w:t xml:space="preserve">    mediar autorización judicial, expuso el  audio  de  las  grabaciones  a</w:t>
        <w:br/>
        <w:t xml:space="preserve">    otras personas y distribuyó fragmentos impresos de las  conversaciones,</w:t>
        <w:br/>
        <w:t xml:space="preserve">    así como podría haber divulgado nuevas partes de las grabaciones (supra</w:t>
        <w:br/>
        <w:t xml:space="preserve">    párrs. 95 y 156). Pese a las divergencias entre las  declaraciones  del</w:t>
        <w:br/>
        <w:t xml:space="preserve">    ex secretario de seguridad y  de  los  tres  periodistas  convocados  a</w:t>
        <w:br/>
        <w:t xml:space="preserve">    prestar testimonio sobre lo  ocurrido  en  la  conferencia  de  prensa,</w:t>
        <w:br/>
        <w:t xml:space="preserve">    particularmente en cuanto a la distribución de  fragmentos  transcritos</w:t>
        <w:br/>
        <w:t xml:space="preserve">    de algunas conversaciones interceptadas y de la reproducción del  audio</w:t>
        <w:br/>
        <w:t xml:space="preserve">    de las grabaciones durante el mencionado evento, no se  buscaron  otras</w:t>
        <w:br/>
        <w:t xml:space="preserve">    pruebas que pudiesen aclarar los hechos. En relación con ello,  tampoco</w:t>
        <w:br/>
        <w:t xml:space="preserve">    se solicitó a los respectivos canales de televisión las cintas con  las</w:t>
        <w:br/>
        <w:t xml:space="preserve">    noticias exhibidas en el Jornal Nacional los días 7 y  8  de  junio  de</w:t>
        <w:br/>
        <w:t xml:space="preserve">    1999, ni la grabación de la conferencia de prensa de este  último  día.</w:t>
        <w:br/>
        <w:t xml:space="preserve">    De ese modo, la Corte  aprecia  que  la  Segunda  Cámara  Criminal  del</w:t>
        <w:br/>
        <w:t xml:space="preserve">    Tribunal de Justicia del estado de Paraná concluyó que el ex secretario</w:t>
        <w:br/>
        <w:t xml:space="preserve">    de  seguridad  no  divulgó  nuevos  extractos  de  las   conversaciones</w:t>
        <w:br/>
        <w:t xml:space="preserve">    telefónicas, sin tener esa prueba ni comparar el material  expuesto  en</w:t>
        <w:br/>
        <w:t xml:space="preserve">    ambas divulgaciones.</w:t>
        <w:br/>
        <w:br/>
        <w:t>[8]   Cfr. Caso Escher y otros Vs. Brasil, supra nota 6, párr. 205:</w:t>
        <w:br/>
        <w:br/>
        <w:t xml:space="preserve">    205.    Asimismo, el Tribunal observa que el Estado no procedió a otras</w:t>
        <w:br/>
        <w:t xml:space="preserve">    diligencias investigativas que pudieran determinar  la  responsabilidad</w:t>
        <w:br/>
        <w:t xml:space="preserve">    por la primera divulgación del material grabado, es decir,  la  entrega</w:t>
        <w:br/>
        <w:t xml:space="preserve">    de las cintas al  canal  de  televisión.  Pese  a  lo  indicado  en  la</w:t>
        <w:br/>
        <w:t xml:space="preserve">    sentencia del Tribunal de Justicia del estado de Paraná en cuanto a los</w:t>
        <w:br/>
        <w:t xml:space="preserve">    indicios sobre la autoría de la entrega de las  cintas  grabadas  a  la</w:t>
        <w:br/>
        <w:t xml:space="preserve">    prensa, cuya sospecha recaía particularmente sobre un policía  militar,</w:t>
        <w:br/>
        <w:t xml:space="preserve">    no fueron realizadas diligencias para aclarar  esos  hechos  y,  en  su</w:t>
        <w:br/>
        <w:t xml:space="preserve">    caso, sancionar a  los  responsables,  pese  a  lo  establecido  en  el</w:t>
        <w:br/>
        <w:t xml:space="preserve">    artículo 10 de la Ley No. 9.296/96 y al  hecho  de  que  el  crimen  de</w:t>
        <w:br/>
        <w:t xml:space="preserve">    quebranto de secreto de justicia debía ser investigado de oficio por el</w:t>
        <w:br/>
        <w:t xml:space="preserve">    Estado.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