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Caso Neira Alegría y otros Vs.Perú</w:t>
        <w:br/>
        <w:br/>
        <w:br/>
        <w:t xml:space="preserve">                      Sentencia de 19 de enero de 1995</w:t>
        <w:br/>
        <w:t xml:space="preserve">                                   (Fondo)</w:t>
        <w:br/>
        <w:br/>
        <w:br/>
        <w:br/>
        <w:br/>
        <w:t>En el caso Neira Alegría y otros,</w:t>
        <w:br/>
        <w:br/>
        <w:br/>
        <w:t>la Corte Interamericana de Derechos Humanos, integrada  por  los  siguientes</w:t>
        <w:br/>
        <w:t>jueces:</w:t>
        <w:br/>
        <w:br/>
        <w:br/>
        <w:t xml:space="preserve">      Héctor Fix-Zamudio, Presidente</w:t>
        <w:br/>
        <w:t xml:space="preserve">      Hernán Salgado Pesantes, Vicepresidente</w:t>
        <w:br/>
        <w:t xml:space="preserve">      Rafael Nieto Navia, Juez</w:t>
        <w:br/>
        <w:t xml:space="preserve">      Alejandro Montiel Argüello, Juez</w:t>
        <w:br/>
        <w:t xml:space="preserve">      Máximo Pacheco Gómez, Juez;</w:t>
        <w:br/>
        <w:br/>
        <w:br/>
        <w:t>presentes, además,</w:t>
        <w:br/>
        <w:br/>
        <w:br/>
        <w:t xml:space="preserve">      Manuel E. Ventura Robles, Secretario y</w:t>
        <w:br/>
        <w:t xml:space="preserve">      Ana María Reina, Secretaria adjunta</w:t>
        <w:br/>
        <w:br/>
        <w:br/>
        <w:t>de acuerdo con el artículo 44.1 del Reglamento de  la  Corte  Interamericana</w:t>
        <w:br/>
        <w:t>de Derechos Humanos vigente para los asuntos sometidos  a  su  consideración</w:t>
        <w:br/>
        <w:t>antes del 31 de julio de  1991  (en  adelante  “el  Reglamento”),  dicta  la</w:t>
        <w:br/>
        <w:t>siguiente sentencia sobre el presente caso.</w:t>
        <w:br/>
        <w:br/>
        <w:br/>
        <w:t xml:space="preserve">                                      I</w:t>
        <w:br/>
        <w:br/>
        <w:t>1.    El 10 de octubre de  1990,  la  Comisión  Interamericana  de  Derechos</w:t>
        <w:br/>
        <w:t>Humanos (en adelante “la Comisión”) sometió contra el Estado  del  Perú  (en</w:t>
        <w:br/>
        <w:t>adelante “el Gobierno” o “el Perú”) un caso que se originó  en  la  denuncia</w:t>
        <w:br/>
        <w:t>Nº 10.078.</w:t>
        <w:br/>
        <w:br/>
        <w:t>2.    La Comisión invocó los artículos 51 y 61 de  la  Convención  Americana</w:t>
        <w:br/>
        <w:t>sobre Derechos  Humanos  (en  adelante  “la  Convención”  o  “la  Convención</w:t>
        <w:br/>
        <w:t>Americana”) y el artículo 50 de su propio Reglamento.  La  Comisión  sometió</w:t>
        <w:br/>
        <w:t>este caso con el fin de que la Corte decida si  hubo  violación,  por  parte</w:t>
        <w:br/>
        <w:t>del Estado involucrado, de los  artículos  1  (Obligación  de  Respetar  los</w:t>
        <w:br/>
        <w:t>Derechos),  2  (Deber  de  Adoptar  Disposiciones  de  Derecho  Interno),  4</w:t>
        <w:br/>
        <w:t>(Derecho a la Vida), 7  (Derecho  a  la  Libertad  Personal),  8  (Garantías</w:t>
        <w:br/>
        <w:t>Judiciales) y 25 (Protección Judicial) de la  Convención,  en  perjuicio  de</w:t>
        <w:br/>
        <w:t>los señores Víctor Neira Alegría, Edgar Zenteno Escobar  y  William  Zenteno</w:t>
        <w:br/>
        <w:t>Escobar y solicitó que la Corte “decida  sobre  este  caso  conforme  a  las</w:t>
        <w:br/>
        <w:t>disposiciones de la Convención, que  determine  la  responsabilidad  por  la</w:t>
        <w:br/>
        <w:t>violación señalada y que otorgue una justa compensación a los familiares  de</w:t>
        <w:br/>
        <w:t>la[s] víctima[s]”. En el alegato final (infra párr. 57) la  Comisión  agregó</w:t>
        <w:br/>
        <w:t>los artículos 5 y 27 y suprimió el artículo 2.</w:t>
        <w:br/>
        <w:br/>
        <w:t>3.    Según la denuncia presentada ante la Comisión, el 18 de junio de  1986</w:t>
        <w:br/>
        <w:t>Víctor Neira Alegría, Edgar Zenteno Escobar y  William  Zenteno  Escobar  se</w:t>
        <w:br/>
        <w:t>encontraban  detenidos  en  el  establecimiento  penal  San  Juan  Bautista,</w:t>
        <w:br/>
        <w:t>conocido como “El Frontón”, en calidad de procesados como presuntos  autores</w:t>
        <w:br/>
        <w:t>del delito de terrorismo.  Agrega la Comisión  que,  como  consecuencia  del</w:t>
        <w:br/>
        <w:t>amotinamiento producido en ese penal en la fecha indicada, mediante  Decreto</w:t>
        <w:br/>
        <w:t>Supremo Nº 006-86 JUS, el Gobierno delegó en  el  Comando  Conjunto  de  las</w:t>
        <w:br/>
        <w:t>Fuerzas Armadas el control de los penales  y  el  Penal  San  Juan  Bautista</w:t>
        <w:br/>
        <w:t>quedó incluido en las llamadas “Zonas Militares Restringidas”.   Que,  desde</w:t>
        <w:br/>
        <w:t>la fecha en que las Fuerzas  Armadas  procedieron  a  debelar  los  motines,</w:t>
        <w:br/>
        <w:t>estas personas han desaparecido, sin que sus familiares los hayan  vuelto  a</w:t>
        <w:br/>
        <w:t>ver ni a tener noticia sobre ellos y no se ha desvirtuado hasta la fecha  la</w:t>
        <w:br/>
        <w:t>posibilidad de que  continúen  con  vida  y  se  teme  por  su  seguridad  e</w:t>
        <w:br/>
        <w:t>integridad personales.</w:t>
        <w:br/>
        <w:br/>
        <w:t>4.    Afirma la Comisión que el 31 de agosto de  1987  recibió  la  denuncia</w:t>
        <w:br/>
        <w:t>del caso, fechada  en  Lima,  Perú,  a  comienzos  de  ese  mes.   El  8  de</w:t>
        <w:br/>
        <w:t>septiembre de 1987 acusó recibo de la denuncia  y  solicitó  la  información</w:t>
        <w:br/>
        <w:t>correspondiente al Gobierno.  Ante la falta de respuesta reiteró  el  pedido</w:t>
        <w:br/>
        <w:t>de información en cuatro oportunidades (11 de enero y 7 de  junio  de  1988,</w:t>
        <w:br/>
        <w:t>23 de febrero y 9 de junio de 1989), bajo el apercibimiento  establecido  en</w:t>
        <w:br/>
        <w:t>el artículo 42 de su Reglamento. El 26 de  junio  de  1989  el  Gobierno  le</w:t>
        <w:br/>
        <w:t>remitió una respuesta colectiva sobre varios casos en trámite  ante  ella  y</w:t>
        <w:br/>
        <w:t>el 20 de julio del mismo año la Comisión dio traslado al reclamante de  esta</w:t>
        <w:br/>
        <w:t>información.</w:t>
        <w:br/>
        <w:br/>
        <w:t>5.    El 13 de septiembre de 1989 el reclamante presentó  sus  observaciones</w:t>
        <w:br/>
        <w:t>a la respuesta del Gobierno e informó a  la  Comisión  que  “ante  el  Fuero</w:t>
        <w:br/>
        <w:t>Privativo de Justicia Militar existe un proceso judicial  sobre  los  hechos</w:t>
        <w:br/>
        <w:t>acaecidos en el Penal ‘San Juan Bautista’ (El Frontón), proceso al  [que  el</w:t>
        <w:br/>
        <w:t>peticionario alega haberle sido] negado acceso”.</w:t>
        <w:br/>
        <w:br/>
        <w:t>6.    En la memoria presentada a la Corte, la Comisión informó que el 25  de</w:t>
        <w:br/>
        <w:t>septiembre de  1989  recibió  en  audiencia  a  los  representantes  de  los</w:t>
        <w:br/>
        <w:t>reclamantes y del Gobierno y que los primeros se refirieron a</w:t>
        <w:br/>
        <w:br/>
        <w:t xml:space="preserve">      la enorme desproporción entre la  seriedad  del  amotinamiento  y  los</w:t>
        <w:br/>
        <w:t xml:space="preserve">      medios  letales  usados  en  el  operativo  militar  para   sofocarlo.</w:t>
        <w:br/>
        <w:t xml:space="preserve">      Afirmaron  que  el  celo  represivo  se  había  materializado  en   la</w:t>
        <w:br/>
        <w:t xml:space="preserve">      eliminación de presos que ya no  ofrecían  resistencia  o  se  habrían</w:t>
        <w:br/>
        <w:t xml:space="preserve">      rendido. Insistieron, además, en que los  internos  Neira,  Zenteno  y</w:t>
        <w:br/>
        <w:t xml:space="preserve">      Zenteno continuaban en calidad de desaparecidos por cuanto el Gobierno</w:t>
        <w:br/>
        <w:t xml:space="preserve">      del Perú rehusaba dar cuenta de  su  paradero  y  suerte  corrida.  En</w:t>
        <w:br/>
        <w:t xml:space="preserve">      cambio, el representante del Gobierno no emitió comentarios.</w:t>
        <w:br/>
        <w:br/>
        <w:t>7.    El 29 de septiembre de 1989 el Gobierno comunicó a la Comisión que  el</w:t>
        <w:br/>
        <w:t>caso se encontraba en proceso judicial ante el Fuero Privativo Militar,  por</w:t>
        <w:br/>
        <w:t>lo que no se había agotado  “la  jurisdicción  interna  del  Estado”  y  que</w:t>
        <w:br/>
        <w:t>“sería conveniente que la CIDH aguarde la culminación de la misma  antes  de</w:t>
        <w:br/>
        <w:t>pronunciarse de manera definitiva” sobre el mismo.</w:t>
        <w:br/>
        <w:br/>
        <w:t>8.    La Comisión examinó el  caso  durante  su  77º  período  ordinario  de</w:t>
        <w:br/>
        <w:t>sesiones y aprobó la resolución 43/90 del 7 de junio  de  1990,  cuya  parte</w:t>
        <w:br/>
        <w:t>dispositiva dice lo siguiente:</w:t>
        <w:br/>
        <w:br/>
        <w:t xml:space="preserve">            1.   Declarar la admisibilidad de la denuncia base del  presente</w:t>
        <w:br/>
        <w:t xml:space="preserve">      caso.</w:t>
        <w:br/>
        <w:br/>
        <w:br/>
        <w:t xml:space="preserve">            2.   Declarar inapropiada  una  solución  amistosa  al  presente</w:t>
        <w:br/>
        <w:t xml:space="preserve">      caso.</w:t>
        <w:br/>
        <w:br/>
        <w:br/>
        <w:t xml:space="preserve">            3.   Declarar que el Gobierno del Perú no ha cumplido,  con  las</w:t>
        <w:br/>
        <w:t xml:space="preserve">      obligaciones de respeto de los derechos humanos y  garantía  impuestas</w:t>
        <w:br/>
        <w:t xml:space="preserve">      por los artículos 1 y 2 de la Convención.</w:t>
        <w:br/>
        <w:br/>
        <w:br/>
        <w:t xml:space="preserve">            4.   Declarar que el Gobierno del Perú ha violado el  derecho  a</w:t>
        <w:br/>
        <w:t xml:space="preserve">      la vida reconocido en el artículo 4; el derecho a la libertad personal</w:t>
        <w:br/>
        <w:t xml:space="preserve">      consagrado en el artículo 7; las garantías judiciales del artículo 8 y</w:t>
        <w:br/>
        <w:t xml:space="preserve">      el derecho a la protección judicial previsto en el artículo 25,  todos</w:t>
        <w:br/>
        <w:t xml:space="preserve">      de la Convención Americana sobre Derechos Humanos, en ocasión  de  los</w:t>
        <w:br/>
        <w:t xml:space="preserve">      hechos ocurridos en el Penal San Juan Bautista, Lima, el 18  de  junio</w:t>
        <w:br/>
        <w:t xml:space="preserve">      de 1986 que condujeron a la desaparición de los señores  Víctor  Neira</w:t>
        <w:br/>
        <w:t xml:space="preserve">      Alegría, Edgar Zenteno Escobar y William Zenteno Escobar.</w:t>
        <w:br/>
        <w:br/>
        <w:br/>
        <w:t xml:space="preserve">             5.     Formular   al   Gobierno   del   Perú   las   siguientes</w:t>
        <w:br/>
        <w:t xml:space="preserve">      recomendaciones (artículo 50.3 Convención y artículo 47 del Reglamento</w:t>
        <w:br/>
        <w:t xml:space="preserve">      de la CIDH):</w:t>
        <w:br/>
        <w:br/>
        <w:br/>
        <w:t xml:space="preserve">      a.    Dé cumplimiento a los artículos 1 y 2 de la Convención adoptando</w:t>
        <w:br/>
        <w:t xml:space="preserve">      un  recurso   efectivo   que   garantice   plenamente   los   derechos</w:t>
        <w:br/>
        <w:t xml:space="preserve">      fundamentales en los casos de desaparición forzada o  involuntaria  de</w:t>
        <w:br/>
        <w:t xml:space="preserve">      personas;</w:t>
        <w:br/>
        <w:br/>
        <w:br/>
        <w:t xml:space="preserve">      b.    Realice una exhaustiva, rápida e imparcial  investigación  sobre</w:t>
        <w:br/>
        <w:t xml:space="preserve">      los hechos denunciados, a fin de  identificar  a  los  responsables  y</w:t>
        <w:br/>
        <w:t xml:space="preserve">      someterlos a la justicia para que reciban las sanciones que tan  grave</w:t>
        <w:br/>
        <w:t xml:space="preserve">      conducta  exige;  y  determine  la  situación  de  las  personas  cuya</w:t>
        <w:br/>
        <w:t xml:space="preserve">      desaparición ha sido denunciada;</w:t>
        <w:br/>
        <w:br/>
        <w:br/>
        <w:t xml:space="preserve">      c.    Adopte las medidas necesarias para evitar la comisión de  hechos</w:t>
        <w:br/>
        <w:t xml:space="preserve">      similares en lo sucesivo;</w:t>
        <w:br/>
        <w:br/>
        <w:br/>
        <w:t xml:space="preserve">      d.    Repare las consecuencias de la situación que ha  configurado  la</w:t>
        <w:br/>
        <w:t xml:space="preserve">      vulneración de  los  derechos  antes  enunciados  y  pague  una  justa</w:t>
        <w:br/>
        <w:t xml:space="preserve">      indemnización a la parte o partes lesionadas.</w:t>
        <w:br/>
        <w:br/>
        <w:br/>
        <w:t xml:space="preserve">            6.   Transmitir el presente informe al Gobierno  del  Perú  para</w:t>
        <w:br/>
        <w:t xml:space="preserve">      que éste se pronuncie sobre las medidas adoptadas para  solucionar  la</w:t>
        <w:br/>
        <w:t xml:space="preserve">      situación denunciada dentro del plazo de 90 días contados a partir  de</w:t>
        <w:br/>
        <w:t xml:space="preserve">      la fecha de remisión. El Gobierno no está facultado para  publicar  el</w:t>
        <w:br/>
        <w:t xml:space="preserve">      presente informe, conforme lo  estipulado  en  el  artículo  47.6  del</w:t>
        <w:br/>
        <w:t xml:space="preserve">      Reglamento de la CIDH [Comisión Interamericana de Derechos Humanos].</w:t>
        <w:br/>
        <w:br/>
        <w:br/>
        <w:t xml:space="preserve">            7.   Someter el presente caso a  la  jurisdicción  de  la  Corte</w:t>
        <w:br/>
        <w:t xml:space="preserve">      Interamericana de Derechos Humanos, a menos que el Gobierno  del  Perú</w:t>
        <w:br/>
        <w:t xml:space="preserve">      solucione el asunto dentro de los tres meses señalados en  el  párrafo</w:t>
        <w:br/>
        <w:t xml:space="preserve">      anterior.</w:t>
        <w:br/>
        <w:br/>
        <w:t>9.    El 11 de junio de 1990 la Comisión notificó la resolución al  Gobierno</w:t>
        <w:br/>
        <w:t>y le informó que el plazo fijado surtía efecto a partir de esa fecha.</w:t>
        <w:br/>
        <w:br/>
        <w:t>10.   El 14 de agosto de 1990 el Gobierno solicitó una prórroga de 30  días,</w:t>
        <w:br/>
        <w:t>a fin de dar cumplimiento a las recomendaciones. La Comisión le concedió  la</w:t>
        <w:br/>
        <w:t>prórroga solicitada a partir del 11 de septiembre de 1990.</w:t>
        <w:br/>
        <w:br/>
        <w:t>11.   El 24 de septiembre de 1990 el Gobierno informó a la  Comisión,  entre</w:t>
        <w:br/>
        <w:t>otras cosas, que el agotamiento de los recursos internos se había  producido</w:t>
        <w:br/>
        <w:t>el 14 de enero de 1987, fecha en que se publicó en  el  Diario  Oficial  “El</w:t>
        <w:br/>
        <w:t>Peruano” la decisión del Tribunal de Garantías Constitucionales que  rechazó</w:t>
        <w:br/>
        <w:t>la casación en el recurso de hábeas corpus (infra párr.  40).   El  Gobierno</w:t>
        <w:br/>
        <w:t>concluyó  que  la  resolución  43/90  de  la   Comisión   debía   declararse</w:t>
        <w:br/>
        <w:t>“insubsistente”.</w:t>
        <w:br/>
        <w:br/>
        <w:t>12.   La Comisión analizó  la  nota  del  Gobierno  en  su  78º  período  de</w:t>
        <w:br/>
        <w:t>sesiones y confirmó la decisión de someter el caso  a  consideración  de  la</w:t>
        <w:br/>
        <w:t>Corte.</w:t>
        <w:br/>
        <w:br/>
        <w:br/>
        <w:t xml:space="preserve">                                     II</w:t>
        <w:br/>
        <w:br/>
        <w:t>13.   La Corte es competente para conocer del presente caso. El 28 de  julio</w:t>
        <w:br/>
        <w:t>de 1978 el Perú ratificó la Convención y el 21 de enero de  1981  aceptó  la</w:t>
        <w:br/>
        <w:t>competencia contenciosa de la Corte a que se refiere el artículo  62  de  la</w:t>
        <w:br/>
        <w:t>Convención.</w:t>
        <w:br/>
        <w:br/>
        <w:t xml:space="preserve">                                     III</w:t>
        <w:br/>
        <w:br/>
        <w:t>14.   El 22 de octubre de 1990 la Secretaría de la Corte  (en  adelante  “la</w:t>
        <w:br/>
        <w:t>Secretaría”), en cumplimiento del artículo 26.1 del Reglamento, notificó  la</w:t>
        <w:br/>
        <w:t>demanda al Gobierno.</w:t>
        <w:br/>
        <w:br/>
        <w:t>15.   El Gobierno designó como agente al señor  Ministro  Consejero  Eduardo</w:t>
        <w:br/>
        <w:t>Barandiarán y como Juez ad hoc al doctor Jorge E. Orihuela Iberico. El 2  de</w:t>
        <w:br/>
        <w:t>enero de 1991 fue nombrado como nuevo agente el doctor Sergio Tapia Tapia.</w:t>
        <w:br/>
        <w:br/>
        <w:t>16.   Mediante resolución del 12 de noviembre de 1990, el Presidente  de  la</w:t>
        <w:br/>
        <w:t>Corte (en adelante “el Presidente”), de común  acuerdo  con  el  agente  del</w:t>
        <w:br/>
        <w:t>Perú y los delegados de la Comisión, en consulta con la Comisión  Permanente</w:t>
        <w:br/>
        <w:t>de la Corte (en adelante “la Comisión Permanente”),  señaló  el  día  29  de</w:t>
        <w:br/>
        <w:t>marzo de 1991 como fecha límite para que la Comisión presentara  la  memoria</w:t>
        <w:br/>
        <w:t>a que se refiere el artículo 29 del Reglamento y  el  28  de  junio  de  ese</w:t>
        <w:br/>
        <w:t>mismo  año  como  fecha  límite  para  que   el   Gobierno   presentara   la</w:t>
        <w:br/>
        <w:t>contramemoria.</w:t>
        <w:br/>
        <w:br/>
        <w:t>17.   Estos documentos fueron recibidos el 28 de marzo  y  27  de  junio  de</w:t>
        <w:br/>
        <w:t>1991, respectivamente.</w:t>
        <w:br/>
        <w:br/>
        <w:t>18.   El 26 de  junio  de  1991  el  agente  peruano  interpuso  excepciones</w:t>
        <w:br/>
        <w:t>preliminares de “incompetencia  de  la  Comisión”  y  de  “caducidad  de  la</w:t>
        <w:br/>
        <w:t>demanda”. La Secretaría recibió  el  31  de  julio  de  1991  la  exposición</w:t>
        <w:br/>
        <w:t>escrita de la Comisión con sus  observaciones  y  conclusiones  sobre  tales</w:t>
        <w:br/>
        <w:t>excepciones preliminares.</w:t>
        <w:br/>
        <w:br/>
        <w:t>19.   El 6 de diciembre de 1991 se realizó una audiencia pública con el  fin</w:t>
        <w:br/>
        <w:t>de oír la posición de las partes sobre las excepciones preliminares.</w:t>
        <w:br/>
        <w:br/>
        <w:t>20.   El 11 de diciembre de 1991, en sentencia  adoptada  por  cuatro  votos</w:t>
        <w:br/>
        <w:t>contra uno, la Corte rechazó las excepciones preliminares propuestas por  el</w:t>
        <w:br/>
        <w:t>Gobierno.</w:t>
        <w:br/>
        <w:br/>
        <w:t>21.   El  agente  del  Perú  presentó  una  solicitud  de  interpretación  e</w:t>
        <w:br/>
        <w:t>interpuso un recurso  de  revisión  contra  la  sentencia  que  rechazó  las</w:t>
        <w:br/>
        <w:t>excepciones  preliminares  en  escritos  que  fueron  contestados   por   la</w:t>
        <w:br/>
        <w:t>Comisión.  El 30 de junio de 1992 se realizó  una  audiencia  pública  sobre</w:t>
        <w:br/>
        <w:t>tales instancias.  El Gobierno desistió el 1 de julio de  1992  del  recurso</w:t>
        <w:br/>
        <w:t>de revisión.</w:t>
        <w:br/>
        <w:br/>
        <w:t>22.   La Corte mediante resolución del 3 de  julio  de  1992  resolvió,  por</w:t>
        <w:br/>
        <w:t>cinco votos contra uno,  tomar  nota  del  desistimiento  del  Gobierno  del</w:t>
        <w:br/>
        <w:t>recurso  de  revisión  y  desechar  por   improcedente   la   solicitud   de</w:t>
        <w:br/>
        <w:t>interpretación de su sentencia de 11 de diciembre de 1991 sobre  excepciones</w:t>
        <w:br/>
        <w:t>preliminares.</w:t>
        <w:br/>
        <w:br/>
        <w:t>23.   En su contramemoria del 27 de  junio  de  1991,  el  Gobierno  negó  y</w:t>
        <w:br/>
        <w:t>contradijo en todos sus términos los  hechos  consignados  por  la  Comisión</w:t>
        <w:br/>
        <w:t>ante la Corte, porque no se ajustaban “a las situaciones de hecho  tal  como</w:t>
        <w:br/>
        <w:t>[se] verificaron en la realidad los sucesos acaecidos en la  isla-penal  ‘El</w:t>
        <w:br/>
        <w:t>Frontón’ con motivo del motín armado y toma de  rehenes  que  protagonizaron</w:t>
        <w:br/>
        <w:t>más de un centenar ” de internos acusados por  el  delito  de  terrorismo  y</w:t>
        <w:br/>
        <w:t>solicitó sancionar a la Comisión por haber  presentado  este  caso  ante  la</w:t>
        <w:br/>
        <w:t>Corte.</w:t>
        <w:br/>
        <w:br/>
        <w:t>24.   Por resolución del 3 de agosto de 1991  el  Presidente  otorgó  a  las</w:t>
        <w:br/>
        <w:t>partes plazos para ofrecer y  presentar  pruebas,  así  como  para  formular</w:t>
        <w:br/>
        <w:t>observaciones sobre esos escritos, plazos que vencieron el 15 de octubre  de</w:t>
        <w:br/>
        <w:t>1991.</w:t>
        <w:br/>
        <w:br/>
        <w:t>25.   El Gobierno y la Comisión  presentaron  pruebas  instrumentales  y  el</w:t>
        <w:br/>
        <w:t>Perú sus observaciones a la  prueba  ofrecida  por  la  Comisión  y  en  ese</w:t>
        <w:br/>
        <w:t>escrito, entre otras cosas, objetó por improcedente e innecesaria la  prueba</w:t>
        <w:br/>
        <w:t>testimonial y se opuso a la  comparecencia  de  varios  de  los  testigos  y</w:t>
        <w:br/>
        <w:t>peritos ofrecidos por la Comisión.</w:t>
        <w:br/>
        <w:br/>
        <w:t>26.   El 11 de diciembre de 1991 la Corte constituyó una  comisión  especial</w:t>
        <w:br/>
        <w:t>para ordenar el procedimiento en relación con la evacuación de  las  pruebas</w:t>
        <w:br/>
        <w:t>y autorizó al Presidente para citar a las partes a una reunión  privada  los</w:t>
        <w:br/>
        <w:t>días 17 y 18 de enero de 1992.</w:t>
        <w:br/>
        <w:br/>
        <w:t>27.   Como consecuencia de la cual, el Presidente  mediante  resolución  del</w:t>
        <w:br/>
        <w:t>18 de enero de 1992 convocó a las partes a una audiencia  pública,  para  el</w:t>
        <w:br/>
        <w:t>30 de junio siguiente, a fin de escuchar los alegatos  del  Gobierno  y  las</w:t>
        <w:br/>
        <w:t>observaciones de la Comisión sobre la oposición del Gobierno  a  algunos  de</w:t>
        <w:br/>
        <w:t>los testigos presentados por la Comisión. También,  y  en  caso  de  que  la</w:t>
        <w:br/>
        <w:t>Corte lo considerara pertinente, decidió  que  se  recibirían  en  audiencia</w:t>
        <w:br/>
        <w:t>pública el 1 de julio de 1992 las declaraciones de los testigos  y  expertos</w:t>
        <w:br/>
        <w:t>propuestos por la Comisión y que ésta debería  presentar,  antes  del  2  de</w:t>
        <w:br/>
        <w:t>marzo de 1992, los curricula vitae y  los  dictámenes  de  dichos  expertos.</w:t>
        <w:br/>
        <w:t>Solicitó además al Gobierno que presentara copia  de  ciertos  documentos  y</w:t>
        <w:br/>
        <w:t>que adoptara las medidas necesarias para que los cadáveres de  los  reclusos</w:t>
        <w:br/>
        <w:t>que murieron en “El Frontón” no sean  movidos  de  los  cementerios  en  que</w:t>
        <w:br/>
        <w:t>fueron enterrados.</w:t>
        <w:br/>
        <w:br/>
        <w:t>28.   El 12 de  febrero  de  1992  el  Gobierno  solicitó  a  la  Corte  que</w:t>
        <w:br/>
        <w:t>modificara la resolución dictada por el Presidente.  También  pidió  que  se</w:t>
        <w:br/>
        <w:t>mantuviera la fecha de las  audiencias  para  resolver  las  tachas  de  los</w:t>
        <w:br/>
        <w:t>testigos. Solicitó además que la audiencia  para  oír  sus  alegatos  y  las</w:t>
        <w:br/>
        <w:t>observaciones  de  la  Comisión  no  fuera  pública,   solicitud   que   fue</w:t>
        <w:br/>
        <w:t>desestimada el 29 de junio de 1992 por la Corte por  considerar  que  no  se</w:t>
        <w:br/>
        <w:t>presentaban los casos excepcionales a que se  refiere  el  artículo  14  del</w:t>
        <w:br/>
        <w:t>Reglamento.</w:t>
        <w:br/>
        <w:br/>
        <w:t>29.   La Comisión había solicitado una prórroga de 30  días  para  acompañar</w:t>
        <w:br/>
        <w:t>los curricula vitae y  dictámenes  de  los  peritos  por  ella  ofrecidos  y</w:t>
        <w:br/>
        <w:t>cumplir así con la  resolución  del  Presidente,  a  lo  cual  se  opuso  el</w:t>
        <w:br/>
        <w:t>Gobierno.</w:t>
        <w:br/>
        <w:br/>
        <w:t>30.   El 24 de marzo de 1992 el Presidente modificó parte de  su  resolución</w:t>
        <w:br/>
        <w:t>del 18 de enero  de  1992  y  resolvió  que,  si  después  de  la  audiencia</w:t>
        <w:br/>
        <w:t>resultaba procedente, la  Corte  citaría  oportunamente  a  declarar  a  los</w:t>
        <w:br/>
        <w:t>testigos y expertos ofrecidos por la Comisión y denegó mediante nota de  esa</w:t>
        <w:br/>
        <w:t>misma fecha la solicitud de prórroga a que se refiere el punto anterior  “en</w:t>
        <w:br/>
        <w:t>vista de que la Comisión ha tenido las oportunidades y el tiempo  necesarios</w:t>
        <w:br/>
        <w:t>para presentar dicha información dentro del plazo fijado y  a  que,  por  su</w:t>
        <w:br/>
        <w:t>propia naturaleza, los  plazos  judiciales  deben  respetarse  salvo  causas</w:t>
        <w:br/>
        <w:t>excepcionales que no se dan en este caso”.</w:t>
        <w:br/>
        <w:br/>
        <w:t>31.   El 9 de abril de 1992 la Comisión planteó  reconsideración  contra  la</w:t>
        <w:br/>
        <w:t>anterior providencia y envió los curricula vitae y  los  dictámenes  de  los</w:t>
        <w:br/>
        <w:t>expertos Enrique Bernardo, Guillermo Tamayo, Robert H. Kirschner y Clyde  C.</w:t>
        <w:br/>
        <w:t>Snow. Por escrito del 30 de abril de 1992, el Gobierno pidió devolver  a  la</w:t>
        <w:br/>
        <w:t>Comisión  esos  documentos,  por  ser  improcedentes  y   para   evitar   el</w:t>
        <w:br/>
        <w:t>incumplimiento de la decisión del 24 de marzo.</w:t>
        <w:br/>
        <w:br/>
        <w:t>32.   La Corte, por resolución del 1 de julio de 1992, confirmó la  decisión</w:t>
        <w:br/>
        <w:t>del Presidente  que  denegó  la  prórroga  de  30  días  solicitada  por  la</w:t>
        <w:br/>
        <w:t>Comisión, ordenó mantener  en  el  expediente  los  curricula  vitae  y  los</w:t>
        <w:br/>
        <w:t>dictámenes presentados para valorarlos  en  su  oportunidad  y  autorizó  al</w:t>
        <w:br/>
        <w:t>Presidente para que, previa consulta con la Comisión Permanente,  resolviera</w:t>
        <w:br/>
        <w:t>si recibía la declaración de los peritos ofrecidos por la Comisión.</w:t>
        <w:br/>
        <w:br/>
        <w:t>33.   El Gobierno, mediante nota  del  3  de  julio  de  1992,  solicitó  la</w:t>
        <w:br/>
        <w:t>nulidad de la resolución anterior lo  que  el  Presidente  rechazó  por  ser</w:t>
        <w:br/>
        <w:t>notoriamente improcedente.</w:t>
        <w:br/>
        <w:br/>
        <w:t>34.   Durante el 21º período ordinario de sesiones de  la  Asamblea  General</w:t>
        <w:br/>
        <w:t>de la Organización de los Estados Americanos (en  adelante  “la  OEA”),  los</w:t>
        <w:br/>
        <w:t>Estados Partes en la Convención eligieron como nuevos jueces de la Corte,  a</w:t>
        <w:br/>
        <w:t>los doctores Alejandro Montiel  Argüello,  Máximo  Pacheco  Gómez  y  Hernán</w:t>
        <w:br/>
        <w:t>Salgado Pesantes y reeligieron al juez Héctor Fix-Zamudio.   La  Corte,  con</w:t>
        <w:br/>
        <w:t>su nueva composición integrada a partir del 1 de enero de 1992  y  debido  a</w:t>
        <w:br/>
        <w:t>la petición del juez ad hoc Jorge E.  Orihuela  Iberico  de  interpretar  el</w:t>
        <w:br/>
        <w:t>artículo 54.3 de la Convención en relación con este caso, resolvió el 29  de</w:t>
        <w:br/>
        <w:t>junio de 1992, “[c]ontinuar  la  consideración  del  caso  Neira  Alegría  y</w:t>
        <w:br/>
        <w:t>otros, salvo en lo relacionado con los recursos interpuestos por  el  agente</w:t>
        <w:br/>
        <w:t>del Gobierno contra la sentencia del 11 de diciembre  de  1991,  los  cuales</w:t>
        <w:br/>
        <w:t>serán resueltos por la Corte con la integración que tenía al dictarse  dicha</w:t>
        <w:br/>
        <w:t>sentencia”.  El Juez  Nieto  agregó  una  opinión  disidente  y  los  jueces</w:t>
        <w:br/>
        <w:t>Montiel y Orihuela sendas opiniones individuales.</w:t>
        <w:br/>
        <w:br/>
        <w:t>35.   El 30 de junio de 1992 la Corte acordó, en los términos  del  artículo</w:t>
        <w:br/>
        <w:t>37 del Reglamento, rechazar las recusaciones o tachas formuladas  contra  la</w:t>
        <w:br/>
        <w:t>prueba testimonial ofrecida por la Comisión y autorizó  al  Presidente  para</w:t>
        <w:br/>
        <w:t>determinar, previa consulta con la Comisión Permanente, las  fechas  de  las</w:t>
        <w:br/>
        <w:t>audiencias públicas que fueron fijadas por el Presidente para  iniciarse  el</w:t>
        <w:br/>
        <w:t>6 de julio de  1993  para  recibir  las  declaraciones  de  los  testigos  y</w:t>
        <w:br/>
        <w:t>expertos propuestos por la Comisión y para  escuchar  los  alegatos  de  las</w:t>
        <w:br/>
        <w:t>partes sobre el fondo del asunto.</w:t>
        <w:br/>
        <w:br/>
        <w:t>36.   Mediante nota del 22 de septiembre de 1992,  el  Gobierno  informó  en</w:t>
        <w:br/>
        <w:t>relación con la solicitud del Presidente del 18 de enero de ese año que</w:t>
        <w:br/>
        <w:br/>
        <w:t xml:space="preserve">      [l]os cementerios mencionados en dicha resolución tienen  el  carácter</w:t>
        <w:br/>
        <w:t xml:space="preserve">      de oficial y permanente, por lo que los cadáveres en ellos depositados</w:t>
        <w:br/>
        <w:t xml:space="preserve">      no son susceptibles de cambio  de  colocación,  sino  conforme  a  las</w:t>
        <w:br/>
        <w:t xml:space="preserve">      normas reglamentarias  en  la  materia  y  a  solicitud  de  la  parte</w:t>
        <w:br/>
        <w:t xml:space="preserve">      interesada, quedando en general sujetos a las  medidas  de  control  a</w:t>
        <w:br/>
        <w:t xml:space="preserve">      cargo de sus respectivas administraciones.</w:t>
        <w:br/>
        <w:br/>
        <w:t>37.   Entre el 6 y el 10 de  julio  de  1993  la  Corte  celebró  audiencias</w:t>
        <w:br/>
        <w:t>públicas sobre el fondo del caso y escuchó los  alegatos  de  conclusión  de</w:t>
        <w:br/>
        <w:t>las partes.</w:t>
        <w:br/>
        <w:br/>
        <w:t>Comparecieron ante la Corte:</w:t>
        <w:br/>
        <w:br/>
        <w:t>Por el Gobierno del Perú:</w:t>
        <w:br/>
        <w:br/>
        <w:t xml:space="preserve">      Sergio Tapia Tapia, agente,</w:t>
        <w:br/>
        <w:t xml:space="preserve">      Hernán Ponce Monge, asesor,</w:t>
        <w:br/>
        <w:t xml:space="preserve">      José Ernesto Ráez González, asesor(* ).</w:t>
        <w:br/>
        <w:br/>
        <w:t>Por la Comisión Interamericana de Derechos Humanos:</w:t>
        <w:br/>
        <w:br/>
        <w:t xml:space="preserve">      Oscar Luján Fappiano, delegado,</w:t>
        <w:br/>
        <w:t xml:space="preserve">      Domingo Acevedo, abogado de la Secretaría,</w:t>
        <w:br/>
        <w:t xml:space="preserve">      José Miguel Vivanco, asesor,</w:t>
        <w:br/>
        <w:t xml:space="preserve">      Juan Méndez, asesor,</w:t>
        <w:br/>
        <w:t xml:space="preserve">      Carlos Chipoco, asesor.</w:t>
        <w:br/>
        <w:br/>
        <w:t>Testigos y expertos presentados por la Comisión:</w:t>
        <w:br/>
        <w:br/>
        <w:t xml:space="preserve">      Sonia Goldenberg, testigo,</w:t>
        <w:br/>
        <w:t xml:space="preserve">      Pilar Coll, testigo,</w:t>
        <w:br/>
        <w:t xml:space="preserve">      Ricardo Chumbes Paz, testigo,</w:t>
        <w:br/>
        <w:t xml:space="preserve">      José Burneo, testigo,</w:t>
        <w:br/>
        <w:t xml:space="preserve">      Rolando Ames, testigo,</w:t>
        <w:br/>
        <w:t xml:space="preserve">      César Delgado, testigo,</w:t>
        <w:br/>
        <w:t xml:space="preserve">      José Ráez González, testigo,</w:t>
        <w:br/>
        <w:t xml:space="preserve">      Augusto Yamada Yamada, testigo,</w:t>
        <w:br/>
        <w:t xml:space="preserve">      Juan H. Kruger, testigo,</w:t>
        <w:br/>
        <w:t xml:space="preserve">      Robert H. Kirschner, experto,</w:t>
        <w:br/>
        <w:t xml:space="preserve">      Clyde C. Snow, experto,</w:t>
        <w:br/>
        <w:t xml:space="preserve">      Guillermo Tamayo, experto,</w:t>
        <w:br/>
        <w:t xml:space="preserve">      Enrique Bernardo, experto.</w:t>
        <w:br/>
        <w:br/>
        <w:t>No  obstante  la  citación  hecha  por  la  Corte  los  siguientes  testigos</w:t>
        <w:br/>
        <w:t>ofrecidos por la Comisión no comparecieron a estas audiencias:</w:t>
        <w:br/>
        <w:br/>
        <w:t xml:space="preserve">      Aquilina M. Tapia de Neira,</w:t>
        <w:br/>
        <w:t xml:space="preserve">      José Rojas Mar,</w:t>
        <w:br/>
        <w:t xml:space="preserve">      Agustín Mantilla Campos,</w:t>
        <w:br/>
        <w:t xml:space="preserve">      César Elejalde Estenssoro,</w:t>
        <w:br/>
        <w:t xml:space="preserve">      Enrique Zileri,</w:t>
        <w:br/>
        <w:t xml:space="preserve">      Juan de Dios Jiménez Morán,</w:t>
        <w:br/>
        <w:t xml:space="preserve">      César San Martín Castro.</w:t>
        <w:br/>
        <w:br/>
        <w:t>Pese a haber sido convocado oportunamente por la Secretaría, el Juez ad  hoc</w:t>
        <w:br/>
        <w:t>no compareció a estas audiencias. El Juez Máximo Pacheco Gómez se excusó  de</w:t>
        <w:br/>
        <w:t>participar en el 28º período ordinario de  sesiones  y  en  consecuencia  no</w:t>
        <w:br/>
        <w:t>participó en estas audiencias.</w:t>
        <w:br/>
        <w:br/>
        <w:t>38.   La Corte otorgó a las partes plazo hasta el 10 de septiembre  de  1993</w:t>
        <w:br/>
        <w:t>para presentar por escrito sus conclusiones sobre la prueba rendida en  este</w:t>
        <w:br/>
        <w:t>caso. La Comisión y el Gobierno las presentaron oportunamente.</w:t>
        <w:br/>
        <w:br/>
        <w:t>39.   No obstante haber sido convocado, el juez ad hoc no  concurrió  a  las</w:t>
        <w:br/>
        <w:t>deliberaciones de la Corte sobre esta sentencia y, en  consecuencia,  no  la</w:t>
        <w:br/>
        <w:t>firma.</w:t>
        <w:br/>
        <w:br/>
        <w:br/>
        <w:t xml:space="preserve">                                     IV</w:t>
        <w:br/>
        <w:br/>
        <w:t>40.   Según los documentos entregados a la Corte, el 16  de  julio  de  1986</w:t>
        <w:br/>
        <w:t>Irene Neira Alegría y Julio Zenteno Camahualí interpusieron  una  acción  de</w:t>
        <w:br/>
        <w:t>hábeas corpus en favor de las tres personas a que se refiere este caso y  el</w:t>
        <w:br/>
        <w:t>Juez Instructor del Vigésimo Primer Juzgado de Lima recibió  declaración  al</w:t>
        <w:br/>
        <w:t>Presidente del Consejo Nacional Penitenciario, quien presentó una nómina  en</w:t>
        <w:br/>
        <w:t>la que  aparecen  las  tres  personas  referidas  detenidas  como  presuntos</w:t>
        <w:br/>
        <w:t>autores del delito de terrorismo en el Penal San Juan Bautista en  la  fecha</w:t>
        <w:br/>
        <w:t>de la debelación del motín.  El  17  de  julio  de  1986,  el  Juez  declaró</w:t>
        <w:br/>
        <w:t>improcedente el recurso con base en  que  el  Gobierno  había  decretado  el</w:t>
        <w:br/>
        <w:t>estado de emergencia en las Provincias de Lima y de El  Callao  por  Decreto</w:t>
        <w:br/>
        <w:t>Supremo 012-86-IN del 2 de junio de ese año y en que el 20 del mismo mes  se</w:t>
        <w:br/>
        <w:t>publicó el Decreto Supremo 006-86 JUS que declaró Zona  Militar  Restringida</w:t>
        <w:br/>
        <w:t>el Penal San Juan Bautista. La resolución del juez fue confirmada  el  1  de</w:t>
        <w:br/>
        <w:t>agosto de 1986 por el Décimo Primer Tribunal Correccional  de  Lima;  el  25</w:t>
        <w:br/>
        <w:t>del mismo mes la Corte Suprema de Justicia en lo Penal  declaró  no  existir</w:t>
        <w:br/>
        <w:t>nulidad en esta  última  decisión  y  el  5  de  diciembre  el  Tribunal  de</w:t>
        <w:br/>
        <w:t>Garantías  Constitucionales  resolvió  que  “permane[cía]   inalterable   la</w:t>
        <w:br/>
        <w:t>resolución de la Corte Suprema de Justicia  venida  en  casación”,  decisión</w:t>
        <w:br/>
        <w:t>que fue publicada en el Diario Oficial “El Peruano” (supra  párr. 11).</w:t>
        <w:br/>
        <w:br/>
        <w:t>41.   El Segundo Juzgado  de  Instrucción  Permanente  de  Marina  abrió  un</w:t>
        <w:br/>
        <w:t>proceso para determinar la posible responsabilidad penal de los miembros  de</w:t>
        <w:br/>
        <w:t>la Marina que debelaron  el  motín,  en  el  que,  además  de  los  reclusos</w:t>
        <w:br/>
        <w:t>muertos, fallecieron también tres  miembros  de  la  Infantería  de  Marina,</w:t>
        <w:br/>
        <w:t>heridos por proyectiles de  armas  de  fuego,  y  uno  de  los  rehenes  que</w:t>
        <w:br/>
        <w:t>pertenecía a la Guardia Republicana.</w:t>
        <w:br/>
        <w:br/>
        <w:t>Entre las conclusiones a que llegó el Juez Instructor consta que  el  número</w:t>
        <w:br/>
        <w:t>de internos rendidos fueron 34; el de fallecidos  97,  a  los  cuales  deben</w:t>
        <w:br/>
        <w:t>agregarse los restos óseos que conforman por lo menos catorce personas  más,</w:t>
        <w:br/>
        <w:t>para un total de 111 internos muertos; que la remoción de los escombros  del</w:t>
        <w:br/>
        <w:t>penal se cumplió con muchas dificultades entre el 20 de junio de 1986  y  el</w:t>
        <w:br/>
        <w:t>31 de marzo de 1987; que de los  97  cadáveres  (excluidos  los  restos  que</w:t>
        <w:br/>
        <w:t>conformarían catorce personas) sólo fueron identificados cuatro (esta  cifra</w:t>
        <w:br/>
        <w:t>contrasta con la establecida en las  pericias  dactiloscópicas  que  señalan</w:t>
        <w:br/>
        <w:t>siete identificados). Al respecto se dice:</w:t>
        <w:br/>
        <w:br/>
        <w:t xml:space="preserve">      21.   La labor de identificación practicada por personal de la Policía</w:t>
        <w:br/>
        <w:t xml:space="preserve">      de Investigaciones, se vio dificultada por el estado de  putrefacción,</w:t>
        <w:br/>
        <w:t xml:space="preserve">      saponificación y momificación de la mayoría de los cadáveres y  restos</w:t>
        <w:br/>
        <w:t xml:space="preserve">      óseos hallados en la remoción  de  escombros;  estos  últimos  por  su</w:t>
        <w:br/>
        <w:t xml:space="preserve">      propia naturaleza no pueden ser identificados.  Asimismo  no  ha  sido</w:t>
        <w:br/>
        <w:t xml:space="preserve">      posible realizar el cotejo de las muestras dactilares tomadas  por  la</w:t>
        <w:br/>
        <w:t xml:space="preserve">      DIP-PIP y la Dirección Contra el Terrorismo  (DIRCOTE),  con  las  que</w:t>
        <w:br/>
        <w:t xml:space="preserve">      aparecen en las fichas de identificación que obran en los archivos del</w:t>
        <w:br/>
        <w:t xml:space="preserve">      INPE, al no haber sido remitidas, pese a reiterados requerimientos del</w:t>
        <w:br/>
        <w:t xml:space="preserve">      juzgado.</w:t>
        <w:br/>
        <w:br/>
        <w:br/>
        <w:t xml:space="preserve">      22.   Que los odontogramas realizados  [por  personal  de  la  Sanidad</w:t>
        <w:br/>
        <w:t xml:space="preserve">      Naval] en los  cadáveres  en  que  fue  posible  hacerlos,  no  fueron</w:t>
        <w:br/>
        <w:t xml:space="preserve">      homologados por cuanto los internos no contaban con este procedimiento</w:t>
        <w:br/>
        <w:t xml:space="preserve">      de identificación, tanto en el INPE como en la DIP en Lima y Callao  y</w:t>
        <w:br/>
        <w:t xml:space="preserve">      DIRCOTE.</w:t>
        <w:br/>
        <w:br/>
        <w:t>Cabe anotar que en muchos de los protocolos  de  necropsias  aparece  la  de</w:t>
        <w:br/>
        <w:t>aplastamiento y traumatismos múltiples como una de las causas de muerte.  El</w:t>
        <w:br/>
        <w:t>Juzgado de Marina señaló también  que  no  se  había  podido  establecer  el</w:t>
        <w:br/>
        <w:t>número total de internos que se encontraban en el penal el día  que  comenzó</w:t>
        <w:br/>
        <w:t>el motín, pues las fichas de identificación penal no habían sido  entregadas</w:t>
        <w:br/>
        <w:t>al Juzgado. El 6 de julio de 1987, se sobreseyó la causa y se  determinó  la</w:t>
        <w:br/>
        <w:t>no responsabilidad de los encausados, decisión que fue confirmada el  16  de</w:t>
        <w:br/>
        <w:t>los mismos mes y año por el Consejo de Guerra Permanente de Marina.</w:t>
        <w:br/>
        <w:br/>
        <w:t>42.   El proceso fue reabierto por decisión del Consejo Supremo de  Justicia</w:t>
        <w:br/>
        <w:t>Militar para realizar las diligencias que faltaban, ninguna  de  las  cuales</w:t>
        <w:br/>
        <w:t>se refiere a la identificación de los fallecidos. El 5 de  octubre  de  1987</w:t>
        <w:br/>
        <w:t>el Segundo Juzgado de Instrucción Permanente de  Marina  ratificó  el  6  de</w:t>
        <w:br/>
        <w:t>julio de 1987 su decisión de sobreseimiento, lo que fue  confirmado  por  el</w:t>
        <w:br/>
        <w:t>Consejo de Guerra Permanente de Marina el 7 del mismo mes de octubre.</w:t>
        <w:br/>
        <w:br/>
        <w:t>Una vez más, el  Consejo  Supremo  de  Justicia  Militar  acordó  el  23  de</w:t>
        <w:br/>
        <w:t>diciembre de 1987 reponer la causa al  estado  de  instrucción  y  habilitar</w:t>
        <w:br/>
        <w:t>para ese efecto la jurisdicción de su Sala de Guerra. Este proceso  concluyó</w:t>
        <w:br/>
        <w:t>el 20 de julio de 1989, con la decisión de que no había  responsabilidad  de</w:t>
        <w:br/>
        <w:t>quienes intervinieron en la debelación del motín.</w:t>
        <w:br/>
        <w:br/>
        <w:t>43.   El Congreso del Perú designó  una  comisión  investigadora  sobre  los</w:t>
        <w:br/>
        <w:t>sucesos ocurridos en el Penal San Juan Bautista y dos penales más,  la  cual</w:t>
        <w:br/>
        <w:t>se instaló formalmente el 7 de agosto de 1987. En diciembre  de  ese  último</w:t>
        <w:br/>
        <w:t>año la comisión presentó al  Congreso  un  informe  de  mayoría  y  otro  de</w:t>
        <w:br/>
        <w:t>minoría.</w:t>
        <w:br/>
        <w:br/>
        <w:t>En la conclusión 14 del informe de mayoría se dice:</w:t>
        <w:br/>
        <w:br/>
        <w:br/>
        <w:br/>
        <w:br/>
        <w:br/>
        <w:br/>
        <w:t xml:space="preserve">            A las 03:00 horas La Marina de Guerra del Perú toma a  su  cargo</w:t>
        <w:br/>
        <w:t xml:space="preserve">      el operativo.</w:t>
        <w:br/>
        <w:t xml:space="preserve">            Su accionar responde a la convicción de que los  internos  están</w:t>
        <w:br/>
        <w:t xml:space="preserve">      armados  y  cuentan  con   fortificaciones   y   túneles,   tal   como</w:t>
        <w:br/>
        <w:t xml:space="preserve">      posteriormente la investigación ha corroborado,  y  además  porque  no</w:t>
        <w:br/>
        <w:t xml:space="preserve">      habían sido dominados por  la Guardia Republicana y después  de  haber</w:t>
        <w:br/>
        <w:t xml:space="preserve">      provocado la muerte y lesiones en efectivos de la Marina y Policía.</w:t>
        <w:br/>
        <w:t xml:space="preserve">            Del resultado logrado se infiere, sin embargo, la  desproporción</w:t>
        <w:br/>
        <w:t xml:space="preserve">      del potencial bélico  empleado.  La  demolición  final,  luego  de  la</w:t>
        <w:br/>
        <w:t xml:space="preserve">      rendición producida a las 14:30 horas del día diecinueve,  no  tendría</w:t>
        <w:br/>
        <w:t xml:space="preserve">      explicación lógica y en consecuencia sería injustificada.</w:t>
        <w:br/>
        <w:t xml:space="preserve">            ...</w:t>
        <w:br/>
        <w:t xml:space="preserve">            Amnistía Internacional manifiesta haber  recogido  versiones  de</w:t>
        <w:br/>
        <w:t xml:space="preserve">      sobrevivientes y las ha difundido, en documento  publicado  en  varios</w:t>
        <w:br/>
        <w:t xml:space="preserve">      idiomas, en el sentido que se habrían producido supuestas  ejecuciones</w:t>
        <w:br/>
        <w:t xml:space="preserve">      de amotinados rendidos en El Frontón.</w:t>
        <w:br/>
        <w:t xml:space="preserve">            Uno de los sobrevivientes de los motines  informó  oficiosamente</w:t>
        <w:br/>
        <w:t xml:space="preserve">      en el mismo sentido, a una  tercera  persona,  el  mismo  que  al  ser</w:t>
        <w:br/>
        <w:t xml:space="preserve">      requerido por la Comisión Investigadora para ratificar su  versión  se</w:t>
        <w:br/>
        <w:t xml:space="preserve">      negó a hacerlo.</w:t>
        <w:br/>
        <w:t xml:space="preserve">            El Fuero Militar debe investigar en profundidad estas denuncias.</w:t>
        <w:br/>
        <w:br/>
        <w:t>En la exposición de los hechos que contiene el  informe  de  minoría  de  la</w:t>
        <w:br/>
        <w:t>comisión investigadora del Congreso se dice:</w:t>
        <w:br/>
        <w:br/>
        <w:t xml:space="preserve">      15.D Llama la atención la falta de interés  por  rescatar  a  posibles</w:t>
        <w:br/>
        <w:t xml:space="preserve">      sobrevivientes después de la demolición... 15.E La aparición posterior</w:t>
        <w:br/>
        <w:t xml:space="preserve">      de un sobreviviente el día 20 de junio y de cuatro  sobrevivientes  el</w:t>
        <w:br/>
        <w:t xml:space="preserve">      día 21 de junio indican que se hubiera podido rescatar más internos si</w:t>
        <w:br/>
        <w:t xml:space="preserve">      hubiera existido interés para ello... 16. La remoción de los escombros</w:t>
        <w:br/>
        <w:t xml:space="preserve">      por la Marina de Guerra para encontrar los cadáveres  se  hizo  en  un</w:t>
        <w:br/>
        <w:t xml:space="preserve">      tiempo excesiva e inexplicablemente largo...</w:t>
        <w:br/>
        <w:br/>
        <w:t>En  el  capítulo  denominado  “Cuestiones  previas”,  y  que  presenta   las</w:t>
        <w:br/>
        <w:t>conclusiones del mismo informe de minoría, se establece:</w:t>
        <w:br/>
        <w:br/>
        <w:t xml:space="preserve">      3.    Está demostrado que se impidió y limitó ilegalmente la actuación</w:t>
        <w:br/>
        <w:t xml:space="preserve">      de las autoridades judiciales y del Ministerio Público...</w:t>
        <w:br/>
        <w:t xml:space="preserve">      4.    Está demostrado que el gobierno, al incumplir con su  obligación</w:t>
        <w:br/>
        <w:t xml:space="preserve">      de proteger la vida humana, dio órdenes que trajeron como consecuencia</w:t>
        <w:br/>
        <w:t xml:space="preserve">      un injustificable número de muertes... a. La opción tomada de  debelar</w:t>
        <w:br/>
        <w:t xml:space="preserve">      los motines a través de la fuerza militar, en el  plazo  más  breve  y</w:t>
        <w:br/>
        <w:t xml:space="preserve">      perentorio, significaba poner en grave e innecesario peligro  la  vida</w:t>
        <w:br/>
        <w:t xml:space="preserve">      de los rehenes y los internos... b. La fuerza  militar  utilizada  fue</w:t>
        <w:br/>
        <w:t xml:space="preserve">      desproporcionada en relación al  peligro  realmente  existente  y  las</w:t>
        <w:br/>
        <w:t xml:space="preserve">      formas de ataque implementadas tampoco revelaron precaución alguna por</w:t>
        <w:br/>
        <w:t xml:space="preserve">      reducir los costos humanos del develamiento... 5. ... En la Isla Penal</w:t>
        <w:br/>
        <w:t xml:space="preserve">      El Frontón la versión inicial  sobre  los  operativos  no  ha  logrado</w:t>
        <w:br/>
        <w:t xml:space="preserve">      explicar satisfactoriamente el final  de  la  operación  y  la  suerte</w:t>
        <w:br/>
        <w:t xml:space="preserve">      corrida por los sobrevivientes, lo que abre la posibilidad de  que  se</w:t>
        <w:br/>
        <w:t xml:space="preserve">      produjesen ejecuciones extrajudiciales similares a las  del  Penal  de</w:t>
        <w:br/>
        <w:t xml:space="preserve">      Lurigancho. Aunque dichas ejecuciones no hubiesen  ocurrido,  el  solo</w:t>
        <w:br/>
        <w:t xml:space="preserve">      hecho de la demolición del Pabellón Azul, haya sido intencional o  no,</w:t>
        <w:br/>
        <w:t xml:space="preserve">      constituye delito contra la vida (2).</w:t>
        <w:br/>
        <w:br/>
        <w:t>La nota (2) que se cita al final del párrafo anterior dice así:</w:t>
        <w:br/>
        <w:br/>
        <w:t xml:space="preserve">      (2)   El Informe  técnico  que  adjuntamos  señala  la  existencia  de</w:t>
        <w:br/>
        <w:t xml:space="preserve">      pruebas de  que  al  menos  una  de  las  columnas  que  soportaba  la</w:t>
        <w:br/>
        <w:t xml:space="preserve">      estructura del Pabellón fue  dinamitada  desde  el  exterior  para  el</w:t>
        <w:br/>
        <w:t xml:space="preserve">      derrumbe final.  Nuestra  evaluación  ha  revelado,  asimismo,  serias</w:t>
        <w:br/>
        <w:t xml:space="preserve">      inconsistencias en la explicación oficial de la forma en  que  pierden</w:t>
        <w:br/>
        <w:t xml:space="preserve">      la vida los internos, presuntamente encerrados  en  túneles,  ante  el</w:t>
        <w:br/>
        <w:t xml:space="preserve">      derrumbe del Pabellón.</w:t>
        <w:br/>
        <w:br/>
        <w:br/>
        <w:t xml:space="preserve">                                      V</w:t>
        <w:br/>
        <w:br/>
        <w:br/>
        <w:t>44.   Durante  las  audiencias  públicas  celebradas  sobre  este  caso,  el</w:t>
        <w:br/>
        <w:t>Gobierno se abstuvo de presentar pruebas y  por  parte  de  la  Comisión  se</w:t>
        <w:br/>
        <w:t>presentaron los  testigos  y  expertos  cuyas  declaraciones  se  resumen  a</w:t>
        <w:br/>
        <w:t>continuación.</w:t>
        <w:br/>
        <w:br/>
        <w:t>45.    La  testigo  Sonia  Goldenberg  declaró  que  como  periodista  había</w:t>
        <w:br/>
        <w:t>entrevistado  a  Jesús  Mejía  Huerta  quien  le  informó  que  después  del</w:t>
        <w:br/>
        <w:t>bombardeo del penal quedaban como  unos  70  presos;  que  los  llamaban  en</w:t>
        <w:br/>
        <w:t>grupos y que ocurrieron fusilamientos; que él tenía ocho o diez  heridas  de</w:t>
        <w:br/>
        <w:t>bala y fue arrojado con  otros  heridos  en  una  fosa.  Posteriormente  fue</w:t>
        <w:br/>
        <w:t>dinamitado el Pabellón Azul. También declaró que entrevistó  a  Juan  Tulich</w:t>
        <w:br/>
        <w:t>Morales quien le informó que sabía que a los detenidos que  eran  cabecillas</w:t>
        <w:br/>
        <w:t>los llevaron a la base naval de San Lorenzo y luego los fusilaron.</w:t>
        <w:br/>
        <w:br/>
        <w:t>46.   La testigo Pilar Coll declaró que en agosto  de  1987  estaba  en  una</w:t>
        <w:br/>
        <w:t>oficina encargada por la comisión investigadora del  Parlamento  de  recibir</w:t>
        <w:br/>
        <w:t>testimonios de los familiares de los detenidos en los penales y  de  algunos</w:t>
        <w:br/>
        <w:t>sobrevivientes; que entrevistó a Jesús Mejía Huerta quien  le  informó,  con</w:t>
        <w:br/>
        <w:t>mayor amplitud, lo que ya había declarado a  la  testigo  anterior.  Declaró</w:t>
        <w:br/>
        <w:t>también la testigo que  algunos  familiares  de  los  detenidos  sabían  que</w:t>
        <w:br/>
        <w:t>algunos sobrevivientes habían desaparecido.</w:t>
        <w:br/>
        <w:br/>
        <w:t>47.   El experto Guillermo Tamayo Pinto Bazurco,  ingeniero  civil,  declaró</w:t>
        <w:br/>
        <w:t>que en 1987 el Centro de Proyectos y Construcciones del cual es  Presidente,</w:t>
        <w:br/>
        <w:t>fue contratado por la comisión del congreso que investigaba los  sucesos  de</w:t>
        <w:br/>
        <w:t>los penales; que visitó la Isla Penal “El Frontón”;  que  el  Pabellón  Azul</w:t>
        <w:br/>
        <w:t>había sido demolido y que la demolición total se  había  producido  mediante</w:t>
        <w:br/>
        <w:t>explosivos plásticos colocados al pie  de  las  columnas;  que  había  visto</w:t>
        <w:br/>
        <w:t>huellas de la onda expansiva por fuera del edificio; que había 20 metros  de</w:t>
        <w:br/>
        <w:t>túneles pero que éstos no afectaron la solidez de la  estructura  y  que  no</w:t>
        <w:br/>
        <w:t>había vestigios de que en ellos hubieran ocurrido explosiones.</w:t>
        <w:br/>
        <w:br/>
        <w:t>48.   El experto Enrique Bernardo Cangahuala, ingeniero civil,  declaró  que</w:t>
        <w:br/>
        <w:t>hace unos años había sido contratado por la comisión del Senado  para  hacer</w:t>
        <w:br/>
        <w:t>una evaluación, desde el punto de vista de la  ingeniería  civil,  sobre  el</w:t>
        <w:br/>
        <w:t>problema que se  había  presentado  en  el  Penal  San  Juan  Bautista;  que</w:t>
        <w:br/>
        <w:t>redactaron un informe después de visitar el  sitio  y  reunir  antecedentes;</w:t>
        <w:br/>
        <w:t>que el Colegio de Ingenieros hizo suyo el informe; que  encontraron  túneles</w:t>
        <w:br/>
        <w:t>pero  que  no  ofrecían  continuidad  hacia  aberturas  en  la  costa;   que</w:t>
        <w:br/>
        <w:t>encontraron evidencia de explosivos en las columnas del  Pabellón;  que  con</w:t>
        <w:br/>
        <w:t>el trabajo de diez peones se hubieran podido eliminar los  escombros  en  un</w:t>
        <w:br/>
        <w:t>mes; que si la  intención  de  usar  explosivos  hubiera  sido  ingresar  al</w:t>
        <w:br/>
        <w:t>Pabellón, se hubieran puesto en los  muros,  por  lo  que  el  objetivo  fue</w:t>
        <w:br/>
        <w:t>demoler el edificio;  que  no  hay  evidencia  de  que  hubiera  habido  una</w:t>
        <w:br/>
        <w:t>explosión en el interior del edificio; que un explosivo plástico  no  podría</w:t>
        <w:br/>
        <w:t>provocar una explosión de dinamita por simpatía y que en los  túneles  había</w:t>
        <w:br/>
        <w:t>posibilidad de que la gente se refugiara pero no la había para poder salir.</w:t>
        <w:br/>
        <w:br/>
        <w:t>49.   El testigo Ricardo Aurelio Chumbes Paz declaró que es abogado y en  la</w:t>
        <w:br/>
        <w:t>época de los hechos era Juez Instructor  de  El  Callao,  hoy  en  día  Juez</w:t>
        <w:br/>
        <w:t>Penal; que el 18 de junio de 1986 escuchó por la radio  sobre  unos  motines</w:t>
        <w:br/>
        <w:t>en el Penal de “El Frontón”; que como a la una de la tarde el Presidente  de</w:t>
        <w:br/>
        <w:t>la Corte Suprema  lo  comisionó  para  observar  los  hechos  sin  poder  de</w:t>
        <w:br/>
        <w:t>decisión para luego informarlo; que las autoridades de la Marina le  negaron</w:t>
        <w:br/>
        <w:t>facilidades para trasladarse a la Isla Penal; que como a las tres y media  o</w:t>
        <w:br/>
        <w:t>cuatro de la tarde ingresó a su despacho un hábeas  corpus  que  presentaban</w:t>
        <w:br/>
        <w:t>los abogados de los internos del penal; que alrededor de las nueve  y  media</w:t>
        <w:br/>
        <w:t>de la noche se le facilitó una  lancha  que  lo  trasladó  a  la  Isla;  que</w:t>
        <w:br/>
        <w:t>entrevistó al Director del Penal quien le comunicó que la Isla  estaba  bajo</w:t>
        <w:br/>
        <w:t>el control de la Marina de Guerra; que también  entrevistó  al  Viceministro</w:t>
        <w:br/>
        <w:t>del Interior quien le comunicó que el Gobierno, por intermedio  del  Consejo</w:t>
        <w:br/>
        <w:t>de Ministros, había encargado a las Fuerzas Armadas  la  debelación  de  los</w:t>
        <w:br/>
        <w:t>motines; que a continuación hubo un apagón y explosiones; que  se  acercó  a</w:t>
        <w:br/>
        <w:t>una reja que está como a 50 metros del penal y gritó que salieran  delegados</w:t>
        <w:br/>
        <w:t>de los internos pero no obtuvo ninguna respuesta; que se le  impidió  hablar</w:t>
        <w:br/>
        <w:t>con el Comandante a cargo del operativo militar; que al abordar  una  lancha</w:t>
        <w:br/>
        <w:t>en la madrugada para retirarse oyó explosiones; que al tercer día  supo  por</w:t>
        <w:br/>
        <w:t>los medios de difusión sobre los muertos habidos  como  consecuencia  de  la</w:t>
        <w:br/>
        <w:t>debelación del motín; que intentó dirigirse  de  nuevo  al  penal  y  se  le</w:t>
        <w:br/>
        <w:t>impidió diciéndosele que era Zona Militar Restringida; que  en  otros  casos</w:t>
        <w:br/>
        <w:t>de motines ha habido debelación sin necesidad de usar  medios  letales;  que</w:t>
        <w:br/>
        <w:t>los internos del Penal “El Frontón” no  pudieron  haberse  fugado;  que  los</w:t>
        <w:br/>
        <w:t>medios de garantía o de hábeas corpus, en el caso concreto de “El  Frontón”,</w:t>
        <w:br/>
        <w:t>fueron ineficaces para la tutela de la vida, de la integridad  física  y  de</w:t>
        <w:br/>
        <w:t>los derechos fundamentales de las personas mencionadas en esos amparos;  que</w:t>
        <w:br/>
        <w:t>al hacer levantamientos de cadáveres se toman  las  huellas  digitales,  las</w:t>
        <w:br/>
        <w:t>huellas de los dientes y en algunos casos las huellas  de  los  pies  y  que</w:t>
        <w:br/>
        <w:t>cuando un prisionero entra a la cárcel  se  le  toman  huellas  digitales  y</w:t>
        <w:br/>
        <w:t>fotografías.</w:t>
        <w:br/>
        <w:br/>
        <w:t>50.   El testigo José Antonio Burneo Labrín, abogado, profesor del curso  de</w:t>
        <w:br/>
        <w:t>derechos humanos en la Universidad Mayor de San Marcos, declaró  que  en  el</w:t>
        <w:br/>
        <w:t>año 1986 era Director del Departamento Jurídico de la Comisión Episcopal  de</w:t>
        <w:br/>
        <w:t>Acción Social (CEAS) de la Iglesia Católica; que unas  dos  o  tres  semanas</w:t>
        <w:br/>
        <w:t>después de los hechos de los penales se acercaron a esa  oficina  la  señora</w:t>
        <w:br/>
        <w:t>Alegría, madre de una de las  víctimas,  y  el  padre  de  los  dos  jóvenes</w:t>
        <w:br/>
        <w:t>Zenteno,  pidiendo  que  les  ayudaran  a  conseguir  información  sobre  el</w:t>
        <w:br/>
        <w:t>paradero de sus deudos; que planteó un recurso  de  hábeas  corpus  ante  el</w:t>
        <w:br/>
        <w:t>Vigésimo Primer Juzgado de Instrucción de Lima el día 16 de julio  de  1986;</w:t>
        <w:br/>
        <w:t>que el  Presidente  del  Comando  Conjunto  de  las  Fuerzas  Armadas  y  el</w:t>
        <w:br/>
        <w:t>Comandante General de la Marina declararon que la información debía  pedirse</w:t>
        <w:br/>
        <w:t>a las autoridades penitenciarias o al Juez Especial de la Marina que  estaba</w:t>
        <w:br/>
        <w:t>haciendo el levantamiento de los cadáveres; que el  Presidente  del  Consejo</w:t>
        <w:br/>
        <w:t>Nacional Penitenciario entregó al juez una lista de  los  detenidos  en  “El</w:t>
        <w:br/>
        <w:t>Frontón” el día de los hechos, en la cual aparecían  152  internos  y  entre</w:t>
        <w:br/>
        <w:t>ellos Víctor Raúl Neira Alegría y los hermanos  Zenteno  e  informó  que  le</w:t>
        <w:br/>
        <w:t>habían puesto a su disposición 27 detenidos sanos y salvos y siete  heridos;</w:t>
        <w:br/>
        <w:t>que el juez resolvió que no procedía el hábeas corpus, lo que  fue  apelado,</w:t>
        <w:br/>
        <w:t>y el Tribunal Correccional de Lima, por dos votos  contra  uno,  decidió  no</w:t>
        <w:br/>
        <w:t>haber lugar a la apelación; que el 25 de agosto de  1986  interpuso  recurso</w:t>
        <w:br/>
        <w:t>de nulidad ante la Corte Suprema y la Sala Penal de  ese  Tribunal  resolvió</w:t>
        <w:br/>
        <w:t>que no había nulidad; que la CEAS interpuso  recurso  de  casación  ante  el</w:t>
        <w:br/>
        <w:t>Tribunal de Garantías Constitucionales y cuatro miembros de  él  votaron  en</w:t>
        <w:br/>
        <w:t>favor de la casación, es decir que faltó un voto porque se  requieren  cinco</w:t>
        <w:br/>
        <w:t>favorables, y que en esa forma quedó agotada  la  instancia  nacional  y  se</w:t>
        <w:br/>
        <w:t>aconsejó a la familia recurrir a la Comisión Interamericana.</w:t>
        <w:br/>
        <w:br/>
        <w:t>51.   El testigo César Delgado Barreto,  abogado,  declaró  que  había  sido</w:t>
        <w:br/>
        <w:t>elegido Senador en 1985; que fue miembro  de  la  Comisión  de  Justicia  de</w:t>
        <w:br/>
        <w:t>Derechos Humanos del Senado; que  después  de  los  acontecimientos  de  los</w:t>
        <w:br/>
        <w:t>penales, a solicitud del Presidente de la República, el Congreso nombró  una</w:t>
        <w:br/>
        <w:t>comisión bicameral  y  multipartidaria  de  trece  miembros  de  la  que  el</w:t>
        <w:br/>
        <w:t>declarante formó parte y que sesionó durante cuatro meses; que en  el  motín</w:t>
        <w:br/>
        <w:t>de “El Frontón” actuó primero la Guardia Republicana y luego  la  Infantería</w:t>
        <w:br/>
        <w:t>de Marina; que primero se dispararon tres  cohetes  y  luego  se  utilizaron</w:t>
        <w:br/>
        <w:t>explosivos plásticos; que, en su opinión, hubo desproporción en  los  medios</w:t>
        <w:br/>
        <w:t>utilizados, pues no había  necesidad  de  haber  usado  explosivos;  que  la</w:t>
        <w:br/>
        <w:t>comisión contó con el apoyo  de  un  grupo  de  ingenieros  que  elaboró  un</w:t>
        <w:br/>
        <w:t>informe sobre la demolición; que no sabe de alguna  investigación  que  haya</w:t>
        <w:br/>
        <w:t>logrado determinar el paradero de Neira  Alegría  y  los  Zenteno;  que  los</w:t>
        <w:br/>
        <w:t>informes de mayoría y de minoría de la comisión coinciden en  cuanto  a  los</w:t>
        <w:br/>
        <w:t>hechos y difieren desde el punto  de  vista  político  constitucional  sobre</w:t>
        <w:br/>
        <w:t>responsabilidad de los Ministros que aprobaron la participación del  Comando</w:t>
        <w:br/>
        <w:t>Conjunto en la debelación de los penales; y que uno  de  los  sobrevivientes</w:t>
        <w:br/>
        <w:t>de los motines informó  a  una  tercera  persona  que  hubo  ejecuciones  de</w:t>
        <w:br/>
        <w:t>amotinados después de rendidos, pero al ser requerido por la  comisión  para</w:t>
        <w:br/>
        <w:t>ratificar su versión se negó a hacerlo.</w:t>
        <w:br/>
        <w:br/>
        <w:t>52.   El testigo Rolando Ames  Cobián,  Licenciado  en  Ciencias  Políticas,</w:t>
        <w:br/>
        <w:t>declaró que  en  1987,  siendo  Senador,  fue  designado  Presidente  de  la</w:t>
        <w:br/>
        <w:t>comisión del Congreso para  investigar  los  sucesos  de  los  tres  penales</w:t>
        <w:br/>
        <w:t>amotinados; que  la  comisión  hizo  el  proceso  de  investigación  lo  más</w:t>
        <w:br/>
        <w:t>riguroso posible; que los informes de mayoría  y  de  minoría  coinciden  en</w:t>
        <w:br/>
        <w:t>cuanto a los hechos y la diferencia está en el grado de responsabilidad  del</w:t>
        <w:br/>
        <w:t>más alto nivel del Gobierno en los procesos de  represión  de  los  penales;</w:t>
        <w:br/>
        <w:t>que el Gobierno declaró no tomar la rebelión de los  tres  penales  como  un</w:t>
        <w:br/>
        <w:t>problema de índole policial, sino  “como  la  gran  confrontación  entre  el</w:t>
        <w:br/>
        <w:t>Gobierno y  Sendero  Luminoso...  porque  los  comunicados  públicos  y  las</w:t>
        <w:br/>
        <w:t>declaraciones del Presidente de la República son netas en  definir  así  las</w:t>
        <w:br/>
        <w:t>cosas, Sendero Luminoso versus el Gobierno”; que esto motivó a  debelar  los</w:t>
        <w:br/>
        <w:t>motines lo más rápido posible por medio del Comando Conjunto de las  Fuerzas</w:t>
        <w:br/>
        <w:t>Armadas; que las dos terceras partes del Pabellón Azul que  estaban  en  pie</w:t>
        <w:br/>
        <w:t>fueron  demolidas  por  cargas  de  dinamita  colocadas  en   las   columnas</w:t>
        <w:br/>
        <w:t>exteriores, lo que produjo un número de muertos absolutamente innecesario  y</w:t>
        <w:br/>
        <w:t>que no estaban haciendo resistencia activa; que no hubo  interés  en  buscar</w:t>
        <w:br/>
        <w:t>heridos ni personas en los túneles; que no se permitió la entrada al  penal,</w:t>
        <w:br/>
        <w:t>sino hasta un año después; que Neira  Alegría  y  los  hermanos  Zenteno  no</w:t>
        <w:br/>
        <w:t>estaban entre los prisioneros rendidos pero sí en la lista que el  Instituto</w:t>
        <w:br/>
        <w:t>Nacional Penitenciario proporcionó a la comisión; que los sobrevivientes  de</w:t>
        <w:br/>
        <w:t>los motines se negaron a declarar ante la comisión; que el  Congreso  aprobó</w:t>
        <w:br/>
        <w:t>el informe de mayoría de la comisión investigadora; que la  explosión  final</w:t>
        <w:br/>
        <w:t>que demolió el  penal  se  produjo  cuando  no  estaba  habiendo  un  ataque</w:t>
        <w:br/>
        <w:t>intenso, sino cuando ya había concluido el  ataque  y  que  no  ocurrió  por</w:t>
        <w:br/>
        <w:t>simpatía de dinamita, sino por voladura de las  columnas  que  sostenían  el</w:t>
        <w:br/>
        <w:t>edificio; que además de los 28 internos que se rindieron  el  mismo  día  de</w:t>
        <w:br/>
        <w:t>los acontecimientos, un día después aparecieron uno o dos más  y  tres  días</w:t>
        <w:br/>
        <w:t>después aparecieron uno  o  dos;  que  la  comisión  investigadora  solicitó</w:t>
        <w:br/>
        <w:t>información sobre la investigación que hacía el Consejo Supremo de  Justicia</w:t>
        <w:br/>
        <w:t>Militar, pero la Sala Naval no proporcionó  ninguna  e  incluso  se  negó  a</w:t>
        <w:br/>
        <w:t>suministrar los nombres  de  los  oficiales  que  tuvieron  a  su  cargo  la</w:t>
        <w:br/>
        <w:t>operación; que la comisión no tuvo ninguna evidencia  de  que  los  internos</w:t>
        <w:br/>
        <w:t>del penal tuvieran dinamita; que la comisión trató  de  informarse  del  por</w:t>
        <w:br/>
        <w:t>qué no se usaron instrumentos como gases lacrimógenos o enervantes y se  les</w:t>
        <w:br/>
        <w:t>dijo que no hubo tiempo de aplicarlos por  la  urgencia  de  acabar  con  el</w:t>
        <w:br/>
        <w:t>motín la misma noche; y que no había ninguna posibilidad de  fuga  de  parte</w:t>
        <w:br/>
        <w:t>de los amotinados.</w:t>
        <w:br/>
        <w:br/>
        <w:t>53.   El  testigo  José  Ráez  González,  médico  cirujano,  declaró  que  a</w:t>
        <w:br/>
        <w:t>solicitud de la Marina de  Guerra  pidió  al  Instituto  de  Medicina  Legal</w:t>
        <w:br/>
        <w:t>designar dos expertos para hacer  estudios  en  restos  cadavéricos  en  “El</w:t>
        <w:br/>
        <w:t>Frontón” y en esa condición se trasladó a la Isla desde febrero hasta  abril</w:t>
        <w:br/>
        <w:t>de 1987 y que examinó más o menos 90 cadáveres; que la finalidad del  médico</w:t>
        <w:br/>
        <w:t>legista es determinar la causa de la muerte y ayudar  a  la  identificación;</w:t>
        <w:br/>
        <w:t>que los cadáveres habían pasado toda  la  etapa  de  putrefacción  primaria,</w:t>
        <w:br/>
        <w:t>algunos estaban en momificación y otros  habían  perdido  todas  las  partes</w:t>
        <w:br/>
        <w:t>blandas y sólo había fragmentos; que en muchos casos no se  pudo  determinar</w:t>
        <w:br/>
        <w:t>la causa de la muerte por  tratarse  sólo  de  restos  óseos,  en  otros  se</w:t>
        <w:br/>
        <w:t>determinó  muerte  por  fracturas  múltiples;  que  en  algunos   casos   se</w:t>
        <w:br/>
        <w:t>describieron los restos de ropa, la talla, el sexo, la  edad  y  los  restos</w:t>
        <w:br/>
        <w:t>dentales; que  no  es  función  del  médico  ponerse  en  contacto  con  los</w:t>
        <w:br/>
        <w:t>familiares de las víctimas para tratar de identificar los cadáveres; que  la</w:t>
        <w:br/>
        <w:t>identificación  corresponde  al  Departamento  de  Investigaciones;  que  de</w:t>
        <w:br/>
        <w:t>algunos cadáveres pudo tomar  huellas  digitales;  que  la  mayoría  de  las</w:t>
        <w:br/>
        <w:t>muertes fueron por aplastamiento; que  una  vez  concluidos  los  peritajes,</w:t>
        <w:br/>
        <w:t>entregó los protocolos, resúmenes y comentarios al Juez Naval  y  firmó  los</w:t>
        <w:br/>
        <w:t>certificados de defunción; que son muchos los  factores  que  impiden  tomar</w:t>
        <w:br/>
        <w:t>huellas dactilares a un cadáver y que no recuerda haber visto quemaduras  en</w:t>
        <w:br/>
        <w:t>los cadáveres.</w:t>
        <w:br/>
        <w:br/>
        <w:t>54.   El testigo doctor Augusto Yamada Yamada, Médico Jefe del  Departamento</w:t>
        <w:br/>
        <w:t>de Anatomía Patológica del Hospital Naval,  oficial  de  la  Marina  con  el</w:t>
        <w:br/>
        <w:t>rango de Capitán de Fragata Sanidad Naval, declaró que los días 19 y  20  de</w:t>
        <w:br/>
        <w:t>junio de 1986 comenzó a hacer necropsias en “El  Frontón”;  que  los  de  la</w:t>
        <w:br/>
        <w:t>policía tomaron huellas digitales y un odontólogo los odontogramas;  que  él</w:t>
        <w:br/>
        <w:t>hizo los protocolos de necropsia y los certificados de defunción; que  actuó</w:t>
        <w:br/>
        <w:t>bajo las órdenes del juez de  la  marina;  que  de  las  38  necropsias  que</w:t>
        <w:br/>
        <w:t>suscribió hay diez y siete en que se indica herida de armas  de  fuego  como</w:t>
        <w:br/>
        <w:t>causa de muerte y 21 por aplastamiento; que en algunos casos las heridas  de</w:t>
        <w:br/>
        <w:t>bala eran múltiples y no eran  a  corta  distancia;  que  la  identificación</w:t>
        <w:br/>
        <w:t>estaba a cargo de la Policía de Investigación; que  en  cuatro  certificados</w:t>
        <w:br/>
        <w:t>de defunción se pusieron los nombres de  los  difuntos  los  que  le  fueron</w:t>
        <w:br/>
        <w:t>suministrados por el juez; que no encontró esquirlas en los  cadáveres;  que</w:t>
        <w:br/>
        <w:t>los cuerpos que examinó estaban más o  menos  enteros,  salvo  tres  que  no</w:t>
        <w:br/>
        <w:t>tenían cabeza y que las necropsias las hizo los  días  19  y  20  de  junio,</w:t>
        <w:br/>
        <w:t>varias en julio y cinco el 22 de enero de 1989.</w:t>
        <w:br/>
        <w:br/>
        <w:t>55.   El testigo Juan Kruger Párraga, médico anátomo-patólogo,  declaró  que</w:t>
        <w:br/>
        <w:t>hasta el año 89 fue Jefe del Departamento de  Patología  del  Centro  Médico</w:t>
        <w:br/>
        <w:t>Naval, con el grado de Capitán de Navío; que  el  objeto  de  la  necropsia,</w:t>
        <w:br/>
        <w:t>entre otros, es determinar la causa de la muerte  porque  la  identificación</w:t>
        <w:br/>
        <w:t>de los cadáveres corresponde a la Policía de  Investigaciones  en  el  Perú;</w:t>
        <w:br/>
        <w:t>que no es parte de la misión del médico la identificación; que  fue  llamado</w:t>
        <w:br/>
        <w:t>a practicar necropsias en la Isla “El Frontón” y la primera vez  que  estuvo</w:t>
        <w:br/>
        <w:t>allí fue el 5 de julio de 1986 y la última el 22 de enero de 1987; que  hizo</w:t>
        <w:br/>
        <w:t>23 necropsias y en todas señala que “[a]lgunos  estaban  en,  o  la  mayoría</w:t>
        <w:br/>
        <w:t>estaba, en estado de putrefacción” y muchos tenían fracturas  múltiples  por</w:t>
        <w:br/>
        <w:t>aplastamiento; que ninguno de  los  protocolos  de  autopsia  que  él  firmó</w:t>
        <w:br/>
        <w:t>identifica a la persona; que en  las  necropsias  intervinieron  odontólogos</w:t>
        <w:br/>
        <w:t>que hicieron  odontogramas  en  los  casos  en  que  se  encontraron  piezas</w:t>
        <w:br/>
        <w:t>dentales y  fueron  entregados  al  Juez  de  Marina;  que  algunos  de  los</w:t>
        <w:br/>
        <w:t>cadáveres tenían ropas civiles pero en  los  protocolos  no  consignó  estos</w:t>
        <w:br/>
        <w:t>datos; que no encontró en los cadáveres  rastros  de  heridas  por  arma  de</w:t>
        <w:br/>
        <w:t>fuego; que por el estado de los cadáveres no podía determinar si  uno  murió</w:t>
        <w:br/>
        <w:t>el 18 o el 19; que cada necropsia duraba dos  horas  o  más;  que  en  pocos</w:t>
        <w:br/>
        <w:t>cadáveres encontró signos de quemaduras.</w:t>
        <w:br/>
        <w:br/>
        <w:t>56.   El perito Robert H. Kirschner, médico y patólogo forense, declaró  que</w:t>
        <w:br/>
        <w:t>es Sub-Jefe Médico Examinador y suplente del principal del Condado de  Cook,</w:t>
        <w:br/>
        <w:t>Illinois, en Chicago, y sus alrededores; que en su carrera ha hecho  más  de</w:t>
        <w:br/>
        <w:t>7,000 autopsias y describió algunas de sus experiencias;  opinó  que  en  el</w:t>
        <w:br/>
        <w:t>caso del penal en el Perú, las autoridades  debían,  como  es  usual,  tener</w:t>
        <w:br/>
        <w:t>huellas digitales de los internos y hubiera sido fácil compararlas  con  las</w:t>
        <w:br/>
        <w:t>de los cadáveres, lo mismo  que  los  odontogramas,  tatuajes  y  cicatrices</w:t>
        <w:br/>
        <w:t>antiguas, para lo cual la ayuda de la familia es muy importante; que  el  20</w:t>
        <w:br/>
        <w:t>de  junio  hubiera  sido  muy  fácil,  teniendo  la  información  necesaria,</w:t>
        <w:br/>
        <w:t>identificar todos los cadáveres; que es muy importante fotografiar  y  hacer</w:t>
        <w:br/>
        <w:t>diagramas del sitio de un desastre antes de levantar los cadáveres,  incluso</w:t>
        <w:br/>
        <w:t>para determinar la causa de la muerte;  que  las  necropsias  fueron  hechas</w:t>
        <w:br/>
        <w:t>profesionalmente,  pero  que  hubo  falta   en   los   encargados   de   las</w:t>
        <w:br/>
        <w:t>identificaciones;  que  incluso  ahora   muchas   identificaciones   podrían</w:t>
        <w:br/>
        <w:t>hacerse, aún  sin  exhumación,  especialmente  si  hay  cooperación  de  los</w:t>
        <w:br/>
        <w:t>familiares; que son pocos los casos en que no se  logra  la  identificación;</w:t>
        <w:br/>
        <w:t>que una explosión interna dejaría huellas perceptibles en el cuerpo.</w:t>
        <w:br/>
        <w:br/>
        <w:t>57.   El perito doctor Clyde C. Snow, médico y  antropólogo-forense  declaró</w:t>
        <w:br/>
        <w:t>que a partir de 1984 ha sido llamado  muchas  veces  fuera  de  los  Estados</w:t>
        <w:br/>
        <w:t>Unidos para investigar en casos sobre desapariciones o ejecuciones  en  masa</w:t>
        <w:br/>
        <w:t>en Argentina, Bolivia, Chile, Guatemala, El Salvador, Irak, Kurdistán  y  la</w:t>
        <w:br/>
        <w:t>ex Yugoslavia; que muchos de esos casos eran más difíciles  que  el  de  “El</w:t>
        <w:br/>
        <w:t>Frontón” porque en éste se contaba con una lista de los internos  y  en  los</w:t>
        <w:br/>
        <w:t>registros  penitenciarios  debió  haber   descripciones   físicas,   huellas</w:t>
        <w:br/>
        <w:t>digitales, evidencia dental,  etc.;  que  la  momificación  en  cierto  modo</w:t>
        <w:br/>
        <w:t>facilita la identificación,  en  particular  por  las  huellas  digitales  y</w:t>
        <w:br/>
        <w:t>marcas en la piel; que estadísticamente es improbable  que  un  médico  haya</w:t>
        <w:br/>
        <w:t>encontrado diez y siete cadáveres con heridas de bala entre 96 y  los  otros</w:t>
        <w:br/>
        <w:t>dos médicos no hayan encontrado ninguno; que en un edificio más  grande  que</w:t>
        <w:br/>
        <w:t>el Pabellón Azul el levantamiento de cadáveres e identificación se  hizo  en</w:t>
        <w:br/>
        <w:t>dos o tres semanas; que si él hubiera  sido  llamado  para  identificar  los</w:t>
        <w:br/>
        <w:t>cadáveres de “El Frontón”, habría reunido primero todos los datos sobre  las</w:t>
        <w:br/>
        <w:t>víctimas  y  luego  fotografiado  cada  cadáver  en  el  sitio  en  que  fue</w:t>
        <w:br/>
        <w:t>encontrado; que aún siete meses después del suceso se hubiera  podido  hacer</w:t>
        <w:br/>
        <w:t>la identificación de más de un 90 por  ciento  y  que  incluso  ahora  sería</w:t>
        <w:br/>
        <w:t>posible reuniendo los datos sobre huellas dactilares  y  odontogramas  y  en</w:t>
        <w:br/>
        <w:t>algunos casos exhumar los cadáveres.</w:t>
        <w:br/>
        <w:br/>
        <w:br/>
        <w:br/>
        <w:t xml:space="preserve">                                     VI</w:t>
        <w:br/>
        <w:br/>
        <w:br/>
        <w:t>58.   En el alegato final del 10 de septiembre de 1993, la Comisión  formuló</w:t>
        <w:br/>
        <w:t>su análisis de las pruebas y solicitó:</w:t>
        <w:br/>
        <w:br/>
        <w:t xml:space="preserve">            1.   En virtud de las razones de hecho y  de  derecho  señaladas</w:t>
        <w:br/>
        <w:t xml:space="preserve">      anteriormente, la Comisión solicita a la  Honorable  Corte  que  dicte</w:t>
        <w:br/>
        <w:t xml:space="preserve">      sentencia en el presente caso, declarando:</w:t>
        <w:br/>
        <w:br/>
        <w:br/>
        <w:t xml:space="preserve">            a.   Que Víctor Neira Alegría, Edgar Zenteno Escobar  y  William</w:t>
        <w:br/>
        <w:t xml:space="preserve">      Zenteno Escobar fueron desaparecidos entre el 18 y el 19 de  junio  de</w:t>
        <w:br/>
        <w:t xml:space="preserve">      1986 por agentes del Estado  peruano,  durante  el  operativo  militar</w:t>
        <w:br/>
        <w:t xml:space="preserve">      controlado y  dirigido  por  la  Marina  de  Guerra  del  Perú  en  el</w:t>
        <w:br/>
        <w:t xml:space="preserve">      establecimiento penal de El Frontón.</w:t>
        <w:br/>
        <w:br/>
        <w:br/>
        <w:t xml:space="preserve">            b.   Que, en consecuencia, el  Estado  peruano  ha  violado,  en</w:t>
        <w:br/>
        <w:t xml:space="preserve">      perjuicio de las víctimas, el derecho  a  la  vida,  a  la  integridad</w:t>
        <w:br/>
        <w:t xml:space="preserve">      personal, libertad personal y protección judicial  que  reconocen  los</w:t>
        <w:br/>
        <w:t xml:space="preserve">      artículos 4, 5, 7 y 25  de  la  Convención  Americana  sobre  Derechos</w:t>
        <w:br/>
        <w:t xml:space="preserve">      Humanos. Que  el  Estado  peruano  ha  violado  asimismo  los  límites</w:t>
        <w:br/>
        <w:t xml:space="preserve">      establecidos para los casos de suspensión de garantías  que  prevé  el</w:t>
        <w:br/>
        <w:t xml:space="preserve">      artículo  27  de  la  Convención.  Todos  ellos  en  relación  con  el</w:t>
        <w:br/>
        <w:t xml:space="preserve">      incumplimiento de la obligación de respeto y garantía que consagra  el</w:t>
        <w:br/>
        <w:t xml:space="preserve">      artículo 1.1 de la Convención, en la que el Perú es parte.</w:t>
        <w:br/>
        <w:br/>
        <w:br/>
        <w:t xml:space="preserve">            2.   Que, en consecuencia, ordene al Estado peruano que:</w:t>
        <w:br/>
        <w:br/>
        <w:br/>
        <w:t xml:space="preserve">             a.    Realice  una  investigación  exhaustiva  de  los   hechos</w:t>
        <w:br/>
        <w:t xml:space="preserve">      ocurridos los días 18 y 19 de junio  de  1986  en  el  establecimiento</w:t>
        <w:br/>
        <w:t xml:space="preserve">      penal de El Frontón, a fin de identificar a los  responsables  de  las</w:t>
        <w:br/>
        <w:t xml:space="preserve">      violaciones a los derechos humanos cometidas en  perjuicio  de  Víctor</w:t>
        <w:br/>
        <w:t xml:space="preserve">      Neira Alegría,  Edgar  Zenteno  Escobar  y  William  Zenteno  Escobar,</w:t>
        <w:br/>
        <w:t xml:space="preserve">      castigar a los autores, e informar a los familiares  de  las  víctimas</w:t>
        <w:br/>
        <w:t xml:space="preserve">      sobre el paradero de los desaparecidos.</w:t>
        <w:br/>
        <w:br/>
        <w:br/>
        <w:t xml:space="preserve">            b.   Pague a los familiares de las  víctimas  una  indemnización</w:t>
        <w:br/>
        <w:t xml:space="preserve">      pecuniaria por los daños sufridos.</w:t>
        <w:br/>
        <w:br/>
        <w:br/>
        <w:t xml:space="preserve">            c.   Se haga cargo del pago de las costas y costos  del  juicio,</w:t>
        <w:br/>
        <w:t xml:space="preserve">      incluidos los honorarios profesionales de los abogados asesores de  la</w:t>
        <w:br/>
        <w:t xml:space="preserve">      Comisión que han participado en la  tramitación  de  estos  casos,  de</w:t>
        <w:br/>
        <w:t xml:space="preserve">      acuerdo con lo previsto en el artículo 45, párrafo 1°  del  Reglamento</w:t>
        <w:br/>
        <w:t xml:space="preserve">      de la Corte  y  conforme  a  una  rendición  de  cuentas  que  deberán</w:t>
        <w:br/>
        <w:t xml:space="preserve">      presentar las partes a la aprobación de la  Honorable  Corte.  A  este</w:t>
        <w:br/>
        <w:t xml:space="preserve">      respecto la Comisión se permite  solicitar  a  la  Corte  que,  en  el</w:t>
        <w:br/>
        <w:t xml:space="preserve">      momento procesal que corresponda, se sirva abrir un incidente especial</w:t>
        <w:br/>
        <w:t xml:space="preserve">      para detallar los gastos que ha demandado la tramitación del  presente</w:t>
        <w:br/>
        <w:t xml:space="preserve">      caso...</w:t>
        <w:br/>
        <w:br/>
        <w:t>59.   En el alegato final del 10 de septiembre de 1993 el  Gobierno  formuló</w:t>
        <w:br/>
        <w:t>su análisis de las pruebas y concluyó:</w:t>
        <w:br/>
        <w:br/>
        <w:t xml:space="preserve">            4.1. La demanda no ha sido debidamente probada, en cuanto a  que</w:t>
        <w:br/>
        <w:t xml:space="preserve">      el Estado Peruano habría violado  los  compromisos  de  la  Convención</w:t>
        <w:br/>
        <w:t xml:space="preserve">      Americana sobre Derechos Humanos, en particular los artículos 1, 2, 4,</w:t>
        <w:br/>
        <w:t xml:space="preserve">      7, 8 y 25; con ocasión del develamiento del motín  que  protagonizaron</w:t>
        <w:br/>
        <w:t xml:space="preserve">      los internos por delito de terrorismo en la isla-penal  “El  Frontón”,</w:t>
        <w:br/>
        <w:t xml:space="preserve">      el 18 y 19 de junio de 1986 y los subsiguientes días.</w:t>
        <w:br/>
        <w:br/>
        <w:br/>
        <w:t xml:space="preserve">            4.2. El Gobierno del Perú ha cumplido con  sus  obligaciones  de</w:t>
        <w:br/>
        <w:t xml:space="preserve">      respetar los  derechos  y  libertades  reconocidos  en  la  Convención</w:t>
        <w:br/>
        <w:t xml:space="preserve">      Americana sobre Derechos Humanos, y en  consecuencia  debe  declararse</w:t>
        <w:br/>
        <w:t xml:space="preserve">      infundada la pretensión de la demanda que señala el incumplimiento del</w:t>
        <w:br/>
        <w:t xml:space="preserve">      artículo 1 de dicho instrumento jurídico interamericano,  y  en  tanto</w:t>
        <w:br/>
        <w:t xml:space="preserve">      que no se verifica violación de los preceptos que se especifican en la</w:t>
        <w:br/>
        <w:t xml:space="preserve">      demanda, se sigue que  no  se  ha  incumplido  el  artículo  1  de  la</w:t>
        <w:br/>
        <w:t xml:space="preserve">      Convención Americana,  a  tenor  de  la  interpretación  de  la  Corte</w:t>
        <w:br/>
        <w:t xml:space="preserve">      Interamericana contenida en las sentencias del 29  de  julio  de  1988</w:t>
        <w:br/>
        <w:t xml:space="preserve">      (párr. 161 a 167) y del 20 de enero de 1989 (párr. 170 a 176).</w:t>
        <w:br/>
        <w:br/>
        <w:br/>
        <w:t xml:space="preserve">            4.3. El Gobierno del Perú ha cumplido con el  deber  de  adoptar</w:t>
        <w:br/>
        <w:t xml:space="preserve">      las disposiciones de derecho interno, y  la  prueba  producida  en  el</w:t>
        <w:br/>
        <w:t xml:space="preserve">      presente caso no verifica inobservancia del precepto contenido  en  el</w:t>
        <w:br/>
        <w:t xml:space="preserve">      artículo 2 de la Convención Americana, por cuanto se ha demostrado  la</w:t>
        <w:br/>
        <w:t xml:space="preserve">      existencia de un  orden  normativo  vigente  con  anterioridad  a  los</w:t>
        <w:br/>
        <w:t xml:space="preserve">      acontecimientos, y que desplegó sus consecuencias jurídicas  a  través</w:t>
        <w:br/>
        <w:t xml:space="preserve">      de las autoridades predeterminadas por la Constitución y la Ley...</w:t>
        <w:br/>
        <w:br/>
        <w:br/>
        <w:t xml:space="preserve">            4.4. No se verifica en el presente caso, por la abundante prueba</w:t>
        <w:br/>
        <w:t xml:space="preserve">      incorporada, que el Estado Peruano pueda violar el artículo  7  de  la</w:t>
        <w:br/>
        <w:t xml:space="preserve">      Convención Americana, siendo que los presuntos agraviados  no  gozaban</w:t>
        <w:br/>
        <w:t xml:space="preserve">      de libertad, por decisión de la justicia ordinaria...</w:t>
        <w:br/>
        <w:br/>
        <w:br/>
        <w:t xml:space="preserve">            4.5. No se verifica, en el caso que nos  ocupa,  que  el  Estado</w:t>
        <w:br/>
        <w:t xml:space="preserve">      Peruano haya incurrido en violación del artículo 8  de  la  Convención</w:t>
        <w:br/>
        <w:t xml:space="preserve">      Americana...</w:t>
        <w:br/>
        <w:br/>
        <w:br/>
        <w:t xml:space="preserve">            4.6. No se ha verificado en el proceso que el Gobierno del  Perú</w:t>
        <w:br/>
        <w:t xml:space="preserve">      sea responsable de la violación  del  artículo  25  de  la  Convención</w:t>
        <w:br/>
        <w:t xml:space="preserve">      Americana...</w:t>
        <w:br/>
        <w:br/>
        <w:br/>
        <w:t xml:space="preserve">                                     VII</w:t>
        <w:br/>
        <w:br/>
        <w:t>60.   En los términos  del  artículo  5.2  de  la  Convención  toda  persona</w:t>
        <w:br/>
        <w:t>privada de libertad tiene  derecho  a  vivir  en  condiciones  de  detención</w:t>
        <w:br/>
        <w:t>compatibles con su dignidad  personal  y  el  Estado  debe  garantizarle  el</w:t>
        <w:br/>
        <w:t>derecho a la vida y a la integridad personal. En  consecuencia,  el  Estado,</w:t>
        <w:br/>
        <w:t>como responsable de los establecimientos de  detención,  es  el  garante  de</w:t>
        <w:br/>
        <w:t>estos derechos de los detenidos.</w:t>
        <w:br/>
        <w:br/>
        <w:t>61.   En el presente caso, el Perú tenía el derecho y el deber  de  ejecutar</w:t>
        <w:br/>
        <w:t>la debelación del motín del Penal San Juan Bautista, más aun  cuando  no  se</w:t>
        <w:br/>
        <w:t>produjo  en  forma  súbita  sino  que  parece  haber  sido   preparado   con</w:t>
        <w:br/>
        <w:t>anticipación, pues los detenidos habían fabricado armas de  diversos  tipos,</w:t>
        <w:br/>
        <w:t>excavado túneles y asumido  prácticamente  el  control  del  Pabellón  Azul.</w:t>
        <w:br/>
        <w:t>También debe tenerse en cuenta que en la primera fase de la  debelación  por</w:t>
        <w:br/>
        <w:t>la Guardia Republicana los detenidos capturaron como rehenes  a  un  cabo  y</w:t>
        <w:br/>
        <w:t>dos guardias, causaron heridas a otros cuatro y  tomaron  posesión  de  tres</w:t>
        <w:br/>
        <w:t>fusiles y una pistola ametralladora con los  que  produjeron  muertes  entre</w:t>
        <w:br/>
        <w:t>las fuerzas que entraron a debelar el motín.</w:t>
        <w:br/>
        <w:br/>
        <w:t>62.   En el informe de mayoría de la  comisión  investigadora  del  Congreso</w:t>
        <w:br/>
        <w:t>del Perú se dice que “[d]el resultado logrado se infiere,  sin  embargo,  la</w:t>
        <w:br/>
        <w:t>desproporción del potencial bélico empleado. La demolición final,  luego  de</w:t>
        <w:br/>
        <w:t>la rendición producida a las 14:30 horas  del  día  diecinueve,  no  tendría</w:t>
        <w:br/>
        <w:t>explicación lógica  y  en  consecuencia  sería  injustificada”.  También  el</w:t>
        <w:br/>
        <w:t>informe de minoría dice:</w:t>
        <w:br/>
        <w:br/>
        <w:t xml:space="preserve">      Está demostrado que el Gobierno, al incumplir  con  su  obligación  de</w:t>
        <w:br/>
        <w:t xml:space="preserve">      proteger la vida humana, dio órdenes que trajeron como consecuencia un</w:t>
        <w:br/>
        <w:t xml:space="preserve">      injustificado número de muertos... La  fuerza  militar  utilizada  fue</w:t>
        <w:br/>
        <w:t xml:space="preserve">      desproporcionada en relación al  peligro  realmente  existente  y  las</w:t>
        <w:br/>
        <w:t xml:space="preserve">      formas de ataque implementadas tampoco revelaron precaución alguna por</w:t>
        <w:br/>
        <w:t xml:space="preserve">      reducir los costos humanos de la debelación” (supra párr. 43).</w:t>
        <w:br/>
        <w:br/>
        <w:t>63.   Se considera innecesario analizar si los  funcionarios  y  autoridades</w:t>
        <w:br/>
        <w:t>que tomaron parte en la debelación del motín actuaron o  no  dentro  de  sus</w:t>
        <w:br/>
        <w:t>funciones y de acuerdo con su derecho interno, ya que la responsabilidad  de</w:t>
        <w:br/>
        <w:t>los actos de los funcionarios  del  Gobierno  es  imputable  al  Estado  con</w:t>
        <w:br/>
        <w:t>independencia de que hayan actuado</w:t>
        <w:br/>
        <w:br/>
        <w:t xml:space="preserve">      en contravención de disposiciones de derecho interno o desbordado  los</w:t>
        <w:br/>
        <w:t xml:space="preserve">      límites de su propia  competencia,  puesto  que  es  un  principio  de</w:t>
        <w:br/>
        <w:t xml:space="preserve">      Derecho internacional que el Estado responde  por  los  actos  de  sus</w:t>
        <w:br/>
        <w:t xml:space="preserve">      agentes realizados  al  amparo  de  su  carácter  oficial  y  por  las</w:t>
        <w:br/>
        <w:t xml:space="preserve">      omisiones de los mismos aún si actúan  fuera  de  los  límites  de  su</w:t>
        <w:br/>
        <w:t xml:space="preserve">      competencia  o  en  violación  del  derecho  interno  (Caso  Velásquez</w:t>
        <w:br/>
        <w:t xml:space="preserve">      Rodríguez, Sentencia de 29 de julio de 1988. Serie C No. 4, párr.  170</w:t>
        <w:br/>
        <w:t xml:space="preserve">      y Caso Godínez Cruz, Sentencia de 20 de enero de 1989. Serie C No.  5,</w:t>
        <w:br/>
        <w:t xml:space="preserve">      párr. 179).</w:t>
        <w:br/>
        <w:br/>
        <w:t>64.   De los 97 cadáveres a  los  que  les  fueron  practicadas  necropsias,</w:t>
        <w:br/>
        <w:t>únicamente fueron identificados siete. No  consta  que  se  hayan  realizado</w:t>
        <w:br/>
        <w:t>todas  las   diligencias   necesarias   para   obtener   mayor   número   de</w:t>
        <w:br/>
        <w:t>identificaciones, ni que se haya solicitado la ayuda de  los  familiares  de</w:t>
        <w:br/>
        <w:t>las víctimas para ese propósito. Es de  notar  la  discrepancia  que  existe</w:t>
        <w:br/>
        <w:t>entre el número de los detenidos en el Pabellón Azul antes del  motín  y  la</w:t>
        <w:br/>
        <w:t>suma de los amotinados que se rindieron más el número de muertos.  Según  el</w:t>
        <w:br/>
        <w:t>proceso realizado en el Fuero Militar, hubo 111  muertos  (restos  óseos  de</w:t>
        <w:br/>
        <w:t>catorce personas y 97 cadáveres) y 34 sobrevivientes, lo que daría un  total</w:t>
        <w:br/>
        <w:t>de 145 personas,  mientras  que  la  lista  extraoficial  entregada  por  el</w:t>
        <w:br/>
        <w:t>Presidente del Consejo Nacional Penitenciario comprende 152  reclusos  antes</w:t>
        <w:br/>
        <w:t>del motín. La remoción de los escombros se efectuó entre el 23 de  junio  de</w:t>
        <w:br/>
        <w:t>1986 y el 31 de marzo de 1987, es decir, en un lapso de nueve meses.</w:t>
        <w:br/>
        <w:br/>
        <w:br/>
        <w:t xml:space="preserve">                                    VIII</w:t>
        <w:br/>
        <w:br/>
        <w:t>65.   La Corte considera que no  corresponde  a  la  Comisión  demostrar  el</w:t>
        <w:br/>
        <w:t>paradero de las tres personas a que se refiere este proceso, sino  que,  por</w:t>
        <w:br/>
        <w:t>la  circunstancia  de  que  en  su  momento  los   penales   y   luego   las</w:t>
        <w:br/>
        <w:t>investigaciones estuvieron bajo el control exclusivo del Gobierno, la  carga</w:t>
        <w:br/>
        <w:t>de la prueba recae sobre el Estado demandado.  Estas  pruebas  estuvieron  a</w:t>
        <w:br/>
        <w:t>disposición  del  Gobierno  o  deberían  haberlo  estado  si  éste   hubiera</w:t>
        <w:br/>
        <w:t>procedido con la necesaria diligencia.  La  Corte  en  casos  anteriores  ha</w:t>
        <w:br/>
        <w:t>dicho:</w:t>
        <w:br/>
        <w:br/>
        <w:t xml:space="preserve">      [a] diferencia del  Derecho  penal  interno,  en  los  procesos  sobre</w:t>
        <w:br/>
        <w:t xml:space="preserve">      violaciones de  derechos  humanos  la  defensa  del  Estado  no  puede</w:t>
        <w:br/>
        <w:t xml:space="preserve">      descansar sobre la imposibilidad del  demandante  de  allegar  pruebas</w:t>
        <w:br/>
        <w:t xml:space="preserve">      que, en muchos casos, no  pueden  obtenerse  sin  la  cooperación  del</w:t>
        <w:br/>
        <w:t xml:space="preserve">      Estado.</w:t>
        <w:br/>
        <w:br/>
        <w:br/>
        <w:t xml:space="preserve">      Es el Estado quien tiene el control de los medios para aclarar  hechos</w:t>
        <w:br/>
        <w:t xml:space="preserve">      ocurridos  dentro  de  su  territorio.  La  Comisión,   aunque   tiene</w:t>
        <w:br/>
        <w:t xml:space="preserve">      facultades para realizar investigaciones, en la práctica depende, para</w:t>
        <w:br/>
        <w:t xml:space="preserve">      poder  efectuarlas  dentro  de  la  jurisdicción  del  Estado,  de  la</w:t>
        <w:br/>
        <w:t xml:space="preserve">      cooperación y de los medios  que  le  proporcione  el  Gobierno  (Caso</w:t>
        <w:br/>
        <w:t xml:space="preserve">      Velásquez Rodríguez, supra  63, párrs. 135-136 y  Caso  Godínez  Cruz,</w:t>
        <w:br/>
        <w:t xml:space="preserve">      supra 63, párrs. 141-142).</w:t>
        <w:br/>
        <w:br/>
        <w:t>66.   La Corte considera probado que Víctor  Neira  Alegría,  Edgar  Zenteno</w:t>
        <w:br/>
        <w:t>Escobar y William Zenteno Escobar se encontraban detenidos  en  el  Pabellón</w:t>
        <w:br/>
        <w:t>Azul del Penal San Juan Bautista el día 18 de junio de 1986,  fecha  en  que</w:t>
        <w:br/>
        <w:t>comenzó la debelación del motín. Este hecho consta en la  nómina  presentada</w:t>
        <w:br/>
        <w:t>por el Presidente del Consejo Nacional Penitenciario al Juez Instructor  del</w:t>
        <w:br/>
        <w:t>Vigésimo Primer Juzgado de Lima que tramitaba un recurso de hábeas corpus  y</w:t>
        <w:br/>
        <w:t>en la que el Jefe de Identificación del Penal San Juan Bautista presentó  en</w:t>
        <w:br/>
        <w:t>el Juzgado Segundo de Instrucción Permanente de Marina, y este hecho  no  ha</w:t>
        <w:br/>
        <w:t>sido contradicho por el Gobierno.</w:t>
        <w:br/>
        <w:br/>
        <w:t>67.   La Corte considera probado que  las  tres  personas  referidas  no  se</w:t>
        <w:br/>
        <w:t>encontraban entre los amotinados que se rindieron y  que  sus  cadáveres  no</w:t>
        <w:br/>
        <w:t>fueron identificados. Lo anterior consta en la nota del 20 de septiembre  de</w:t>
        <w:br/>
        <w:t>1990 dirigida por el  Ministro  de  Relaciones  Exteriores  del  Perú  a  la</w:t>
        <w:br/>
        <w:t>Comisión, transmitida por su Embajador Alterno ante la OEA, la cual  vincula</w:t>
        <w:br/>
        <w:t>al Estado peruano (cfr. Legal Status of Eastern  Greenland  Judgment,  1933,</w:t>
        <w:br/>
        <w:t>P.C.I.J., Series A/B, pág. 71), y que dice:</w:t>
        <w:br/>
        <w:br/>
        <w:t xml:space="preserve">            Los presuntos desaparecidos Víctor Neira Alegría, Edgar  Zenteno</w:t>
        <w:br/>
        <w:t xml:space="preserve">      Escobar  y  William  Zenteno  Escobar,  no  se  encuentran  entre  los</w:t>
        <w:br/>
        <w:t xml:space="preserve">      amotinados que se rindieron en los  sucesos  del  penal  de  San  Juan</w:t>
        <w:br/>
        <w:t xml:space="preserve">      Bautista, de 18 a 19 de junio de 1986, ni sus  cadáveres  están  entre</w:t>
        <w:br/>
        <w:t xml:space="preserve">      los pocos que pudieron ser identificados, de acuerdo con los autos.</w:t>
        <w:br/>
        <w:br/>
        <w:br/>
        <w:t xml:space="preserve">            En cambio, a raíz de esos sucesos se extendieron 92 partidas  de</w:t>
        <w:br/>
        <w:t xml:space="preserve">      defunción correspondientes a cadáveres no identificados, tres  de  los</w:t>
        <w:br/>
        <w:t xml:space="preserve">      cuales sin duda corresponden a esas tres personas, que la Comisión  da</w:t>
        <w:br/>
        <w:t xml:space="preserve">      por desaparecidos.</w:t>
        <w:br/>
        <w:br/>
        <w:t>68.   En el presente caso queda excluida la evasión de  los  reclusos  y  la</w:t>
        <w:br/>
        <w:t>actuación de terceros diferentes a las autoridades del Estado,  que  no  han</w:t>
        <w:br/>
        <w:t>sido invocadas por el Estado peruano.</w:t>
        <w:br/>
        <w:br/>
        <w:t>69.   La Corte considera probado  que  el  Pabellón  fue  demolido  por  las</w:t>
        <w:br/>
        <w:t>fuerzas de la Marina peruana, como se desprende de los informes  presentados</w:t>
        <w:br/>
        <w:t>por los peritos en la audiencia (supra párrs. 47 y 48) y de  la  declaración</w:t>
        <w:br/>
        <w:t>rendida el 16 de julio de 1986 ante el juez instructor del  Vigésimo  Primer</w:t>
        <w:br/>
        <w:t>Juzgado de Lima por el Presidente del Consejo Nacional  Penitenciario  y  de</w:t>
        <w:br/>
        <w:t>la circunstancia de que muchos de los  muertos,  según  las  necropsias,  lo</w:t>
        <w:br/>
        <w:t>hubieran sido por aplastamiento. Los informes de mayoría y  de  minoría  del</w:t>
        <w:br/>
        <w:t>Congreso (supra párr. 43) son congruentes  en  lo  que  se  refiere  al  uso</w:t>
        <w:br/>
        <w:t>desproporcionado de la fuerza, tienen carácter oficial  y  son  considerados</w:t>
        <w:br/>
        <w:t>por esta Corte como prueba suficiente de ese hecho.</w:t>
        <w:br/>
        <w:br/>
        <w:t>70.   También debe  tomarse  en  consideración  que  en  el  informe  de  la</w:t>
        <w:br/>
        <w:t>comisión de minoría del Congreso se  afirmó,  sin  objeción  por  parte  del</w:t>
        <w:br/>
        <w:t>Gobierno, que hubo falta de interés en el  rescate  de  los  amotinados  que</w:t>
        <w:br/>
        <w:t>quedaron con  vida  luego  de  la  demolición,  ya  que  unos  días  después</w:t>
        <w:br/>
        <w:t>aparecieron cuatro reclusos vivos y podría haber  habido  más  (supra  párr.</w:t>
        <w:br/>
        <w:t>43).</w:t>
        <w:br/>
        <w:br/>
        <w:t>71.   La Corte considera también probado que no  se  usó  de  la  diligencia</w:t>
        <w:br/>
        <w:t>necesaria para la identificación de los cadáveres, pues sólo unos  pocos  de</w:t>
        <w:br/>
        <w:t>los que fueron  rescatados  en  los  días  inmediatamente  siguientes  a  la</w:t>
        <w:br/>
        <w:t>terminación del conflicto fueron identificados. De  los  demás,  que  fueron</w:t>
        <w:br/>
        <w:t>recuperados en un lapso de nueve meses, ciertamente muy largo, aunque  según</w:t>
        <w:br/>
        <w:t>declaración de los expertos (supra párrs. 56  y  57)  con  ciertas  técnicas</w:t>
        <w:br/>
        <w:t>hubiera  podido  hacerse  la   identificación,   tampoco   se   hizo.   Este</w:t>
        <w:br/>
        <w:t>comportamiento del Gobierno constituye una grave negligencia.</w:t>
        <w:br/>
        <w:br/>
        <w:t>72.   La Corte concluye de todo lo anterior que  los  señores  Víctor  Neira</w:t>
        <w:br/>
        <w:t>Alegría, Edgar Zenteno Escobar y  William  Zenteno  Escobar  perecieron  por</w:t>
        <w:br/>
        <w:t>efecto de la debelación del motín en manos de las  fuerzas  del  Gobierno  y</w:t>
        <w:br/>
        <w:t>como consecuencia del uso desproporcionado de la fuerza.</w:t>
        <w:br/>
        <w:br/>
        <w:br/>
        <w:t xml:space="preserve">                                     IX</w:t>
        <w:br/>
        <w:br/>
        <w:t>73.   Pasa ahora la Corte a determinar si los actos y  omisiones  imputables</w:t>
        <w:br/>
        <w:t>al  Estado  constituyen  violaciones  de  la  Convención   Americana.   Debe</w:t>
        <w:br/>
        <w:t>señalarse que la Comisión en su demanda indica como violados  los  artículos</w:t>
        <w:br/>
        <w:t>1, 2, 4, 7, 8 y 25, pero en el alegato final omite el artículo  2  y  agrega</w:t>
        <w:br/>
        <w:t>los artículos 5 y 27.</w:t>
        <w:br/>
        <w:br/>
        <w:t>74.   El artículo 4.1 de la  Convención  estipula  que  “[n]adie  puede  ser</w:t>
        <w:br/>
        <w:t>privado  de  la  vida  arbitrariamente”.  La   expresión   “arbitrariamente”</w:t>
        <w:br/>
        <w:t>excluye, como es obvio, los procesos legales aplicables en  los  países  que</w:t>
        <w:br/>
        <w:t>aún conservan la pena de  muerte.  Pero,  en  el  caso  que  nos  ocupa,  el</w:t>
        <w:br/>
        <w:t>análisis que debe hacerse tiene que  ver,  más  bien,  con  el  derecho  del</w:t>
        <w:br/>
        <w:t>Estado a usar la fuerza, aunque ella implique la privación de  la  vida,  en</w:t>
        <w:br/>
        <w:t>el mantenimiento del orden, lo cual no está  en  discusión.  Hay  abundantes</w:t>
        <w:br/>
        <w:t>reflexiones en la filosofía y  en  la  historia  sobre  cómo  la  muerte  de</w:t>
        <w:br/>
        <w:t>individuos en esas circunstancias no genera para el Estado ni sus  oficiales</w:t>
        <w:br/>
        <w:t>responsabilidad alguna.  Sin  embargo,  como  aparece  de  lo  expuesto  con</w:t>
        <w:br/>
        <w:t>anterioridad en esta sentencia, la alta peligrosidad de los detenidos en  el</w:t>
        <w:br/>
        <w:t>Pabellón Azul del Penal San Juan Bautista  y  el  hecho  de  que  estuvieren</w:t>
        <w:br/>
        <w:t>armados, no llegan  a  constituir,  en  opinión  de  esta  Corte,  elementos</w:t>
        <w:br/>
        <w:t>suficientes para justificar el volumen de la fuerza que se usó en éste y  en</w:t>
        <w:br/>
        <w:t>los otros penales amotinados  y  que  se  entendió  como  una  confrontación</w:t>
        <w:br/>
        <w:t>política entre el Gobierno y los terroristas reales o presuntos  de  Sendero</w:t>
        <w:br/>
        <w:t>Luminoso (supra párr. 52), lo que probablemente indujo a la  demolición  del</w:t>
        <w:br/>
        <w:t>Pabellón, con todas sus consecuencias, incluida la muerte de  detenidos  que</w:t>
        <w:br/>
        <w:t>eventualmente hubieran terminado  rindiéndose  y  la  clara  negligencia  en</w:t>
        <w:br/>
        <w:t>buscar sobrevivientes y luego en rescatar los cadáveres.</w:t>
        <w:br/>
        <w:br/>
        <w:t>75.   Como ya lo ha dicho esta Corte en casos anteriores,</w:t>
        <w:br/>
        <w:br/>
        <w:t xml:space="preserve">      [e]stá más allá de toda duda que el Estado tiene el derecho y el deber</w:t>
        <w:br/>
        <w:t xml:space="preserve">      de garantizar su propia seguridad. Tampoco puede discutirse  que  toda</w:t>
        <w:br/>
        <w:t xml:space="preserve">      sociedad padece por las infracciones a su orden  jurídico.  Pero,  por</w:t>
        <w:br/>
        <w:t xml:space="preserve">      graves que puedan ser ciertas acciones y por culpables que puedan  ser</w:t>
        <w:br/>
        <w:t xml:space="preserve">      los reos de determinados delitos, no cabe admitir que el  poder  pueda</w:t>
        <w:br/>
        <w:t xml:space="preserve">      ejercerse sin límite alguno o que el Estado pueda valerse de cualquier</w:t>
        <w:br/>
        <w:t xml:space="preserve">      procedimiento para alcanzar sus objetivos, sin sujeción al derecho o a</w:t>
        <w:br/>
        <w:t xml:space="preserve">      la moral.  Ninguna  actividad  del  Estado  puede  fundarse  sobre  el</w:t>
        <w:br/>
        <w:t xml:space="preserve">      desprecio a la dignidad humana (Caso Velásquez  Rodríguez,  supra  63,</w:t>
        <w:br/>
        <w:t xml:space="preserve">      párr. 154 y Caso Godínez Cruz, supra 63, párr. 162).</w:t>
        <w:br/>
        <w:br/>
        <w:t>76.   De las circunstancias que rodearon la debelación del  Penal  San  Juan</w:t>
        <w:br/>
        <w:t>Bautista y del hecho de que ocho años  después  de  ocurrida  no  se  tengan</w:t>
        <w:br/>
        <w:t>noticias del paradero de las tres personas a  que  se  refiere  el  presente</w:t>
        <w:br/>
        <w:t>caso, del reconocimiento del señor Ministro de Relaciones Exteriores  en  el</w:t>
        <w:br/>
        <w:t>sentido de que las víctimas no aparecieron dentro de  los  sobrevivientes  y</w:t>
        <w:br/>
        <w:t>de que “tres de los [cadáveres no identificados]  sin  duda  corresponden  a</w:t>
        <w:br/>
        <w:t>esas tres personas” y del uso desproporcionado de la  fuerza,  se  desprende</w:t>
        <w:br/>
        <w:t>la conclusión razonable de que ellos fueron privados arbitrariamente  de  su</w:t>
        <w:br/>
        <w:t>vida  por  las  fuerzas  peruanas  en  violación  del  artículo  4.1  de  la</w:t>
        <w:br/>
        <w:t>Convención.</w:t>
        <w:br/>
        <w:br/>
        <w:t>77.   Esta Corte considera que el Gobierno también  infringió  lo  dispuesto</w:t>
        <w:br/>
        <w:t>por los artículos 7.6  y  27.2  de  la  Convención  Americana  debido  a  la</w:t>
        <w:br/>
        <w:t>aplicación de los Decretos Supremos 012-IN y 006-86 JUS de 2 y  6  de  junio</w:t>
        <w:br/>
        <w:t>de 1986, que declararon el estado de emergencia en las provincias de Lima  y</w:t>
        <w:br/>
        <w:t>de El Callao y Zona Militar Restringida en tres penales, entre ellos  el  de</w:t>
        <w:br/>
        <w:t>San Juan Bautista. En efecto, si bien dichos  decretos  no  suspendieron  de</w:t>
        <w:br/>
        <w:t>manera expresa la acción o recurso de hábeas corpus que regula  el  artículo</w:t>
        <w:br/>
        <w:t>7.6 de la Convención, de hecho, el cumplimiento que se dio a ambos  decretos</w:t>
        <w:br/>
        <w:t>produjo la ineficacia del  citado  instrumento  tutelar,  y  por  tanto,  su</w:t>
        <w:br/>
        <w:t>suspensión en perjuicio de las presuntas víctimas. El hábeas corpus  era  el</w:t>
        <w:br/>
        <w:t>procedimiento idóneo para que la autoridad  judicial  pudiese  investigar  y</w:t>
        <w:br/>
        <w:t>conocer el paradero de las tres personas a que se refiere este caso.</w:t>
        <w:br/>
        <w:br/>
        <w:t>78.   En la acción de hábeas corpus interpuesta por Irene  Neira  Alegría  y</w:t>
        <w:br/>
        <w:t>Julio Zenteno Camahualí el 16 de junio de 1986 ante el Vigésimo Primer  juez</w:t>
        <w:br/>
        <w:t>de instrucción de Lima en favor de Víctor Neira  Alegría,  Edgar  y  William</w:t>
        <w:br/>
        <w:t>Zenteno Escobar, en contra  del  Presidente  del  Comando  Conjunto  de  las</w:t>
        <w:br/>
        <w:t>Fuerzas Armadas y del Comandante General de la Marina, se  expresó  que  con</w:t>
        <w:br/>
        <w:t>motivo de la debelación del motín en el Penal San Juan Bautista en  el  cual</w:t>
        <w:br/>
        <w:t>estaban detenidos sus familiares, éstos no  habían  aparecido,  por  lo  que</w:t>
        <w:br/>
        <w:t>podrían estar secuestrados y, en el caso de  que  hubieran  muerto,  que  el</w:t>
        <w:br/>
        <w:t>juez exigiera a las autoridades militares que señalaran el lugar en el  cual</w:t>
        <w:br/>
        <w:t>se encontraban los cadáveres e  hicieran  entrega  de  los  certificados  de</w:t>
        <w:br/>
        <w:t>defunción respectivos.</w:t>
        <w:br/>
        <w:br/>
        <w:t>79.   La acción de hábeas corpus fue declarada improcedente por el  juez  en</w:t>
        <w:br/>
        <w:t>su resolución del 17 de julio de 1986, por considerar que los  peticionarios</w:t>
        <w:br/>
        <w:t>no demostraron que se hubiese producido el secuestro de los detenidos y  que</w:t>
        <w:br/>
        <w:t>lo ocurrido en los tres penales (incluido el de San  Juan  Bautista)  estaba</w:t>
        <w:br/>
        <w:t>sujeto a investigación por el fuero militar y por la Fiscalía de la  Nación,</w:t>
        <w:br/>
        <w:t>hechos  que  se  encontraban  fuera  de  los  alcances   del   procedimiento</w:t>
        <w:br/>
        <w:t>sumarísimo del hábeas corpus.</w:t>
        <w:br/>
        <w:br/>
        <w:t>80.   De acuerdo con lo señalado anteriormente (supra párr.  40),  el  1  de</w:t>
        <w:br/>
        <w:t>agosto de ese año, el Décimo Primer Tribunal Correccional de  Lima  confirmó</w:t>
        <w:br/>
        <w:t>el fallo anterior con el  argumento  esencial  de  que  el  fuero  privativo</w:t>
        <w:br/>
        <w:t>militar ejercía competencia respecto del Penal San  Juan  Bautista,  lo  que</w:t>
        <w:br/>
        <w:t>impedía intervenir al poder jurisdiccional ordinario. El 25  del  mismo  mes</w:t>
        <w:br/>
        <w:t>de agosto, la Sala Penal de la Corte Suprema declaró “por  sus  fundamentos”</w:t>
        <w:br/>
        <w:t>no haber lugar a la  nulidad  solicitada  contra  la  sentencia  de  segundo</w:t>
        <w:br/>
        <w:t>grado, y finalmente, el Tribunal  de  Garantías  Constitucionales,  ante  el</w:t>
        <w:br/>
        <w:t>cual se presentó por los interesados el recurso de casación, con fecha 5  de</w:t>
        <w:br/>
        <w:t>diciembre de 1986 declaró que “permanec[ía]  inalterable”  el  fallo  de  la</w:t>
        <w:br/>
        <w:t>Corte Suprema por no haber obtenido el  mínimo  de  cinco  votos  favorables</w:t>
        <w:br/>
        <w:t>exigidos por la ley peruana.</w:t>
        <w:br/>
        <w:br/>
        <w:t>81.   Esta Corte considera útil destacar que la sentencia  del  Tribunal  de</w:t>
        <w:br/>
        <w:t>Garantías Constitucionales se apoyó en una votación  de  cuatro  magistrados</w:t>
        <w:br/>
        <w:t>por la concesión de la casación solicitada y  dos  por  la  negativa  de  la</w:t>
        <w:br/>
        <w:t>nulidad. En tal virtud, si bien no se  alcanzó  el  mínimo  de  cinco  votos</w:t>
        <w:br/>
        <w:t>conformes,  el  voto  singular  de  los  cuatro  magistrados  representa  el</w:t>
        <w:br/>
        <w:t>criterio mayoritario del Tribunal,  en  cuya  parte  conducente  se  afirmó:</w:t>
        <w:br/>
        <w:t>“[q]ue si bien es cierto que tal situación no configura la  figura  jurídica</w:t>
        <w:br/>
        <w:t>del secuestro, lleva a  la  conclusión  de  que  el  juez  debió  agotar  la</w:t>
        <w:br/>
        <w:t>investigación respecto de la vida y paradero de las  personas  en  favor  de</w:t>
        <w:br/>
        <w:t>quienes se ejercita la acción” del hábeas corpus, por lo  que,  en  concepto</w:t>
        <w:br/>
        <w:t>de dichos magistrados, era procedente la casación  del  fallo  de  la  Corte</w:t>
        <w:br/>
        <w:t>Suprema. De haberse concedido la casación, la intervención  de  la  justicia</w:t>
        <w:br/>
        <w:t>militar no habría impedido la tramitación del hábeas corpus.</w:t>
        <w:br/>
        <w:br/>
        <w:t>82.   La Corte ha interpretado los artículos 7.6 y 27.2 de la Convención  en</w:t>
        <w:br/>
        <w:t>las opiniones consultivas OC-8 y OC-9, del 30 de enero y  6  de  octubre  de</w:t>
        <w:br/>
        <w:t>1987, respectivamente. En la primera  sostuvo  que  “los  procedimientos  de</w:t>
        <w:br/>
        <w:t>hábeas  corpus  y  de  amparo   son   de   aquellas   garantías   judiciales</w:t>
        <w:br/>
        <w:t>indispensables para la protección de varios derechos  cuya  suspensión  está</w:t>
        <w:br/>
        <w:t>vedada por el artículo 27.2 y sirven, además, para  preservar  la  legalidad</w:t>
        <w:br/>
        <w:t>de una sociedad democrática”. También estimó esta Corte que</w:t>
        <w:br/>
        <w:br/>
        <w:t xml:space="preserve">      [e]l hábeas  corpus,  para  cumplir  con  su  objeto  de  verificación</w:t>
        <w:br/>
        <w:t xml:space="preserve">      judicial de la legalidad de la privación  de  la  libertad,  exige  la</w:t>
        <w:br/>
        <w:t xml:space="preserve">      presentación del detenido ante el juez o tribunal competente bajo cuya</w:t>
        <w:br/>
        <w:t xml:space="preserve">      disposición queda la persona afectada. En este sentido es esencial  la</w:t>
        <w:br/>
        <w:t xml:space="preserve">      función que cumple el hábeas  corpus  como  medio  para  controlar  el</w:t>
        <w:br/>
        <w:t xml:space="preserve">      respeto a la  vida  e  integridad  de  la  persona,  para  impedir  su</w:t>
        <w:br/>
        <w:t xml:space="preserve">      desaparición o la indeterminación de su lugar de detención,  así  como</w:t>
        <w:br/>
        <w:t xml:space="preserve">      para protegerla contra la tortura u  otros  tratos  o  penas  crueles,</w:t>
        <w:br/>
        <w:t xml:space="preserve">      inhumanas  o  degradantes  (El  hábeas  corpus  bajo   suspensión   de</w:t>
        <w:br/>
        <w:t xml:space="preserve">      garantías (arts. 27.2, 25.1 y 7.6 Convención Americana sobre  Derechos</w:t>
        <w:br/>
        <w:t xml:space="preserve">      Humanos), Opinión Consultiva OC-8/87 del 30 de enero de 1987. Serie  A</w:t>
        <w:br/>
        <w:t xml:space="preserve">      No. 8, párrs. 35 y 42).</w:t>
        <w:br/>
        <w:br/>
        <w:t>83.   En la opinión consultiva OC-9, este Tribunal añadió:</w:t>
        <w:br/>
        <w:br/>
        <w:t xml:space="preserve">      las garantías judiciales indispensables  para  la  protección  de  los</w:t>
        <w:br/>
        <w:t xml:space="preserve">      derechos humanos no susceptibles de suspensión, según lo dispuesto por</w:t>
        <w:br/>
        <w:t xml:space="preserve">      el artículo 27.2 de la Convención, son aquéllas  a  las  que  ésta  se</w:t>
        <w:br/>
        <w:t xml:space="preserve">      refiere expresamente en los artículos 7.6 y 25.1  consideradas  dentro</w:t>
        <w:br/>
        <w:t xml:space="preserve">      del marco y según  los  principios  del  artículo  8,  y  también  las</w:t>
        <w:br/>
        <w:t xml:space="preserve">      inherentes a la preservación  del  Estado  de  Derecho,  aun  bajo  la</w:t>
        <w:br/>
        <w:t xml:space="preserve">      legalidad excepcional  que  resulta  de  la  suspensión  de  garantías</w:t>
        <w:br/>
        <w:t xml:space="preserve">      (Garantías judiciales en estados de emergencia (arts.  27.2,  25  y  8</w:t>
        <w:br/>
        <w:t xml:space="preserve">      Convención Americana sobre Derechos Humanos), Opinión  Consultiva  OC-</w:t>
        <w:br/>
        <w:t xml:space="preserve">      9/87 del 6 de octubre de 1987. Serie A No. 9, párr. 38).</w:t>
        <w:br/>
        <w:br/>
        <w:t>84.   Estos criterios interpretativos son aplicables a este caso, en  cuanto</w:t>
        <w:br/>
        <w:t>el control y jurisdicción de las Fuerzas Armadas sobre  el  Penal  San  Juan</w:t>
        <w:br/>
        <w:t>Bautista se tradujeron en una suspensión implícita de la  acción  de  hábeas</w:t>
        <w:br/>
        <w:t>corpus, en virtud de la aplicación de los Decretos Supremos  que  declararon</w:t>
        <w:br/>
        <w:t>la emergencia y la Zona Militar Restringida.</w:t>
        <w:br/>
        <w:br/>
        <w:t>85.   De acuerdo con el artículo 1.1 de la  Convención  los  Estados  Partes</w:t>
        <w:br/>
        <w:t>“se comprometen a respetar los derechos y libertades reconocidos en  ella  y</w:t>
        <w:br/>
        <w:t>a garantizar su libre y pleno ejercicio a toda persona que esté sujeta a  su</w:t>
        <w:br/>
        <w:t>jurisdicción”, de lo cual se  desprende  que  esta  es  una  disposición  de</w:t>
        <w:br/>
        <w:t>carácter  general  cuya  violación  está  siempre  relacionada  con  la  que</w:t>
        <w:br/>
        <w:t>establece un derecho humano específico. Como ya lo dijo la Corte en un  caso</w:t>
        <w:br/>
        <w:t>anterior, el artículo 1</w:t>
        <w:br/>
        <w:br/>
        <w:t xml:space="preserve">      contiene la obligación contraída por los Estados  Partes  en  relación</w:t>
        <w:br/>
        <w:t xml:space="preserve">      con cada uno de los  derechos  protegidos,  de  tal  manera  que  toda</w:t>
        <w:br/>
        <w:t xml:space="preserve">      pretensión de que se ha lesionado alguno  de  esos  derechos,  implica</w:t>
        <w:br/>
        <w:t xml:space="preserve">      necesariamente la de que se ha infringido también el artículo  1.1  de</w:t>
        <w:br/>
        <w:t xml:space="preserve">      la Convención (Caso Velásquez Rodríguez, supra 63, párr.  162  y  Caso</w:t>
        <w:br/>
        <w:t xml:space="preserve">      Godínez Cruz, supra  63, párr. 171).</w:t>
        <w:br/>
        <w:br/>
        <w:t>86.   Este Tribunal considera que en este caso el Gobierno no ha  infringido</w:t>
        <w:br/>
        <w:t>el artículo 5 de la Convención, pues si bien pudiera entenderse  que  cuando</w:t>
        <w:br/>
        <w:t>se priva de  la  vida  a  una  persona  también  se  lesiona  su  integridad</w:t>
        <w:br/>
        <w:t>personal, no es este el sentido del citado precepto de la Convención que  se</w:t>
        <w:br/>
        <w:t>refiere, en esencia, a que nadie debe ser sometido a torturas, ni a penas  o</w:t>
        <w:br/>
        <w:t>tratos crueles, inhumanos o degradantes, y a que  toda  persona  privada  de</w:t>
        <w:br/>
        <w:t>libertad debe ser tratada con el respeto debido a la dignidad  inherente  al</w:t>
        <w:br/>
        <w:t>ser humano. No está demostrado que las tres personas a que se  refiere  este</w:t>
        <w:br/>
        <w:t>asunto hubiesen sido objeto de malos tratos o que se  hubiese  lesionado  su</w:t>
        <w:br/>
        <w:t>dignidad por parte de las autoridades peruanas  durante  el  tiempo  en  que</w:t>
        <w:br/>
        <w:t>estuvieron detenidas en el Penal San Juan Bautista.  Tampoco  existe  prueba</w:t>
        <w:br/>
        <w:t>de que se hubiese privado a dichas personas de las  garantías  judiciales  a</w:t>
        <w:br/>
        <w:t>que se refiere el artículo 8 de la Convención, durante los procesos  que  se</w:t>
        <w:br/>
        <w:t>siguieron en su contra.</w:t>
        <w:br/>
        <w:br/>
        <w:t>87.   Debe la Corte pronunciarse sobre las costas de este proceso,  las  que</w:t>
        <w:br/>
        <w:t>han sido solicitadas por  la  Comisión  en  su  demanda.  Al  respecto  cabe</w:t>
        <w:br/>
        <w:t>insistir en que</w:t>
        <w:br/>
        <w:br/>
        <w:t xml:space="preserve">      la Comisión no puede exigir el reintegro de los gastos que le exige su</w:t>
        <w:br/>
        <w:t xml:space="preserve">      modalidad interna de trabajo a través de la imposición de  costas.  El</w:t>
        <w:br/>
        <w:t xml:space="preserve">      funcionamiento de los órganos del sistema interamericano  de  derechos</w:t>
        <w:br/>
        <w:t xml:space="preserve">      humanos es pagado por los Estados Miembros  mediante  su  cuota  anual</w:t>
        <w:br/>
        <w:t xml:space="preserve">      (Caso Aloeboetoe y otros. Reparaciones (art. 63.1 Convención Americana</w:t>
        <w:br/>
        <w:t xml:space="preserve">      sobre Derechos Humanos), Sentencia de 10 de septiembre de 1993.  Serie</w:t>
        <w:br/>
        <w:t xml:space="preserve">      C No. 15, párr. 114).</w:t>
        <w:br/>
        <w:br/>
        <w:t>88.   En cambio, deberá condenar al Perú al pago de los gastos en  que,  con</w:t>
        <w:br/>
        <w:t>ocasión de este proceso, pudieron haber  incurrido  los  familiares  de  las</w:t>
        <w:br/>
        <w:t>víctimas cuya fijación dejará al Gobierno y a la Comisión,  reservándose  el</w:t>
        <w:br/>
        <w:t>derecho de determinarlos si las partes no se pusieren de acuerdo.</w:t>
        <w:br/>
        <w:br/>
        <w:t>89.   El artículo 63.1 de la Convención estipula:</w:t>
        <w:br/>
        <w:br/>
        <w:t xml:space="preserve">            1.   Cuando decida que hubo violación de un derecho  o  libertad</w:t>
        <w:br/>
        <w:t xml:space="preserve">      protegidos en esta Convención, la Corte dispondrá que se garantice  al</w:t>
        <w:br/>
        <w:t xml:space="preserve">      lesionado en el goce de su derecho o libertad  conculcados.  Dispondrá</w:t>
        <w:br/>
        <w:t xml:space="preserve">      asimismo, si ello fuera procedente, que se reparen  las  consecuencias</w:t>
        <w:br/>
        <w:t xml:space="preserve">      de la medida o situación que ha configurado  la  vulneración  de  esos</w:t>
        <w:br/>
        <w:t xml:space="preserve">      derechos y el pago de una justa indemnización a la parte lesionada.</w:t>
        <w:br/>
        <w:br/>
        <w:t>En las actuales circunstancias resulta claro que no puede  disponer  que  se</w:t>
        <w:br/>
        <w:t>garantice  a  las  víctimas  el  goce  de  los  derechos  que   les   fueron</w:t>
        <w:br/>
        <w:t>conculcados. Cabe entonces,  solamente,  determinar  la  reparación  de  las</w:t>
        <w:br/>
        <w:t>consecuencias de la violación y el pago de una justa indemnización.</w:t>
        <w:br/>
        <w:br/>
        <w:t>90.   La Corte  carece,  porque  no  fueron  aportados  por  las  partes  ni</w:t>
        <w:br/>
        <w:t>discutidos a lo largo del  proceso,  de  los  elementos  de  juicio  que  le</w:t>
        <w:br/>
        <w:t>permitan fijar la indemnización,  por  lo  cual  se  limitará  a  hacer  una</w:t>
        <w:br/>
        <w:t>condena in genere, dejando en manos de las partes su determinación.  Si  las</w:t>
        <w:br/>
        <w:t>partes no llegaren a un acuerdo,  la  decisión  final  será  tomada  por  la</w:t>
        <w:br/>
        <w:t>Corte.</w:t>
        <w:br/>
        <w:br/>
        <w:br/>
        <w:br/>
        <w:t xml:space="preserve">                                      X</w:t>
        <w:br/>
        <w:br/>
        <w:t>91.   Por tanto,</w:t>
        <w:br/>
        <w:br/>
        <w:br/>
        <w:t>la Corte,</w:t>
        <w:br/>
        <w:br/>
        <w:br/>
        <w:t>por unanimidad</w:t>
        <w:br/>
        <w:br/>
        <w:br/>
        <w:t>1.    Declara que el Perú ha violado en perjuicio de Víctor  Neira  Alegría,</w:t>
        <w:br/>
        <w:t>Edgar Zenteno Escobar y  William  Zenteno  Escobar  el  derecho  a  la  vida</w:t>
        <w:br/>
        <w:t>reconocido por el artículo 4.1 de la  Convención  Americana  sobre  Derechos</w:t>
        <w:br/>
        <w:t>Humanos, en conexión con el artículo 1.1 de la misma.</w:t>
        <w:br/>
        <w:br/>
        <w:br/>
        <w:t>2.    Declara que el Perú ha violado, en  perjuicio  de  las  tres  personas</w:t>
        <w:br/>
        <w:t>indicadas, el derecho de hábeas corpus establecido por el  artículo  7.6  en</w:t>
        <w:br/>
        <w:t>conexión con la prohibición del artículo 27.2  de  la  Convención  Americana</w:t>
        <w:br/>
        <w:t>sobre Derechos Humanos.</w:t>
        <w:br/>
        <w:br/>
        <w:br/>
        <w:t>3.    Decide que el Perú está obligado a  pagar  a  los  familiares  de  las</w:t>
        <w:br/>
        <w:t>víctimas,  con  ocasión   de   este   proceso,   una   justa   indemnización</w:t>
        <w:br/>
        <w:t>compensatoria y a reembolsarles los gastos en que pudieron  haber  incurrido</w:t>
        <w:br/>
        <w:t>en sus gestiones ante las autoridades nacionales.</w:t>
        <w:br/>
        <w:br/>
        <w:br/>
        <w:t>4.    Decide que la forma y cuantía de la indemnización y  el  reembolso  de</w:t>
        <w:br/>
        <w:t>los gastos serán fijados por el  Perú  y  la  Comisión,  de  común  acuerdo,</w:t>
        <w:br/>
        <w:t>dentro de un plazo de seis meses contados a partir  de  la  notificación  de</w:t>
        <w:br/>
        <w:t>esta sentencia.</w:t>
        <w:br/>
        <w:br/>
        <w:br/>
        <w:t>5.    Se reserva la facultad de revisar y aprobar el acuerdo y, en  caso  de</w:t>
        <w:br/>
        <w:t>no llegarse a él, la Corte determinará el monto de  la  indemnización  y  de</w:t>
        <w:br/>
        <w:t>los gastos, para lo cual deja abierto el procedimiento.</w:t>
        <w:br/>
        <w:br/>
        <w:br/>
        <w:t>Redactada en castellano y en inglés, haciendo fe el texto en castellano,  en</w:t>
        <w:br/>
        <w:t>la sede de la Corte en San José, Costa Rica, el día 19 de enero de 1995.</w:t>
        <w:br/>
        <w:br/>
        <w:br/>
        <w:br/>
        <w:br/>
        <w:br/>
        <w:br/>
        <w:t xml:space="preserve">                             Héctor Fix-Zamudio</w:t>
        <w:br/>
        <w:t xml:space="preserve">                                 Presidente</w:t>
        <w:br/>
        <w:br/>
        <w:br/>
        <w:br/>
        <w:br/>
        <w:t xml:space="preserve">      Hernán Salgado Pesantes     Rafael Nieto Navia</w:t>
        <w:br/>
        <w:br/>
        <w:br/>
        <w:br/>
        <w:br/>
        <w:t xml:space="preserve">      Alejandro Montiel Argüello  Máximo Pacheco Gómez</w:t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br/>
        <w:t>Leída en sesión pública en la sede de la Corte en San José, Costa  Rica,  el</w:t>
        <w:br/>
        <w:t>día 20 de enero de 1995.</w:t>
        <w:br/>
        <w:br/>
        <w:br/>
        <w:br/>
        <w:t>Comuníquese y ejecútese,</w:t>
        <w:br/>
        <w:br/>
        <w:br/>
        <w:t xml:space="preserve">      Héctor Fix-Zamudio</w:t>
        <w:br/>
        <w:t xml:space="preserve">      Presidente</w:t>
        <w:br/>
        <w:br/>
        <w:br/>
        <w:t xml:space="preserve">      Manuel E. Ventura Robles</w:t>
        <w:br/>
        <w:t xml:space="preserve">      Secretario</w:t>
        <w:br/>
        <w:br/>
        <w:br/>
        <w:t xml:space="preserve">      (*) El  señor  Ráez  González  fue  presentado  como  testigo  por  la</w:t>
        <w:br/>
        <w:t>Comisión, luego de lo cual fue acreditado también como asesor  del  Gobierno</w:t>
        <w:br/>
        <w:t>para la audiencia celebrada el 9 de julio de 1993.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