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t xml:space="preserve">             Caso de la Masacre de Las Dos Erres Vs. Guatemala(</w:t>
        <w:br/>
        <w:br/>
        <w:br/>
        <w:t xml:space="preserve">                    Sentencia de 24 de noviembre de 2009</w:t>
        <w:br/>
        <w:t xml:space="preserve">            (Excepción Preliminar, Fondo, Reparaciones y Costas)</w:t>
        <w:br/>
        <w:br/>
        <w:br/>
        <w:br/>
        <w:t>En el Caso de la Masacre de Las Dos Erres,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 y</w:t>
        <w:br/>
        <w:t xml:space="preserve">      Ramón Cadena Rámila, Juez ad hoc;</w:t>
        <w:br/>
        <w:br/>
        <w:t>presentes además,</w:t>
        <w:br/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30, 32, 38, 59, 60 y 61  del  Reglamento  de</w:t>
        <w:br/>
        <w:t>la Corte (en adelante “el Reglamento”)((, dicta la presente Sentencia.</w:t>
        <w:br/>
        <w:br/>
        <w:br/>
        <w:br/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t>1.    El 30 de julio de  2008,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ante la Corte una demanda  contra  la  República  de  Guatemala  (en</w:t>
        <w:br/>
        <w:t>adelante “el Estado” o “Guatemala”). La petición inicial fue presentada  por</w:t>
        <w:br/>
        <w:t>la Oficina de Derechos Humanos del Arzobispado de  Guatemala  (ODHAG)  y  el</w:t>
        <w:br/>
        <w:t>Centro por la Justicia y el Derecho Internacional (en  adelante  “CEJIL”)[1]</w:t>
        <w:br/>
        <w:t>ante la Comisión el 13 de septiembre de 1996[2]. El 1 de abril  de  2000  el</w:t>
        <w:br/>
        <w:t>Estado y los representantes de las  presuntas  víctimas  (en  adelante  “los</w:t>
        <w:br/>
        <w:t>representantes”)  pactaron  un  acuerdo  en  el  marco   de   una   solución</w:t>
        <w:br/>
        <w:t>amistosa[3],  mediante  la  cual  el  Estado  reconoció  su  responsabilidad</w:t>
        <w:br/>
        <w:t>internacional y se comprometió a  reparar  a  las  presuntas  víctimas.  Sin</w:t>
        <w:br/>
        <w:t>embargo, el 20  de  febrero  de  2006  los  representantes  manifestaron  su</w:t>
        <w:br/>
        <w:t>voluntad de apartarse del acuerdo  de  solución  amistosa,  por  lo  que  se</w:t>
        <w:br/>
        <w:t>prosiguió con el trámite ante la Comisión[4]. El 14  de  marzo  de  2008  la</w:t>
        <w:br/>
        <w:t>Comisión aprobó el Informe de  Admisibilidad  y  Fondo  No.  22/08,  en  los</w:t>
        <w:br/>
        <w:t>términos del artículo 50  de  la  Convención[5].  El  informe  recomendó  al</w:t>
        <w:br/>
        <w:t>Estado que, entre otros, realizara  una  investigación  especial,  rigurosa,</w:t>
        <w:br/>
        <w:t>imparcial y efectiva que juzgara y sancionara a los responsables,  así  como</w:t>
        <w:br/>
        <w:t>que removiera todos los obstáculos de hecho y de derecho  que  mantenían  el</w:t>
        <w:br/>
        <w:t>caso en la impunidad. Este informe fue notificado al Estado el 30  de  abril</w:t>
        <w:br/>
        <w:t>de  2008.  Después  de  considerar  que  Guatemala  no  había  adoptado  sus</w:t>
        <w:br/>
        <w:t>recomendaciones,  la  Comisión  decidió  someter  el  presente  caso  a   la</w:t>
        <w:br/>
        <w:t>jurisdicción  de  la  Corte.  La  Comisión  designó  a  los  señores  Víctor</w:t>
        <w:br/>
        <w:t>Abramovich, Comisionado y Santiago A.  Canton,  Secretario  Ejecutivo,  como</w:t>
        <w:br/>
        <w:t>Delegados,  y  a  la  señora  Elizabeth  Abi-Mershed,  Secretaria  Ejecutiva</w:t>
        <w:br/>
        <w:t>Adjunta, y al señor Juan  Pablo  Albán  Alencastro  y  a  la  señora  Isabel</w:t>
        <w:br/>
        <w:t>Madariaga como asesores legales.</w:t>
        <w:br/>
        <w:br/>
        <w:t>2.    La demanda se relaciona con la supuesta falta de debida diligencia  en</w:t>
        <w:br/>
        <w:t>la investigación, juzgamiento y sanción de los responsables  de  la  masacre</w:t>
        <w:br/>
        <w:t>de  251  habitantes  del  Parcelamiento  de  Las  Dos  Erres,  la  Libertad,</w:t>
        <w:br/>
        <w:t>Departamento de Petén, ocurrida entre los días 6 a 8 de diciembre  de  1982.</w:t>
        <w:br/>
        <w:t>Dicha masacre fue ejecutada por miembros  del  grupo  especializado  de  las</w:t>
        <w:br/>
        <w:t>fuerzas armadas de Guatemala denominados kaibiles[6]. Entre  los  habitantes</w:t>
        <w:br/>
        <w:t>del Parcelamiento se encontraban niños,  mujeres  y  hombres.  Las  personas</w:t>
        <w:br/>
        <w:t>ejecutadas, habrían sufrido previamente golpes y maltratos, así como  muchas</w:t>
        <w:br/>
        <w:t>mujeres habrían sido violadas y golpeadas hasta el punto de sufrir  abortos.</w:t>
        <w:br/>
        <w:t>Adicionalmente, en el contexto  de  la  masacre  uno  de  los  Kaibiles  que</w:t>
        <w:br/>
        <w:t>participó en ella, sustrajo a un niño sobreviviente, se lo llevó a su  casa,</w:t>
        <w:br/>
        <w:t>y  lo  registró  con  sus  apellidos.  Recién  en  1994  se  iniciaron   las</w:t>
        <w:br/>
        <w:t>investigaciones  sobre  dicha  masacre,  en  el  marco  de  las  cuales   se</w:t>
        <w:br/>
        <w:t>realizaron algunas diligencias de exhumación. Sin embargo, el  supuesto  uso</w:t>
        <w:br/>
        <w:t>indiscriminado y permisivo de recursos judiciales, el retardo  injustificado</w:t>
        <w:br/>
        <w:t>por parte de las autoridades judiciales y  la  falta  de  una  investigación</w:t>
        <w:br/>
        <w:t>exhaustiva, juzgamiento, y sanción de los responsables está pendiente  hasta</w:t>
        <w:br/>
        <w:t>el día de hoy.</w:t>
        <w:br/>
        <w:br/>
        <w:t>3.    La Comisión solicitó a  la  Corte  que  declarara  que  el  Estado  es</w:t>
        <w:br/>
        <w:t>responsable por la violación de los artículos 25 (Protección Judicial)  y  8</w:t>
        <w:br/>
        <w:t>(Garantías Judiciales) de  la  Convención  Americana,  en  relación  con  el</w:t>
        <w:br/>
        <w:t>artículo 1.1 (Obligación de Respetar los Derechos)  del  mismo  instrumento,</w:t>
        <w:br/>
        <w:t>en perjuicio de dos sobrevivientes de la masacre[7] y 153  familiares[8]  de</w:t>
        <w:br/>
        <w:t>las personas  que  fallecieron  durante  la  misma.  Asimismo,  la  Comisión</w:t>
        <w:br/>
        <w:t>solicitó al Tribunal que ordenara al Estado la adopción  de  varias  medidas</w:t>
        <w:br/>
        <w:t>de reparación no pecuniarias, así como el pago de las costas  y  gastos  del</w:t>
        <w:br/>
        <w:t>presente  caso  que  se  hayan  originado  y  se  originen  ante  la   Corte</w:t>
        <w:br/>
        <w:t>Interamericana.</w:t>
        <w:br/>
        <w:br/>
        <w:t>4.    El 12 de noviembre de 2008 los representantes, CEJIL y  la  Asociación</w:t>
        <w:br/>
        <w:t>de  Familiares  de  Detenidos-Desaparecidos  de   Guatemala   (en   adelante</w:t>
        <w:br/>
        <w:t>“FAMDEGUA”), presentaron su escrito de  solicitudes,  argumentos  y  pruebas</w:t>
        <w:br/>
        <w:t>(en adelante “escrito de solicitudes y argumentos”). Además de  lo  indicado</w:t>
        <w:br/>
        <w:t>por la Comisión, los representantes sostuvieron, inter alia, que  el  Estado</w:t>
        <w:br/>
        <w:t>es responsable por la violación de los derechos reconocidos en:</w:t>
        <w:br/>
        <w:br/>
        <w:br/>
        <w:t xml:space="preserve">   a) los artículos 8 y 25 (Garantías Judiciales y Protección  Judicial)  de</w:t>
        <w:br/>
        <w:t xml:space="preserve">   la Convención, en relación con los artículos 1.1 (Obligación de  Respetar</w:t>
        <w:br/>
        <w:t xml:space="preserve">   los Derechos) y 2 (Deber de Adoptar Disposiciones de Derecho Interno)  de</w:t>
        <w:br/>
        <w:t xml:space="preserve">   ese tratado, en  perjuicio  de  las  víctimas  de  la  masacre[9]  y  sus</w:t>
        <w:br/>
        <w:t xml:space="preserve">   familiares, por: i) el supuesto retardo injustificado en la investigación</w:t>
        <w:br/>
        <w:t xml:space="preserve">   de los hechos, y ii) la presunta falta de imparcialidad del tribunal  que</w:t>
        <w:br/>
        <w:t xml:space="preserve">   resolvió uno de los amparos;</w:t>
        <w:br/>
        <w:t xml:space="preserve">   b) los artículos 8 y 25 (Garantías Judiciales y Protección  Judicial)  de</w:t>
        <w:br/>
        <w:t xml:space="preserve">   la Convención,  en  relación  con  el  incumplimiento  del  artículo  1.1</w:t>
        <w:br/>
        <w:t xml:space="preserve">   (Obligación de Respetar los Derechos) de ese tratado y los artículos 1, 6</w:t>
        <w:br/>
        <w:t xml:space="preserve">   y 8 de la Convención Interamericana para Prevenir y Sancionar la  Tortura</w:t>
        <w:br/>
        <w:t xml:space="preserve">   (en adelante “CIPST” o “Convención Interamericana contra la Tortura”), en</w:t>
        <w:br/>
        <w:t xml:space="preserve">   perjuicio de las víctimas de la masacre y sus familiares  y  el  artículo</w:t>
        <w:br/>
        <w:t xml:space="preserve">   7.b) de la Convención Interamericana para Prevenir, Sancionar y Erradicar</w:t>
        <w:br/>
        <w:t xml:space="preserve">   la Violencia contra la Mujer (en adelante “Convención de Belem Do  Pará),</w:t>
        <w:br/>
        <w:t xml:space="preserve">   en perjuicio de las víctimas  mujeres,  por  la  supuesta  falta  de  una</w:t>
        <w:br/>
        <w:t xml:space="preserve">   investigación seria y exhaustiva de todos los hechos y responsables de la</w:t>
        <w:br/>
        <w:t xml:space="preserve">   masacre;</w:t>
        <w:br/>
        <w:t xml:space="preserve">   c) los artículos 8 y 25 (Garantías Judiciales y Protección  Judicial)  de</w:t>
        <w:br/>
        <w:t xml:space="preserve">   la Convención,  en  relación  con  el  incumplimiento  del  artículo  1.1</w:t>
        <w:br/>
        <w:t xml:space="preserve">   (Obligación de Respetar los Derechos) de ese tratado, en perjuicio de las</w:t>
        <w:br/>
        <w:t xml:space="preserve">   víctimas de la masacre y sus familiares, por: i) haber obstaculizado  las</w:t>
        <w:br/>
        <w:t xml:space="preserve">   investigaciones, y ii) no haber ejecutado las órdenes de captura dictadas</w:t>
        <w:br/>
        <w:t xml:space="preserve">   contra algunos de los presuntos partícipes en los hechos;</w:t>
        <w:br/>
        <w:t xml:space="preserve">   d) los artículos 8, 25 y 13 (Garantías Judiciales, Protección Judicial  y</w:t>
        <w:br/>
        <w:t xml:space="preserve">   Libertad de Pensamiento y Expresión) de la  Convención,  en  concordancia</w:t>
        <w:br/>
        <w:t xml:space="preserve">   con el artículo 1.1 (Obligación de Respetar los Derechos) de ese tratado,</w:t>
        <w:br/>
        <w:t xml:space="preserve">   en perjuicio de los familiares porque a la fecha desconocen la verdad  de</w:t>
        <w:br/>
        <w:t xml:space="preserve">   lo ocurrido a sus seres queridos y la identidad de los responsables;</w:t>
        <w:br/>
        <w:t xml:space="preserve">   e) el artículo 4 (Derecho a la Vida) de la Convención, en relación con el</w:t>
        <w:br/>
        <w:t xml:space="preserve">   artículo 1.1 (Obligación de Respetar los Derechos)  de  ese  tratado,  en</w:t>
        <w:br/>
        <w:t xml:space="preserve">   perjuicio de  las  víctimas  de  la  masacre,  respecto  de  la  supuesta</w:t>
        <w:br/>
        <w:t xml:space="preserve">   inadecuada investigación de su ejecución;</w:t>
        <w:br/>
        <w:t xml:space="preserve">   f) el artículo 5 (Derecho a la Integridad Personal) de la Convención,  en</w:t>
        <w:br/>
        <w:t xml:space="preserve">   relación con el artículo 1.1 (Obligación de Respetar los Derechos) de ese</w:t>
        <w:br/>
        <w:t xml:space="preserve">   instrumento, en perjuicio de las víctimas de la masacre, respecto  de  la</w:t>
        <w:br/>
        <w:t xml:space="preserve">   presunta falta de investigación de los actos de tortura y tratos crueles,</w:t>
        <w:br/>
        <w:t xml:space="preserve">   inhumanos y degradantes de los que supuestamente fueron objeto;</w:t>
        <w:br/>
        <w:t xml:space="preserve">   g) el artículo 5 (Derecho a la Integridad Personal) de la Convención,  en</w:t>
        <w:br/>
        <w:t xml:space="preserve">   relación con el artículo 1.1 (Obligación de Respetar los Derechos) de ese</w:t>
        <w:br/>
        <w:t xml:space="preserve">   instrumento, en perjuicio de los familiares de las víctimas de la masacre</w:t>
        <w:br/>
        <w:t xml:space="preserve">   por el sufrimiento causado a raíz de la supuesta impunidad en que se  han</w:t>
        <w:br/>
        <w:t xml:space="preserve">   mantenido los hechos, y</w:t>
        <w:br/>
        <w:t xml:space="preserve">   h) el artículo 19 (Derechos del Niño) de la Convención, en  relación  con</w:t>
        <w:br/>
        <w:t xml:space="preserve">   el artículo 1.1 (Obligación de Respetar los Derechos) de ese tratado,  en</w:t>
        <w:br/>
        <w:t xml:space="preserve">   perjuicio de los dos sobrevivientes de la Masacre, así como la  violación</w:t>
        <w:br/>
        <w:t xml:space="preserve">   de los artículos 17 (Protección a la Familia) y 18 (Derecho al Nombre) de</w:t>
        <w:br/>
        <w:t xml:space="preserve">   la Convención, en relación con el artículo 1.1  (Obligación  de  Respetar</w:t>
        <w:br/>
        <w:t xml:space="preserve">   los  Derechos)  de  dicho   instrumento,   respecto   de   uno   de   los</w:t>
        <w:br/>
        <w:t xml:space="preserve">   sobrevivientes.</w:t>
        <w:br/>
        <w:br/>
        <w:t>5.    Finalmente, los representantes solicitaron al  Tribunal  que  ordenara</w:t>
        <w:br/>
        <w:t>al Estado la adopción de varias  medidas  de  reparación  pecuniarias  y  no</w:t>
        <w:br/>
        <w:t>pecuniarias, así como el pago de las  costas  y  gastos  del  presente  caso</w:t>
        <w:br/>
        <w:t>incurridos tanto a nivel nacional como internacional a  partir  del  mes  de</w:t>
        <w:br/>
        <w:t>abril del año  2000.  Aclararon  que  CEJIL  y  FAMDEGUA  representan  a  59</w:t>
        <w:br/>
        <w:t>presuntas víctimas, incluyendo a uno de los sobrevivientes, por  lo  que  la</w:t>
        <w:br/>
        <w:t>Comisión representa a 96 presuntas víctimas[10].</w:t>
        <w:br/>
        <w:br/>
        <w:t>6.    El 20 de enero de 2009 el Estado  presentó  su  escrito  de  excepción</w:t>
        <w:br/>
        <w:t>preliminar, contestación  de  la  demanda  y  observaciones  al  escrito  de</w:t>
        <w:br/>
        <w:t>solicitudes y argumentos (en adelante “contestación de la demanda”).  Señaló</w:t>
        <w:br/>
        <w:t>que “manif[estaba] su aceptación parcial a los  hechos  denunciados  por  la</w:t>
        <w:br/>
        <w:t>[…] Comisión [y las violaciones] alegadas en los artículos  8  y  25  de  la</w:t>
        <w:br/>
        <w:t>[Convención,] en relación con el deber consagrado en el artículo 1.1 [de  la</w:t>
        <w:br/>
        <w:t>misma]”. No obstante, interpuso una excepción preliminar relacionada con  la</w:t>
        <w:br/>
        <w:t>supuesta incompetencia ratione temporis de la Corte, en la  cual  alegó  que</w:t>
        <w:br/>
        <w:t>“los hechos constitutivos de las violaciones denunciadas en  contra  de  los</w:t>
        <w:br/>
        <w:t>derechos contenidos en los artículos 4, 5, 17, 18 y 19 de la Convención  […]</w:t>
        <w:br/>
        <w:t>ocurrieron entre los días 6 y 8 de diciembre de 1982 y el reconocimiento  de</w:t>
        <w:br/>
        <w:t>la jurisdicción contenciosa de la Corte […] ocurrió con  posterioridad”.  El</w:t>
        <w:br/>
        <w:t>2 de octubre de 2008 el Estado designó  a  la  señora  Delia  Marina  Dávila</w:t>
        <w:br/>
        <w:t>Salazar como Agente, y a la señora Carol Angélica Quirós Ortiz  como  Agente</w:t>
        <w:br/>
        <w:t>Alterna para el presente caso. El 29 de mayo de 2009 el Estado  sustituyó  a</w:t>
        <w:br/>
        <w:t>la Agente Alterna por la señora María Elena de Jesús Rodríguez López.</w:t>
        <w:br/>
        <w:br/>
        <w:t>7.    El 4 de marzo de 2009 la Comisión  y  los  representantes  presentaron</w:t>
        <w:br/>
        <w:t>sus alegatos sobre el allanamiento y  la  excepción  preliminar  interpuesta</w:t>
        <w:br/>
        <w:t>por el Estado, de conformidad con el artículo 38.4 del Reglamento.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br/>
        <w:t>8.    La demanda fue notificada al Estado[11] y a los representantes  el  11</w:t>
        <w:br/>
        <w:t>de septiembre de 2008.  Durante el proceso ante este Tribunal, además de  la</w:t>
        <w:br/>
        <w:t>presentación de los escritos principales remitidos  por  las  partes  (supra</w:t>
        <w:br/>
        <w:t>párrs. 1, 4 y 6) la Presidenta de la Corte  (en  adelante  “la  Presidenta”)</w:t>
        <w:br/>
        <w:t>ordenó, mediante Resolución de 18 de  mayo  de  2009[12],  la  recepción  de</w:t>
        <w:br/>
        <w:t>declaraciones  rendidas  ante  fedatario  público  (affidávit)[13]  por  dos</w:t>
        <w:br/>
        <w:t>presuntas  víctimas  y  dos  peritajes,  ofrecidos  oportunamente  por   las</w:t>
        <w:br/>
        <w:t>partes[14].  Asimismo, mediante la misma Resolución se convocó a las  partes</w:t>
        <w:br/>
        <w:t>a una audiencia pública para escuchar las  declaraciones  de  dos  presuntas</w:t>
        <w:br/>
        <w:t>víctimas, un testigo y  dos  peritos  propuestos,  según  el  caso,  por  la</w:t>
        <w:br/>
        <w:t>Comisión y los representantes, así como los alegatos  finales  orales  sobre</w:t>
        <w:br/>
        <w:t>la excepción preliminar y los eventuales fondo, reparaciones  y  costas[15].</w:t>
        <w:br/>
        <w:t>Finalmente, la Presidenta fijó plazo hasta el 18 de agosto de 2009 para  que</w:t>
        <w:br/>
        <w:t>las partes presentaran sus respectivos escritos de alegatos finales.</w:t>
        <w:br/>
        <w:br/>
        <w:t>9.    Los días 30  de  junio  y  7  de  julio  de  2009  los  representantes</w:t>
        <w:br/>
        <w:t>presentaron a la Corte prueba superviniente con fundamento  en  el  artículo</w:t>
        <w:br/>
        <w:t>46.3  del  Reglamento,  entre  la  que  se  encuentran  oficios  con  nuevas</w:t>
        <w:br/>
        <w:t>actuaciones efectuadas en el procedimiento interno,  notas  periodísticas  y</w:t>
        <w:br/>
        <w:t>una lista de los abogados “que adeudan dinero […] por utilizar el amparo  de</w:t>
        <w:br/>
        <w:t>forma notariamente improcedente”, la cual fue transmitida,  respectivamente,</w:t>
        <w:br/>
        <w:t>a la Comisión y al  Estado,  para  que  presentaran  las  observaciones  que</w:t>
        <w:br/>
        <w:t>estimaran pertinentes.</w:t>
        <w:br/>
        <w:br/>
        <w:t>10.   La audiencia pública fue celebrada el 14 de julio de 2009  durante  el</w:t>
        <w:br/>
        <w:t>XL Período Extraordinario de Sesiones de la Corte[16], llevado a cabo en  la</w:t>
        <w:br/>
        <w:t>ciudad de La Paz, Bolivia.</w:t>
        <w:br/>
        <w:br/>
        <w:t>11.   El 28 de julio de 2009 los señores Daniel Rothenberg y Daniel  Thoman,</w:t>
        <w:br/>
        <w:t>en representación  del  International  Human  Rights  Law  Institute  de  la</w:t>
        <w:br/>
        <w:t>Universidad DePaul, College of Law, remitieron  un  escrito  en  calidad  de</w:t>
        <w:br/>
        <w:t>amicus curiae, sobre la doctrina establecida en el derecho internacional  de</w:t>
        <w:br/>
        <w:t>la “responsabilidad [del] superior”.</w:t>
        <w:br/>
        <w:br/>
        <w:t>12.   El 18 de agosto de 2009 el Estado, la Comisión  y  los  representantes</w:t>
        <w:br/>
        <w:t>remitieron sus alegatos finales escritos sobre  la  excepción  preliminar  y</w:t>
        <w:br/>
        <w:t>eventuales fondo, reparaciones y costas.  El  Estado  y  los  representantes</w:t>
        <w:br/>
        <w:t>adjuntaron a sus alegatos algunos anexos. Los días 28 de septiembre, 5  y  6</w:t>
        <w:br/>
        <w:t>de octubre de 2009 los representantes, el Estado y la Comisión  presentaron,</w:t>
        <w:br/>
        <w:t>respectivamente, sus observaciones a los anexos a los escritos  de  alegatos</w:t>
        <w:br/>
        <w:t>finales.</w:t>
        <w:br/>
        <w:br/>
        <w:t>13.   El 3 de septiembre de 2009 la Secretaría, siguiendo  instrucciones  de</w:t>
        <w:br/>
        <w:t>la Presidenta, y de conformidad con el artículo  45  del  Reglamento  de  la</w:t>
        <w:br/>
        <w:t>Corte, requirió a la Comisión Interamericana  y  a  los  representantes  que</w:t>
        <w:br/>
        <w:t>brindaran  cierta  información  o  documentación  como  prueba  para   mejor</w:t>
        <w:br/>
        <w:t>resolver.  Los días 11 y 14 de septiembre de 2009 los  representantes  y  la</w:t>
        <w:br/>
        <w:t>Comisión remitieron, respectivamente, la  referida  información.   El  2  de</w:t>
        <w:br/>
        <w:t>octubre de 2009 el  Estado  presentó  sus  observaciones  a  la  información</w:t>
        <w:br/>
        <w:t>remitida por los  representantes  y  la  Comisión  como  prueba  para  mejor</w:t>
        <w:br/>
        <w:t>resolver.</w:t>
        <w:br/>
        <w:br/>
        <w:br/>
        <w:br/>
        <w:t xml:space="preserve">                                     III</w:t>
        <w:br/>
        <w:br/>
        <w:br/>
        <w:t xml:space="preserve">                   Determinación de las presuntas víctimas</w:t>
        <w:br/>
        <w:br/>
        <w:br/>
        <w:br/>
        <w:t>14.    Este   Tribunal   considera   oportuno   determinar   quiénes   deben</w:t>
        <w:br/>
        <w:t>considerarse presuntas víctimas en el presente caso.</w:t>
        <w:br/>
        <w:br/>
        <w:t>15.   Esta Corte observa que en el párrafo siete de la demanda, la  Comisión</w:t>
        <w:br/>
        <w:t>precisó el objeto de la misma e identificó  a  155  presuntas  víctimas  del</w:t>
        <w:br/>
        <w:t>caso. Igualmente, dichas presuntas víctimas fueron señaladas en  el  Informe</w:t>
        <w:br/>
        <w:t>de Admisibilidad y Fondo No. 22/08.  Al respecto, la  Comisión  solicitó  al</w:t>
        <w:br/>
        <w:t>Tribunal que concluyera y declarara  la  responsabilidad  internacional  del</w:t>
        <w:br/>
        <w:t>Estado por la violación de los derechos consagrados en los artículos 8 y  25</w:t>
        <w:br/>
        <w:t>de la Convención Americana, en  relación  con  el  artículo  1.1  del  mismo</w:t>
        <w:br/>
        <w:t>instrumento, en  perjuicio  de  dos  sobrevivientes  de  la  masacre  y  153</w:t>
        <w:br/>
        <w:t>personas que son familiares de los fallecidos durante ésta. Asimismo, en  el</w:t>
        <w:br/>
        <w:t>escrito de  solicitudes  y  argumentos  los  representantes  presentaron  su</w:t>
        <w:br/>
        <w:t>propia lista de presuntas víctimas.  Por otra parte, los  representantes  en</w:t>
        <w:br/>
        <w:t>dicho escrito alegaron adicionalmente supuestas violaciones en perjuicio  de</w:t>
        <w:br/>
        <w:t>las personas que fallecieron durante la masacre (supra párr. 4  incisos  a),</w:t>
        <w:br/>
        <w:t>b), c), e) y f)), para lo cual adjuntaron un anexo con los  nombres  de  los</w:t>
        <w:br/>
        <w:t>fallecidos y el vínculo con sus familiares. A este  respecto,  la  Comisión,</w:t>
        <w:br/>
        <w:t>en el apartado de antecedentes y contexto del caso, en el párrafo 96  de  la</w:t>
        <w:br/>
        <w:t>demanda, incluyó una lista con el nombre de las personas que fallecieron  en</w:t>
        <w:br/>
        <w:t>la masacre.</w:t>
        <w:br/>
        <w:br/>
        <w:t>16.   Esta Corte constató que habían algunas inconsistencias  o  diferencias</w:t>
        <w:br/>
        <w:t>en cuanto a los nombres y calidades de las personas contenidas en  la  lista</w:t>
        <w:br/>
        <w:t>de  las  presuntas  víctimas  presentada  por  la  Comisión  y  la  de   los</w:t>
        <w:br/>
        <w:t>representantes, por  lo  que  en  diversas  oportunidades  se  les  solicitó</w:t>
        <w:br/>
        <w:t>información, aclaraciones o documentación al respecto. Una vez  recibida  la</w:t>
        <w:br/>
        <w:t>información, ésta fue puesta en conocimiento del  Estado,  el  que  presentó</w:t>
        <w:br/>
        <w:t>observaciones.  Con la información y  elementos  probatorios  remitidos  por</w:t>
        <w:br/>
        <w:t>las partes, las diversas inconsistencias fueron aclaradas o subsanadas.  Sin</w:t>
        <w:br/>
        <w:t>embargo, esta  Corte  considera  oportuno  referirse  a  continuación  a  la</w:t>
        <w:br/>
        <w:t>situación planteada respecto a Bernabé Cristales Montepeque y  María  Rebeca</w:t>
        <w:br/>
        <w:t>García Gómez, así como a  la  situación  de  las  personas  que  fallecieron</w:t>
        <w:br/>
        <w:t>durante la masacre.</w:t>
        <w:br/>
        <w:br/>
        <w:t>17.   Este Tribunal nota que en el párrafo 365 de  la  demanda  la  Comisión</w:t>
        <w:br/>
        <w:t>indicó que “[l]os señores […] Bernabé Cristales Montepeque [y] María  Rebeca</w:t>
        <w:br/>
        <w:t>García Gómez […] han autorizado a las organizaciones  […]  ‘CEJIL’  y  [...]</w:t>
        <w:br/>
        <w:t>‘FAMDEGUA’, para que los representen en la etapa judicial del  trámite  ante</w:t>
        <w:br/>
        <w:t>el sistema”; sin embargo, dichas personas no fueron mencionadas en la  lista</w:t>
        <w:br/>
        <w:t>de presuntas víctimas contenida en el referido párrafo siete de la  demanda,</w:t>
        <w:br/>
        <w:t>ni en el informe del artículo 50 de la Convención.  Mediante  comunicaciones</w:t>
        <w:br/>
        <w:t>de la Secretaría de 11 de septiembre de 2008 y 3 de septiembre  de  2009  se</w:t>
        <w:br/>
        <w:t>hizo notar lo anterior a la Comisión, y en  la  última  comunicación  se  le</w:t>
        <w:br/>
        <w:t>solicitó que hiciera las aclaraciones pertinentes.</w:t>
        <w:br/>
        <w:br/>
        <w:t>18.   Mediante comunicación de 14 de septiembre de 2009, la Comisión  indicó</w:t>
        <w:br/>
        <w:t>que había transmitido los  poderes  de  ambas  personas  en  virtud  de  “la</w:t>
        <w:br/>
        <w:t>exigencia contenida en el reglamento de la Corte[, sin embargo, agregó  que]</w:t>
        <w:br/>
        <w:t>no constituye una determinación sobre la calidad o no de víctimas que  estas</w:t>
        <w:br/>
        <w:t>personas puedan tener, la que corresponde a sus representantes y a la  Corte</w:t>
        <w:br/>
        <w:t>declarar”.  Por   su   parte,   los   representantes   señalaron,   mediante</w:t>
        <w:br/>
        <w:t>comunicación de 11 de septiembre de 2009,  que  tales  personas  “deben  ser</w:t>
        <w:br/>
        <w:t>consideradas como [presuntas] víctimas  del  caso  y  beneficiarios  de  las</w:t>
        <w:br/>
        <w:t>reparaciones[, ya que] no fueron incluidas en anteriores comunicaciones  por</w:t>
        <w:br/>
        <w:t>un error material.” Por último, el Estado expresó, mediante comunicación  de</w:t>
        <w:br/>
        <w:t>2 de octubre de 2009, que “el hecho de que  haya  sido  presentada  ante  la</w:t>
        <w:br/>
        <w:t>Corte la documentación que  los  acredita  como  sus  representantes  en  el</w:t>
        <w:br/>
        <w:t>presente caso, no les otorga la calidad de [presuntas] víctimas”. El  Estado</w:t>
        <w:br/>
        <w:t>agregó que dichas personas no  aparecen  identificadas  como  familiares  ni</w:t>
        <w:br/>
        <w:t>beneficiarios durante el trámite ante la Comisión ni  han  sido  reconocidos</w:t>
        <w:br/>
        <w:t>por el Estado, además de que no  es  procedente  “incluirlos  como  víctimas</w:t>
        <w:br/>
        <w:t>sobrevivientes, ya que no se [ha]  acreditado  ese  extremo  y  no  aparecen</w:t>
        <w:br/>
        <w:t>dentro de la demanda presentada por la [Comisión],  que  constituyen  hechos</w:t>
        <w:br/>
        <w:t>objeto de esta litis”.</w:t>
        <w:br/>
        <w:br/>
        <w:t>19.   En el presente caso, el Tribunal hace  notar  que  la  Comisión  alegó</w:t>
        <w:br/>
        <w:t>violaciones de forma clara  y  específica  en  perjuicio  de  155  presuntas</w:t>
        <w:br/>
        <w:t>víctimas, sobre quienes no existe controversia entre las partes  respecto  a</w:t>
        <w:br/>
        <w:t>su identificación con esa calidad. Asimismo, la Corte constata que el  señor</w:t>
        <w:br/>
        <w:t>Bernabé Cristales Montepeque y la señora María Rebeca  García  Gómez  no  se</w:t>
        <w:br/>
        <w:t>encontraban en la lista de  presuntas  víctimas  presentada  en  el  párrafo</w:t>
        <w:br/>
        <w:t>siete de la demanda ni en el informe del artículo 50  de  la  Convención  en</w:t>
        <w:br/>
        <w:t>tal calidad, por lo que este Tribunal solicitó  información  o  aclaraciones</w:t>
        <w:br/>
        <w:t>al respecto como prueba para mejor resolver. Además, la  Corte  observa  que</w:t>
        <w:br/>
        <w:t>las personas que fallecieron en la masacre tampoco fueron señaladas  en  los</w:t>
        <w:br/>
        <w:t>referidos informe y demanda en calidad de presuntas víctimas.</w:t>
        <w:br/>
        <w:br/>
        <w:t>20.   El Tribunal ha establecido en  su  jurisprudencia  que  las  presuntas</w:t>
        <w:br/>
        <w:t>víctimas deben estar señaladas en la demanda  y  debe  corresponder  con  el</w:t>
        <w:br/>
        <w:t>informe de la Comisión Interamericana del  artículo  50  de  la  Convención.</w:t>
        <w:br/>
        <w:t>Además, de conformidad con el artículo 34.1 del  Reglamento,  corresponde  a</w:t>
        <w:br/>
        <w:t>la Comisión y no a este Tribunal identificar con precisión y  en  la  debida</w:t>
        <w:br/>
        <w:t>oportunidad  procesal  a  las  presuntas  víctimas  en  un  caso  ante  esta</w:t>
        <w:br/>
        <w:t>Corte[17]. La seguridad jurídica exige, como regla general,  que  todas  las</w:t>
        <w:br/>
        <w:t>presuntas víctimas estén debidamente identificadas  en  ambos  escritos,  no</w:t>
        <w:br/>
        <w:t>siendo  posible  añadir   nuevas   presuntas   víctimas   en   la   demanda.</w:t>
        <w:br/>
        <w:t>Consecuentemente, al no  haber  sido  mencionadas  en  el  momento  procesal</w:t>
        <w:br/>
        <w:t>oportuno, el Tribunal no puede considerar  como  presuntas  víctimas  en  el</w:t>
        <w:br/>
        <w:t>presente caso al señor Bernabé  Cristales  Montepeque,  a  la  señora  María</w:t>
        <w:br/>
        <w:t>Rebeca García Gómez, ni a las personas que fallecieron durante  la  masacre.</w:t>
        <w:br/>
        <w:t>Consecuentemente,  no  corresponde  pronunciarse  acerca  de  las  supuestas</w:t>
        <w:br/>
        <w:t>violaciones alegadas en su perjuicio.</w:t>
        <w:br/>
        <w:br/>
        <w:t>21.   Por lo tanto, la Corte considera que  las  presuntas  víctimas  en  el</w:t>
        <w:br/>
        <w:t>presente caso son aquellas que la Comisión individualizó e identificó en  el</w:t>
        <w:br/>
        <w:t>párrafo siete de la demanda, a saber: a) dos sobrevivientes  de  la  masacre</w:t>
        <w:br/>
        <w:t>(supra nota 7), y b) 153 personas que son familiares de quienes murieron  en</w:t>
        <w:br/>
        <w:t>ésta (supra nota 8).</w:t>
        <w:br/>
        <w:br/>
        <w:br/>
        <w:br/>
        <w:t xml:space="preserve">                                     IV</w:t>
        <w:br/>
        <w:br/>
        <w:br/>
        <w:t xml:space="preserve">           Reconocimiento Parcial de Responsabilidad Internacional</w:t>
        <w:br/>
        <w:br/>
        <w:br/>
        <w:t xml:space="preserve">                                  del Estado</w:t>
        <w:br/>
        <w:br/>
        <w:br/>
        <w:br/>
        <w:t>22.   En su contestación de la demanda  el  Estado  expresó  “su  aceptación</w:t>
        <w:br/>
        <w:t>parcial a los hechos denunciados por la […] Comisión[,  la]  cual  debe  ser</w:t>
        <w:br/>
        <w:t>entendid[a] en  los  […]  términos  [de  las]  violaciones  alegadas  a  los</w:t>
        <w:br/>
        <w:t>artículos 8 y 25 de la [Convención,] en relación con el deber consagrado  en</w:t>
        <w:br/>
        <w:t>el artículo 1.1” de la misma.  El Estado consideró que “no  puede  excusarse</w:t>
        <w:br/>
        <w:t>de  la  responsabilidad  relacionada  con  los  actos  u  omisiones  de  sus</w:t>
        <w:br/>
        <w:t>autoridades judiciales,  ya  que  tal  actitud  resultaría  contraria  a  lo</w:t>
        <w:br/>
        <w:t>dispuesto” en los referidos artículos de la Convención. No obstante,  afirmó</w:t>
        <w:br/>
        <w:t>que “en el presente caso existe una solución amistosa a la que el Estado  ha</w:t>
        <w:br/>
        <w:t>dado y continúa dando cumplimiento[, por lo que] ha cesado  la  controversia</w:t>
        <w:br/>
        <w:t>en cuanto a los hechos que dieron origen al caso”.  Agregó  que  “el  objeto</w:t>
        <w:br/>
        <w:t>de la demanda entablada por  la  [Comisión]  es  efectuar  un  análisis  del</w:t>
        <w:br/>
        <w:t>estado de cumplimiento del Acuerdo de Solución  Amistosa  suscrito  por  las</w:t>
        <w:br/>
        <w:t>partes, específicamente en relación con las medidas adoptadas  para  reparar</w:t>
        <w:br/>
        <w:t>las violaciones [a los artículos mencionados,] no  así  condenar  al  Estado</w:t>
        <w:br/>
        <w:t>por hechos y pretensiones que ya obran en  el  proceso  amistoso.”  Concluyó</w:t>
        <w:br/>
        <w:t>que el alcance de la  demanda  de  la  Comisión  debía  entenderse  única  y</w:t>
        <w:br/>
        <w:t>exclusivamente a los  extremos  que  se  alegaron  incumplidos  respecto  al</w:t>
        <w:br/>
        <w:t>acuerdo, por lo que debía desestimarse la petición de los representantes  de</w:t>
        <w:br/>
        <w:t>ampliar el objeto de la demanda. En sus alegatos finales escritos el  Estado</w:t>
        <w:br/>
        <w:t>“reiter[ó] la posición […] en el sentido de  allanarse  a  las  pretensiones</w:t>
        <w:br/>
        <w:t>[…] en cuanto a declarar  violentados  […]  los  artículos  8  y  25  de  la</w:t>
        <w:br/>
        <w:t>Convención”, sin hacer más referencia  a  argumentaciones  que  pretendieran</w:t>
        <w:br/>
        <w:t>limitar la competencia de la Corte al respecto, y reiteró que  Guatemala  en</w:t>
        <w:br/>
        <w:t>tres oportunidades ha  manifestado  su  “reconocimiento  de  responsabilidad</w:t>
        <w:br/>
        <w:t>institucional.”</w:t>
        <w:br/>
        <w:br/>
        <w:t>23.   En lo que se refiere a las reparaciones,  el  Estado  indicó  que  “se</w:t>
        <w:br/>
        <w:t>comprometió a realizar  diversas  medidas  de  reparación  a  favor  de  las</w:t>
        <w:br/>
        <w:t>[presuntas] víctimas sobrevivientes y de los familiares de las  víctimas  de</w:t>
        <w:br/>
        <w:t>la  Masacre”,  y  agregó  que  se  encontraban  pendientes  de  cumplimiento</w:t>
        <w:br/>
        <w:t>aquellas tendientes a realizar una investigación seria y efectiva, así  como</w:t>
        <w:br/>
        <w:t>brindar la atención médica y psicológica a  las  víctimas  sobrevivientes  y</w:t>
        <w:br/>
        <w:t>los familiares de las personas fallecidas en la masacre.</w:t>
        <w:br/>
        <w:br/>
        <w:t>24.   La Comisión manifestó que tomaba nota  de  la  aceptación  parcial  de</w:t>
        <w:br/>
        <w:t>responsabilidad que realizó Guatemala y la  valoraba  como  una  medida  que</w:t>
        <w:br/>
        <w:t>puede contribuir a la mejor resolución del caso. Sin  embargo,  observó  que</w:t>
        <w:br/>
        <w:t>“tal  aceptación  parcial  de  responsabilidad  difiere  de   la   expresada</w:t>
        <w:br/>
        <w:t>anteriormente en el marco del trámite ante la [Comisión], y  deriva  de  una</w:t>
        <w:br/>
        <w:t>interpretación de los hechos diversa a  la  planteada  en  la  demanda”,  en</w:t>
        <w:br/>
        <w:t>virtud  de  lo  cual  invocó  la  aplicación  del  principio  de   estoppel.</w:t>
        <w:br/>
        <w:t>Asimismo, la Comisión señaló que lo manifestado por el Estado “no altera  la</w:t>
        <w:br/>
        <w:t>conclusión basada en los hechos del caso y en la interpretación del  derecho</w:t>
        <w:br/>
        <w:t>de que la violación de los artículos 8 y 25 de la Convención[,] así como  el</w:t>
        <w:br/>
        <w:t>incumplimiento  de  la  obligación  general  del  artículo  1.1  del   mismo</w:t>
        <w:br/>
        <w:t>instrumento[, ya que] se mantienen hasta  el  presente”.   En  la  audiencia</w:t>
        <w:br/>
        <w:t>pública, la Comisión manifestó que durante el trámite ante ella,  el  Estado</w:t>
        <w:br/>
        <w:t>reconoció su responsabilidad por los hechos ocurridos  en  el  Parcelamiento</w:t>
        <w:br/>
        <w:t>de Las Dos Erres y que tal reconocimiento no  fue  objeto  de  controversia,</w:t>
        <w:br/>
        <w:t>por lo que solicitó a la Corte que tuviera los  hechos  por  establecidos  y</w:t>
        <w:br/>
        <w:t>los incluyera en la sentencia de fondo.</w:t>
        <w:br/>
        <w:br/>
        <w:t>25.   En cuanto a las reparaciones, la Comisión reiteró la  solicitud  a  la</w:t>
        <w:br/>
        <w:t>Corte  de  que  ordene  al  Estado  “completar   en   forma   efectiva   las</w:t>
        <w:br/>
        <w:t>investigaciones[, así como]  adoptar  medidas  de  rehabilitación  para  las</w:t>
        <w:br/>
        <w:t>víctimas[, y] una política de capacitación permanente en derechos humanos  y</w:t>
        <w:br/>
        <w:t>derecho internacional humanitario para el personal de las Fuerzas  Armadas”.</w:t>
        <w:br/>
        <w:br/>
        <w:br/>
        <w:t>26.   Los representantes argumentaron que los  términos  del  reconocimiento</w:t>
        <w:br/>
        <w:t>de  responsabilidad  del  Estado  en  la  contestación  de  demanda  “[eran]</w:t>
        <w:br/>
        <w:t>sumamente confusos, pues entran en una serie de contradicciones”,  debido  a</w:t>
        <w:br/>
        <w:t>que el  Estado  reconoce  que  no  puede  excusarse  de  la  responsabilidad</w:t>
        <w:br/>
        <w:t>relacionada con actos u omisiones de sus  autoridades  judiciales,  pero  al</w:t>
        <w:br/>
        <w:t>mismo tiempo presenta alegatos que pretenden desvirtuar  su  responsabilidad</w:t>
        <w:br/>
        <w:t>por  el  retardo  de  justicia.   Los  representantes  concluyeron  que  las</w:t>
        <w:br/>
        <w:t>manifestaciones contradictorias “impiden  establecer  el  verdadero  alcance</w:t>
        <w:br/>
        <w:t>del reconocimiento de responsabilidad[,] no contribuyen a la  reparación  de</w:t>
        <w:br/>
        <w:t>las [presuntas] víctimas, ni al conocimiento de la sociedad guatemalteca  de</w:t>
        <w:br/>
        <w:t>lo ocurrido a las [presuntas] víctimas de la  Masacre  de  Las  Dos  Erres”.</w:t>
        <w:br/>
        <w:t>Agregaron  que  tal  reconocimiento  “no  permite  que  el  Tribunal  valore</w:t>
        <w:br/>
        <w:t>realmente cuáles han  sido  las  obligaciones  incumplidas  y  los  derechos</w:t>
        <w:br/>
        <w:t>vulnerados por el Estado”.</w:t>
        <w:br/>
        <w:br/>
        <w:t>27.   En lo que se refiere a las reparaciones, los representantes  señalaron</w:t>
        <w:br/>
        <w:t>que es necesario que la Corte ordene  al  Estado  “el  cumplimiento  de  sus</w:t>
        <w:br/>
        <w:t>obligaciones  internacionales  y  proceda  no  sólo  a  indemnizar  el  daño</w:t>
        <w:br/>
        <w:t>causado, sino a tomar una serie de medidas de satisfacción  y  garantías  de</w:t>
        <w:br/>
        <w:t>no repetición de manera que este tipo de violaciones no vuelvan a  ocurrir”,</w:t>
        <w:br/>
        <w:t>y presentaron a la Corte su posición en relación a las medidas con  las  que</w:t>
        <w:br/>
        <w:t>el Estado alega haber reparado los derechos de las presuntas víctimas.</w:t>
        <w:br/>
        <w:br/>
        <w:t>28.   En los términos  de  los  artículos  56.2  y  58  del  Reglamento,  en</w:t>
        <w:br/>
        <w:t>ejercicio de sus poderes de tutela judicial internacional  de  los  derechos</w:t>
        <w:br/>
        <w:t>humanos, la Corte puede determinar si un reconocimiento  de  responsabilidad</w:t>
        <w:br/>
        <w:t>internacional efectuado por un Estado demandado ofrece base  suficiente,  en</w:t>
        <w:br/>
        <w:t>los términos de la Convención Americana, para continuar con el  conocimiento</w:t>
        <w:br/>
        <w:t>del fondo y determinar las eventuales reparaciones  y  costas.   Para  estos</w:t>
        <w:br/>
        <w:t>efectos,  el  Tribunal  analiza  la  situación  planteada   en   cada   caso</w:t>
        <w:br/>
        <w:t>concreto[18].</w:t>
        <w:br/>
        <w:br/>
        <w:t>29.   Además, la Corte observa que la evolución del  sistema  de  protección</w:t>
        <w:br/>
        <w:t>de derechos humanos permite que hoy en día  las  presuntas  víctimas  o  sus</w:t>
        <w:br/>
        <w:t>familiares pueden presentar de manera autónoma su  escrito  de  solicitudes,</w:t>
        <w:br/>
        <w:t>argumentos y pruebas y esgrimir pretensiones coincidentes o no  con  las  de</w:t>
        <w:br/>
        <w:t>la  Comisión.  Cuando  se  presenta  un  allanamiento,  éste  debe  expresar</w:t>
        <w:br/>
        <w:t>claramente si  se  aceptan  también  las  pretensiones  formuladas  por  las</w:t>
        <w:br/>
        <w:t>presuntas víctimas o sus familiares[19].</w:t>
        <w:br/>
        <w:br/>
        <w:t>30.   En consideración de lo señalado por la Comisión y  los  representantes</w:t>
        <w:br/>
        <w:t>en relación con el alcance del reconocimiento de  responsabilidad  efectuado</w:t>
        <w:br/>
        <w:t>por el Estado (supra  párrs.  24  a  27),  esta  Corte  observa  que  en  la</w:t>
        <w:br/>
        <w:t>contestación  de  la   demanda   el   Estado   reconoció   parcialmente   su</w:t>
        <w:br/>
        <w:t>responsabilidad internacional por la violación de los artículos 8  y  25  de</w:t>
        <w:br/>
        <w:t>la Convención, e hizo  algunas  apreciaciones  respecto  a  las  diligencias</w:t>
        <w:br/>
        <w:t>efectuadas para dar cumplimiento con la  investigación  de  la  masacre.  No</w:t>
        <w:br/>
        <w:t>obstante, tanto en la audiencia pública como en  sus  alegatos  finales,  el</w:t>
        <w:br/>
        <w:t>Estado reiteró su posición vertida en dicha contestación, “en el sentido  de</w:t>
        <w:br/>
        <w:t>allanarse a las pretensiones de la Comisión  y  de  los  representantes,  en</w:t>
        <w:br/>
        <w:t>cuanto a declarar violados  únicamente  los  derechos  establecidos  en  los</w:t>
        <w:br/>
        <w:t>artículos 8 y 25 de la [Convención Americana],  en  virtud  de  la  denuncia</w:t>
        <w:br/>
        <w:t>presentada por FAMDEGUA”.</w:t>
        <w:br/>
        <w:br/>
        <w:t>31.   Dado lo anterior, el Tribunal concluye que en el trámite ante éste  el</w:t>
        <w:br/>
        <w:t>Estado circunscribe su reconocimiento de responsabilidad a las  pretensiones</w:t>
        <w:br/>
        <w:t>de la Comisión y de los representantes respecto a la  alegada  violación  de</w:t>
        <w:br/>
        <w:t>los artículos 8.1 (Garantías Judiciales) y 25.1 (Protección Judicial) de  la</w:t>
        <w:br/>
        <w:t>Convención, en relación con el artículo 1.1 de  ese  instrumento,  y  aceptó</w:t>
        <w:br/>
        <w:t>las alegaciones de las partes en relación con dichos derechos.</w:t>
        <w:br/>
        <w:br/>
        <w:t>32.   En lo que se refiere a los hechos de la demanda relacionados  con  las</w:t>
        <w:br/>
        <w:t>alegadas violaciones de los artículos  8.1  y  25.1  de  la  Convención,  en</w:t>
        <w:br/>
        <w:t>relación con el artículo 1.1 de ese tratado, la Corte entiende que  si  bien</w:t>
        <w:br/>
        <w:t>el Estado no realizó una admisión específica de  aquellos  hechos  referidos</w:t>
        <w:br/>
        <w:t>en la demanda, sí admitió aquellos hechos ocurridos a partir del 9 de  marzo</w:t>
        <w:br/>
        <w:t>de 1987 relativos a la denegación de justicia  contenidos  en  los  párrafos</w:t>
        <w:br/>
        <w:t>137 a 282 de la demanda. Lo anterior en virtud de  que  éstos  conforman  el</w:t>
        <w:br/>
        <w:t>marco fáctico de este proceso y no fueron contravertidos por  el  Estado  en</w:t>
        <w:br/>
        <w:t>su allanamiento.</w:t>
        <w:br/>
        <w:br/>
        <w:t>33.   Por otro lado, en la contestación de la demanda el Estado se  opuso  a</w:t>
        <w:br/>
        <w:t>que se ampliara el objeto  de  la  demanda  respecto  a  su  responsabilidad</w:t>
        <w:br/>
        <w:t>internacional por la supuesta violación de los artículos  4  (Derecho  a  la</w:t>
        <w:br/>
        <w:t>Vida), 5 (Derecho a la Integridad Personal), 17 (Derecho a la  Familia),  18</w:t>
        <w:br/>
        <w:t>(Derecho al Nombre) y 19 (Derechos del Niño) de la Convención, alegados  por</w:t>
        <w:br/>
        <w:t>los representantes, por considerar que los hechos y pretensiones  ya  fueron</w:t>
        <w:br/>
        <w:t>objeto de acuerdo de solución amistosa y porque se encuentran  fuera  de  la</w:t>
        <w:br/>
        <w:t>competencia  del  Tribunal.   El   Estado   basa   esta   posición   en   el</w:t>
        <w:br/>
        <w:t>reconocimiento de responsabilidad internacional realizado el día 1 de  abril</w:t>
        <w:br/>
        <w:t>de 2000 por los hechos de la masacre ocurridos los días 6 a 8  de  diciembre</w:t>
        <w:br/>
        <w:t>de 1982 en el Parcelamiento de  Las  Dos  Erres  y  por  las  violaciones  a</w:t>
        <w:br/>
        <w:t>diversos artículos de la Convención.</w:t>
        <w:br/>
        <w:br/>
        <w:t>34.   De otra parte, en cuanto a los hechos  relacionados  con  la  supuesta</w:t>
        <w:br/>
        <w:t>violación de los artículos 4,  5,  17,  18  y  19  de  la  Convención,  este</w:t>
        <w:br/>
        <w:t>Tribunal observa que el Estado ni  admitió  ni  desvirtuó  expresamente  los</w:t>
        <w:br/>
        <w:t>hechos  contenidos  en  la  demanda  que  dan  sustento   a   las   alegadas</w:t>
        <w:br/>
        <w:t>violaciones, sino que simplemente alegó razones de  competencia,  a  fin  de</w:t>
        <w:br/>
        <w:t>que el Tribunal no entre  a  analizar  los  referidos  hechos,  por  lo  que</w:t>
        <w:br/>
        <w:t>interpuso una excepción preliminar al respecto.  En razón de esto, la  Corte</w:t>
        <w:br/>
        <w:t>resolverá esta cuestión al momento de pronunciarse respecto a  la  excepción</w:t>
        <w:br/>
        <w:t>preliminar interpuesta (infra párr. 51).</w:t>
        <w:br/>
        <w:br/>
        <w:t>35.   En cuanto a las pretensiones de derecho, si bien el Estado  se  allanó</w:t>
        <w:br/>
        <w:t>respecto a  la  alegada  violación  de  los  artículos  8.1  y  25.1  de  la</w:t>
        <w:br/>
        <w:t>Convención, el Estado, como se indicó, interpuso  una  excepción  preliminar</w:t>
        <w:br/>
        <w:t>ratione temporis respecto a las presuntas violaciones de  los  artículos  4,</w:t>
        <w:br/>
        <w:t>5, 17, 18 y 19 de la Convención alegadas por los representantes. Esta  Corte</w:t>
        <w:br/>
        <w:t>considera que para determinar o  no  la  existencia  de  controversia  sobre</w:t>
        <w:br/>
        <w:t>dichas pretensiones, deberá tomar  en  cuenta  lo  que  se  resuelva  en  la</w:t>
        <w:br/>
        <w:t>referida excepción preliminar (infra párr. 51).</w:t>
        <w:br/>
        <w:br/>
        <w:t>36.   De conformidad con lo expuesto anteriormente y  en  consideración  del</w:t>
        <w:br/>
        <w:t>reconocimiento de responsabilidad efectuado por  el  Estado  en  el  trámite</w:t>
        <w:br/>
        <w:t>ante la Corte, este Tribunal concluye que si  bien  el  Estado  admitió  los</w:t>
        <w:br/>
        <w:t>hechos relacionados con la denegación de justicia de la demanda y se  allanó</w:t>
        <w:br/>
        <w:t>a la presunta violación de los artículos 8.1 y 25.1 de la  Convención,  dada</w:t>
        <w:br/>
        <w:t>la gravedad de los hechos y de las violaciones reconocidas  por  el  Estado,</w:t>
        <w:br/>
        <w:t>considera necesario hacer algunas precisiones sobre la determinación de  los</w:t>
        <w:br/>
        <w:t>hechos ocurridos, así como sobre la falta de investigación e  impunidad  que</w:t>
        <w:br/>
        <w:t>persiste  en  este  caso   (infra   capítulo   VIII).    Estas   precisiones</w:t>
        <w:br/>
        <w:t>contribuirán al desarrollo de la jurisprudencia sobre  la  materia  y  a  la</w:t>
        <w:br/>
        <w:t>correspondiente tutela de derechos humanos de las presuntas víctimas  en  el</w:t>
        <w:br/>
        <w:t>presente caso. Asimismo, los representantes alegaron las violaciones de  los</w:t>
        <w:br/>
        <w:t>artículos 2 y 13 de la Convención, las cuales serán examinadas por la  Corte</w:t>
        <w:br/>
        <w:t>en el fondo de la presente Sentencia (infra capítulo VIII).</w:t>
        <w:br/>
        <w:br/>
        <w:t>37.   Por último, en lo que se refiere a las reparaciones, la Corte  observa</w:t>
        <w:br/>
        <w:t>que el 1 de abril de  2000  los  representantes  y  el  Estado,  durante  el</w:t>
        <w:br/>
        <w:t>trámite ante la Comisión, suscribieron un acuerdo en el cual  el  Estado  se</w:t>
        <w:br/>
        <w:t>comprometió a ejecutar diversas medidas de reparación.  Adicionalmente,  con</w:t>
        <w:br/>
        <w:t>posterioridad  al  acuerdo  de  solución  amistosa[20],  el  Estado  y   los</w:t>
        <w:br/>
        <w:t>representantes  firmaron  un  “Acuerdo  Sobre  Reparación  Económica”  y  un</w:t>
        <w:br/>
        <w:t>“Acuerdo Sobre la Divulgación del Video”.  En  ese  sentido,  este  Tribunal</w:t>
        <w:br/>
        <w:t>constata que el Estado ha realizado una serie de acciones y/o  medidas  para</w:t>
        <w:br/>
        <w:t>implementar sus compromisos adquiridos en dichos acuerdos, respecto  de  los</w:t>
        <w:br/>
        <w:t>cuales los representantes han  manifestado  discrepancias  en  cuanto  a  la</w:t>
        <w:br/>
        <w:t>forma en que han sido implementadas por el Estado.  A este respecto,  en  el</w:t>
        <w:br/>
        <w:t>marco del caso sometido a la Corte y vistas las alegaciones  planteadas  por</w:t>
        <w:br/>
        <w:t>las  partes  en  lo  referente  a  la  determinación   de   las   eventuales</w:t>
        <w:br/>
        <w:t>reparaciones, el Tribunal considera que subsiste  la  controversia,  por  lo</w:t>
        <w:br/>
        <w:t>cual determinará, en el capítulo correspondiente, las  medidas  reparatorias</w:t>
        <w:br/>
        <w:t>que  sean  adecuadas  para  el  presente  caso,  teniendo  en   cuenta   las</w:t>
        <w:br/>
        <w:t>solicitudes de los  representantes  y  la  Comisión  y  los  estándares  del</w:t>
        <w:br/>
        <w:t>sistema de protección interamericano de derechos humanos en esa materia.</w:t>
        <w:br/>
        <w:br/>
        <w:t>38.   Este Tribunal considera que  la  actitud  del  Estado  constituye  una</w:t>
        <w:br/>
        <w:t>contribución positiva al desarrollo de este proceso, al buen despacho de  la</w:t>
        <w:br/>
        <w:t>jurisdicción interamericana de  derechos  humanos,  a  la  vigencia  de  los</w:t>
        <w:br/>
        <w:t>principios que inspiran la Convención Americana y a la  conducta  a  la  que</w:t>
        <w:br/>
        <w:t>están  obligados  los  Estados  en  esta  materia[21],  en  virtud  de   los</w:t>
        <w:br/>
        <w:t>compromisos que asumen como parte en los instrumentos internacionales  sobre</w:t>
        <w:br/>
        <w:t>derechos humanos.</w:t>
        <w:br/>
        <w:br/>
        <w:br/>
        <w:br/>
        <w:t xml:space="preserve">                                      V</w:t>
        <w:br/>
        <w:br/>
        <w:br/>
        <w:t xml:space="preserve">                    Excepción Preliminar ratione temporis</w:t>
        <w:br/>
        <w:br/>
        <w:br/>
        <w:br/>
        <w:t>39.   El Estado interpuso la excepción ratione temporis  en  virtud  de  que</w:t>
        <w:br/>
        <w:t>consideró que las alegaciones hechas por  la  Comisión  en  la  demanda  son</w:t>
        <w:br/>
        <w:t>susceptibles de ser conocidas por la Corte, las presuntas violaciones a  los</w:t>
        <w:br/>
        <w:t>derechos contenidos en los artículos 4 (Derecho a la Vida), 5 (Derecho a  la</w:t>
        <w:br/>
        <w:t>Integridad Personal), 17 (Derecho a la Familia), 18 (Derecho  al  Nombre)  y</w:t>
        <w:br/>
        <w:t>19 (Derechos del Niño) de la Convención alegados por los  representantes  en</w:t>
        <w:br/>
        <w:t>su escrito de solicitudes y argumentos ocurrieron, entre los días 6 y  8  de</w:t>
        <w:br/>
        <w:t>diciembre de 1982, por lo que no son susceptibles de ser  conocidos  por  la</w:t>
        <w:br/>
        <w:t>Corte, en virtud de que Guatemala reconoció la jurisdicción contenciosa  del</w:t>
        <w:br/>
        <w:t>Tribunal recién el 9 de marzo de 1987. En distintas oportunidades el  Estado</w:t>
        <w:br/>
        <w:t>reiteró su solicitud de que  se  declarase  la  incompetencia  de  la  Corte</w:t>
        <w:br/>
        <w:t>respecto  de  las  alegadas  violaciones   por   la   excepción   preliminar</w:t>
        <w:br/>
        <w:t>interpuesta.</w:t>
        <w:br/>
        <w:br/>
        <w:t>40.   La Comisión consideró  que  “dada  la  naturaleza  y  alcance  de  los</w:t>
        <w:br/>
        <w:t>argumentos de hecho y de derecho contenidos en el escrito de demanda, no  le</w:t>
        <w:br/>
        <w:t>corresponde formular observaciones a la excepción preliminar  planteada  por</w:t>
        <w:br/>
        <w:t>el […] Estado”. Durante la audiencia pública  la  Comisión  añadió  que  los</w:t>
        <w:br/>
        <w:t>hechos que planteó en la demanda para conocimiento de la Corte son  aquellos</w:t>
        <w:br/>
        <w:t>que se refieren a la investigación a partir del  14  de  junio  de  1994,  y</w:t>
        <w:br/>
        <w:t>aclaró que no se puede prescindir de los hechos  anteriores,  en  virtud  de</w:t>
        <w:br/>
        <w:t>que  la  gravedad  de  los  mismos  permite  determinar  el  alcance  de  la</w:t>
        <w:br/>
        <w:t>obligación de investigar en este caso.</w:t>
        <w:br/>
        <w:br/>
        <w:t>41.   Los representantes alegaron, en relación a las  presuntas  violaciones</w:t>
        <w:br/>
        <w:t>de los artículos  4  (Derecho  a  la  Vida),  5  (Derecho  a  la  Integridad</w:t>
        <w:br/>
        <w:t>Personal), 17 (Derecho a la Familia), 18 (Derecho al Nombre) y 19  (Derechos</w:t>
        <w:br/>
        <w:t>del Niño) de la Convención, que la “Corte es  competente  para  pronunciarse</w:t>
        <w:br/>
        <w:t>sobre aquellos hechos violatorios, que si bien comenzaron  a  ocurrir  antes</w:t>
        <w:br/>
        <w:t>[de que el Estado reconociera la competencia contenciosa del  Tribunal,]  se</w:t>
        <w:br/>
        <w:t>prolongaron en el tiempo  aún  después  de  esa  fecha  [u]  ocurrieron  con</w:t>
        <w:br/>
        <w:t>posterioridad a la misma”. Durante la audiencia pública y en su  escrito  de</w:t>
        <w:br/>
        <w:t>alegatos finales, los representantes  aclararon  que  no  solicitaban  a  la</w:t>
        <w:br/>
        <w:t>Corte que extendiera su competencia hasta el año 1982, sino que  tuviera  en</w:t>
        <w:br/>
        <w:t>cuenta tales hechos a fin  de  determinar  las  obligaciones  que  tiene  el</w:t>
        <w:br/>
        <w:t>Estado respecto a dichos derechos, después del 9 de marzo de 1987.</w:t>
        <w:br/>
        <w:br/>
        <w:t>42.   En lo que se refiere a las presuntas violaciones  a  los  artículos  4</w:t>
        <w:br/>
        <w:t>(Derecho  a  la  Vida)  y  5  (Derecho  a  la  Integridad  Personal)  de  la</w:t>
        <w:br/>
        <w:t>Convención, los representantes argumentaron que el Estado es responsable  de</w:t>
        <w:br/>
        <w:t>la falta de investigación y la consecuente violación al deber de  garantizar</w:t>
        <w:br/>
        <w:t>los derechos a la vida e integridad de las personas que fueron torturadas  y</w:t>
        <w:br/>
        <w:t>ejecutadas durante  la  masacre,  y  el  derecho  a  la  integridad  de  los</w:t>
        <w:br/>
        <w:t>sobrevivientes.</w:t>
        <w:br/>
        <w:br/>
        <w:t>43.   Además, en relación a los dos  niños  sobrevivientes  de  la  masacre,</w:t>
        <w:br/>
        <w:t>Ramiro Antonio Osorio Cristales (en adelante “Ramiro  Osorio  Cristales”)  y</w:t>
        <w:br/>
        <w:t>Salomé Armando Gómez Hernández (en adelante “Salomé Gómez  Hernández”),  los</w:t>
        <w:br/>
        <w:t>representantes argumentaron que la Corte es competente para  conocer  acerca</w:t>
        <w:br/>
        <w:t>de la presunta violación  del  artículo  19  (Derechos  del  Niño),  por  el</w:t>
        <w:br/>
        <w:t>incumplimiento del Estado de su obligación de brindar medidas de  protección</w:t>
        <w:br/>
        <w:t>especial por su condición de niños; así como en el  caso  de  Ramiro  Osorio</w:t>
        <w:br/>
        <w:t>Cristales también de las presuntas violaciones de los artículos 17  (Derecho</w:t>
        <w:br/>
        <w:t>a la Familia) y 18 (Derecho al Nombre) por estar separado de  su  familia  y</w:t>
        <w:br/>
        <w:t>con otro nombre del que le dieron sus padres.</w:t>
        <w:br/>
        <w:br/>
        <w:t>44.   La Corte, como todo órgano con funciones  jurisdiccionales,  tiene  el</w:t>
        <w:br/>
        <w:t>poder inherente a sus atribuciones de determinar el  alcance  de  su  propia</w:t>
        <w:br/>
        <w:t>competencia   (compétence   de   la   compétence).   Los   instrumentos   de</w:t>
        <w:br/>
        <w:t>reconocimiento de la cláusula facultativa  de  la  jurisdicción  obligatoria</w:t>
        <w:br/>
        <w:t>(artículo 62.1 de la Convención) presuponen la  admisión,  por  los  Estados</w:t>
        <w:br/>
        <w:t>que la presentan, del derecho de la Corte a resolver cualquier  controversia</w:t>
        <w:br/>
        <w:t>relativa a  su  jurisdicción.  Para  determinar  el  alcance  de  su  propia</w:t>
        <w:br/>
        <w:t>competencia,  debe  tomar  en  cuenta   exclusivamente   el   principio   de</w:t>
        <w:br/>
        <w:t>irretroactividad de los tratados establecido  en  el  derecho  internacional</w:t>
        <w:br/>
        <w:t>general y recogido en el artículo 28[22] de la Convención de Viena sobre  el</w:t>
        <w:br/>
        <w:t>Derecho de los Tratados de 1969[23].</w:t>
        <w:br/>
        <w:br/>
        <w:t>45.   Guatemala reconoció la competencia contenciosa de la  Corte  el  9  de</w:t>
        <w:br/>
        <w:t>marzo  de  1987  y  en  su  declaración  indicó  que  el  Tribunal   tendría</w:t>
        <w:br/>
        <w:t>competencia  para  los  “casos  acaecidos   con   posterioridad”   a   dicho</w:t>
        <w:br/>
        <w:t>reconocimiento[24].  Con  base  en  lo  anterior  y  en  el   principio   de</w:t>
        <w:br/>
        <w:t>irretroactividad, la Corte no puede ejercer su competencia contenciosa  para</w:t>
        <w:br/>
        <w:t>aplicar la Convención y declarar una violación a sus normas  sobre  aquellos</w:t>
        <w:br/>
        <w:t>hechos  acaecidos  o  la  conducta   estatal   que   pudiera   implicar   su</w:t>
        <w:br/>
        <w:t>responsabilidad internacional cuando son anteriores al reconocimiento de  la</w:t>
        <w:br/>
        <w:t>competencia del Tribunal[25]. En ese sentido, esta Corte ha considerado  que</w:t>
        <w:br/>
        <w:t>“el  Tribunal  es  competente  para  pronunciarse  sobre   aquellos   hechos</w:t>
        <w:br/>
        <w:t>violatorios que ocurrieron con posterioridad a la fecha  en  que  el  Estado</w:t>
        <w:br/>
        <w:t>reconoció la competencia de la Corte o que a tal fecha no  hayan  dejado  de</w:t>
        <w:br/>
        <w:t>existir”[26].</w:t>
        <w:br/>
        <w:br/>
        <w:t>46.   Establecido lo anterior, corresponde al Tribunal determinar  si  puede</w:t>
        <w:br/>
        <w:t>conocer  los  hechos  que  fundamentan  las  violaciones  a  la  Convención,</w:t>
        <w:br/>
        <w:t>alegadas por los representantes en el presente caso, a saber:  a)  la  falta</w:t>
        <w:br/>
        <w:t>de la investigación de la muerte de las personas fallecidas  en  la  masacre</w:t>
        <w:br/>
        <w:t>con posterioridad al 9 de  marzo  de  1987,  hechos  que  constituirían  una</w:t>
        <w:br/>
        <w:t>violación a los artículos 4 y 5 de la Convención en su  vertiente  procesal,</w:t>
        <w:br/>
        <w:t>y b) en el caso de Ramiro Osorio Cristales, estar separado de su  familia  y</w:t>
        <w:br/>
        <w:t>con otro nombre al que era el suyo, con  posterioridad  al  9  de  marzo  de</w:t>
        <w:br/>
        <w:t>1987, lo cual constituiría una violación a los  artículos  17  y  18  de  la</w:t>
        <w:br/>
        <w:t>Convención  Americana,  así  como  el  incumplimiento  de  las  medidas   de</w:t>
        <w:br/>
        <w:t>protección  a  Ramiro  Osorio  Cristales  y  Salomé  Gómez  Hernández,   con</w:t>
        <w:br/>
        <w:t>posterioridad al 9 de marzo de 1987, lo cual constituiría una  violación  al</w:t>
        <w:br/>
        <w:t>artículo 19 de la Convención.</w:t>
        <w:br/>
        <w:br/>
        <w:t>47.   La Corte observa que durante el  trámite  ante  la  misma,  el  Estado</w:t>
        <w:br/>
        <w:t>argumentó el límite a la competencia del  Tribunal  reconociendo  únicamente</w:t>
        <w:br/>
        <w:t>las presuntas violaciones señaladas por la Comisión, al considerar  que  las</w:t>
        <w:br/>
        <w:t>violaciones alegadas por los representantes se  basan  en  hechos  ocurridos</w:t>
        <w:br/>
        <w:t>con anterioridad al reconocimiento  de  la  competencia  contenciosa  de  la</w:t>
        <w:br/>
        <w:t>Corte.  Al respecto, el Tribunal  estima  que  al  Estado  le  asiste  razón</w:t>
        <w:br/>
        <w:t>cuando señala que la Corte no puede conocer de  los  hechos  propios  de  la</w:t>
        <w:br/>
        <w:t>masacre,  en  virtud  de  que  efectivamente  se  encuentran  fuera  de   la</w:t>
        <w:br/>
        <w:t>competencia del Tribunal. No obstante, la Corte  nota  que  las  violaciones</w:t>
        <w:br/>
        <w:t>alegadas por los representantes no se fundamentan en los hechos  propios  de</w:t>
        <w:br/>
        <w:t>la masacre,  sino  en  aquellos  que  presuntamente  han  tenido  lugar  con</w:t>
        <w:br/>
        <w:t>posterioridad al 9 de marzo de 1987, fecha en que  el  Estado  reconoció  la</w:t>
        <w:br/>
        <w:t>competencia contenciosa de la Corte. En razón de lo  anterior,  el  Tribunal</w:t>
        <w:br/>
        <w:t>sólo se pronunciará respecto de  aquellos  hechos  que  presuntamente  hayan</w:t>
        <w:br/>
        <w:t>tenido lugar después del reconocimiento de la  competencia  contenciosa  del</w:t>
        <w:br/>
        <w:t>Tribunal, o que a tal fecha no han dejado de existir.</w:t>
        <w:br/>
        <w:br/>
        <w:t>48.   La Corte tiene competencia para analizar los hechos que se refieren  a</w:t>
        <w:br/>
        <w:t>la presunta denegación de justicia  a  la  luz  de  la  obligación  procesal</w:t>
        <w:br/>
        <w:t>derivada del deber de garantía  emanada  de  los  artículos  4  y  5  de  la</w:t>
        <w:br/>
        <w:t>Convención, en relación con el artículo 1.1 de  dicho  instrumento,  ya  que</w:t>
        <w:br/>
        <w:t>los  representantes  fundan  las  alegadas  violaciones  en  hechos  que  se</w:t>
        <w:br/>
        <w:t>encuentran dentro de la competencia temporal del Tribunal.</w:t>
        <w:br/>
        <w:br/>
        <w:t>49.   La Corte considera que la  obligación  de  investigar  del  Estado  se</w:t>
        <w:br/>
        <w:t>genera a favor de los titulares del derecho  consagrado  en  el  artículo  4</w:t>
        <w:br/>
        <w:t>(Derecho a la Vida) leído en conjunto con el artículo 1.1 de la  Convención,</w:t>
        <w:br/>
        <w:t>lo cual es aplicable al artículo 5 (Derecho a la Integridad Personal) de  la</w:t>
        <w:br/>
        <w:t>Convención, siendo en  este  caso  las  víctimas  mortales  de  la  masacre,</w:t>
        <w:br/>
        <w:t>quienes no han sido determinadas como presuntas víctimas  (supra  párr.  21)</w:t>
        <w:br/>
        <w:t>de este caso. Por lo tanto, la Corte  no  se  pronunciará  respecto  de  las</w:t>
        <w:br/>
        <w:t>presuntas violaciones de dichos artículos, en  cuanto  a  la  obligación  de</w:t>
        <w:br/>
        <w:t>garantía. Sin embargo, la Corte examinará la alegada violación del  artículo</w:t>
        <w:br/>
        <w:t>5 (Derecho a la Integridad Personal) de la  Convención  por  el  sufrimiento</w:t>
        <w:br/>
        <w:t>causado a raíz de la supuesta impunidad, en perjuicio de las  155  presuntas</w:t>
        <w:br/>
        <w:t>víctimas que  son  familiares  de  las  personas  ejecutadas,  así  como  en</w:t>
        <w:br/>
        <w:t>relación  al  sufrimiento   adicional   que   padecieron   los   dos   niños</w:t>
        <w:br/>
        <w:t>sobrevivientes.</w:t>
        <w:br/>
        <w:br/>
        <w:t>50.   En relación a la competencia del Tribunal respecto  de  las  supuestas</w:t>
        <w:br/>
        <w:t>violaciones a los artículos 17  (Derecho  a  la  Familia),  18  (Derecho  al</w:t>
        <w:br/>
        <w:t>Nombre) y 19 (Derechos del Niño) de la Convención, la Corte observa que  los</w:t>
        <w:br/>
        <w:t>hechos en los cuáles los representantes fundan las  mencionadas  violaciones</w:t>
        <w:br/>
        <w:t>se  refieren  a  la  situación   que   presuntamente   sufrieron   los   dos</w:t>
        <w:br/>
        <w:t>sobrevivientes de la masacre al no  haber  obtenido  medidas  especiales  de</w:t>
        <w:br/>
        <w:t>protección y, en el caso  de  Ramiro  Osorio  Cristales,  por  haber  estado</w:t>
        <w:br/>
        <w:t>separado de su familia y con otro nombre. Tal situación  se  mantuvo,  hasta</w:t>
        <w:br/>
        <w:t>que ambos niños alcanzaron la mayoría de edad y Ramiro Osorio  Cristales  se</w:t>
        <w:br/>
        <w:t>reencontró con su familia biológica en el año 1999 y recuperó su  nombre  el</w:t>
        <w:br/>
        <w:t>día 15 de mayo de 2002. Por  lo  tanto,  el  Tribunal  considera  que  tiene</w:t>
        <w:br/>
        <w:t>competencia en razón del tiempo para conocer de tal situación a  partir  del</w:t>
        <w:br/>
        <w:t>9 de marzo de 1987, fecha en que el Estado reconoció la  competencia  de  la</w:t>
        <w:br/>
        <w:t>Corte.</w:t>
        <w:br/>
        <w:br/>
        <w:t>51.    Este Tribunal considera que se mantiene la controversia  y  tiene  la</w:t>
        <w:br/>
        <w:t>competencia para conocer los hechos  y  las  presuntas  violaciones  de  los</w:t>
        <w:br/>
        <w:t>artículos 5, 17, 18, y 19 de la Convención, por lo que rechaza  parcialmente</w:t>
        <w:br/>
        <w:t>la  excepción  preliminar  interpuesta  por  el  Estado,  en  los   términos</w:t>
        <w:br/>
        <w:t>señalados en los párrafos 44 a 50 de esta Sentencia. En  consecuencia,  este</w:t>
        <w:br/>
        <w:t>Tribunal examinará, y en su caso determinará las  presuntas  violaciones  de</w:t>
        <w:br/>
        <w:t>dichos derechos en los capítulos IX y X de la presente Sentencia.</w:t>
        <w:br/>
        <w:br/>
        <w:br/>
        <w:br/>
        <w:t xml:space="preserve">                                     VI</w:t>
        <w:br/>
        <w:br/>
        <w:br/>
        <w:t xml:space="preserve">                                 competencia</w:t>
        <w:br/>
        <w:br/>
        <w:br/>
        <w:br/>
        <w:br/>
        <w:br/>
        <w:t>52.   Guatemala es Estado Parte en la Convención Americana desde  el  25  de</w:t>
        <w:br/>
        <w:t>mayo de 1978 y reconoció la competencia contenciosa de  la  Corte  el  9  de</w:t>
        <w:br/>
        <w:t>marzo de 1987.</w:t>
        <w:br/>
        <w:br/>
        <w:t>53.   El Estado  ratificó  la  Convención  Interamericana  para  Prevenir  y</w:t>
        <w:br/>
        <w:t>Sancionar la Tortura el 29 de enero de 1987 y la  Convención  Interamericana</w:t>
        <w:br/>
        <w:t>para Prevenir, Sancionar y Erradicar la violencia contra la Mujer  el  4  de</w:t>
        <w:br/>
        <w:t>abril de 1995.</w:t>
        <w:br/>
        <w:br/>
        <w:t>54.   En sus alegatos finales, el Estado  cuestionó  la  competencia  de  la</w:t>
        <w:br/>
        <w:t>Corte para conocer de la presunta violación de los artículos 1, 6 y 8 de  la</w:t>
        <w:br/>
        <w:t xml:space="preserve"> CIPST y el artículo 7.b) de la  Convención  de  Belem  do  Pará.  La  Corte</w:t>
        <w:br/>
        <w:t>considera, como lo ha manifestado en otras ocasiones[27], que es  competente</w:t>
        <w:br/>
        <w:t>para pronunciarse respecto de las obligaciones que se encuentran  pendientes</w:t>
        <w:br/>
        <w:t>al  momento  de  la  ratificación  de  dichos  instrumentos,  como  son  las</w:t>
        <w:br/>
        <w:t>presuntas omisiones derivadas de la falta de investigación.</w:t>
        <w:br/>
        <w:br/>
        <w:br/>
        <w:br/>
        <w:br/>
        <w:br/>
        <w:t xml:space="preserve">                                     VII</w:t>
        <w:br/>
        <w:br/>
        <w:br/>
        <w:t xml:space="preserve">                                   Prueba</w:t>
        <w:br/>
        <w:br/>
        <w:br/>
        <w:br/>
        <w:t>55.   Con base en lo establecido en los artículos 46 y  47  del  Reglamento,</w:t>
        <w:br/>
        <w:t>así como en la jurisprudencia del  Tribunal  respecto  de  la  prueba  y  su</w:t>
        <w:br/>
        <w:t>apreciación[28], la Corte procederá  a  examinar  y  valorar  los  elementos</w:t>
        <w:br/>
        <w:t>probatorios documentales remitidos por las partes en diversas  oportunidades</w:t>
        <w:br/>
        <w:t>procesales, así como las declaraciones rendidas  mediante  affidávit  y  las</w:t>
        <w:br/>
        <w:t>recibidas en audiencia pública. Para ello, el  Tribunal  se  atendrá  a  los</w:t>
        <w:br/>
        <w:t>principios de la sana crítica, dentro del marco legal correspondiente[29].</w:t>
        <w:br/>
        <w:br/>
        <w:br/>
        <w:t xml:space="preserve">          Prueba testimonial y pericial</w:t>
        <w:br/>
        <w:br/>
        <w:br/>
        <w:t>56.   Fueron recibidas las declaraciones  rendidas  ante  fedatario  público</w:t>
        <w:br/>
        <w:t>(affidávit) por los siguientes declarantes y peritos:</w:t>
        <w:br/>
        <w:br/>
        <w:t xml:space="preserve">   a)  Amílcar  Salazar  Castillo.  Presunta  víctima.  Propuesto  por   los</w:t>
        <w:br/>
        <w:t xml:space="preserve">      representantes. Declaró sobre las investigaciones de los hechos de  la</w:t>
        <w:br/>
        <w:t xml:space="preserve">      masacre y la respuesta de las autoridades; las  consecuencias  que  ha</w:t>
        <w:br/>
        <w:t xml:space="preserve">      tenido en él y en otros  familiares  de  víctimas  de  la  masacre  la</w:t>
        <w:br/>
        <w:t xml:space="preserve">      supuesta falta de justicia, y  las  medidas  que  debería  adoptar  el</w:t>
        <w:br/>
        <w:t xml:space="preserve">      Estado para la reparación de las supuestas violaciones a sus derechos;</w:t>
        <w:br/>
        <w:t xml:space="preserve">   b)   Francisco  Arreaga  Alonzo.  Presunta  víctima.  Propuesto  por  los</w:t>
        <w:br/>
        <w:t xml:space="preserve">      representantes. Declaró sobre las investigaciones de los hechos de  la</w:t>
        <w:br/>
        <w:t xml:space="preserve">      masacre y la respuesta de las autoridades; las  consecuencias  que  ha</w:t>
        <w:br/>
        <w:t xml:space="preserve">      tenido en él y en otros  familiares  de  víctimas  de  la  masacre  la</w:t>
        <w:br/>
        <w:t xml:space="preserve">      supuesta falta de justicia, y  las  medidas  que  debería  adoptar  el</w:t>
        <w:br/>
        <w:t xml:space="preserve">      Estado para la reparación de las supuestas violaciones a sus derechos;</w:t>
        <w:br/>
        <w:t xml:space="preserve">   c) Marco Antonio Garavito Fernández. Director de la Liga Guatemalteca  de</w:t>
        <w:br/>
        <w:t xml:space="preserve">      Higiene Mental. Perito propuesto por los representantes. Declaró sobre</w:t>
        <w:br/>
        <w:t xml:space="preserve">      los efectos que la separación de sus familias y la  alteración  de  su</w:t>
        <w:br/>
        <w:t xml:space="preserve">      identidad tiene en los niños “desaparecidos”, así como las medidas que</w:t>
        <w:br/>
        <w:t xml:space="preserve">      el Estado debería adoptar para hacer frente a este fenómeno, y</w:t>
        <w:br/>
        <w:t xml:space="preserve">   d) Nieves Gómez Dupuis.  Coordinadora  de  un  programa  de  intervención</w:t>
        <w:br/>
        <w:t xml:space="preserve">      psicosocial  en  víctimas  de  tortura  en  el  Equipo   de   Estudios</w:t>
        <w:br/>
        <w:t xml:space="preserve">      Comunitarios  y  de  Acción  Psicosocial.  Perito  propuesta  por  los</w:t>
        <w:br/>
        <w:t xml:space="preserve">      representantes. Declaró  sobre  los  efectos  que  ha  tenido  en  las</w:t>
        <w:br/>
        <w:t xml:space="preserve">      presuntas víctimas sobrevivientes de la Masacre de Las Dos Erres y  en</w:t>
        <w:br/>
        <w:t xml:space="preserve">      los familiares de las personas fallecidas en la  masacre  la  supuesta</w:t>
        <w:br/>
        <w:t xml:space="preserve">      falta de justicia y verdad a través de los años, y las características</w:t>
        <w:br/>
        <w:t xml:space="preserve">      que debe tener un programa adecuado de atención psicológica.</w:t>
        <w:br/>
        <w:br/>
        <w:t>57.   En cuanto a la prueba rendida en audiencia pública, la  Corte  escuchó</w:t>
        <w:br/>
        <w:t>las declaraciones de las siguientes personas:</w:t>
        <w:br/>
        <w:br/>
        <w:t xml:space="preserve">      a)    Ramiro Antonio Osorio Cristales. Presunta víctima. Propuesto por</w:t>
        <w:br/>
        <w:t xml:space="preserve">      los representantes. Declaró sobre las condiciones  en  las  que  vivió</w:t>
        <w:br/>
        <w:t xml:space="preserve">      como consecuencia de su  alegada  sustracción  por  el  Kaibil  Santos</w:t>
        <w:br/>
        <w:t xml:space="preserve">      López;  las  circunstancias  en  que  se  reencontró  con  su  familia</w:t>
        <w:br/>
        <w:t xml:space="preserve">      biológica; las investigaciones de  los  hechos  de  la  masacre  y  la</w:t>
        <w:br/>
        <w:t xml:space="preserve">      respuesta de las autoridades;  las  consecuencias  que  ha  tenido  la</w:t>
        <w:br/>
        <w:t xml:space="preserve">      supuesta falta de justicia, y  las  medidas  que  debería  adoptar  el</w:t>
        <w:br/>
        <w:t xml:space="preserve">      Estado para la reparación de las supuestas violaciones a sus derechos;</w:t>
        <w:br/>
        <w:t xml:space="preserve">      b)    Felicita Herenia Romero Ramírez. Presunta víctima. Propuesta por</w:t>
        <w:br/>
        <w:t xml:space="preserve">      los representantes. Declaró sobre las investigaciones de los hechos de</w:t>
        <w:br/>
        <w:t xml:space="preserve">      la masacre y la respuesta de las autoridades; las consecuencias que ha</w:t>
        <w:br/>
        <w:t xml:space="preserve">      tenido en ella y en otros  familiares  de  presuntas  víctimas  de  la</w:t>
        <w:br/>
        <w:t xml:space="preserve">      masacre la supuesta falta de  justicia,  y  las  medidas  que  debería</w:t>
        <w:br/>
        <w:t xml:space="preserve">      adoptar el Estado para la reparación de las  supuestas  violaciones  a</w:t>
        <w:br/>
        <w:t xml:space="preserve">      sus derechos;</w:t>
        <w:br/>
        <w:t xml:space="preserve">      c)    Edgar Fernando Pérez  Archila.  Abogado  de  los  representantes</w:t>
        <w:br/>
        <w:t xml:space="preserve">      desde el año 2000. Testigo propuesto por los  representantes.  Declaró</w:t>
        <w:br/>
        <w:t xml:space="preserve">      sobre los supuestos obstáculos encontrados en la obtención de justicia</w:t>
        <w:br/>
        <w:t xml:space="preserve">      en el caso de la Masacre de Las Dos Erres y sus causas, así  como  los</w:t>
        <w:br/>
        <w:t xml:space="preserve">      supuestos obstáculos encontrados en otros casos similares en  los  que</w:t>
        <w:br/>
        <w:t xml:space="preserve">      participa como abogado;</w:t>
        <w:br/>
        <w:t xml:space="preserve">      d)    Carlos Manuel Garrido. Profesor Titular de Derecho Penal  en  la</w:t>
        <w:br/>
        <w:t xml:space="preserve">      Universidad  Nacional  de  la   Plata,   Fiscal   de   Investigaciones</w:t>
        <w:br/>
        <w:t xml:space="preserve">      Administrativas  y  Experto  de  la  Misión  de  Naciones  Unidas   en</w:t>
        <w:br/>
        <w:t xml:space="preserve">      Guatemala.  Perito  propuesto  por  la  Comisión.  Declaró  sobre   la</w:t>
        <w:br/>
        <w:t xml:space="preserve">      impunidad de las violaciones a los derechos humanos cometidas  durante</w:t>
        <w:br/>
        <w:t xml:space="preserve">      el conflicto armado interno que afectó a Guatemala de 1962 a 1996; las</w:t>
        <w:br/>
        <w:t xml:space="preserve">      deficiencias  estructurales   en   la   administración   de   justicia</w:t>
        <w:br/>
        <w:t xml:space="preserve">      guatemalteca, y la utilización del recurso de amparo  como  estrategia</w:t>
        <w:br/>
        <w:t xml:space="preserve">      dilatoria en los procesos judiciales, y</w:t>
        <w:br/>
        <w:t xml:space="preserve">   e) Claudia Paz  y  Paz  Bailey.  Abogada  y  Notaria.  Ex  Directora  del</w:t>
        <w:br/>
        <w:t xml:space="preserve">      Instituto de Ciencias Penales  y  Estudios  Comparados  de  Guatemala.</w:t>
        <w:br/>
        <w:t xml:space="preserve">      Perito propuesta por los representantes. Declaró sobre el contexto  de</w:t>
        <w:br/>
        <w:t xml:space="preserve">      impunidad de las graves  violaciones  de  derechos  humanos  cometidas</w:t>
        <w:br/>
        <w:t xml:space="preserve">      durante el conflicto armado guatemalteco, sus causas y las medidas que</w:t>
        <w:br/>
        <w:t xml:space="preserve">      el Estado de Guatemala  debería  adoptar  para  hacer  frente  a  esta</w:t>
        <w:br/>
        <w:t xml:space="preserve">      situación.</w:t>
        <w:br/>
        <w:br/>
        <w:t xml:space="preserve">   1. Valoración de la prueba</w:t>
        <w:br/>
        <w:br/>
        <w:t>58.   En  este  caso,  como  en  otros[30],  el  Tribunal  admite  el  valor</w:t>
        <w:br/>
        <w:t>probatorio de aquellos documentos presentados oportunamente por  las  partes</w:t>
        <w:br/>
        <w:t>que no fueron controvertidos ni objetados, ni cuya autenticidad  fue  puesta</w:t>
        <w:br/>
        <w:t>en duda. En relación a los  documentos  remitidos  como  prueba  para  mejor</w:t>
        <w:br/>
        <w:t>resolver solicitados por este  Tribunal  (supra  párr.  13),  la  Corte  los</w:t>
        <w:br/>
        <w:t>incorpora al  acervo  probatorio,  en  aplicación  de  lo  dispuesto  en  el</w:t>
        <w:br/>
        <w:t>artículo 47.2  del  Reglamento.   Además,  esta  Corte  hace  notar  que  la</w:t>
        <w:br/>
        <w:t>Comisión en sus alegatos hizo alusión al Quinto Informe Sobre  la  Situación</w:t>
        <w:br/>
        <w:t>de los  Derechos  Humanos  en  Guatemala  de  la  CIDH,  OEA/Ser.L/V/II.111,</w:t>
        <w:br/>
        <w:t>aprobado el 6 de abril de  2001,  pero  no  fue  aportado  como  prueba.  Al</w:t>
        <w:br/>
        <w:t>respecto,  este  Tribunal  considera  pertinente  para  la  resolución   del</w:t>
        <w:br/>
        <w:t>presente caso incorporarlo al  acervo  probatorio,  de  conformidad  con  el</w:t>
        <w:br/>
        <w:t>artículo 47.1 del Reglamento.  Asimismo,  la  Corte  observa  que  tanto  la</w:t>
        <w:br/>
        <w:t>Comisión como  los  representantes  hicieron  alusión  en  sus  alegatos  al</w:t>
        <w:br/>
        <w:t>Informe  de  la  Comisión  para  el  Esclarecimiento  Histórico,  Guatemala:</w:t>
        <w:br/>
        <w:t>Memoria del Silencio (en adelante “CEH, Guatemala: Memoria  del  Silencio”);</w:t>
        <w:br/>
        <w:t>sin embargo sólo los representantes aportaron como prueba  algunos  tomos  o</w:t>
        <w:br/>
        <w:t>apartados de éste, así como el enlace electrónico directo a los  documentos.</w:t>
        <w:br/>
        <w:t>Igualmente, los representantes se  refirieron  al  Informe  sobre  Inclusión</w:t>
        <w:br/>
        <w:t>Social:  Los  Desafíos  de  la  Democracia  en   Guatemala   de   la   CIDH,</w:t>
        <w:br/>
        <w:t>OEA/Ser.L/V/II.118, Doc. 5 rev. 1, 29 diciembre 2003 e indicaron  su  enlace</w:t>
        <w:br/>
        <w:t>electrónico directo. La Corte ha establecido que si  una  parte  proporciona</w:t>
        <w:br/>
        <w:t>al menos el enlace electrónico directo del documento que cita como prueba  y</w:t>
        <w:br/>
        <w:t>es posible acceder a éste no se ve afectada  la  seguridad  jurídica  ni  el</w:t>
        <w:br/>
        <w:t>equilibrio procesal, porque es inmediatamente localizable por el Tribunal  y</w:t>
        <w:br/>
        <w:t>por las otras partes[31].  En  este  caso,  el  Tribunal  constata  que  los</w:t>
        <w:br/>
        <w:t>representantes indicaron los enlaces directos a los referidos documentos  en</w:t>
        <w:br/>
        <w:t>su  escrito  de  argumentos  y  pruebas,  y  que  no  existió  oposición   u</w:t>
        <w:br/>
        <w:t>observaciones de las otras partes sobre el contenido y autenticidad  de  los</w:t>
        <w:br/>
        <w:t>mismos.</w:t>
        <w:br/>
        <w:br/>
        <w:t>59.   Los días 30  de  junio  y  7  de  julio  de  2009  los  representantes</w:t>
        <w:br/>
        <w:t>remitieron  como  pruebas  supervinientes[32]  nuevas  diligencias  que  han</w:t>
        <w:br/>
        <w:t>tenido lugar en el proceso interno (supra  párr.  9),  así  como  dos  notas</w:t>
        <w:br/>
        <w:t>periodísticas y una lista que contiene  los  nombres  de  los  abogados  que</w:t>
        <w:br/>
        <w:t>adeudan dinero a la Corte de  Constitucionalidad  por  conceptos  de  costas</w:t>
        <w:br/>
        <w:t>procesales y multas derivadas de la interposición de  “recursos  frívolos  o</w:t>
        <w:br/>
        <w:t>notoriamente improcedentes”, y algunas actuaciones emitidas  en  el  proceso</w:t>
        <w:br/>
        <w:t>interno con posterioridad al  escrito  de  solicitudes  y  argumentos.   Los</w:t>
        <w:br/>
        <w:t>representantes señalaron que las copias de los documentos aportados son  las</w:t>
        <w:br/>
        <w:t>más  completas  y  legibles  con  los  que  esta  representación  cuenta   y</w:t>
        <w:br/>
        <w:t>solicitaron a la Corte que  si  así  lo  llegara  a  considerar  pertinente,</w:t>
        <w:br/>
        <w:t>requiera al Estado copias de mejor calidad de dichas actuaciones.  Los  días</w:t>
        <w:br/>
        <w:t>10 y 22 de julio de 2009 la Comisión manifestó a  la  Corte  que  “no  tiene</w:t>
        <w:br/>
        <w:t>observaciones que formular” a dicha prueba.  El  Estado  consideró  que  “en</w:t>
        <w:br/>
        <w:t>virtud de que la prueba superviniente presentada por la  parte  peticionaria</w:t>
        <w:br/>
        <w:t>se encuentra ilegible, no debe valorarse”, y el  22  de  julio  de  2009  el</w:t>
        <w:br/>
        <w:t>Estado reiteró lo manifestado anteriormente.</w:t>
        <w:br/>
        <w:br/>
        <w:t>60.   La Corte considera que las referidas  pruebas  supervinientes  cumplen</w:t>
        <w:br/>
        <w:t>con los requisitos formales de  admisibilidad  estipulados  en  el  artículo</w:t>
        <w:br/>
        <w:t>46.3 del Reglamento.  Sin  embargo,  observa  que  numerosos  documentos  se</w:t>
        <w:br/>
        <w:t>encuentran incompletos o ilegibles.  En lo que se refiere a  los  documentos</w:t>
        <w:br/>
        <w:t>presentados  los  días  30  de  junio  y  7  de  julio  de  2009   por   los</w:t>
        <w:br/>
        <w:t>representantes, con excepción de  los  documentos  incompletos  o  ilegibles</w:t>
        <w:br/>
        <w:t>señalados en el anexo de la comunicación de esta Secretaría de  3  de  julio</w:t>
        <w:br/>
        <w:t>de 2009, la Corte  los  admite  como  prueba  para  mejor  resolver,  y  los</w:t>
        <w:br/>
        <w:t>valorará aplicando las reglas de la sana crítica y dentro del marco  fáctico</w:t>
        <w:br/>
        <w:t>en estudio.</w:t>
        <w:br/>
        <w:br/>
        <w:t>61.   El Tribunal admite los documentos aportados  por  los  peritos  Carlos</w:t>
        <w:br/>
        <w:t>Manuel Garrido y  Claudia  Paz  y  Paz  Bailey,  así  como  las  fotografías</w:t>
        <w:br/>
        <w:t>presentadas  por  los  representantes  en  el  transcurso  de  la  audiencia</w:t>
        <w:br/>
        <w:t>pública, en lo que se ajusten  al  objeto  del  presente  caso,  los  cuales</w:t>
        <w:br/>
        <w:t>estima  útiles  para  la  presente  causa  y  no  fueron  objetados  ni   su</w:t>
        <w:br/>
        <w:t>autenticidad o veracidad puestas en duda.</w:t>
        <w:br/>
        <w:br/>
        <w:t>62.    En  lo  que  se  refiere  a  los   documentos   remitidos   por   los</w:t>
        <w:br/>
        <w:t>representantes y por el Estado junto con sus alegatos finales escritos,  así</w:t>
        <w:br/>
        <w:t>como aquellos documentos que responden a requerimientos  realizados  por  el</w:t>
        <w:br/>
        <w:t>Tribunal durante la audiencia pública  celebrada  en  este  caso,  la  Corte</w:t>
        <w:br/>
        <w:t>advierte que ni los representantes ni la Comisión presentaron  objeciones  a</w:t>
        <w:br/>
        <w:t>la incorporación de  dicha  prueba;  sin  embargo,  el  Estado  hizo  varias</w:t>
        <w:br/>
        <w:t>observaciones a los documentos remitidos por los  representantes  junto  con</w:t>
        <w:br/>
        <w:t>los alegatos finales y objetó ciertos comprobantes de gastos  aportados  por</w:t>
        <w:br/>
        <w:t>éstos, por considerar, entre otros, que no corresponden al trámite  ante  la</w:t>
        <w:br/>
        <w:t>Corte.  A este respecto, el Tribunal  toma  en  cuenta  las  objeciones  del</w:t>
        <w:br/>
        <w:t>Estado, las que valorará al momento de determinar las costas y gastos en  el</w:t>
        <w:br/>
        <w:t>presente caso. En consecuencia, la Corte,  incorpora  la  prueba  presentada</w:t>
        <w:br/>
        <w:t>junto con los alegatos finales por considerarla útil, de conformidad con  el</w:t>
        <w:br/>
        <w:t>artículo 47.2 del Reglamento.</w:t>
        <w:br/>
        <w:br/>
        <w:t>63.   En relación con las declaraciones de las presuntas  víctimas  rendidas</w:t>
        <w:br/>
        <w:t>ante fedatario público por Amílcar Salazar Castillo  (supra  párr.  56.a)  y</w:t>
        <w:br/>
        <w:t>Francisco Arreaga Alonzo (supra párr.  56.b),  respecto  a  ésta  última  el</w:t>
        <w:br/>
        <w:t>Estado solicitó que debe desestimarse en virtud de que no  cumplió  con  “lo</w:t>
        <w:br/>
        <w:t>establecido en el artículo 145 del Decreto Ley 107,  Código  Procesal  Civil</w:t>
        <w:br/>
        <w:t>guatemalteco” en relación a cómo debe dirigirse un  interrogatorio,  por  lo</w:t>
        <w:br/>
        <w:t>que “no cumpl[ió]  con  los  requisitos  que  debe  llenar  una  declaración</w:t>
        <w:br/>
        <w:t>testimonial”.  Al respecto, este Tribunal estima oportuno recordar  que  los</w:t>
        <w:br/>
        <w:t>procedimientos que  se  siguen  ante  él  no  están  sujetos  a  las  mismas</w:t>
        <w:br/>
        <w:t>formalidades que las actuaciones judiciales internas[33].  En  ese  sentido,</w:t>
        <w:br/>
        <w:t>esta Corte ha admitido en otras ocasiones declaraciones que no se adecuan  a</w:t>
        <w:br/>
        <w:t>lo señalado por la legislación interna para su emisión[34], sin que se  deje</w:t>
        <w:br/>
        <w:t>de velar por la seguridad jurídica y  por  el  equilibrio  procesal  de  las</w:t>
        <w:br/>
        <w:t>partes[35].  La Corte  estima  pertinente  admitir  ambas  declaraciones  en</w:t>
        <w:br/>
        <w:t>estricta medida que se ajusten al objeto definido por la Presidencia  en  la</w:t>
        <w:br/>
        <w:t>Resolución que ordenó recibirla (supra párr. 8) y  teniendo  en  cuenta  las</w:t>
        <w:br/>
        <w:t>observaciones  presentadas  por  el  Estado  respecto  a  Francisco  Arreaga</w:t>
        <w:br/>
        <w:t>Alonzo.  Por último,  cabe  mencionar  que  este  Tribunal  estima  que  las</w:t>
        <w:br/>
        <w:t>declaraciones rendidas por las presuntas víctimas no  pueden  ser  valoradas</w:t>
        <w:br/>
        <w:t>aisladamente, dado que tienen un interés directo en este caso, razón por  la</w:t>
        <w:br/>
        <w:t>cual serán apreciadas dentro del conjunto de las pruebas del proceso[36].</w:t>
        <w:br/>
        <w:br/>
        <w:t>64.   En relación con las declaraciones juradas de  los  peritajes  rendidos</w:t>
        <w:br/>
        <w:t>por Marco Antonio Garavito Fernández  (supra  párr.  56.c)  y  Nieves  Gómez</w:t>
        <w:br/>
        <w:t>Dupuis (supra párr. 56.d), en sus observaciones presentadas el 17  de  junio</w:t>
        <w:br/>
        <w:t>de 2009, el Estado señaló  que  no  se  tomaron  las  declaraciones  de  los</w:t>
        <w:br/>
        <w:t>peritos ante fedatario  público  como  lo  establece  la  Resolución  de  la</w:t>
        <w:br/>
        <w:t>Presidenta de 18 de mayo de 2009, sino mediante documento privado con  firma</w:t>
        <w:br/>
        <w:t>legalizada y que tampoco cumplen con lo que establece el  artículo  227  del</w:t>
        <w:br/>
        <w:t>Código Procesal Penal, Decreto No. 51-92, que  establece  que  “los  peritos</w:t>
        <w:br/>
        <w:t>aceptarán el cargo bajo juramento”.  Al respecto, este Tribunal  reitera  lo</w:t>
        <w:br/>
        <w:t>señalado en el párrafo anterior en el sentido de que los procedimientos  que</w:t>
        <w:br/>
        <w:t>se siguen ante él no  están  sujetos  a  las  mismas  formalidades  que  las</w:t>
        <w:br/>
        <w:t>actuaciones judiciales internas. En ese sentido, la  Corte  ha  admitido  en</w:t>
        <w:br/>
        <w:t>otras ocasiones declaraciones juradas que no fueron rendidas ante  fedatario</w:t>
        <w:br/>
        <w:t>público, cuando no se afecta la seguridad jurídica y el equilibrio  procesal</w:t>
        <w:br/>
        <w:t>entre  las  partes.   En  el  presente  caso,  el  Tribunal   no   encuentra</w:t>
        <w:br/>
        <w:t>fundamentos  para  considerar  que  la   admisión   de   las   declaraciones</w:t>
        <w:br/>
        <w:t>cuestionadas, es decir, aquellas cuya firma fue certificada por  un  notario</w:t>
        <w:br/>
        <w:t>público, haya afectado la seguridad jurídica o  el  equilibrio  procesal  de</w:t>
        <w:br/>
        <w:t>las partes. En todo caso, el declarante no rechaza o desconoce el  contenido</w:t>
        <w:br/>
        <w:t>de la declaración que se le atribuye, sino que asegura a través de su  firma</w:t>
        <w:br/>
        <w:t>certificada ante un fedatario público que efectivamente es el autor  de  tal</w:t>
        <w:br/>
        <w:t>declaración, asumiendo las consecuencias legales de dicho acto. En razón  de</w:t>
        <w:br/>
        <w:t>lo expuesto, el Tribunal admite como prueba  los  peritajes  en  las  cuales</w:t>
        <w:br/>
        <w:t>consta la firma del perito debidamente certificada  por  un  notario  y  las</w:t>
        <w:br/>
        <w:t>apreciará en el conjunto del acervo probatorio, aplicando las reglas  de  la</w:t>
        <w:br/>
        <w:t>sana crítica y tomando en consideración las objeciones de las partes[37].</w:t>
        <w:br/>
        <w:br/>
        <w:t>65.    En  relación  con  las  declaraciones  rendidas  por  Ramiro   Osorio</w:t>
        <w:br/>
        <w:t>Cristales (supra párr. 57.a) y Felicita Herenia Romero Ramírez (supra  párr.</w:t>
        <w:br/>
        <w:t>57.b), la Corte las estima  pertinentes  en  cuanto  se  ajusten  al  objeto</w:t>
        <w:br/>
        <w:t>definido por la Presidencia en la Resolución que  ordenó  recibirlas  (supra</w:t>
        <w:br/>
        <w:t>párr. 8). Este Tribunal reitera lo señalado anteriormente en relación  a  la</w:t>
        <w:br/>
        <w:t>valoración de las declaraciones rendidas por las presuntas  víctimas  (supra</w:t>
        <w:br/>
        <w:t>párr. 63).</w:t>
        <w:br/>
        <w:br/>
        <w:t>66.   Respecto de los peritajes rendidos por Edgar  Fernando  Pérez  Archila</w:t>
        <w:br/>
        <w:t>(supra párr. 57.c), Carlos Manuel Garrido (supra párr. 57.d) y  Claudia  Paz</w:t>
        <w:br/>
        <w:t>y Paz Bailey (supra párr. 57.e), la Corte los admite tomando  en  cuenta  el</w:t>
        <w:br/>
        <w:t>objeto de los mismos fijado en la Resolución de la Presidenta de 18 de  mayo</w:t>
        <w:br/>
        <w:t>de 2009 (supra párr. 8) y los valorará de acuerdo con el  acervo  probatorio</w:t>
        <w:br/>
        <w:t>del presente caso y las reglas de la sana crítica.</w:t>
        <w:br/>
        <w:br/>
        <w:t>67.   En cuanto a los documentos de prensa presentados por las partes,  este</w:t>
        <w:br/>
        <w:t>Tribunal ha considerado que podrán  ser  apreciados  cuando  recojan  hechos</w:t>
        <w:br/>
        <w:t>públicos y notorios o declaraciones de funcionarios  del  Estado,  o  cuando</w:t>
        <w:br/>
        <w:t>corroboren aspectos relacionados con el caso[38].</w:t>
        <w:br/>
        <w:br/>
        <w:t>68.   Efectuado el examen de los elementos probatorios  que  constan  en  el</w:t>
        <w:br/>
        <w:t>expediente, la Corte pasa a analizar las violaciones alegadas</w:t>
        <w:br/>
        <w:br/>
        <w:br/>
        <w:br/>
        <w:br/>
        <w:br/>
        <w:br/>
        <w:br/>
        <w:t xml:space="preserve">                                    VIII</w:t>
        <w:br/>
        <w:br/>
        <w:br/>
        <w:t xml:space="preserve">                Violación de los Artículos 8.1[39] y 25.1[40]</w:t>
        <w:br/>
        <w:br/>
        <w:br/>
        <w:t xml:space="preserve">                (Garantías Judiciales y Protección Judicial)</w:t>
        <w:br/>
        <w:br/>
        <w:br/>
        <w:t xml:space="preserve"> en relación con los Artículos 1.1[41] y 2[42] de la Convención Americana y</w:t>
        <w:br/>
        <w:t xml:space="preserve"> Artículos 1[43], 6[44] y 8[45] de la CIPST y 7.b[46] de la Convención Belém</w:t>
        <w:br/>
        <w:t xml:space="preserve">                                   do Pará</w:t>
        <w:br/>
        <w:br/>
        <w:br/>
        <w:br/>
        <w:t>69.   A  la  luz  del  reconocimiento  de  responsabilidad  internacional  y</w:t>
        <w:br/>
        <w:t>allanamiento efectuados por el Estado y con base en la  prueba  allegada  al</w:t>
        <w:br/>
        <w:t>expediente, así como diversos hechos previamente acreditados por esta  Corte</w:t>
        <w:br/>
        <w:t>en distintos casos en que se ha demostrado la responsabilidad del Estado  de</w:t>
        <w:br/>
        <w:t>Guatemala,  el  Tribunal  seguidamente  se  referirá  como  antecedente   al</w:t>
        <w:br/>
        <w:t>contexto del caso  y  a  los  hechos  específicos  del  proceso   penal,  ya</w:t>
        <w:br/>
        <w:t>reconocidos por el Estado,  para  lo  cual  en  algunos  de  ellos  se  hará</w:t>
        <w:br/>
        <w:t>referencia a otros documentos o  información.  Además,  se  referirá  a  los</w:t>
        <w:br/>
        <w:t>procedimientos  judiciales  materia  del  presente  caso,  los  cuales   han</w:t>
        <w:br/>
        <w:t>impedido el acceso a la justicia para las  víctimas  y  luego  analizará  el</w:t>
        <w:br/>
        <w:t>contenido de los derechos violados.</w:t>
        <w:br/>
        <w:br/>
        <w:t xml:space="preserve">    1.      Contexto del caso, antecedentes de la Masacre  y  Procedimiento</w:t>
        <w:br/>
        <w:t xml:space="preserve">    Interno</w:t>
        <w:br/>
        <w:br/>
        <w:t xml:space="preserve">      A)    Contexto del Caso</w:t>
        <w:br/>
        <w:br/>
        <w:t>70.   Entre los años 1962 y 1996  en  Guatemala  hubo  un  conflicto  armado</w:t>
        <w:br/>
        <w:t>interno que provocó grandes costos humanos,  materiales,  institucionales  y</w:t>
        <w:br/>
        <w:t>morales. La CEH  estima  que  “el  saldo  en  muertos  y  desaparecidos  del</w:t>
        <w:br/>
        <w:t>enfrentamiento armado interno llegó a más de doscientas mil personas”[47].</w:t>
        <w:br/>
        <w:br/>
        <w:t>71.   Durante el conflicto armado interno el  Estado  aplicó  la  denominada</w:t>
        <w:br/>
        <w:t>“Doctrina de Seguridad Nacional”[48]. En el marco de  esa  doctrina  se  fue</w:t>
        <w:br/>
        <w:t>acrecentando  la  intervención  del  poder  militar  para  enfrentar  a   la</w:t>
        <w:br/>
        <w:t>subversión,  concepto  que  incluía  a  toda  persona  u  organización   que</w:t>
        <w:br/>
        <w:t>representara cualquier forma de oposición  al  Estado,  con  lo  cual  dicha</w:t>
        <w:br/>
        <w:t>noción se equiparaba a la de “enemigo interno”.  La  CEH  concluyó  que,  en</w:t>
        <w:br/>
        <w:t>aplicación de la Doctrina de Seguridad Nacional el 91%  de  las  violaciones</w:t>
        <w:br/>
        <w:t>registradas por la CEH se produjo entre los  años  1978  y  1983,  bajo  las</w:t>
        <w:br/>
        <w:t>dictaduras de los generales Romeo Lucas García  (1978-1982)  y  Efraín  Ríos</w:t>
        <w:br/>
        <w:t>Montt (1982-1983).</w:t>
        <w:br/>
        <w:br/>
        <w:t>72.   El 23 de marzo de 1982, como resultado  de  un  golpe  de  Estado,  en</w:t>
        <w:br/>
        <w:t>Guatemala se instaló una  Junta  Militar  de  Gobierno  presidida  por  José</w:t>
        <w:br/>
        <w:t>Efraín Ríos Montt e integrada,  además,  por  los  vocales  Horacio  Egberto</w:t>
        <w:br/>
        <w:t>Maldonado Schaad y Francisco Luis Gordillo Martínez. El 8 de junio  de  1982</w:t>
        <w:br/>
        <w:t>José Efraín Ríos Montt asumió los cargos de Presidente  de  la  República  y</w:t>
        <w:br/>
        <w:t>Comandante General del Ejército, permaneciendo como Presidente hasta  el  31</w:t>
        <w:br/>
        <w:t>de agosto de 1983. En abril de 1982 la  Junta  Militar  de  Gobierno  de  la</w:t>
        <w:br/>
        <w:t>época dictó el “Plan Nacional de Seguridad y Desarrollo”, el que  establecía</w:t>
        <w:br/>
        <w:t>objetivos  nacionales  en  términos  militares,  administrativos,   legales,</w:t>
        <w:br/>
        <w:t>sociales, económicos y políticos.  Dicho  Plan  identificó  las  principales</w:t>
        <w:br/>
        <w:t>áreas del conflicto.</w:t>
        <w:br/>
        <w:br/>
        <w:t>73.   Estas acciones militares, ejecutadas “con conocimiento o por orden  de</w:t>
        <w:br/>
        <w:t>las más  altas  autoridades  del  Estado”,  consistieron  principalmente  en</w:t>
        <w:br/>
        <w:t>matanzas de población, conocidas como  masacres  y  “operaciones  de  tierra</w:t>
        <w:br/>
        <w:t>arrasada”. De acuerdo con el Informe de la CEH, alrededor  de  626  masacres</w:t>
        <w:br/>
        <w:t>fueron ejecutadas mediante  “actos  de  extrema  crueldad”  dirigidos  a  la</w:t>
        <w:br/>
        <w:t>eliminación de las personas o grupos de personas “definidos como enemigo”  y</w:t>
        <w:br/>
        <w:t>dirigidos a “aterrorizar a la población”[49].</w:t>
        <w:br/>
        <w:br/>
        <w:t>74.   Entre las acciones perpetradas por agentes del Estado se encuentra  la</w:t>
        <w:br/>
        <w:t>Masacre del Parcelamiento de Las Dos Erres, acaecida entre los días  6  a  8</w:t>
        <w:br/>
        <w:t>de diciembre de 1982. El Parcelamiento de Las Dos  Erres,  en  la  Libertad,</w:t>
        <w:br/>
        <w:t>Petén, fue  fundado  en  1978  en  el  marco  de  una  fuerte  migración  de</w:t>
        <w:br/>
        <w:t>campesinos motivados  por  la  búsqueda  de  tierras  y  por  efecto  de  la</w:t>
        <w:br/>
        <w:t>colonización promovida por la agencia gubernamental Fomento y Desarrollo  de</w:t>
        <w:br/>
        <w:t>Petén (FYDEP).  Los fundadores  del  Parcelamiento  fueron  Federico  Aquino</w:t>
        <w:br/>
        <w:t>Ruano y Marco  Reyes,  quienes  lo  denominaron  “Las  Dos  Erres”  por  las</w:t>
        <w:br/>
        <w:t>iniciales de sus apellidos.  Entre 1979 y 1980, llegaron  a  Las  Dos  Erres</w:t>
        <w:br/>
        <w:t>personas provenientes del Oriente y Sur  de  Guatemala.  Para  diciembre  de</w:t>
        <w:br/>
        <w:t>1982 el Parcelamiento tenía alrededor de 300 a 350 habitantes.</w:t>
        <w:br/>
        <w:br/>
        <w:t>75.   Según el  informe  de  la  CEH[50],  durante  1982  se  incrementó  la</w:t>
        <w:br/>
        <w:t>presencia de las  Fuerzas  Armadas  Rebeldes  (en  adelante  “FAR”)  en  las</w:t>
        <w:br/>
        <w:t>cercanías al Parcelamiento de Las Dos Erres, tal como de  la  aldea  cercana</w:t>
        <w:br/>
        <w:t>de Las Cruces. En septiembre del mismo año  se  registró  un  enfrentamiento</w:t>
        <w:br/>
        <w:t>entre miembros de las FAR y agentes estatales en Las Cruces. A raíz de  este</w:t>
        <w:br/>
        <w:t>suceso,  el  comisionado  militar  del  lugar  organizó  una   Patrulla   de</w:t>
        <w:br/>
        <w:t>Autodefensa Civil (en adelante “PAC”) en Las Dos Erres, con el  objetivo  de</w:t>
        <w:br/>
        <w:t>que patrullara la zona de Las Cruces conjuntamente con la PAC de  esa  zona.</w:t>
        <w:br/>
        <w:t>Los habitantes de Las Dos Erres señalaron que sólo accederían a  formar  una</w:t>
        <w:br/>
        <w:t>PAC para que patrullara en su propia comunidad y  no  en  Las  Cruces.  Como</w:t>
        <w:br/>
        <w:t>consecuencia de esta negativa se acusó a los pobladores de Las Dos Erres  de</w:t>
        <w:br/>
        <w:t>ser miembros de la guerrilla.</w:t>
        <w:br/>
        <w:br/>
        <w:t>76.    De acuerdo a la información recabada por la CEH[51],  el  comisionado</w:t>
        <w:br/>
        <w:t>de Las Cruces difundió el rumor de que  los  habitantes  de  Las  Dos  Erres</w:t>
        <w:br/>
        <w:t>pertenecían a la guerrilla y entre  las  pruebas  presentadas  al  ejército,</w:t>
        <w:br/>
        <w:t>había un saco para recolección de cosecha  de  uno  de  los  fundadores  del</w:t>
        <w:br/>
        <w:t>Parcelamiento, Federico Aquino Ruano, donde figuraban las siglas FAR.  Estas</w:t>
        <w:br/>
        <w:t>iniciales correspondían a su nombre y coincidían  con  las  de  las  Fuerzas</w:t>
        <w:br/>
        <w:t>Armadas Rebeldes. Cuando ya corría el rumor en la zona de  que  el  ejército</w:t>
        <w:br/>
        <w:t>bombardearía pronto el Parcelamiento de Las Dos  Erres,  un  convoy  militar</w:t>
        <w:br/>
        <w:t>sufrió una emboscada de las FAR a pocos kilómetros de Las Cruces y  las  FAR</w:t>
        <w:br/>
        <w:t>se llevaron 19 fusiles del Ejército[52]. Como reacción, la zona  militar  23</w:t>
        <w:br/>
        <w:t>de Poptún solicitó el envío del pelotón especial de Kaibiles con el  fin  de</w:t>
        <w:br/>
        <w:t>recuperar los fusiles. El 4 de diciembre de 1982 un pelotón de  17  Kaibiles</w:t>
        <w:br/>
        <w:t>llegó por avión a la  base  aérea  de  Santa  Elena,  Petén,  procedente  de</w:t>
        <w:br/>
        <w:t>Retalhuleu y a quienes se unió un grupo de  40  Kaibiles  destacados  en  la</w:t>
        <w:br/>
        <w:t>zona militar 23 de Poptún.  En la  base  militar  de  Santa  Elena  les  fue</w:t>
        <w:br/>
        <w:t>asignado un guía que conocía el área para conducirlos al Parcelamiento.</w:t>
        <w:br/>
        <w:br/>
        <w:t>77.   El 6 de diciembre de 1982 se preparó  una  acción  militar  del  grupo</w:t>
        <w:br/>
        <w:t>especializado de las Fuerzas Armadas, durante la  cual  los  superiores  del</w:t>
        <w:br/>
        <w:t>pelotón reunieron a los Kaibiles y les indicaron  que  tenían  que  vestirse</w:t>
        <w:br/>
        <w:t>como guerrilleros para confundir a la población y destruir  la  aldea,  todo</w:t>
        <w:br/>
        <w:t>lo que se mirara mover se tenía  que  matar.  Como  a  las  9  de  la  noche</w:t>
        <w:br/>
        <w:t>salieron de la base militar de Santa Elena rumbo a Las Dos  Erres,  a  bordo</w:t>
        <w:br/>
        <w:t>de camiones civiles. Alrededor de las 12 de la noche  los  hicieron  bajarse</w:t>
        <w:br/>
        <w:t>de los camiones y caminaron  dos  horas  aproximadamente,  hasta  llegar  al</w:t>
        <w:br/>
        <w:t>Parcelamiento a las dos de la mañana del 7 de diciembre de 1982.</w:t>
        <w:br/>
        <w:br/>
        <w:t>78.   El día 7 de diciembre de 1982 en la madrugada, soldados  guatemaltecos</w:t>
        <w:br/>
        <w:t>pertenecientes al mencionado grupo especial denominado Kaibiles  llegaron  a</w:t>
        <w:br/>
        <w:t>Las Dos Erres y sacaron a las personas de  sus  casas.  A  los  hombres  los</w:t>
        <w:br/>
        <w:t>encerraron en la escuela del Parcelamiento y a las mujeres  y  niños  en  la</w:t>
        <w:br/>
        <w:t>iglesia evangélica. Mientras los  mantuvieron  encerrados  los  golpearon  e</w:t>
        <w:br/>
        <w:t>incluso algunos murieron como consecuencia de los golpes.</w:t>
        <w:br/>
        <w:br/>
        <w:t>79.   Alrededor de las 4:30 p.m. los Kaibiles sacaron a los  hombres  de  la</w:t>
        <w:br/>
        <w:t>escuela y los llevaron vendados y maniatados a un pozo  de  agua  inconcluso</w:t>
        <w:br/>
        <w:t>donde los fusilaron.  Después  sacaron  a  las  mujeres  y  los  niños  para</w:t>
        <w:br/>
        <w:t>llevarlos al mismo lugar. En el camino muchas niñas fueron violadas por  los</w:t>
        <w:br/>
        <w:t>Kaibiles, particularmente por los subinstructores. Al llegar  al  Pozo,  los</w:t>
        <w:br/>
        <w:t>Kaibiles  hincaban  de  rodillas  a  las  personas  y  les  preguntaban   si</w:t>
        <w:br/>
        <w:t>pertenecían a la guerrilla, luego los golpeaban con un mazo de hierro en  el</w:t>
        <w:br/>
        <w:t>cráneo o les disparaban, para luego lanzar los  cadáveres  al  interior  del</w:t>
        <w:br/>
        <w:t>pozo. En los hechos de la  masacre  perdieron  la  vida  por  lo  menos  216</w:t>
        <w:br/>
        <w:t>personas[53].</w:t>
        <w:br/>
        <w:br/>
        <w:t>80.   Cerca de las 6:00  p.m.  llegaron  al  Parcelamiento  dos  niñas,  las</w:t>
        <w:br/>
        <w:t>cuales fueron violadas por dos instructores  militares.  Al  día  siguiente,</w:t>
        <w:br/>
        <w:t>cuando los Kaibiles se marcharon se llevaron a las dos niñas y las  violaron</w:t>
        <w:br/>
        <w:t>nuevamente  para  luego  degollarlas.  Antes  de   marcharse   llegaron   al</w:t>
        <w:br/>
        <w:t>Parcelamiento otras seis familias, las cuales fueron fusiladas.</w:t>
        <w:br/>
        <w:br/>
        <w:t>81.   El día 9 de diciembre de 1982, vecinos  de  la  aldea  Las  Cruces  se</w:t>
        <w:br/>
        <w:t>acercaron a Las Dos Erres y descubrieron trastos tirados por  todas  partes,</w:t>
        <w:br/>
        <w:t>los  animales  sueltos,  también  vieron  sangre,  cordones  umbilicales   y</w:t>
        <w:br/>
        <w:t>placentas en el suelo, ya  que  la  crueldad  desplegada  por  los  soldados</w:t>
        <w:br/>
        <w:t>alcanzó tal punto  que  a  las  mujeres  embarazadas  les  causaron  abortos</w:t>
        <w:br/>
        <w:t>producto de los  golpes  que  les  propinaban,  incluso  saltando  sobre  el</w:t>
        <w:br/>
        <w:t>vientre  de  dichas  mujeres  hasta  que  salía  el  feto  malogrado.  Según</w:t>
        <w:br/>
        <w:t>declararon testigos en el proceso interno, el  Teniente  Carías,  comandante</w:t>
        <w:br/>
        <w:t>del destacamento militar de Las Cruces, informó a la población  que  lo  que</w:t>
        <w:br/>
        <w:t>había sucedido en Las Dos Erres era que la guerrilla se había llevado a  las</w:t>
        <w:br/>
        <w:t>personas para México, y luego ordenó a sus soldados que sacaran todo lo  que</w:t>
        <w:br/>
        <w:t>pudieran del Parcelamiento: enseres domésticos,  animales  y  granos,  entre</w:t>
        <w:br/>
        <w:t>otros: y que quemaran las casas de Las Dos Erres.</w:t>
        <w:br/>
        <w:br/>
        <w:t>82.   Es en este contexto que se desarrolló la Masacre  de  Las  Dos  Erres,</w:t>
        <w:br/>
        <w:t>dentro de una política de  Estado  y  un  patrón  de  graves  violaciones  a</w:t>
        <w:br/>
        <w:t>derechos humanos. Según la CEH “[e]n general,  de  las  violaciones  de  los</w:t>
        <w:br/>
        <w:t>derechos humanos y de las infracciones al Derecho Internacional  Humanitario</w:t>
        <w:br/>
        <w:t>cometidos  se  deriva  una  ineludible   responsabilidad   del   Estado   de</w:t>
        <w:br/>
        <w:t>Guatemala”[54].</w:t>
        <w:br/>
        <w:br/>
        <w:t>83.   Posteriormente, en el  año  1990  se  inició  un  proceso  de  paz  en</w:t>
        <w:br/>
        <w:t>Guatemala que culminó  en  el  año  1996.  Dentro  de  este  período  fueron</w:t>
        <w:br/>
        <w:t>firmados doce acuerdos, entre ellos el establecimiento de la  Comisión  para</w:t>
        <w:br/>
        <w:t>el Esclarecimiento Histórico, la cual inició su labor en el año  1997.  Como</w:t>
        <w:br/>
        <w:t>se desprende de la  propia  Ley  de  Reconciliación  Nacional  (en  adelante</w:t>
        <w:br/>
        <w:t>“LRN”), la misma es producto de los mencionados acuerdos de paz.</w:t>
        <w:br/>
        <w:br/>
        <w:t xml:space="preserve">      B)    Proceso penal</w:t>
        <w:br/>
        <w:br/>
        <w:t>84.   En el período comprendido entre el 9  de  marzo  de  1987,  cuando  el</w:t>
        <w:br/>
        <w:t>Estado reconoció la competencia contenciosa de la Corte, y el  13  de  junio</w:t>
        <w:br/>
        <w:t>de 1994, no consta que  el  Estado  hubiese  adoptado  medidas  dirigidas  a</w:t>
        <w:br/>
        <w:t>esclarecer, investigar, juzgar y eventualmente  sancionar  a  los  presuntos</w:t>
        <w:br/>
        <w:t>responsables de los hechos de la Masacre de Las Dos Erres.</w:t>
        <w:br/>
        <w:br/>
        <w:t>85.   El 14 de junio de 1994 FAMDEGUA presentó una denuncia  penal  ante  el</w:t>
        <w:br/>
        <w:t>Juzgado de Primera Instancia  Penal,  Narcoactividad  y  Delitos  Contra  el</w:t>
        <w:br/>
        <w:t>Ambiente  del  Departamento  de  Petén  (en  adelante  “Juzgado  de  Primera</w:t>
        <w:br/>
        <w:t>Instancia Penal de Petén”), por el  delito  de  asesinato  en  perjuicio  de</w:t>
        <w:br/>
        <w:t>diversas personas que se encontraban inhumadas en el  Parcelamiento  de  Las</w:t>
        <w:br/>
        <w:t>Dos Erres. Asimismo, solicitó al juez que se realizara la exhumación de  los</w:t>
        <w:br/>
        <w:t>cadáveres que se encontraban en el referido lugar[55].</w:t>
        <w:br/>
        <w:br/>
        <w:t>86.   Los trabajos de exhumación iniciaron el 4 de julio de 1994.  Luego  de</w:t>
        <w:br/>
        <w:t>ser suspendidos, continuaron entre el 8 de mayo y el 15 de  julio  de  1995.</w:t>
        <w:br/>
        <w:t>El 29 de julio de 1995 se  realizó  una  diligencia  judicial[56]  donde  se</w:t>
        <w:br/>
        <w:t>expusieron  162  osamentas,  de  las  cuáles  se  procedió  a  inscribir  la</w:t>
        <w:br/>
        <w:t>defunción en el Registro Civil de la Municipalidad de la Libertad, Petén  el</w:t>
        <w:br/>
        <w:t>14 de abril de 2000[57]. Sin embargo, el  19  de  mayo  de  2000  el  Fiscal</w:t>
        <w:br/>
        <w:t>Especial para el caso de la Masacre  de  Las  Dos  Erres  (en  adelante  “el</w:t>
        <w:br/>
        <w:t>Fiscal”) solicitó la inscripción  de  la  defunción  de  otras  71  personas</w:t>
        <w:br/>
        <w:t>fallecidas en la masacre que fueron identificadas[58], pero  el  Juzgado  de</w:t>
        <w:br/>
        <w:t>Primera Instancia Penal de Petén resolvió no dar lugar a la solicitud[59].</w:t>
        <w:br/>
        <w:br/>
        <w:t>87.   De otra parte, 26 de junio de  1996  el  Ministerio  Público  requirió</w:t>
        <w:br/>
        <w:t>información al  Ministro  de  Defensa[60].  El  19  de  julio  de  1996  los</w:t>
        <w:br/>
        <w:t>representantes de FAMDEGUA manifestaron su  preocupación  por  la  falta  de</w:t>
        <w:br/>
        <w:t>respuesta[61]. El 7 de octubre de 1996 el Ministro de  Defensa  expresó  que</w:t>
        <w:br/>
        <w:t>“en virtud de haberse incinerado los documentos de esa época, no  se  cuenta</w:t>
        <w:br/>
        <w:t>con información al respecto”[62]. Asimismo,  el  21  de  enero  de  1997  el</w:t>
        <w:br/>
        <w:t>citado ministro informó que no podían proporcionarse nombres  de  encargados</w:t>
        <w:br/>
        <w:t>o miembros del destacamento de la aldea Las Cruces,  en  virtud  de  que  no</w:t>
        <w:br/>
        <w:t>hubo un destacamento permanente, por lo que sólo remitió una  lista  de  las</w:t>
        <w:br/>
        <w:t>armas usadas en la época[63]. Posteriormente, el 27 de febrero  de  1997  el</w:t>
        <w:br/>
        <w:t>mismo ministro informó que en la institución militar no  existían  planillas</w:t>
        <w:br/>
        <w:t>de salarios de los meses noviembre y diciembre de  1982  correspondientes  a</w:t>
        <w:br/>
        <w:t>los oficiales destacados en  el  Petén[64].  El  12  de  junio  de  1997  el</w:t>
        <w:br/>
        <w:t>Ministro  de  Defensa  señaló  que  respecto  de  la  solicitud  de  nombre,</w:t>
        <w:br/>
        <w:t>apellido, cargo, base militar o  destacamento  en  donde  se  encontraba  el</w:t>
        <w:br/>
        <w:t>oficial (llamado Carlos, Manuel  o  Carlos  Manuel)  Carías,  habían  varios</w:t>
        <w:br/>
        <w:t>oficiales cuyo primer apellido era  Carías.  Asimismo  informó  que  quienes</w:t>
        <w:br/>
        <w:t>ocuparon el puesto de Ministro de la Defensa Nacional durante los años  1982</w:t>
        <w:br/>
        <w:t>y 1983 fueron los Generales de División Luis René  Mendoza  Palomo  y  Oscar</w:t>
        <w:br/>
        <w:t>Humberto Mejía Victores, respectivamente[65]. Finalmente, el  29  de  agosto</w:t>
        <w:br/>
        <w:t>de 1997 el Ministro de Defensa informó el  último  domicilio  registrado  de</w:t>
        <w:br/>
        <w:t>algunos de los sospechosos y los cargos ocupados por  algunos  miembros  del</w:t>
        <w:br/>
        <w:t>ejército vinculados con los hechos de la masacre[66].</w:t>
        <w:br/>
        <w:br/>
        <w:t>88.   Entre los meses de agosto de 1996 y julio  de  1999[67],  la  Fiscalía</w:t>
        <w:br/>
        <w:t>recibió declaraciones de  algunos  familiares  de  las  personas  fallecidas</w:t>
        <w:br/>
        <w:t>durante la masacre y testigos, así como de la  señora  Lidia  García  Pérez,</w:t>
        <w:br/>
        <w:t>quien relató que su hijo “Fernando Ramiro López  García”  era  “adoptado”  y</w:t>
        <w:br/>
        <w:t>que su marido, Santos López Alonso, le contó que lo había sacado de Las  Dos</w:t>
        <w:br/>
        <w:t>Erres[68].  Asimismo,  rindieron  declaraciones,  en   calidad   de   prueba</w:t>
        <w:br/>
        <w:t>anticipada  un  sobreviviente[69]  y  dos  integrantes  de  la  patrulla  de</w:t>
        <w:br/>
        <w:t>Kaibiles[70], los días 11 de  febrero  de  1999  y  17  de  marzo  de  2000,</w:t>
        <w:br/>
        <w:t>respectivamente.</w:t>
        <w:br/>
        <w:br/>
        <w:br/>
        <w:br/>
        <w:br/>
        <w:br/>
        <w:br/>
        <w:t xml:space="preserve">      C)    Recursos judiciales y actuaciones de las autoridades judiciales</w:t>
        <w:br/>
        <w:br/>
        <w:t>89.   Los días 7 de octubre de 1999[71] y 4 de abril de 2000[72] el  Juzgado</w:t>
        <w:br/>
        <w:t>de Primera Instancia Penal de Petén ordenó la  aprehensión  de  uno  de  los</w:t>
        <w:br/>
        <w:t>kaibiles y de 16 implicados, respectivamente, por  el  delito  de  asesinato</w:t>
        <w:br/>
        <w:t>cometido en perjuicio de las personas fallecidas en el Parcelamiento de  Las</w:t>
        <w:br/>
        <w:t>Dos Erres.</w:t>
        <w:br/>
        <w:br/>
        <w:t>90.    Contra  dichas  órdenes  de  aprehensión  fueron  interpuestos   tres</w:t>
        <w:br/>
        <w:t>recursos de amparo por nueve de los sindicados[73], con  fundamento  en  que</w:t>
        <w:br/>
        <w:t>“[la] Ley de Reconciliación Nacional, en su artículo  11,  párrafo  tercero,</w:t>
        <w:br/>
        <w:t>establece que cuando [se] conociere de alguno de los  delitos  referidos  en</w:t>
        <w:br/>
        <w:t>los artículos 4 y 5 de dicha Ley, [se] trasladará inmediatamente  el  asunto</w:t>
        <w:br/>
        <w:t>a la Sala de la Corte de Apelaciones […] a efectos de que se  determine  […]</w:t>
        <w:br/>
        <w:t>la procedencia o no de la extinción de la responsabilidad  penal  a  que  se</w:t>
        <w:br/>
        <w:t>refiere  dicha   [l]ey”[74].   La   Corte   de   Constitucionalidad   otorgó</w:t>
        <w:br/>
        <w:t>provisionalmente  los  amparos[75],  por  lo  que  el  Juzgado  de   Primera</w:t>
        <w:br/>
        <w:t>Instancia  Penal  de  Petén  decidió  dejar  sin  efecto  las   órdenes   de</w:t>
        <w:br/>
        <w:t>aprehensión[76]. Asimismo, uno de los  sindicados  fue  dejado  en  libertad</w:t>
        <w:br/>
        <w:t>luego de haber sido aprehendido[77]. Finalmente los días 3 y 4 de  abril  de</w:t>
        <w:br/>
        <w:t>2001 la Corte de Constitucionalidad suspendió las órdenes de  aprehensión  y</w:t>
        <w:br/>
        <w:t>consideró que el expediente penal debía remitirse inmediatamente a la  Corte</w:t>
        <w:br/>
        <w:t>de Apelaciones para decidir sobre la aplicación de la LRN, por  referirse  a</w:t>
        <w:br/>
        <w:t>hechos ocurridos durante el conflicto armado[78].</w:t>
        <w:br/>
        <w:br/>
        <w:t>91.   Por  otra  parte,  a  raíz  de  las  resoluciones  que  admitieron  la</w:t>
        <w:br/>
        <w:t>rendición de las pruebas anticipadas[79] (supra párr.  88),  los  sindicados</w:t>
        <w:br/>
        <w:t>interpusieron entre el 4 de agosto y el 13 de  octubre  de  2000  de  manera</w:t>
        <w:br/>
        <w:t>individual 15 recursos de amparo[80], 16 reclamos de  subsanación[81]  y  15</w:t>
        <w:br/>
        <w:t>recursos de  reposición[82].  En  virtud  del  rechazo  de  algunos  de  los</w:t>
        <w:br/>
        <w:t>recursos fueron interpuestos ocho recursos de amparo el  26  de  octubre  de</w:t>
        <w:br/>
        <w:t>2000[83], los cuales la Corte de Constitucionalidad declaró improcedentes  y</w:t>
        <w:br/>
        <w:t>ordenó al Juzgado de Primera Instancia Penal de Petén inhibirse  de  conocer</w:t>
        <w:br/>
        <w:t>del proceso penal y remitir las actuaciones a la sala competente,  para  que</w:t>
        <w:br/>
        <w:t>se dirimiera la aplicación o no de la LRN[84].</w:t>
        <w:br/>
        <w:br/>
        <w:t>92.   El 7 de marzo de 2002 el  referido  Juzgado  reiteró  las  órdenes  de</w:t>
        <w:br/>
        <w:t>captura vigentes contra siete imputados[85].  Además,  el  21  de  junio  de</w:t>
        <w:br/>
        <w:t>2002 resolvió enviar a la Sala Duodécima  de  la  Corte  de  Apelaciones  el</w:t>
        <w:br/>
        <w:t>expediente del proceso No.1316-94, a fin de que se  resolviera  respecto  de</w:t>
        <w:br/>
        <w:t>la aplicación de la LRN[86].</w:t>
        <w:br/>
        <w:br/>
        <w:t>93.   El 3 de julio de 2002 se desarrolló una diligencia  mediante  la  cual</w:t>
        <w:br/>
        <w:t>se rindieron las declaraciones testimoniales de los abuelos  biológicos  del</w:t>
        <w:br/>
        <w:t>sobreviviente Ramiro Osorio Cristales[87] y se llevó a  cabo  su  extracción</w:t>
        <w:br/>
        <w:t>de sangre así como la señora de Lidia  García  Pérez,  “madre  adoptiva”  de</w:t>
        <w:br/>
        <w:t>Ramiro Osorio Cristales, para el análisis de ADN.</w:t>
        <w:br/>
        <w:br/>
        <w:t xml:space="preserve">      D)    Procedimiento de la Ley de Reconciliación Nacional</w:t>
        <w:br/>
        <w:br/>
        <w:t>94.   Como se mencionó anteriormente, el Juzgado de Primera Instancia  Penal</w:t>
        <w:br/>
        <w:t>de Petén resolvió enviar el expediente a la sala competente de la  Corte  de</w:t>
        <w:br/>
        <w:t>Apelaciones el 21 de junio de 2002 (supra párr. 92).</w:t>
        <w:br/>
        <w:br/>
        <w:t>95.   El procedimiento mediante el cual se decidiría la aplicabilidad de  la</w:t>
        <w:br/>
        <w:t>LRN se inició el 25 de junio de 2002, fecha en la cual  los  Magistrados  de</w:t>
        <w:br/>
        <w:t>la Sala Duodécima de la Corte de  Apelaciones  tuvieron  por  remitidas  las</w:t>
        <w:br/>
        <w:t>actuaciones del proceso penal No. 1316-94.  Sin embargo, dichos  magistrados</w:t>
        <w:br/>
        <w:t>se excusaron  de  conocer  el  asunto  por  haber  examinado  antes  amparos</w:t>
        <w:br/>
        <w:t>promovidos por los imputados[88]. Posteriormente, el asunto pasó a  la  Sala</w:t>
        <w:br/>
        <w:t>Décima de la Corte de Apelaciones, cuyos magistrados  también  se  excusaron</w:t>
        <w:br/>
        <w:t>de conocerlo[89]. A pesar de que dicha excusa fue rechazada, el asunto  pasó</w:t>
        <w:br/>
        <w:t>a ser del conocimiento de la Sala Cuarta de la Corte de Apelaciones[90]  por</w:t>
        <w:br/>
        <w:t>razones de vacaciones. Dicha Sala,  el  2  de  enero  de  2003,  ordenó  dar</w:t>
        <w:br/>
        <w:t>traslado a las partes para que se pronunciaran sobre la aplicabilidad de  la</w:t>
        <w:br/>
        <w:t>LRN[91]. El 20 de enero de 2003 uno de los imputados planteó un  reclamo  de</w:t>
        <w:br/>
        <w:t>subsanación contra la anterior decisión a fin de que no se diera traslado  a</w:t>
        <w:br/>
        <w:t>las partes, lo cual fue rechazado el mismo día[92].</w:t>
        <w:br/>
        <w:br/>
        <w:t>96.   Entre los meses de julio de 2002 y enero de 2003  fueron  interpuestos</w:t>
        <w:br/>
        <w:t>tres recursos de amparo[93], dos acciones  de  enmienda[94]  –una  de  ellas</w:t>
        <w:br/>
        <w:t>reiterada  dos  veces  más-[95]  y   dos   reclamos   de   subsanación   del</w:t>
        <w:br/>
        <w:t>procedimiento[96], a fin de dejar sin efecto todo lo actuado  a  partir  del</w:t>
        <w:br/>
        <w:t>28 de diciembre de 1996. Por otra parte, entre los días 11 y 12  de  febrero</w:t>
        <w:br/>
        <w:t>de  2003  tres  imputados  interpusieron  individualmente  un   recurso   de</w:t>
        <w:br/>
        <w:t>reposición, los cuales fueron otorgados por la Sala Décima de  la  Corte  de</w:t>
        <w:br/>
        <w:t>Apelaciones[97].</w:t>
        <w:br/>
        <w:br/>
        <w:t>97.   El 5 de febrero de 2003[98] el Fiscal presentó ante la Sala Décima  de</w:t>
        <w:br/>
        <w:t>la Corte de Apelaciones su planteamiento sobre  la  aplicación  de  la  LRN.</w:t>
        <w:br/>
        <w:t>Manifestó que la Ley en mención resulta aplicable  exclusivamente  a  hechos</w:t>
        <w:br/>
        <w:t>delictivos producidos en el  enfrentamiento  armado  interno,  por  personas</w:t>
        <w:br/>
        <w:t>involucradas en dicho enfrentamiento y con el  fin  de  “prevenir,  impedir,</w:t>
        <w:br/>
        <w:t>perseguir o reprimir los delitos reconocidos en los artículos 2 y  4  de  la</w:t>
        <w:br/>
        <w:t>citada ley como políticos y comunes conexos”,  y  expresó:  “¿de  qué  forma</w:t>
        <w:br/>
        <w:t>pretendían los  sindicados  prevenir,  impedir,  perseguir  o  reprimir  los</w:t>
        <w:br/>
        <w:t>delitos a que se refieren los artículos 2 y 4 de la [LRN], con la  violación</w:t>
        <w:br/>
        <w:t>de las niñas y mujeres o con el asesinato de niños recién  nacidos  o  niños</w:t>
        <w:br/>
        <w:t>pequeños y ancianos, o con la tortura y  posterior  asesinato  de  toda  una</w:t>
        <w:br/>
        <w:t>población civil desarmada  y  en  estado  de  indefensión?  Dentro  de  este</w:t>
        <w:br/>
        <w:t>contexto es evidente que los hechos ocurridos […]  en  el  Parcelamiento  de</w:t>
        <w:br/>
        <w:t>`Las Dos Erres´, en ningún momento  fueron  cometidos  por  el  ejército  de</w:t>
        <w:br/>
        <w:t>Guatemala, con los fines enunciados en el artículo  5  de  la  citada  Ley”.</w:t>
        <w:br/>
        <w:t>Como  conclusión,  el  Fiscal  solicitó  el  rechazo  de  la  pretensión  de</w:t>
        <w:br/>
        <w:t>aplicación de la LRN y solicitó  que  se  prosiguiera  con  el  trámite  del</w:t>
        <w:br/>
        <w:t>proceso penal[99].</w:t>
        <w:br/>
        <w:br/>
        <w:t>98.    Por otra parte, entre los días 7 de enero y 6  de  febrero  de  2003,</w:t>
        <w:br/>
        <w:t>algunos sindicados solicitaron  la  designación  de  Francisco  José  Palomo</w:t>
        <w:br/>
        <w:t>Tejada  como  abogado  defensor,  la  cual  fue  rechazada[100].  Ante  esta</w:t>
        <w:br/>
        <w:t>negativa, entre los días 31 de enero, 14 y 18 de febrero  de  2003,  uno  de</w:t>
        <w:br/>
        <w:t>los sindicados interpuso un recurso  de  reposición[101]  y  un  recurso  de</w:t>
        <w:br/>
        <w:t>amparo[102],  los  cuales  fueron  rechazados,  así  como  una   acción   de</w:t>
        <w:br/>
        <w:t>inconstitucionalidad.  La referida acción suspendió el proceso desde  el  17</w:t>
        <w:br/>
        <w:t>de febrero de 2003 hasta el 23 de febrero de 2009, cuando fue declarada  sin</w:t>
        <w:br/>
        <w:t>lugar por la Corte de Apelaciones[103]. El sindicado apeló dicha  sentencia,</w:t>
        <w:br/>
        <w:t>misma que hasta la fecha se encuentra pendiente de resolución[104].</w:t>
        <w:br/>
        <w:br/>
        <w:t>99.   Entre los meses de marzo de 2003 y de 2009  fueron  interpuestos  tres</w:t>
        <w:br/>
        <w:t>recursos de amparo, de los cuales uno fue otorgado ordenando que se  anulara</w:t>
        <w:br/>
        <w:t>todo  lo  actuado  a  partir  del  28  de  diciembre  de   1996[105],   otro</w:t>
        <w:br/>
        <w:t>rechazado[106], y el último se encuentra pendiente de resolución[107].</w:t>
        <w:br/>
        <w:br/>
        <w:t>100.  En definitiva, a raíz de la tramitación del proceso penal,  entre  los</w:t>
        <w:br/>
        <w:t>meses de abril de 2000 y  marzo  de  2009  los  sindicados  han  interpuesto</w:t>
        <w:br/>
        <w:t>alrededor de 33 recursos de amparo, 19 recursos de reposición,  19  reclamos</w:t>
        <w:br/>
        <w:t>de  subsanación,   dos   solicitudes   de   enmienda   y   una   acción   de</w:t>
        <w:br/>
        <w:t>inconstitucionalidad.</w:t>
        <w:br/>
        <w:br/>
        <w:br/>
        <w:t xml:space="preserve">    2.      Artículos 8 y 25 de la Convención Americana,  en  relación  con</w:t>
        <w:br/>
        <w:t xml:space="preserve">    los artículos 1 y 2 de ese tratado; Artículos 1, 6 y 8 de la Convención</w:t>
        <w:br/>
        <w:t xml:space="preserve">    Interamericana contra la Tortura, y artículo 7.b) de la  Convención  de</w:t>
        <w:br/>
        <w:t xml:space="preserve">    Belem do Pará.</w:t>
        <w:br/>
        <w:br/>
        <w:br/>
        <w:t>101.  Sin perjuicio del reconocimiento parcial de responsabilidad  realizado</w:t>
        <w:br/>
        <w:t>por el Estado respecto de los hechos de denegación de justicia, así como  de</w:t>
        <w:br/>
        <w:t>su allanamiento en cuanto a las violaciones de los artículos 8 y  25  de  la</w:t>
        <w:br/>
        <w:t>Convención (supra  párr.  36),  la  Corte,  con  base  en  el  marco  de  su</w:t>
        <w:br/>
        <w:t>competencia y  valorando  la  gravedad  de  los  hechos  que  generaron  las</w:t>
        <w:br/>
        <w:t>referidas violaciones, estima  necesario  realizar  algunas  consideraciones</w:t>
        <w:br/>
        <w:t>específicas a fin de establecer aquellas violaciones  que  han  generado  la</w:t>
        <w:br/>
        <w:t>responsabilidad internacional del Estado.</w:t>
        <w:br/>
        <w:br/>
        <w:t>102.  Ante la gravedad de los hechos y luego de la denuncia  presentada  por</w:t>
        <w:br/>
        <w:t>FAMDEGUA el 14 de junio de 1994 ante el Juzgado de Primera  Instancia  Penal</w:t>
        <w:br/>
        <w:t>de Petén, se ha impulsado un proceso en la jurisdicción penal ordinaria,  el</w:t>
        <w:br/>
        <w:t>cual aún permanece en su etapa inicial. Al respecto, la Comisión señaló  que</w:t>
        <w:br/>
        <w:t>“conforme a lo expresamente reconocido por  el  Estado,  los  hechos  de  la</w:t>
        <w:br/>
        <w:t>masacre de Las Dos Erres  no  han  sido  debidamente  investigados,  ni  los</w:t>
        <w:br/>
        <w:t>responsables  han  sido  juzgados  y  sancionados  […]   configurándose   la</w:t>
        <w:br/>
        <w:t>violación de los artículos 8 y 25 en relación con el 1.1 de la  Convención”.</w:t>
        <w:br/>
        <w:t xml:space="preserve">  Por  su  parte,  los  representantes  manifestaron  que  han  transcurrido</w:t>
        <w:br/>
        <w:t>veintiseis años sin que ninguno de los responsables  haya  sido  sancionado,</w:t>
        <w:br/>
        <w:t>por lo que el  Estado  ha  incumplido  su  deber  de  investigar,  juzgar  y</w:t>
        <w:br/>
        <w:t>sancionar a los responsables. Además, los representantes señalaron  que  “la</w:t>
        <w:br/>
        <w:t>impunidad y la falta de información íntegra y veraz sobre lo sucedido en  la</w:t>
        <w:br/>
        <w:t>masacre ha provocado la violación por parte del  Estado  del  derecho  a  la</w:t>
        <w:br/>
        <w:t>verdad, vulnerando los artículos 8, 25 y 13 de la Convención. Por su  parte,</w:t>
        <w:br/>
        <w:t>el Estado se allanó a las pretensiones de la Comisión y  los  representantes</w:t>
        <w:br/>
        <w:t>en cuanto a las violaciones de los derechos establecidos  en  los  artículos</w:t>
        <w:br/>
        <w:t>8.1 y 25.1 de la Convención, en concordancia  con  el  artículo  1.1  de  la</w:t>
        <w:br/>
        <w:t>misma, a partir  de  la  denuncia  presentada  por  FAMDEGUA.  Aunado  a  lo</w:t>
        <w:br/>
        <w:t>anterior, el Estado manifestó que  había  realizado  algunas  acciones  para</w:t>
        <w:br/>
        <w:t>obtener  justicia,  y  reiteró  su  compromiso  de   llevar   a   cabo   una</w:t>
        <w:br/>
        <w:t>investigación seria y efectiva y un juicio penal  que  individualice  a  los</w:t>
        <w:br/>
        <w:t>presuntos responsables.</w:t>
        <w:br/>
        <w:br/>
        <w:t>103.  Ante el señalamiento por las partes de  diversas  irregularidades  que</w:t>
        <w:br/>
        <w:t>han impedido el efectivo acceso a la justicia  de  las  víctimas,  la  Corte</w:t>
        <w:br/>
        <w:t>abordará este tema en los siguientes tres apartados:  A)  Aplicación  de  la</w:t>
        <w:br/>
        <w:t>“Ley de Amparo, Exhibición Personal y de  Constitucionalidad”  en  Guatemala</w:t>
        <w:br/>
        <w:t>(en adelante “Ley de Amparo”); B) Dilación e inaplicabilidad de la  “Ley  de</w:t>
        <w:br/>
        <w:t>Reconciliación  Nacional”  (en  adelante  “LRN”),  y   C)   Falta   de   una</w:t>
        <w:br/>
        <w:t>investigación completa y exhaustiva de los hechos de la  masacre,  así  como</w:t>
        <w:br/>
        <w:t>otras omisiones.</w:t>
        <w:br/>
        <w:br/>
        <w:t>104.  Es preciso  recordar  que  esta  Corte  ha  sostenido  que,  según  la</w:t>
        <w:br/>
        <w:t>Convención Americana, los  Estados  Partes  están  obligados  a  suministrar</w:t>
        <w:br/>
        <w:t>recursos judiciales efectivos a las víctimas de violaciones de los  derechos</w:t>
        <w:br/>
        <w:t>humanos (artículo 25), recursos que deben ser  sustanciados  de  conformidad</w:t>
        <w:br/>
        <w:t>con las reglas del debido proceso legal (artículo 8.1), todo ello dentro  de</w:t>
        <w:br/>
        <w:t>la obligación general, a cargo de  los  mismos  Estados,  de  garantizar  el</w:t>
        <w:br/>
        <w:t>libre y pleno ejercicio de los derechos  reconocidos  por  la  Convención  a</w:t>
        <w:br/>
        <w:t>toda persona que se encuentre bajo su jurisdicción (artículo 1.1)[108].</w:t>
        <w:br/>
        <w:br/>
        <w:t>105.  Asimismo, ha señalado que el derecho de  acceso  a  la  justicia  debe</w:t>
        <w:br/>
        <w:t>asegurar, en tiempo razonable, el derecho de las presuntas  víctimas  o  sus</w:t>
        <w:br/>
        <w:t>familiares a que se haga todo lo necesario para  conocer  la  verdad  de  lo</w:t>
        <w:br/>
        <w:t>sucedido y se sancione a los eventuales responsables[109].</w:t>
        <w:br/>
        <w:br/>
        <w:t xml:space="preserve">    A)      Aplicación de la “Ley de Amparo”</w:t>
        <w:br/>
        <w:br/>
        <w:t>106.  Como se desprende de los hechos del caso, el amparo ha sido  utilizado</w:t>
        <w:br/>
        <w:t>como práctica dilatoria en el proceso penal (supra párrs. 90, 91, 96,  98  a</w:t>
        <w:br/>
        <w:t>100).  Inclusive, el propio Estado en  su  escrito  de  contestación  de  la</w:t>
        <w:br/>
        <w:t>demanda, al reconocer su responsabilidad señaló que “[…] en la  práctica  el</w:t>
        <w:br/>
        <w:t>uso  constante  y  frívolo  del  amparo  ha  ameritado  que  los  diferentes</w:t>
        <w:br/>
        <w:t>Organismos del Estado discutan la implementación  de  medidas  que  permitan</w:t>
        <w:br/>
        <w:t>atacar el uso inadecuado de dicha acción  constitucional”.   Este  Tribunal,</w:t>
        <w:br/>
        <w:t>en el Caso Mack Chang contra el mismo Estado de Guatemala, ya  se  pronunció</w:t>
        <w:br/>
        <w:t>sobre  las  falencias  del  recurso  de  amparo  utilizado  como  estrategia</w:t>
        <w:br/>
        <w:t>dilatoria[110]. A la luz de lo anterior, la Corte analizará ese problema  en</w:t>
        <w:br/>
        <w:t>el presente caso.</w:t>
        <w:br/>
        <w:br/>
        <w:t>107.  Este  Tribunal  ha  establecido  que  el  recurso  de  amparo  por  su</w:t>
        <w:br/>
        <w:t>naturaleza es “el procedimiento judicial sencillo  y  breve  que  tiene  por</w:t>
        <w:br/>
        <w:t>objeto la tutela de todos los derechos reconocidos por las constituciones  y</w:t>
        <w:br/>
        <w:t>leyes de  los  Estados  Partes  y  por  la  Convención”[111].  Asimismo,  ha</w:t>
        <w:br/>
        <w:t>considerado que tal recurso entra  en  el  ámbito  del  artículo  25  de  la</w:t>
        <w:br/>
        <w:t>Convención Americana, por lo cual tiene que cumplir con  varias  exigencias,</w:t>
        <w:br/>
        <w:t>entre las cuales  se  encuentra  la  idoneidad  y  la  efectividad[112].  Es</w:t>
        <w:br/>
        <w:t>preciso  analizar  el  recurso   de   amparo   como   recurso   adecuado   y</w:t>
        <w:br/>
        <w:t>efectivo[113], así como por la práctica dilatoria que se le ha dado  a  éste</w:t>
        <w:br/>
        <w:t>en el presente caso.</w:t>
        <w:br/>
        <w:br/>
        <w:t>108.  La Corte observa que la Ley de Amparo en Guatemala establece que  este</w:t>
        <w:br/>
        <w:t>recurso tiene por objeto el desarrollo de  “las  garantías  y  defensas  del</w:t>
        <w:br/>
        <w:t>orden constitucional y de los derechos inherentes a  la  persona  protegidos</w:t>
        <w:br/>
        <w:t>por  la  Constitución  […],  las  leyes,  y  los  convenios  internacionales</w:t>
        <w:br/>
        <w:t>ratificados por  Guatemala”[114].  Tanto  la  Constitución  Política  de  la</w:t>
        <w:br/>
        <w:t>República de Guatemala como la Ley de  Amparo  señalan  que  el  recurso  de</w:t>
        <w:br/>
        <w:t>amparo tiene como fin  proteger  a  las  personas  contra  las  amenazas  de</w:t>
        <w:br/>
        <w:t>violaciones a sus derechos o restaurar el imperio de los  mismos  cuando  la</w:t>
        <w:br/>
        <w:t>violación hubiere ocurrido. No hay ámbito que no sea susceptible de  amparo,</w:t>
        <w:br/>
        <w:t>y procederá siempre que los actos, resoluciones, disposiciones  o  leyes  de</w:t>
        <w:br/>
        <w:t>autoridad lleven implícitos una  amenaza,  restricción  o  violación  a  los</w:t>
        <w:br/>
        <w:t>derechos que la Constitución y las leyes garantizan[115].</w:t>
        <w:br/>
        <w:br/>
        <w:t>109.  Asimismo, la Ley de Amparo  establece  ciertos  requisitos  necesarios</w:t>
        <w:br/>
        <w:t>para interponer este recurso. Sin embargo, los jueces no están  obligados  a</w:t>
        <w:br/>
        <w:t>analizar previamente los requisitos de admisibilidad. Por el contrario,  una</w:t>
        <w:br/>
        <w:t>vez interpuesto el recurso, el fondo del mismo debe ser  tramitado[116].  La</w:t>
        <w:br/>
        <w:t>solicitud  del  recurso  no   puede   rechazarse   aún   cuando   ésta   sea</w:t>
        <w:br/>
        <w:t>manifiestamente improcedente. Lo anterior ha  facilitado  una  interposición</w:t>
        <w:br/>
        <w:t>indiscriminada de recursos de amparo por parte de los imputados. La  mayoría</w:t>
        <w:br/>
        <w:t>de estos recursos en el  presente  caso  han  sido  denegados  y  declarados</w:t>
        <w:br/>
        <w:t>improcedentes, por no cumplir con los presupuestos  procesales  establecidos</w:t>
        <w:br/>
        <w:t>en la ley[117].</w:t>
        <w:br/>
        <w:br/>
        <w:t>110.  En el caso Mack Chang Vs. Guatemala la Corte se pronunció respecto  de</w:t>
        <w:br/>
        <w:t>la institución del amparo en Guatemala, al señalar que:</w:t>
        <w:br/>
        <w:br/>
        <w:br/>
        <w:t xml:space="preserve">       […] tal como se desprende del texto de la “Ley de Amparo, Exhibición</w:t>
        <w:br/>
        <w:t xml:space="preserve">      Personal y de Constitucionalidad”, y de acuerdo  con  el  peritaje  de</w:t>
        <w:br/>
        <w:t xml:space="preserve">      Henry El Khoury, la propia ley obliga a los tribunales de amparo a dar</w:t>
        <w:br/>
        <w:t xml:space="preserve">      trámite y resolver todo recurso de amparo que sea  interpuesto  contra</w:t>
        <w:br/>
        <w:t xml:space="preserve">      cualquier autoridad judicial por  cualquier  acto  procesal.   Por  lo</w:t>
        <w:br/>
        <w:t xml:space="preserve">      tanto, la ley misma  obliga  a  dichos  tribunales  a  dar  trámite  a</w:t>
        <w:br/>
        <w:t xml:space="preserve">      cualquier  recurso  de  amparo,  aunque  este   sea   “manifiestamente</w:t>
        <w:br/>
        <w:t xml:space="preserve">      improcedente”, tal como  fueron  declarados  varios  de  los  recursos</w:t>
        <w:br/>
        <w:t xml:space="preserve">      planteados en este caso[118].</w:t>
        <w:br/>
        <w:br/>
        <w:t>111.  Cabe señalar que en el presente caso la defensa de  los  imputados  de</w:t>
        <w:br/>
        <w:t>la masacre ha presentado por lo menos 33 recursos de amparo, de  los  cuales</w:t>
        <w:br/>
        <w:t>24 fueron rechazados[119] y algunos han demorado hasta cuatro  años  en  ser</w:t>
        <w:br/>
        <w:t>resueltos. Además, dichas decisiones  fueron  posteriormente  apeladas  ante</w:t>
        <w:br/>
        <w:t>diferentes  instancias,  lo  que  implicó  que  el  trámite  de  amparo   se</w:t>
        <w:br/>
        <w:t>prolongara (infra párr. 114).  Se ha presentado una ostensible  dilación  en</w:t>
        <w:br/>
        <w:t>la tramitación y resolución de dichos recursos, lo  cual  no  es  compatible</w:t>
        <w:br/>
        <w:t>con el artículo 25.1 de la Convención Americana. Si bien la Corte  considera</w:t>
        <w:br/>
        <w:t>que el recurso de amparo es el recurso  idóneo  para  tutelar  los  derechos</w:t>
        <w:br/>
        <w:t>humanos en Guatemala, su amplitud y falta de requisitos de admisibilidad  ha</w:t>
        <w:br/>
        <w:t>derivado en que algunos de éstos casos la demora sea excesiva y paralice  la</w:t>
        <w:br/>
        <w:t>justicia.</w:t>
        <w:br/>
        <w:br/>
        <w:t>112.  En el presente caso los amparos  presentados  en  el  proceso  interno</w:t>
        <w:br/>
        <w:t>excedieron en sus trámites los plazos establecidos  por  la  ley.  Así,  los</w:t>
        <w:br/>
        <w:t>representantes y la Comisión alegaron que sólo cinco de los  amparos  fueron</w:t>
        <w:br/>
        <w:t>resueltos en menos de un año, 19 de ellos duraron  entre  uno  y  dos  años,</w:t>
        <w:br/>
        <w:t>cuatro recursos demoraron más de tres años en ser resueltos, y uno de  ellos</w:t>
        <w:br/>
        <w:t>tardó cuatro años y cinco meses.</w:t>
        <w:br/>
        <w:br/>
        <w:t>113.  Al respecto, el testigo Edgar  Fernando  Pérez  Archila  declaró  ante</w:t>
        <w:br/>
        <w:t>esta Corte sobre la duración excesiva de los trámites  de  los  recursos  de</w:t>
        <w:br/>
        <w:t>amparo en el caso de la Masacre de Las Dos Erres, en comparación  con  otros</w:t>
        <w:br/>
        <w:t>casos de naturaleza similar conocidos en la misma época, y  señaló  que  “el</w:t>
        <w:br/>
        <w:t>promedio en primera instancia estaba alrededor de los  seis  meses[,  y]  el</w:t>
        <w:br/>
        <w:t>promedio de segunda  instancia  estaba  alrededor  de  los  320  días”[120].</w:t>
        <w:br/>
        <w:t>Asimismo, en su dictamen pericial,  la  señora  Claudia  Paz  y  Paz  Bailey</w:t>
        <w:br/>
        <w:t>expresó que “el promedio de la tramitación de los amparos en el caso de  Las</w:t>
        <w:br/>
        <w:t>Dos Erres excede con mucho el [problema] en la  tramitación  en  general  de</w:t>
        <w:br/>
        <w:t>los amparos”[121]. Esta situación ha sido planteada también  por  organismos</w:t>
        <w:br/>
        <w:t>internacionales[122].</w:t>
        <w:br/>
        <w:br/>
        <w:t>114.  De otro lado, los  imputados  en  el  proceso  penal  presentaron  sus</w:t>
        <w:br/>
        <w:t>recursos de amparo ante siete distintas salas de la  Corte  de  Apelaciones,</w:t>
        <w:br/>
        <w:t>las cuales reconocieron su competencia para conocer de éstos, siendo que  la</w:t>
        <w:br/>
        <w:t>Corte Suprema de Justicia había establecido la competencia única de la  Sala</w:t>
        <w:br/>
        <w:t>Duodécima  de  la  Corte  de  Apelaciones  para  conocer  de   los   asuntos</w:t>
        <w:br/>
        <w:t>provenientes de Petén[123]. Por tanto, las Salas Primera, Segunda,  Tercera,</w:t>
        <w:br/>
        <w:t>Cuarta,  Décima,  y  Decimotercera,  examinaron  los  recursos,  aún  cuando</w:t>
        <w:br/>
        <w:t>algunas de ellas no tenían competencia para  tramitar  asuntos  penales,  lo</w:t>
        <w:br/>
        <w:t>cual, según los representantes,  “impidió  que  la  Sala  Duodécima  pudiera</w:t>
        <w:br/>
        <w:t>contrarrestar  la  táctica  dilatoria  [de  los  acusados],  acumulando  los</w:t>
        <w:br/>
        <w:t>recursos de amparo de la misma naturaleza”.</w:t>
        <w:br/>
        <w:br/>
        <w:br/>
        <w:t>115.  Inclusive, en aquellos casos en los cuales se presentaron recursos  de</w:t>
        <w:br/>
        <w:t>amparo  con  los  mismos  hechos  y  ante  la  misma  sala,  los  jueces  no</w:t>
        <w:br/>
        <w:t>procedieron a la acumulación de los mismos[124], en  contravención  con  los</w:t>
        <w:br/>
        <w:t>artículos 54 y 55 del Código Procesal Penal de Guatemala, el cual  establece</w:t>
        <w:br/>
        <w:t>que por razones de economía procesal  las  causas  por  delitos  conexos  de</w:t>
        <w:br/>
        <w:t>acción pública son conocidos por un único tribunal.</w:t>
        <w:br/>
        <w:br/>
        <w:t>116.  Ante este escenario, la Corte toma nota del señalamiento de  la  Corte</w:t>
        <w:br/>
        <w:t>Suprema de Justicia, la cual en la exposición de motivos de su  proyecto  de</w:t>
        <w:br/>
        <w:t>reforma a la Ley de Amparo (Iniciativa de Ley No. 3319[125]), aún  pendiente</w:t>
        <w:br/>
        <w:t>de aprobación, sostuvo que:</w:t>
        <w:br/>
        <w:br/>
        <w:t xml:space="preserve">      [l]a amplitud con la que  está  regulado  actualmente  el  proceso  de</w:t>
        <w:br/>
        <w:t xml:space="preserve">      amparo,  ha  provocado   serios   inconvenientes   materializados   en</w:t>
        <w:br/>
        <w:t xml:space="preserve">      obstáculos a  una  administración  de  justicia  pronta,  cumplida,  y</w:t>
        <w:br/>
        <w:t xml:space="preserve">      eficaz. Tales inconvenientes se singularizan en  el  uso  abusivo  del</w:t>
        <w:br/>
        <w:t xml:space="preserve">      amparo en materia judicial, que provoca un retraso deliberado  en  los</w:t>
        <w:br/>
        <w:t xml:space="preserve">      procesos ordinarios, incumplimiento de plazos en sus trámites en plena</w:t>
        <w:br/>
        <w:t xml:space="preserve">      incongruencia con el principio de economía procesal[126].</w:t>
        <w:br/>
        <w:br/>
        <w:t>117.  Asimismo, la Corte toma nota del Dictamen Conjunto,  emitido  por  las</w:t>
        <w:br/>
        <w:t>Comisiones de  Reforma  del  Sector  Justicia  y  de  Legislación  y  Puntos</w:t>
        <w:br/>
        <w:t>Constitucionales sobre  la  reforma  de  la  Ley  de  Amparo  en  Guatemala,</w:t>
        <w:br/>
        <w:t>mediante el cual  confirman  la  importancia  de  revisar  esta  legislación</w:t>
        <w:br/>
        <w:t>considerada permisiva, cuya interpretación ha dado lugar a abusos,  retrasos</w:t>
        <w:br/>
        <w:t>deliberados y obstáculos  para  una  justicia  pronta  y  cumplida.  Además,</w:t>
        <w:br/>
        <w:t>establece que “se hace necesario aclarar, ampliar, o explicitar  normas  que</w:t>
        <w:br/>
        <w:t>en la actualidad han dado lugar a variadas interpretaciones y  aplicaciones,</w:t>
        <w:br/>
        <w:t>que provocan retrasos innecesarios en el trámite de los procesos y  acciones</w:t>
        <w:br/>
        <w:t>de amparo que desnaturalizan su finalidad y propósito”[127].</w:t>
        <w:br/>
        <w:br/>
        <w:t>118.  Por su  parte,  la  Comisión  Internacional  Contra  la  Impunidad  en</w:t>
        <w:br/>
        <w:t>Guatemala  (en  adelante  “CICIG”)  también  se  ha  pronunciado  sobre   la</w:t>
        <w:br/>
        <w:t>necesidad de modificar la Ley de Amparo y ha señalado que “la iniciativa  de</w:t>
        <w:br/>
        <w:t>Ley No. 3319 presentada al Congreso […] presenta en  general  modificaciones</w:t>
        <w:br/>
        <w:t>que permitirían reducir el uso abusivo del [a]mparo judicial”.</w:t>
        <w:br/>
        <w:br/>
        <w:t>119.  De los elementos señalados se desprende que el recurso  de  amparo  en</w:t>
        <w:br/>
        <w:t>Guatemala ha sido utilizado  como  instrumento  dilatorio.  Así,  la  perito</w:t>
        <w:br/>
        <w:t>Claudia Paz y Paz Bailey ha indicado que:</w:t>
        <w:br/>
        <w:br/>
        <w:t xml:space="preserve">      la jurisprudencia de la Corte de  Constitucionalidad  ha  ampliado  en</w:t>
        <w:br/>
        <w:t xml:space="preserve">      demasía la posibilidad de interponer recursos en la tramitación de los</w:t>
        <w:br/>
        <w:t xml:space="preserve">      procesos judiciales. Eso por una parte ha provocado la saturación  del</w:t>
        <w:br/>
        <w:t xml:space="preserve">      sistema constitucional, en la Corte de Constitucionalidad  en  el  año</w:t>
        <w:br/>
        <w:t xml:space="preserve">      2007 recibió casi 4.000 (cuatro mil) expedientes,  4.000  casos,  pero</w:t>
        <w:br/>
        <w:t xml:space="preserve">      también ha permitido que el recurso de amparo se utilice para dilatar,</w:t>
        <w:br/>
        <w:t xml:space="preserve">      suspender y  obstaculizar  los  procesos.  Además,  maliciosamente  lo</w:t>
        <w:br/>
        <w:t xml:space="preserve">      utilizan pero para  hacerlo  tienen  la  complicidad  del  sistema  de</w:t>
        <w:br/>
        <w:t xml:space="preserve">      justicia. También en la  estructura  del  recurso  de  amparo  es  una</w:t>
        <w:br/>
        <w:t xml:space="preserve">      estructura muy engorrosa y con demasiados trámites[128].</w:t>
        <w:br/>
        <w:br/>
        <w:t>120.  En este caso la Corte observa que las  disposiciones  que  regulan  el</w:t>
        <w:br/>
        <w:t>recurso de amparo, la falta de debida diligencia y la tolerancia  por  parte</w:t>
        <w:br/>
        <w:t>de los tribunales al momento de tramitarlo, así  como  la  falta  de  tutela</w:t>
        <w:br/>
        <w:t>judicial efectiva, han permitido el uso abusivo  del  amparo  como  práctica</w:t>
        <w:br/>
        <w:t>dilatoria en el proceso. Asimismo, luego de transcurridos más de 15 años  de</w:t>
        <w:br/>
        <w:t>iniciado el proceso penal y 27 años de ocurridos los hechos,  dicho  proceso</w:t>
        <w:br/>
        <w:t>se encuentra aún en su etapa inicial, en perjuicio de los  derechos  de  las</w:t>
        <w:br/>
        <w:t>víctimas a  saber  la  verdad  de  lo  sucedido,  a  que  se  identifique  y</w:t>
        <w:br/>
        <w:t>eventualmente  se  sancione  a  todos  los  responsables  y  a  obtener  las</w:t>
        <w:br/>
        <w:t>consecuentes reparaciones.</w:t>
        <w:br/>
        <w:br/>
        <w:t>121.  En razón de lo anterior, el Tribunal estima que el recurso  de  amparo</w:t>
        <w:br/>
        <w:t>es adecuado para tutelar los derechos  humanos  de  los  individuos,  siendo</w:t>
        <w:br/>
        <w:t>éste  idóneo  para  proteger  la  situación  jurídica  infringida,  por  ser</w:t>
        <w:br/>
        <w:t>aplicable a los actos de autoridad que implican una amenaza,  restricción  o</w:t>
        <w:br/>
        <w:t>violación a los derechos protegidos.  Sin embargo, en el  presente  caso  la</w:t>
        <w:br/>
        <w:t>estructura actual del recurso de amparo en Guatemala y su  uso  indebido  ha</w:t>
        <w:br/>
        <w:t>impedido su verdadera efectividad, al no haber  permitido  que  produzca  el</w:t>
        <w:br/>
        <w:t>resultado para el cual fue concebido.</w:t>
        <w:br/>
        <w:br/>
        <w:t>122.  Es preciso mencionar que el deber general del  Estado  de  adecuar  su</w:t>
        <w:br/>
        <w:t>derecho  interno  a  las  disposiciones  de  la  Convención  Americana  para</w:t>
        <w:br/>
        <w:t>garantizar los derechos en ella consagrados, establecido en el  artículo  2,</w:t>
        <w:br/>
        <w:t>implica la adopción  de  medidas  en  dos  vertientes.  Por  una  parte,  la</w:t>
        <w:br/>
        <w:t>supresión de las normas y prácticas de  cualquier  naturaleza  que  entrañen</w:t>
        <w:br/>
        <w:t>violación a las garantías previstas en  la  Convención.   Por  la  otra,  la</w:t>
        <w:br/>
        <w:t>expedición de normas y el desarrollo de prácticas conducentes a la  efectiva</w:t>
        <w:br/>
        <w:t>observancia de dichas garantías[129], lo cual no ha  sido  materializado  en</w:t>
        <w:br/>
        <w:t>el presente caso respecto del recurso de amparo. La Corte  observa  que  las</w:t>
        <w:br/>
        <w:t>partes han coincidido en considerar abusivo el uso  del  recurso  de  amparo</w:t>
        <w:br/>
        <w:t>como práctica dilatoria en el presente caso.</w:t>
        <w:br/>
        <w:br/>
        <w:t>123.  El Estado manifestó que se  encuentra  en  discusión  el  proyecto  de</w:t>
        <w:br/>
        <w:t>iniciativa de la reforma a  la  Ley  de  Amparo,  Decreto  No.  1-86  de  la</w:t>
        <w:br/>
        <w:t>Asamblea Nacional Constituyente, el cual fue presentado al  Congreso  de  la</w:t>
        <w:br/>
        <w:t>República de Guatemala por los Magistrados de la Corte Suprema de  Justicia,</w:t>
        <w:br/>
        <w:t>con  el  “objetivo  de  convertir  el  proceso  de  amparo  en  un   sistema</w:t>
        <w:br/>
        <w:t>extraordinario, breve, y eficaz,  conforme  a  la  tutela  de  los  derechos</w:t>
        <w:br/>
        <w:t>fundamentales de la persona y  minimizar  las  inconveniencias  que  se  han</w:t>
        <w:br/>
        <w:t>generado en la administración de justicia.”  No  obstante  lo  anterior,  la</w:t>
        <w:br/>
        <w:t>Corte observa que al momento de emitir la  presente  Sentencia  aún  no  han</w:t>
        <w:br/>
        <w:t>sido removidos los obstáculos para que el amparo cumpla  con  los  objetivos</w:t>
        <w:br/>
        <w:t>para los cuales ha sido creado.</w:t>
        <w:br/>
        <w:br/>
        <w:t>124.  De acuerdo a lo expuesto la Corte considera que, en  el  marco  de  la</w:t>
        <w:br/>
        <w:t>legislación vigente en Guatemala, en el presente caso el recurso  de  amparo</w:t>
        <w:br/>
        <w:t>se ha transformado  en  un  medio  para  dilatar  y  entorpecer  el  proceso</w:t>
        <w:br/>
        <w:t>judicial y en un factor para la impunidad. En  consecuencia,  este  Tribunal</w:t>
        <w:br/>
        <w:t>considera que en el presente  caso  el  Estado  violó  los  derechos  a  las</w:t>
        <w:br/>
        <w:t>garantías judiciales y a la protección judicial, que configuran el acceso  a</w:t>
        <w:br/>
        <w:t>la justicia de las víctimas, reconocidos en los artículos 8.1 y 25.1  de  la</w:t>
        <w:br/>
        <w:t>Convención, e incumplió con las disposiciones contenidas  en  los  artículos</w:t>
        <w:br/>
        <w:t>1.1 y 2 de la misma.</w:t>
        <w:br/>
        <w:br/>
        <w:t xml:space="preserve">    B)      Dilación e Inaplicabilidad de la Ley de Reconciliación Nacional</w:t>
        <w:br/>
        <w:br/>
        <w:t>125.  La Comisión y los representantes coinciden en señalar que  la  posible</w:t>
        <w:br/>
        <w:t>aplicación de la LRN al presente caso  implicaría  perpetuar  la  impunidad.</w:t>
        <w:br/>
        <w:t>Asimismo, criticaron la dilación excesiva en el trámite para  decidir  sobre</w:t>
        <w:br/>
        <w:t>la aplicación o no de dicha ley. El Estado, en su  escrito  de  contestación</w:t>
        <w:br/>
        <w:t>de la demanda no se pronunció al respecto. Sin embargo,  en  su  escrito  de</w:t>
        <w:br/>
        <w:t>alegatos finales brindó información adicional sobre el ámbito de  aplicación</w:t>
        <w:br/>
        <w:t>de la LRN, Decreto No.  145-96  del  Congreso  de  la  República.  En  dicho</w:t>
        <w:br/>
        <w:t>apartado el Estado concluyó que “[n]o hay  hasta  ahora  ninguna  resolución</w:t>
        <w:br/>
        <w:t>que haya otorgado  amnistía  aplicada  a  militares  sindicados  por  hechos</w:t>
        <w:br/>
        <w:t>cometidos durante el conflicto armado interno, por el  contrario  cuando  ha</w:t>
        <w:br/>
        <w:t>solicitado el otorgamiento  de  la  amnistía  [con]  base  [en]  la  Ley  de</w:t>
        <w:br/>
        <w:t>Reconciliación  Nacional,  todas  las  solicitudes   han   sido   declaradas</w:t>
        <w:br/>
        <w:t>improcedentes”.</w:t>
        <w:br/>
        <w:br/>
        <w:t>126.  Como ya fue referido (supra párr. 95), el 25 de junio de  2002  inició</w:t>
        <w:br/>
        <w:t>el procedimiento mediante el cual se decidiría sobre  la  aplicación  de  la</w:t>
        <w:br/>
        <w:t>LRN. Dicha ley otorga un plazo de diez días, prorrogable por otros  diez  en</w:t>
        <w:br/>
        <w:t>caso de que se celebre audiencia, para que se dicte la resolución  sobre  la</w:t>
        <w:br/>
        <w:t>aplicabilidad o no de la extinción penal. En caso de promoverse  recurso  de</w:t>
        <w:br/>
        <w:t>apelación ante la Corte Suprema de Justicia, ésta cuenta  con  un  plazo  de</w:t>
        <w:br/>
        <w:t>cinco días para resolver dicho recurso, decisión que no es  recurrible[130].</w:t>
        <w:br/>
        <w:t>Dicho procedimiento se encuentra suspendido desde el 17 de febrero  de  2003</w:t>
        <w:br/>
        <w:t>en espera de que se falle la acción de inconstitucionalidad interpuesta  por</w:t>
        <w:br/>
        <w:t>uno  de  los  imputados.  En  consecuencia,  resulta  evidente  la  dilación</w:t>
        <w:br/>
        <w:t>excesiva en resolver la aplicación de  LRN  por  parte  de  las  autoridades</w:t>
        <w:br/>
        <w:t>judiciales, lo cual también ha provocado el retraso en el proceso  penal  el</w:t>
        <w:br/>
        <w:t>cual ya se ha extendido por más de ocho años.</w:t>
        <w:br/>
        <w:br/>
        <w:t>127.  Por otro lado, el tiempo excesivo que  ha  utilizado  el  Estado  para</w:t>
        <w:br/>
        <w:t>decidir si aplica o no  la  extinción  penal  ha  creado  una  situación  de</w:t>
        <w:br/>
        <w:t>incertidumbre jurídica para el caso, así como para las víctimas. Si bien  el</w:t>
        <w:br/>
        <w:t>Estado aseguró durante la audiencia pública  y  sus  alegatos  finales  que,</w:t>
        <w:br/>
        <w:t>hasta la fecha, en ningún caso tramitado en  Guatemala  se  ha  otorgado  la</w:t>
        <w:br/>
        <w:t>amnistía de forma antijurídica, resulta  claro  que  el  objeto  formal  del</w:t>
        <w:br/>
        <w:t>proceso establecido en la LRN  es  precisamente  decidir  sobre  la  posible</w:t>
        <w:br/>
        <w:t>aplicación de esa figura[131].</w:t>
        <w:br/>
        <w:br/>
        <w:t>128.  Cabe señalar que no obstante  la  Masacre  de  Las  Dos  Erres  se  ha</w:t>
        <w:br/>
        <w:t>enmarcado dentro del conflicto armado interno de  Guatemala,  ésta  ha  sido</w:t>
        <w:br/>
        <w:t>calificada por  el  Ministerio  Público  en  la  jurisdicción  interna  como</w:t>
        <w:br/>
        <w:t>asesinato. Asimismo, el 4 de abril de 2001 la  Corte  de  Constitucionalidad</w:t>
        <w:br/>
        <w:t>ordenó  la  remisión  del  expediente  a  la  Corte  de  Apelación  para  la</w:t>
        <w:br/>
        <w:t>determinación de  la  aplicación  de  la  LRN  y  eventual  amnistía  a  los</w:t>
        <w:br/>
        <w:t>imputados, por referirse a hechos ocurridos durante el conflicto armado,  lo</w:t>
        <w:br/>
        <w:t>cual contraviene el artículo 11 de la LRN[132]. Sin embargo, dicha  decisión</w:t>
        <w:br/>
        <w:t>pareciera que no toma en cuenta la naturaleza y gravedad de los hechos.</w:t>
        <w:br/>
        <w:br/>
        <w:t>129.  Ante esta situación, la  Corte  reitera  su  jurisprudencia  constante</w:t>
        <w:br/>
        <w:t>sobre la incompatibilidad de figuras como la prescripción y la  amnistía  en</w:t>
        <w:br/>
        <w:t>los casos de graves violaciones a los derechos humanos, que de manera  clara</w:t>
        <w:br/>
        <w:t>ha establecido que:</w:t>
        <w:br/>
        <w:br/>
        <w:t xml:space="preserve">      El Estado debe garantizar  que  los  procesos  internos  tendientes  a</w:t>
        <w:br/>
        <w:t xml:space="preserve">      investigar y [eventualmente]  sancionar  a  los  responsables  de  los</w:t>
        <w:br/>
        <w:t xml:space="preserve">      hechos de este caso surtan sus debidos efectos y,  en  particular,  de</w:t>
        <w:br/>
        <w:t xml:space="preserve">      abstenerse de recurrir a figuras como la amnistía, la  prescripción  y</w:t>
        <w:br/>
        <w:t xml:space="preserve">      el establecimiento de excluyentes de responsabilidad. En ese  sentido,</w:t>
        <w:br/>
        <w:t xml:space="preserve">      el Tribunal ya ha señalado que […]son inadmisibles  las  disposiciones</w:t>
        <w:br/>
        <w:t xml:space="preserve">      de amnistía, las disposiciones de prescripción y el establecimiento de</w:t>
        <w:br/>
        <w:t xml:space="preserve">      excluyentes de responsabilidad que pretendan impedir la  investigación</w:t>
        <w:br/>
        <w:t xml:space="preserve">      y sanción de  los  responsables  de  las  violaciones  graves  de  los</w:t>
        <w:br/>
        <w:t xml:space="preserve">      derechos humanos tales como  la  tortura,  las  ejecuciones  sumarias,</w:t>
        <w:br/>
        <w:t xml:space="preserve">      extralegales o arbitrarias y las desapariciones forzadas, todas  ellas</w:t>
        <w:br/>
        <w:t xml:space="preserve">      prohibidas por contravenir derechos inderogables  reconocidos  por  el</w:t>
        <w:br/>
        <w:t xml:space="preserve">      Derecho Internacional de los Derechos Humanos” [133].</w:t>
        <w:br/>
        <w:br/>
        <w:br/>
        <w:t xml:space="preserve">      […] ninguna ley ni disposición de derecho interno puede impedir  a  un</w:t>
        <w:br/>
        <w:t xml:space="preserve">      Estado cumplir con la obligación  de  investigar  y  sancionar  a  los</w:t>
        <w:br/>
        <w:t xml:space="preserve">      responsables  de   violaciones   de   derechos   humanos[…][134].   En</w:t>
        <w:br/>
        <w:t xml:space="preserve">      particular, al tratarse de graves violaciones de derechos  humanos  el</w:t>
        <w:br/>
        <w:t xml:space="preserve">      Estado no podrá argumentar prescripción o cualquier excluyente similar</w:t>
        <w:br/>
        <w:t xml:space="preserve">      de responsabilidad, para excusarse de su deber[135].</w:t>
        <w:br/>
        <w:br/>
        <w:t>130.  El Tribunal hace notar que los hechos de la Masacre de Las Dos  Erres,</w:t>
        <w:br/>
        <w:t>reconocidos  por  el  Estado,  constituyen  graves  violaciones  a  derechos</w:t>
        <w:br/>
        <w:t>humanos. El contexto de dichos hechos ha  sido  reconocido  por  esta  Corte</w:t>
        <w:br/>
        <w:t>como “un patrón de ejecuciones extrajudiciales selectivas impulsadas por  el</w:t>
        <w:br/>
        <w:t>Estado, el cual estaba dirigido  a  aquellos  individuos  considerados  como</w:t>
        <w:br/>
        <w:t>‘enemigos internos’”[136]. Además, desde la  fecha  en  que  ocurrieron  los</w:t>
        <w:br/>
        <w:t>hechos del presente caso y hasta  hoy  en  día,  no  han  habido  mecanismos</w:t>
        <w:br/>
        <w:t>judiciales efectivos ni para investigar  las  violaciones  de  los  derechos</w:t>
        <w:br/>
        <w:t>humanos ni para sancionar a todos los responsables.</w:t>
        <w:br/>
        <w:br/>
        <w:t>131.  En consideración de lo anterior, la Corte determina  que  la  eventual</w:t>
        <w:br/>
        <w:t>aplicación de  las  disposiciones  de  amnistía  de  la  LRN  en  este  caso</w:t>
        <w:br/>
        <w:t>contravendría las obligaciones derivadas  de  la  Convención  Americana.  En</w:t>
        <w:br/>
        <w:t>razón de esto el Estado tiene el deber de continuar sin mayor  dilación  con</w:t>
        <w:br/>
        <w:t>el proceso penal, en el cual se incluya  la  multiplicidad  de  los  delitos</w:t>
        <w:br/>
        <w:t>generados en  los  hechos  de  la  masacre  para  su  debida  investigación,</w:t>
        <w:br/>
        <w:t>juzgamiento y eventual sanción de los responsables de estos actos.</w:t>
        <w:br/>
        <w:br/>
        <w:t xml:space="preserve">                                      *</w:t>
        <w:br/>
        <w:t xml:space="preserve">                                   *     *</w:t>
        <w:br/>
        <w:br/>
        <w:t>132.  En cuanto a la celeridad del proceso  en  general,  este  Tribunal  ha</w:t>
        <w:br/>
        <w:t>señalado que el “plazo razonable” al que se refiere el artículo  8.1  de  la</w:t>
        <w:br/>
        <w:t>Convención  se  debe  apreciar  en  relación  con  la  duración  total   del</w:t>
        <w:br/>
        <w:t>procedimiento   que   se   desarrolla   hasta   que   se   dicta   sentencia</w:t>
        <w:br/>
        <w:t>definitiva[137].  El  derecho  de  acceso  a  la  justicia  implica  que  la</w:t>
        <w:br/>
        <w:t>solución de la controversia se produzca en  tiempo  razonable[138],  ya  que</w:t>
        <w:br/>
        <w:t>una  demora  prolongada  puede  llegar  a  constituir,  por  sí  misma,  una</w:t>
        <w:br/>
        <w:t>violación de las garantías judiciales.[139] En este  sentido,  la  falta  de</w:t>
        <w:br/>
        <w:t>respuesta estatal es un elemento determinante al valorar si se  han  violado</w:t>
        <w:br/>
        <w:t>los artículos 8.1 y 25.1 de la Convención Americana[140].</w:t>
        <w:br/>
        <w:br/>
        <w:t>133.  En el presente caso la Corte observa que, luego  de  transcurridos  15</w:t>
        <w:br/>
        <w:t>años desde la interposición de la demanda por  FAMDEGUA,  el  proceso  penal</w:t>
        <w:br/>
        <w:t>sigue en su etapa inicial, lo cual constituye  una  demora  excesiva  en  la</w:t>
        <w:br/>
        <w:t>administración de justicia. Además, este Tribunal toma nota  que  el  Estado</w:t>
        <w:br/>
        <w:t>no justificó esta situación,  sino  que  reconoció  haber  incurrido  en  el</w:t>
        <w:br/>
        <w:t>retraso.</w:t>
        <w:br/>
        <w:br/>
        <w:t>134.   Resulta  preciso  señalar  que  en  otros  casos   relacionados   con</w:t>
        <w:br/>
        <w:t>violaciones a derechos humanos en Guatemala, esta  Corte  ha  constatado  la</w:t>
        <w:br/>
        <w:t>demora indebida en el sistema judicial guatemalteco[141], así  como  de  las</w:t>
        <w:br/>
        <w:t>violaciones del derecho al debido proceso[142]. En este  sentido,  la  Corte</w:t>
        <w:br/>
        <w:t>señaló respecto de las sentencias de los casos  Myrna  Mack  Chang,  Maritza</w:t>
        <w:br/>
        <w:t>Urrutia, Masacre Plan de Sánchez, Molina Theissen y Tiu Tojín,  todos  sobre</w:t>
        <w:br/>
        <w:t>violaciones  a  los  derechos  humanos  durante  el  conflicto   armado   en</w:t>
        <w:br/>
        <w:t>Guatemala, que luego de 13, 11,  22,  22  y  17  años,  respectivamente,  de</w:t>
        <w:br/>
        <w:t>ocurridos los hechos las obligaciones del Estado en cuanto  a  investigar  y</w:t>
        <w:br/>
        <w:t>acabar con la impunidad continuaban insatisfechas[143],  lo  cual  evidencia</w:t>
        <w:br/>
        <w:t>un patrón de demora judicial en  Guatemala  frente  a  la  investigación  de</w:t>
        <w:br/>
        <w:t>graves violaciones a derechos humanos.</w:t>
        <w:br/>
        <w:br/>
        <w:t>135.  En el caso concreto la  Corte  ha  constatado  que,  efectivamente  el</w:t>
        <w:br/>
        <w:t>retardo injustificado en el proceso penal por más de 15 años  es  atribuible</w:t>
        <w:br/>
        <w:t>no solo al uso indiscriminado de recursos por parte de los  imputados,  sino</w:t>
        <w:br/>
        <w:t>a la falta de voluntad e interés de las autoridades  judiciales  del  Estado</w:t>
        <w:br/>
        <w:t>que han conocido  de  los  mismos,  ya  que  no  han  tramitado  debidamente</w:t>
        <w:br/>
        <w:t>numerosos recursos, y han sometido el caso al procedimiento  establecido  en</w:t>
        <w:br/>
        <w:t>la LRN, el cual se encuentra pendiente  de  decisión  (supra  párrs.  126  y</w:t>
        <w:br/>
        <w:t>127);  todo lo cual ha provocado la paralización del  proceso  penal.  Dicha</w:t>
        <w:br/>
        <w:t>situación ha constituido un retardo excesivo en la  investigación,  lo  cual</w:t>
        <w:br/>
        <w:t>viola el plazo razonable y es atribuible al Estado.</w:t>
        <w:br/>
        <w:br/>
        <w:t xml:space="preserve">    C)      Falta de una investigación completa y exhaustiva de los  hechos</w:t>
        <w:br/>
        <w:t xml:space="preserve">    alegados de la masacre y los responsables, así como otras omisiones</w:t>
        <w:br/>
        <w:br/>
        <w:br/>
        <w:t xml:space="preserve">    C.1     Falta de investigación de todos  los  hechos  sucedidos  en  la</w:t>
        <w:br/>
        <w:t>masacre</w:t>
        <w:br/>
        <w:br/>
        <w:br/>
        <w:t>136.  La Corte observa que la investigación que se sigue en la  jurisdicción</w:t>
        <w:br/>
        <w:t>interna no ha  sido  completa  y  exhaustiva,  ya  que  sólo  se  refiere  a</w:t>
        <w:br/>
        <w:t>afectaciones a la vida, y no a aquellas otras  relacionadas  con  hechos  de</w:t>
        <w:br/>
        <w:t>presuntas torturas contra miembros del Parcelamiento y otros actos  alegados</w:t>
        <w:br/>
        <w:t>de violencia contra la población infantil y las  mujeres.  Al  respecto,  la</w:t>
        <w:br/>
        <w:t>Comisión refirió que se debería “tener presente lo  establecido  en  la  […]</w:t>
        <w:br/>
        <w:t>Convención de Belém  Do  Pará,  […]  que  obliga  a  actuar  con  la  debida</w:t>
        <w:br/>
        <w:t>diligencia al momento de investigar y  sancionar  los  hechos  de  violencia</w:t>
        <w:br/>
        <w:t>contra las mujeres”. Por su  parte,  los  representantes  solicitaron  a  la</w:t>
        <w:br/>
        <w:t>Corte que declarara al Estado  responsable  por  el  incumplimiento  de  los</w:t>
        <w:br/>
        <w:t>derechos contenidos en los artículos 1, 6 y 8 de  la  CIPST  y  7.b)  de  la</w:t>
        <w:br/>
        <w:t>Convención de Belém do Pará. Finalmente, el Estado no  aceptó  la  violación</w:t>
        <w:br/>
        <w:t>de estas Convenciones “en virtud [de] que ambas no tenían vigencia  para  el</w:t>
        <w:br/>
        <w:t>Estado  al  momento  en  que   ocurrieron   los   hechos,   y   procesal   y</w:t>
        <w:br/>
        <w:t>sustantivamente no se puede demandar una violación a una ley o  tratado  que</w:t>
        <w:br/>
        <w:t>no existe en la vida jurídica de un Estado”.</w:t>
        <w:br/>
        <w:br/>
        <w:t>137.  Este Tribunal nota, que de conformidad con  la  Convención  Americana,</w:t>
        <w:br/>
        <w:t>vigente al  momento  de  la  masacre,  el  Estado  tenía  la  obligación  de</w:t>
        <w:br/>
        <w:t>investigar con la debida diligencia todos esos  hechos,  obligación  que  se</w:t>
        <w:br/>
        <w:t>encontraba  pendiente  al  momento  del  reconocimiento  de  la  competencia</w:t>
        <w:br/>
        <w:t>contenciosa de la Corte  el  9  de  marzo  de  1987.  Dicha  obligación  fue</w:t>
        <w:br/>
        <w:t>reafirmada por el Estado con motivo de la ratificación de la CIPST el 29  de</w:t>
        <w:br/>
        <w:t>enero de 1987 y posteriormente con la Convención de Belém do Pará  el  4  de</w:t>
        <w:br/>
        <w:t>abril de 1995, por lo que el  Estado  debía  velar  por  su  cumplimiento  a</w:t>
        <w:br/>
        <w:t>partir de ese momento[144], aún cuando éstas no habían  sido  adoptadas  por</w:t>
        <w:br/>
        <w:t>el Estado al momento de la masacre. Así, este Tribunal  ha  establecido  que</w:t>
        <w:br/>
        <w:t>“[el Estado] tiene el  deber  de  garantizar  el  derecho  de  acceso  a  la</w:t>
        <w:br/>
        <w:t>justicia […] conforme a las obligaciones  específicas  que  le  imponen  las</w:t>
        <w:br/>
        <w:t>Convenciones especializadas […] en materia de prevención  y  sanción  de  la</w:t>
        <w:br/>
        <w:t>tortura y de la  violencia  contra  la  mujer.  [D]ichas  disposiciones  […]</w:t>
        <w:br/>
        <w:t>especifican  y  complementan  las  obligaciones  que  tiene  el  Estado  con</w:t>
        <w:br/>
        <w:t>respecto al cumplimiento  de  los  derechos  consagrados  en  la  Convención</w:t>
        <w:br/>
        <w:t>Americana”,  así  como  “el  corpus  juris  internacional  en   materia   de</w:t>
        <w:br/>
        <w:t>protección de la integridad personal”[145].</w:t>
        <w:br/>
        <w:br/>
        <w:t>138.  En específico, esta Corte nota que, si bien  la  denuncia  interpuesta</w:t>
        <w:br/>
        <w:t>por FAMDEGUA el 14 de junio de 1994 se presentó por el delito  de  asesinato</w:t>
        <w:br/>
        <w:t>en perjuicio de las personas  inhumadas  en  el  Parcelamiento  de  Las  Dos</w:t>
        <w:br/>
        <w:t>Erres, las declaraciones de los ex kaibiles en el procedimiento penal el  27</w:t>
        <w:br/>
        <w:t>de mayo de 1997 relataron que “mientras los tenían reunidos […] empezaron  a</w:t>
        <w:br/>
        <w:t>torturar a los hombres para que  les  dijeran  donde  estaban  las  armas  y</w:t>
        <w:br/>
        <w:t>quiénes eran guerrilleros  en  la  comunidad  [y  que]  también  violaron  a</w:t>
        <w:br/>
        <w:t>algunas niñas en presencia de  sus  padres”.  Asimismo,  señalaron  que  “el</w:t>
        <w:br/>
        <w:t>Instructor Manuel Pop Sun […] violó [a una niña] drásticamente” y  que  “así</w:t>
        <w:br/>
        <w:t>[…] estuvieron masacrando [y a las mujeres] no  [fue]  solo  […]  violarlas,</w:t>
        <w:br/>
        <w:t>[sino  también]  matarlas  en  el  momento[…]  las  violaron  salvajemente”.</w:t>
        <w:br/>
        <w:t>También el sobreviviente Salomé Armando Gómez Hernández declaró el día 1  de</w:t>
        <w:br/>
        <w:t>diciembre de 1995 que “[había visto] que golpeaban a  los  hombres  con  las</w:t>
        <w:br/>
        <w:t>armas y a patadas los botaban al suelo […]  y  a  las  mujeres  las  jalaban</w:t>
        <w:br/>
        <w:t>[d]el pelo y las pateaban”. Además, en la  misma  fecha,  el  testigo  César</w:t>
        <w:br/>
        <w:t>Franco Ibáñez declaró que “comenzaron también […] a violar niñas[,] se  oían</w:t>
        <w:br/>
        <w:t>los gritos y los lamentos de las pobres niñas […] que estaban violando”.  La</w:t>
        <w:br/>
        <w:t>Corte constata que ante estos hechos descritos, así como del informe  de  la</w:t>
        <w:br/>
        <w:t>CEH de 1999, el Estado tuvo conocimiento  oficial  de  supuestos  hechos  de</w:t>
        <w:br/>
        <w:t>torturas contra la población adulta y la niñez del Parcelamiento,  así  como</w:t>
        <w:br/>
        <w:t>abortos  y  otras  formas  de  violencia  sexual  contra  niñas  y  mujeres,</w:t>
        <w:br/>
        <w:t>perpetuados durante tres días (supra  párrs.  78  a  81).  Sin  embargo,  el</w:t>
        <w:br/>
        <w:t>Estado no inició una investigación tendiente  a  esclarecer  lo  ocurrido  e</w:t>
        <w:br/>
        <w:t>imputar las responsabilidades correspondientes[146].</w:t>
        <w:br/>
        <w:br/>
        <w:t>139.  La Corte observa, a manera de contexto, que  tal  como  lo  señala  la</w:t>
        <w:br/>
        <w:t>CEH,  durante  el  conflicto  armado  las  mujeres  fueron   particularmente</w:t>
        <w:br/>
        <w:t>seleccionadas como víctimas de violencia sexual.   Asimismo,  en  otro  caso</w:t>
        <w:br/>
        <w:t>ocurrido en el mismo contexto en el cual se sitúa esta masacre,  esta  Corte</w:t>
        <w:br/>
        <w:t>estableció como hecho probado que “[l]a violación sexual de las mujeres  fue</w:t>
        <w:br/>
        <w:t>una práctica del Estado, ejecutada en el contexto de las masacres,  dirigida</w:t>
        <w:br/>
        <w:t>a destruir la dignidad de la mujer a  nivel  cultural,  social,  familiar  e</w:t>
        <w:br/>
        <w:t>individual”[147].  En el caso de Las  Dos  Erres,  las  mujeres  embarazadas</w:t>
        <w:br/>
        <w:t>fueron víctimas de abortos  inducidos  y  otros  actos  de  barbarie  (supra</w:t>
        <w:br/>
        <w:t>párrs. 79 a 81). Asimismo, en el  peritaje  de  la  psicóloga  Nieves  Gómez</w:t>
        <w:br/>
        <w:t>Dupuis,  efectuado  en  agosto  de  2005,  se  señaló  que   “las   torturas</w:t>
        <w:br/>
        <w:t>ejemplificantes, las violaciones sexuales y los actos de  crueldad  extrema,</w:t>
        <w:br/>
        <w:t>produjeron en las víctimas […] un daño grave a la integridad mental”[148].</w:t>
        <w:br/>
        <w:br/>
        <w:t>140.  En este sentido, el Tribunal estima que la falta de  investigación  de</w:t>
        <w:br/>
        <w:t>hechos graves contra  la  integridad  personal  como  torturas  y  violencia</w:t>
        <w:br/>
        <w:t>sexual en conflictos  armados  y/o  dentro  de  patrones  sistemáticos[149],</w:t>
        <w:br/>
        <w:t>constituyen un incumplimiento  de  las  obligaciones  del  Estado  frente  a</w:t>
        <w:br/>
        <w:t>graves violaciones  a  derechos  humanos,  las  cuales  contravienen  normas</w:t>
        <w:br/>
        <w:t>inderogables[150] (jus cogens) y generan obligaciones para los  Estados[151]</w:t>
        <w:br/>
        <w:t>como la de investigar y sancionar dichas prácticas, de  conformidad  con  la</w:t>
        <w:br/>
        <w:t>Convención Americana y en este caso a la luz de la CIPST y de la  Convención</w:t>
        <w:br/>
        <w:t>de Belém do Pará.</w:t>
        <w:br/>
        <w:br/>
        <w:t>141.  En virtud de lo anterior, el Estado debió iniciar  ex  officio  y  sin</w:t>
        <w:br/>
        <w:t>dilación una investigación seria, imparcial y efectiva de todos  los  hechos</w:t>
        <w:br/>
        <w:t>de la masacre relacionados con la vulneración de la vida, así como  respecto</w:t>
        <w:br/>
        <w:t>a otras afectaciones específicas contra la integridad personal,  tales  como</w:t>
        <w:br/>
        <w:t>las supuestas torturas  y  actos  de  violencia  contra  la  mujer  con  una</w:t>
        <w:br/>
        <w:t>perspectiva de género, y de conformidad con los artículos 8.1 y 25.1  de  la</w:t>
        <w:br/>
        <w:t>Convención, y las obligaciones específicas dispuestas en los artículos 1,  6</w:t>
        <w:br/>
        <w:t>y 8 de  la  Convención  Interamericana  contra  la  Tortura  y  7.b)  de  la</w:t>
        <w:br/>
        <w:t>Convención Belém do Pará[152].</w:t>
        <w:br/>
        <w:br/>
        <w:t xml:space="preserve">    C.2     Falta de investigación de los responsables y otras omisiones</w:t>
        <w:br/>
        <w:br/>
        <w:t>142.  En cuanto a la falta de investigación, captura y eventual  sanción  de</w:t>
        <w:br/>
        <w:t>los responsables, tanto los representantes como  la  Comisión  han  indicado</w:t>
        <w:br/>
        <w:t>que en  el  curso  de  la  investigación  se  han  producido  una  serie  de</w:t>
        <w:br/>
        <w:t>actuaciones u omisiones de las autoridades  estatales  que  han  configurado</w:t>
        <w:br/>
        <w:t>una falta de debida diligencia y denegación de justicia.  Así  han  señalado</w:t>
        <w:br/>
        <w:t>que: las autoridades estatales han obstaculizado la investigación,  lo  cual</w:t>
        <w:br/>
        <w:t>se refleja en que ninguno de los autores intelectuales de  los  hechos  esté</w:t>
        <w:br/>
        <w:t>siendo investigado; no se han hecho efectivas  las  órdenes  de  aprehensión</w:t>
        <w:br/>
        <w:t>contra los sindicados; algunos testigos de la  investigación  del  caso  han</w:t>
        <w:br/>
        <w:t>recibido amenazas e intimidaciones por lo  que  se  han  visto  obligados  a</w:t>
        <w:br/>
        <w:t>salir del país, y  no  se  han  completado  los  trabajos  de  exhumación  e</w:t>
        <w:br/>
        <w:t>identificación de las víctimas de la masacre.  Al  respecto,  el  Estado  se</w:t>
        <w:br/>
        <w:t>allanó a las pretensiones de la Comisión y los representantes  en  cuanto  a</w:t>
        <w:br/>
        <w:t>la violación de los derechos establecidos en los artículos 8.1 y 25.1 de  la</w:t>
        <w:br/>
        <w:t>Convención.</w:t>
        <w:br/>
        <w:br/>
        <w:t>143.  La Corte observa que, de acuerdo  con  los  hechos  señalados  en  los</w:t>
        <w:br/>
        <w:t>antecedentes (supra párrs. 76 y 77), por lo menos 60  soldados  participaron</w:t>
        <w:br/>
        <w:t>en la ejecución de la masacre, esto sin contar a otros  autores  materiales,</w:t>
        <w:br/>
        <w:t>intelectuales o en general partícipes de ésta[153].  Sin  embargo,  como  se</w:t>
        <w:br/>
        <w:t>desprende  de  la  investigación  que  actualmente  se  desarrolla   en   la</w:t>
        <w:br/>
        <w:t>jurisdicción interna, sólo se han individualizado a 20 personas, por lo  que</w:t>
        <w:br/>
        <w:t>las investigaciones  no  han  abarcado  a  la  totalidad  de  los  presuntos</w:t>
        <w:br/>
        <w:t>responsables.  Asimismo, diversas  autoridades  judiciales  han  ordenado  y</w:t>
        <w:br/>
        <w:t>reiterado la aprehensión de por lo  menos  17  sindicados  en  oportunidades</w:t>
        <w:br/>
        <w:t>distintas[154]. No obstante, sólo  se  aprehendió  a  uno  de  ellos,  quien</w:t>
        <w:br/>
        <w:t>posteriormente fue puesto en libertad (supra párr.  90).   En  consecuencia,</w:t>
        <w:br/>
        <w:t>la Corte nota que en general dichas órdenes no han sido ejecutadas y que  el</w:t>
        <w:br/>
        <w:t>mismo Estado así lo ha reconocido.</w:t>
        <w:br/>
        <w:br/>
        <w:t>144.  Además,  la  Corte  considera  que  las  autoridades  estatales  están</w:t>
        <w:br/>
        <w:t>obligadas a colaborar en la recaudación  de  la  prueba  para  alcanzar  los</w:t>
        <w:br/>
        <w:t>objetivos de una investigación y abstenerse de realizar actos que  impliquen</w:t>
        <w:br/>
        <w:t>obstrucciones para la marcha del proceso investigativo[155]. En el  presente</w:t>
        <w:br/>
        <w:t>caso, el Ministro de  Defensa  se  rehusó  a  aportar  cierta  documentación</w:t>
        <w:br/>
        <w:t>requerida por los tribunales, bajo el argumento  de  que  esa  documentación</w:t>
        <w:br/>
        <w:t>fue incinerada o no existía (supra párr. 87). Este Tribunal estima  que  tal</w:t>
        <w:br/>
        <w:t>negativa ha impedido que  en  la  investigación  que  se  desarrolla,  entre</w:t>
        <w:br/>
        <w:t>otras,  se  identifique  a  aquellas  personas  que  formaron  parte  de  la</w:t>
        <w:br/>
        <w:t>planeación y ejecución de la masacre, así como de los  datos  personales  de</w:t>
        <w:br/>
        <w:t>aquellos que ya se encuentran en calidad de sindicados dentro del proceso.</w:t>
        <w:br/>
        <w:br/>
        <w:t>145.   Aunado  a  lo  anterior,  la  Corte  considera  que  las  amenazas  e</w:t>
        <w:br/>
        <w:t>intimidaciones sufridas por algunos de los  testigos  que  han  rendido  sus</w:t>
        <w:br/>
        <w:t>declaraciones en el proceso interno[156] no pueden verse aisladamente,  sino</w:t>
        <w:br/>
        <w:t>que  se  deben  considerar  en  el  marco   de   obstaculizaciones   de   la</w:t>
        <w:br/>
        <w:t>investigación del caso. Por ende, tales hechos se convierten en  otro  medio</w:t>
        <w:br/>
        <w:t>para perpetuar la impunidad en el presente caso e impedir que se conozca  la</w:t>
        <w:br/>
        <w:t>verdad de lo ocurrido.</w:t>
        <w:br/>
        <w:br/>
        <w:t>146.  Por último, en relación con las exhumaciones realizadas,  el  Tribunal</w:t>
        <w:br/>
        <w:t>observa que si bien hasta  el  año  1995  el  Estado  inició  una  serie  de</w:t>
        <w:br/>
        <w:t>diligencias para exhumar e identificar algunas de las  personas  que  fueron</w:t>
        <w:br/>
        <w:t>ejecutadas en la masacre, no  continuó  realizando  labores  de  búsqueda  y</w:t>
        <w:br/>
        <w:t>ubicación de las demás personas  que  fallecieron  en  ésta.   De  la  misma</w:t>
        <w:br/>
        <w:t>manera,  el  Estado  no  ha  efectuado  diligencias  para  identificar   las</w:t>
        <w:br/>
        <w:t>osamentas ya ubicadas,  con  el  fin  de  que  las  presuntas  víctimas  del</w:t>
        <w:br/>
        <w:t>presente caso terminen con  el  sufrimiento  y  daño  ocasionado  por  estos</w:t>
        <w:br/>
        <w:t>hechos (supra párr. 86 e infra párrs. 246 y 247)[157].</w:t>
        <w:br/>
        <w:br/>
        <w:t>147.  A este respecto, la Corte recuerda que dentro del deber de  investigar</w:t>
        <w:br/>
        <w:t>subsiste el derecho de los familiares de la víctima a conocer  cuál  fue  el</w:t>
        <w:br/>
        <w:t>destino de ésta  y,  en  su  caso,  dónde  se  encuentran  sus  restos[158].</w:t>
        <w:br/>
        <w:t>Corresponde al Estado satisfacer esas justas expectativas con los  medios  a</w:t>
        <w:br/>
        <w:t>su alcance.</w:t>
        <w:br/>
        <w:br/>
        <w:t>148.  La Corte considera que la investigación de los hechos  de  la  masacre</w:t>
        <w:br/>
        <w:t>no ha sido asumida como un deber propio del Estado,  y  ésta  no  ha  estado</w:t>
        <w:br/>
        <w:t>dirigida   eficazmente   a   la   investigación,    persecución,    captura,</w:t>
        <w:br/>
        <w:t>enjuiciamiento y eventual sanción de todos los responsables, de modo que  se</w:t>
        <w:br/>
        <w:t>examinen de forma completa y exhaustiva  la  multiplicidad  de  afectaciones</w:t>
        <w:br/>
        <w:t>ocasionadas a los pobladores del Parcelamiento de Las Dos Erres.   Asimismo,</w:t>
        <w:br/>
        <w:t>la investigación tampoco ha estado  encaminada  hacia  la  identificación  y</w:t>
        <w:br/>
        <w:t>entrega  de  los  restos  de  las  personas  que  murieron  en  la  masacre.</w:t>
        <w:br/>
        <w:t>Finalmente, el Estado no ha realizado con  debida  diligencia  las  acciones</w:t>
        <w:br/>
        <w:t>necesarias para ejecutar  las  órdenes  de  aprehensión  que  se  encuentran</w:t>
        <w:br/>
        <w:t>vigentes, ni ha brindado la colaboración requerida  por  los  tribunales,  a</w:t>
        <w:br/>
        <w:t>fin de esclarecer los hechos. Todo ello en detrimento del derecho a  conocer</w:t>
        <w:br/>
        <w:t>la verdad de lo sucedido.</w:t>
        <w:br/>
        <w:br/>
        <w:t>149.  El Tribunal estima que en una sociedad democrática se debe conocer  la</w:t>
        <w:br/>
        <w:t>verdad sobre los hechos de graves violaciones de derechos humanos.  Esta  es</w:t>
        <w:br/>
        <w:t>una justa expectativa que el  Estado  debe  satisfacer[159],  por  un  lado,</w:t>
        <w:br/>
        <w:t>mediante la obligación de investigar las violaciones de derechos humanos  y,</w:t>
        <w:br/>
        <w:t>por el otro, con la divulgación pública de los resultados  de  los  procesos</w:t>
        <w:br/>
        <w:t>penales e  investigativos[160].  Esto  exige  del  Estado  la  determinación</w:t>
        <w:br/>
        <w:t>procesal de los patrones de actuación conjunta y de todas las  personas  que</w:t>
        <w:br/>
        <w:t>de   diversas   formas   participaron   en   dichas   violaciones   y    sus</w:t>
        <w:br/>
        <w:t>correspondientes responsabilidades[161] y reparar a las víctimas del caso.</w:t>
        <w:br/>
        <w:br/>
        <w:t xml:space="preserve">                                      *</w:t>
        <w:br/>
        <w:t xml:space="preserve">                                   *     *</w:t>
        <w:br/>
        <w:br/>
        <w:t>150.   Los  representantes  alegaron  que  “la  impunidad  y  la  falta   de</w:t>
        <w:br/>
        <w:t>información íntegra y veraz sobre lo sucedido en la masacre”   ha  provocado</w:t>
        <w:br/>
        <w:t>la violación por parte del Estado del derecho a la verdad  de  las  víctimas</w:t>
        <w:br/>
        <w:t>del presente caso, contenido en los artículos  1.1,  8.1,  13  y  25  de  la</w:t>
        <w:br/>
        <w:t>Convención Americana. La Comisión y el Estado no se pronunciaron sobre  este</w:t>
        <w:br/>
        <w:t>punto.</w:t>
        <w:br/>
        <w:br/>
        <w:t>151.  Al respecto, la Corte ha considerado que en el marco de los  artículos</w:t>
        <w:br/>
        <w:t>1.1, 8 y 25 de la  Convención  las  víctimas  o  sus  familiares  tienen  el</w:t>
        <w:br/>
        <w:t>derecho, y los Estados la obligación, de que los hechos  sean  efectivamente</w:t>
        <w:br/>
        <w:t>investigados por las autoridades del Estado, y a conocer los  resultados  de</w:t>
        <w:br/>
        <w:t>la investigación. El Tribunal recuerda que el derecho a  conocer  la  verdad</w:t>
        <w:br/>
        <w:t>se encuentra subsumido en el derecho de la víctima o  de  sus  familiares  a</w:t>
        <w:br/>
        <w:t>obtener de los órganos competentes del  Estado  el  esclarecimiento  de  los</w:t>
        <w:br/>
        <w:t>hechos violatorios y las responsabilidades correspondientes, a través de  la</w:t>
        <w:br/>
        <w:t>investigación y el juzgamiento que previenen los artículos  8  y  25  de  la</w:t>
        <w:br/>
        <w:t>Convención[162]. Por lo tanto, en este  caso  la  Corte  no  se  pronunciará</w:t>
        <w:br/>
        <w:t>respecto del alegato  de  la  supuesta  violación  del  artículo  13  de  la</w:t>
        <w:br/>
        <w:t>Convención Americana formulado por los representantes.</w:t>
        <w:br/>
        <w:br/>
        <w:t xml:space="preserve">                                      *</w:t>
        <w:br/>
        <w:t xml:space="preserve">                                   *     *</w:t>
        <w:br/>
        <w:br/>
        <w:t>152.  En razón de todo lo expuesto, la Corte constata que la Masacre de  Las</w:t>
        <w:br/>
        <w:t>Dos Erres se enmarcó en un contexto sistemático  de  violaciones  masivas  a</w:t>
        <w:br/>
        <w:t>los  derechos  humanos  en  Guatemala,  en  el  cual  ocurrieron   múltiples</w:t>
        <w:br/>
        <w:t>masacres.   Dada  la  magnitud  de  la  masacre,  así   como   el   contexto</w:t>
        <w:br/>
        <w:t>generalizado de violencia ejercida por el Estado, resulta evidente que  éste</w:t>
        <w:br/>
        <w:t>debe investigar seriamente a todos los  presuntos  responsables,  incluyendo</w:t>
        <w:br/>
        <w:t>la participación intelectual de altos oficiales  y  funcionarios  estatales,</w:t>
        <w:br/>
        <w:t>así como la ubicación e identidad de las personas fallecidas.  El actuar  de</w:t>
        <w:br/>
        <w:t>la judicatura del Estado  y  la  falta  de  voluntad  y  desinterés  de  las</w:t>
        <w:br/>
        <w:t>autoridades han impedido  el  acceso  a  la  justicia  de  las  víctimas,  y</w:t>
        <w:br/>
        <w:t>convertido el aparato judicial en un sistema indiferente ante la impunidad.</w:t>
        <w:br/>
        <w:br/>
        <w:t>153.  En lo particular, este Tribunal considera que el uso indiscriminado  y</w:t>
        <w:br/>
        <w:t>permisivo de recursos judiciales como lo es el recurso de  amparo,  el  cual</w:t>
        <w:br/>
        <w:t>ha  sido  utilizado  como  pilar  de  la  impunidad,   aunado   al   retardo</w:t>
        <w:br/>
        <w:t>injustificado y deliberado por parte  de  las  autoridades  judiciales,  así</w:t>
        <w:br/>
        <w:t>como la falta de una  investigación  completa  y  exhaustiva  de  todos  los</w:t>
        <w:br/>
        <w:t>hechos de la masacre, han impedido la investigación, juzgamiento y  eventual</w:t>
        <w:br/>
        <w:t>sanción de todos los presuntos responsables. Por lo tanto, el Estado  no  ha</w:t>
        <w:br/>
        <w:t>garantizado el acceso a la justicia y reparación integral de  las  presuntas</w:t>
        <w:br/>
        <w:t>víctimas del caso. Con base en  las  precedentes  consideraciones  y  en  el</w:t>
        <w:br/>
        <w:t>reconocimiento parcial de responsabilidad  internacional  efectuado  por  el</w:t>
        <w:br/>
        <w:t>Estado, la Corte encuentra a  éste  responsable  por  la  violación  de  los</w:t>
        <w:br/>
        <w:t>artículos 8.1 y 25.1 de la Convención, en relación con el artículo  1.1  del</w:t>
        <w:br/>
        <w:t>la misma, y por  la  violación  de  las  obligaciones  establecidas  en  los</w:t>
        <w:br/>
        <w:t>artículos 1, 6 y 8 de la CIPST y 7.b) de la Convención de Belém do Pará,  en</w:t>
        <w:br/>
        <w:t>perjuicio de  las  155  víctimas  del  presente  caso,  en  sus  respectivas</w:t>
        <w:br/>
        <w:t>circunstancias.</w:t>
        <w:br/>
        <w:br/>
        <w:t>154.  Asimismo, este Tribunal considera que el Estado es responsable por  el</w:t>
        <w:br/>
        <w:t>incumplimiento de los artículos 1.1 y 2 de la Convención Americana,  por  la</w:t>
        <w:br/>
        <w:t>falta de  adopción de medidas tanto de carácter normativo como  de  carácter</w:t>
        <w:br/>
        <w:t>práctico conducente a garantizar la efectividad del recurso de amparo.</w:t>
        <w:br/>
        <w:br/>
        <w:br/>
        <w:t xml:space="preserve">                                     IX</w:t>
        <w:br/>
        <w:t xml:space="preserve">    Artículos 17[163] (Derecho a la familia), 18[164] (Derecho al nombre)</w:t>
        <w:br/>
        <w:t xml:space="preserve">  y 19[165] (Derechos del Niño) de la Convención Americana, en relación con</w:t>
        <w:br/>
        <w:t xml:space="preserve">                      el artículo 1.1[166] de la misma</w:t>
        <w:br/>
        <w:br/>
        <w:br/>
        <w:t>155.  En el presente capítulo la Corte analizará la  presunta  violación  de</w:t>
        <w:br/>
        <w:t>los derechos a la  familia,  al  nombre  y  del  niño,  reconocidos  en  los</w:t>
        <w:br/>
        <w:t>artículos 17, 18 y 19 de  la  Convención,  en  perjuicio  de  Ramiro  Osorio</w:t>
        <w:br/>
        <w:t>Cristales.</w:t>
        <w:br/>
        <w:br/>
        <w:t>156.  De manera preliminar, la Corte  considera  necesario  referirse  a  la</w:t>
        <w:br/>
        <w:t>situación  del  otro  niño  sobreviviente  de  la  masacre,   Salomé   Gómez</w:t>
        <w:br/>
        <w:t>Hernández, respecto de quien los representantes  alegaron  la  violación  de</w:t>
        <w:br/>
        <w:t>los derechos del niño  reconocidos  en  el  artículo  19  de  la  Convención</w:t>
        <w:br/>
        <w:t>Americana, inter alia, debido a que el Estado no le brindó “las  medidas  de</w:t>
        <w:br/>
        <w:t>protección especial por su condición de niño[…]” y  por  “el  dolor  que  le</w:t>
        <w:br/>
        <w:t>causó haber sido testigo de los hechos de la masacre [y  verse]  obligado  a</w:t>
        <w:br/>
        <w:t>vivir en la extrema pobreza”. Sin embargo,  esta  Corte  considera  que  los</w:t>
        <w:br/>
        <w:t>hechos relacionados con los alegatos respecto a una violación  independiente</w:t>
        <w:br/>
        <w:t>del artículo 19 de la Convención, en perjuicio de  Salomé  Gómez  Hernández,</w:t>
        <w:br/>
        <w:t>se enmarcan dentro del derecho a la integridad  personal  reconocido  en  el</w:t>
        <w:br/>
        <w:t>artículo 5 de dicho instrumento, en relación con los artículos 1.1 y  19  de</w:t>
        <w:br/>
        <w:t>la misma, el cual será analizado en  el  capítulo  siguiente.  En  razón  de</w:t>
        <w:br/>
        <w:t>esto, la Corte no aborda dicha violación en este capítulo de la Sentencia.</w:t>
        <w:br/>
        <w:br/>
        <w:t>157.  En cuanto a Ramiro Osorio Cristales, los  representantes  alegaron  la</w:t>
        <w:br/>
        <w:t>violación de los derechos a la familia  y  al  nombre,  reconocidos  en  los</w:t>
        <w:br/>
        <w:t>artículos 17 y 18 de la Convención  Americana,  ya  que  “[f]ue  obligado  a</w:t>
        <w:br/>
        <w:t>vivir […] con una familia que no era la suya y con  un  nombre  distinto  al</w:t>
        <w:br/>
        <w:t>que le dieron sus padres” y “se  le  impuso  un  nombre  distinto  al  suyo,</w:t>
        <w:br/>
        <w:t>afectando su identidad”. Además, alegaron la violación del  artículo  19  de</w:t>
        <w:br/>
        <w:t>la Convención, dado que el Estado no tuvo en cuenta el interés superior  del</w:t>
        <w:br/>
        <w:t>entonces niño Ramiro Osorio Cristales “al mantenerlo alejado de su  familia,</w:t>
        <w:br/>
        <w:t>con  otro  nombre  y  otra  identidad  y  […]  obviando  toda  gestión  para</w:t>
        <w:br/>
        <w:t>identificar y ubicar a su familia biológica con el fin de  devolverlo  a  su</w:t>
        <w:br/>
        <w:t>seno”.</w:t>
        <w:br/>
        <w:br/>
        <w:t>158.  La Comisión no alegó la violación de  los  referidos  derechos  en  la</w:t>
        <w:br/>
        <w:t>demanda[167].</w:t>
        <w:br/>
        <w:br/>
        <w:t>159.   El  Estado  no  realizó  alegatos  específicos  para  desvirtuar  las</w:t>
        <w:br/>
        <w:t>pretensiones de los representantes en cuanto a  las  presuntas  violaciones,</w:t>
        <w:br/>
        <w:t>sino que se limitó a cuestionar la  competencia  del  Tribunal  al  respecto</w:t>
        <w:br/>
        <w:t>(supra párr. 32).</w:t>
        <w:br/>
        <w:br/>
        <w:t>160.  La Corte observa  que  los  supuestos  hechos  sobre  los  cuales  los</w:t>
        <w:br/>
        <w:t>representantes alegaron la violación de los artículos 17,  18  y  19  de  la</w:t>
        <w:br/>
        <w:t>Convención respecto  de  Ramiro  Osorio  Cristales  se  basan  en  que,  con</w:t>
        <w:br/>
        <w:t>posterioridad al 9 de marzo de 1987, el Estado lo ha mantenido  separado  de</w:t>
        <w:br/>
        <w:t>su familia sobreviviente de la masacre de Las Dos Erres, con otro  nombre  y</w:t>
        <w:br/>
        <w:t>otra identidad, luego de haber sido sustraído  y  retenido  ilegalmente  por</w:t>
        <w:br/>
        <w:t>uno de los militares que participó en dicha masacre.</w:t>
        <w:br/>
        <w:br/>
        <w:t>161.  Por otro lado,  teniendo  en  cuenta  que  la  Comisión  no  alegó  la</w:t>
        <w:br/>
        <w:t>violación de los mencionados artículos de la  Convención,  en  perjuicio  de</w:t>
        <w:br/>
        <w:t>Ramiro Osorio Cristales, la Corte reitera lo señalado en  su  jurisprudencia</w:t>
        <w:br/>
        <w:t>constante, en el sentido que “la presunta  víctima,  sus  familiares  o  sus</w:t>
        <w:br/>
        <w:t>representantes pueden invocar derechos distintos de los comprendidos  en  la</w:t>
        <w:br/>
        <w:t>demanda de la  Comisión,  sobre  la  base  de  los  hechos  presentados  por</w:t>
        <w:br/>
        <w:t>ésta”[168].  Por  lo  tanto,  corresponde  al  Tribunal  determinar  si  los</w:t>
        <w:br/>
        <w:t>alegatos con relación a la supuesta violación de tales  artículos  se  basan</w:t>
        <w:br/>
        <w:t>en hechos contenidos en la demanda.</w:t>
        <w:br/>
        <w:br/>
        <w:t>162.  En este sentido, la Comisión  señaló  en  la  demanda  que  “sólo  dos</w:t>
        <w:br/>
        <w:t>menores se salvaron de morir a manos del Ejército guatemalteco: un niño  que</w:t>
        <w:br/>
        <w:t>fue raptado por uno de los Kaibiles y otro niño que logró escaparse  de  los</w:t>
        <w:br/>
        <w:t>soldados cuando los llevaban hacia El Pozo” y que  “[h]a  sido  extensamente</w:t>
        <w:br/>
        <w:t>documentado que algunos niños fueron  salvados  de  las  masacres  para  ser</w:t>
        <w:br/>
        <w:t>[‘]adoptados[’] por oficiales del ejército o llevados  a  sus  hogares  como</w:t>
        <w:br/>
        <w:t>sirvientes. [Ejemplo de esta práctica es]  precisamente  el  caso  del  niño</w:t>
        <w:br/>
        <w:t>sobreviviente de la masacre de Las Dos Erres, Ramiro Fernando López  García,</w:t>
        <w:br/>
        <w:t>[cuyo  nombre   biológico   es   Ramiro   Osorio   Cristales,]   quien   fue</w:t>
        <w:br/>
        <w:t>[‘]adoptado[’] por uno de los soldados que participaron en los hechos”.</w:t>
        <w:br/>
        <w:br/>
        <w:t>163.  Además, la Comisión incluyó en la demanda la  declaración  testimonial</w:t>
        <w:br/>
        <w:t>que Ramiro Osorio Cristales rindió el 11 de febrero de 1999 ante el  Juzgado</w:t>
        <w:br/>
        <w:t>de Primera Instancia Penal de Petén, sobre lo ocurrido en  el  Parcelamiento</w:t>
        <w:br/>
        <w:t>de Las Dos Erres, y en la  cual  manifestó  que  “el  [Kaibil  Santos  López</w:t>
        <w:br/>
        <w:t>Alonso lo] llevó con él por la montaña y compartió su comida con  [él],  así</w:t>
        <w:br/>
        <w:t>fue como [dio] a parar a la Escuela de Kaibiles[. Estuvo] en la  Escuela  de</w:t>
        <w:br/>
        <w:t>Kaibiles aproximadamente dos meses, de ahí él [lo] llevó para su casa,  [lo]</w:t>
        <w:br/>
        <w:t>registró en Santa Cruz Muluá-Retalhuleu, llevando sus apellidos”[169].</w:t>
        <w:br/>
        <w:br/>
        <w:t>164.  Por lo tanto, el Tribunal considera que los alegatos  con  relación  a</w:t>
        <w:br/>
        <w:t>la supuesta violación de los artículos 17, 18 y  19  de  la  Convención,  en</w:t>
        <w:br/>
        <w:t>perjuicio de Ramiro Osorio Cristales, están basados en el marco  fáctico  de</w:t>
        <w:br/>
        <w:t>la demanda presentada por la Comisión.</w:t>
        <w:br/>
        <w:br/>
        <w:t>165.  En lo que se refiere a la alegada violación  del  artículo  18  de  la</w:t>
        <w:br/>
        <w:t>Convención, esta Corte hace notar que si bien este artículo no  fue  alegado</w:t>
        <w:br/>
        <w:t>por los representantes en el  proceso  ante  la  Comisión,  el  Tribunal  ha</w:t>
        <w:br/>
        <w:t>establecido en  su  jurisprudencia  constante  que  esto  no  necesariamente</w:t>
        <w:br/>
        <w:t>constituye “un menoscabo o  vulneración  para  el  derecho  de  defensa  del</w:t>
        <w:br/>
        <w:t>Estado, el cual cuenta con las oportunidades  procesales  para  responder  a</w:t>
        <w:br/>
        <w:t>los alegatos de […] los representantes en todas las etapas del proceso  ante</w:t>
        <w:br/>
        <w:t>la Corte. Corresponde al Tribunal, finalmente, decidir en cada  caso  acerca</w:t>
        <w:br/>
        <w:t>de la procedencia de alegatos de tal naturaleza en resguardo del  equilibrio</w:t>
        <w:br/>
        <w:t>procesal de las partes”[170].</w:t>
        <w:br/>
        <w:br/>
        <w:t>166.  En el presente caso, la Corte observa que  la  alegada  violación  del</w:t>
        <w:br/>
        <w:t>artículo 18 se basa en el cambio  de  nombre  del  niño,  de  Ramiro  Osorio</w:t>
        <w:br/>
        <w:t>Cristales a Ramiro Fernando López,  luego  de  su  sustracción  y  retención</w:t>
        <w:br/>
        <w:t>ilegal por parte de un Kaibil que participó  en  la  masacre.  Estos  hechos</w:t>
        <w:br/>
        <w:t>fueron señalados por la Comisión en  su  demanda  y  los  representantes  se</w:t>
        <w:br/>
        <w:t>refirieron a éstos (supra párrs. 162 y 163).  Además, el  Tribunal  constata</w:t>
        <w:br/>
        <w:t>que el Estado tuvo la oportunidad de referirse a dicho alegato  en  diversas</w:t>
        <w:br/>
        <w:t>oportunidades   procesales.   Sin   embargo,   el   Estado    no    presentó</w:t>
        <w:br/>
        <w:t>argumentaciones específicas respecto a la presunta violación, limitándose  a</w:t>
        <w:br/>
        <w:t>cuestionar la competencia de esta Corte (supra párr. 32) y en  la  audiencia</w:t>
        <w:br/>
        <w:t>sólo se refirió a las supuestas actividades que habría realizado en  el  año</w:t>
        <w:br/>
        <w:t>1999, para ubicar a Ramiro Osorio Cristales, junto con FAMDEGUA.</w:t>
        <w:br/>
        <w:br/>
        <w:t>167.  En consecuencia, el Tribunal considera que  la  falta  de  reclamación</w:t>
        <w:br/>
        <w:t>del artículo 18 en el trámite ante la Comisión no ha afectado el  equilibrio</w:t>
        <w:br/>
        <w:t>procesal de las partes, ni ha menoscabado el derecho de defensa del  Estado,</w:t>
        <w:br/>
        <w:t>por cuanto éste ha tenido la  oportunidad  de  presentar  sus  argumentos  y</w:t>
        <w:br/>
        <w:t>pruebas a lo largo del proceso ante este Tribunal.</w:t>
        <w:br/>
        <w:br/>
        <w:t>168.  Antes de analizar la presunta violación de los derechos a la  familia,</w:t>
        <w:br/>
        <w:t>al nombre y del niño, reconocidos en  los  artículos  17,  18  y  19  de  la</w:t>
        <w:br/>
        <w:t>Convención Americana, en perjuicio de  Ramiro  Osorio  Cristales,  la  Corte</w:t>
        <w:br/>
        <w:t>considera pertinente analizar el contexto  de  las  violaciones  alegadas  y</w:t>
        <w:br/>
        <w:t>hacer un recuento de los hechos con el fin de enmarcar la situación  fáctica</w:t>
        <w:br/>
        <w:t>del presente caso.</w:t>
        <w:br/>
        <w:br/>
        <w:t xml:space="preserve">    1.      Contexto y antecedentes</w:t>
        <w:br/>
        <w:br/>
        <w:t xml:space="preserve">      A)    Existencia de una práctica sistemática</w:t>
        <w:br/>
        <w:br/>
        <w:br/>
        <w:t>169.  Los representantes alegaron que “los hechos concretos de este caso  se</w:t>
        <w:br/>
        <w:t>enmarcaron dentro de  una  práctica  sistemática  de  violaciones  cometidas</w:t>
        <w:br/>
        <w:t>contra niños y niñas durante el conflicto armado interno guatemalteco”.</w:t>
        <w:br/>
        <w:br/>
        <w:t>170.  En razón de ello, esta Corte examinará la existencia de  esa  práctica</w:t>
        <w:br/>
        <w:t>sistemática de violaciones cometidas contra niños y niñas, y  su  relevancia</w:t>
        <w:br/>
        <w:t>para este caso concreto.  Al  respecto,  varios  informes  que  analizan  el</w:t>
        <w:br/>
        <w:t>conflicto interno en Guatemala[171] señalan  que  existía  no  solamente  un</w:t>
        <w:br/>
        <w:t>contexto  de  violencia  en  el   cual   los   niños   formaban   un   grupo</w:t>
        <w:br/>
        <w:t>particularmente afectado, sino también un patrón de separación de  niños  de</w:t>
        <w:br/>
        <w:t>sus familias y de sustracción y retención ilegal de estos niños.  En  muchos</w:t>
        <w:br/>
        <w:t>casos esta práctica incluyó que se les cambiara el nombre y  se  les  negara</w:t>
        <w:br/>
        <w:t>su identidad, y en algunos casos estas sustracciones y retenciones  ilegales</w:t>
        <w:br/>
        <w:t>eran perpetradas por los propios militares que  habían  participado  en  las</w:t>
        <w:br/>
        <w:t>masacres[172].</w:t>
        <w:br/>
        <w:br/>
        <w:t>171.  El informe de la CEH, Guatemala: Memoria del Silencio señaló  en  este</w:t>
        <w:br/>
        <w:t>sentido que:</w:t>
        <w:br/>
        <w:br/>
        <w:t xml:space="preserve">      [d]espués de masacres u operaciones de tierra arrasada,  muchos  niños</w:t>
        <w:br/>
        <w:t xml:space="preserve">      que ya podían valerse por sí mismos fueron llevados por los militares,</w:t>
        <w:br/>
        <w:t xml:space="preserve">      comisionados militares o patrulleros para ser  sometidos  a  condición</w:t>
        <w:br/>
        <w:t xml:space="preserve">      servil en sus casas o en las de otras familias. Algunos de estos niños</w:t>
        <w:br/>
        <w:t xml:space="preserve">      se vieron sometidos a situaciones de explotación y  abuso  sistemático</w:t>
        <w:br/>
        <w:t xml:space="preserve">      […] Según los testimonios recibidos  por  la  CEH,  los  niños  debían</w:t>
        <w:br/>
        <w:t xml:space="preserve">      realizar trabajos domésticos o diversas tareas que les  encargaban  en</w:t>
        <w:br/>
        <w:t xml:space="preserve">      las casas donde se encontraban. Sufrieron todo tipo de maltrato físico</w:t>
        <w:br/>
        <w:t xml:space="preserve">      y psicológico. Estos niños sufrieron, conjuntamente con  la  violación</w:t>
        <w:br/>
        <w:t xml:space="preserve">      de su derecho a la libertad individual, la vulneración  de  todos  sus</w:t>
        <w:br/>
        <w:t xml:space="preserve">      derechos humanos, pues por las condiciones de  servidumbre  a  la  que</w:t>
        <w:br/>
        <w:t xml:space="preserve">      fueron  sometidos  también  se  afectaron  su  integridad   física   y</w:t>
        <w:br/>
        <w:t xml:space="preserve">      psicológica, se les mantuvo en una situación de explotación económica,</w:t>
        <w:br/>
        <w:t xml:space="preserve">      abuso y permanente miedo.  Igualmente  se  vulneró  su  derecho  a  su</w:t>
        <w:br/>
        <w:t xml:space="preserve">      identidad y a desarrollarse dentro de su propia familia  y  comunidad.</w:t>
        <w:br/>
        <w:t xml:space="preserve">      En algunos casos se les cambió de nombres y se negó el  origen  de  su</w:t>
        <w:br/>
        <w:t xml:space="preserve">      familia o se estigmatizó a la misma[173].</w:t>
        <w:br/>
        <w:br/>
        <w:t>172.   También  el  Informe  Guatemala  Nunca  Más  del   Proyecto   de   la</w:t>
        <w:br/>
        <w:t>Recuperación de la Memoria Histórica de la Oficina de Derechos  Humanos  del</w:t>
        <w:br/>
        <w:t>Arzobispado de Guatemala (en adelante “REMHI, Guatemala Nunca  Más”)  indicó</w:t>
        <w:br/>
        <w:t>que “[a]parecen algunos casos de niños que fueron separados de sus  familias</w:t>
        <w:br/>
        <w:t>o comunidades, secuestrados y adoptados de forma fraudulenta por algunos  de</w:t>
        <w:br/>
        <w:t>los victimarios de sus familias. Esta práctica les ha condenado a vivir  con</w:t>
        <w:br/>
        <w:t>los asesinos de sus familiares”[174].</w:t>
        <w:br/>
        <w:br/>
        <w:t>173.  El mismo informe cita declaraciones del  General  Héctor  Gramajo[175]</w:t>
        <w:br/>
        <w:t>publicado en el periódico guatemalteco “Prensa Libre”  del  6  de  abril  de</w:t>
        <w:br/>
        <w:t>1989, según las cuales, cuando era ministro de  Defensa,  esa  práctica  fue</w:t>
        <w:br/>
        <w:t>frecuente en algunos momentos, por lo que afectó a  muchos  niños  y  niñas.</w:t>
        <w:br/>
        <w:t>Según el  General  Gramajo  “[m]uchas  de  las  familias  de  oficiales  del</w:t>
        <w:br/>
        <w:t>Ejército  han  crecido  con  la  [‘]adopción[’]  de  niños  víctimas  de  la</w:t>
        <w:br/>
        <w:t>violencia, pues en determinados momentos se volvió moda  en  las  filas  del</w:t>
        <w:br/>
        <w:t>Ejército hacerse cargo de pequeños de 3 o 4 años […]”[176].</w:t>
        <w:br/>
        <w:br/>
        <w:t>174.  El Informe Hasta Encontrarte,  Niñez  Desaparecida  Por  el  Conflicto</w:t>
        <w:br/>
        <w:t>Armado  Interno  en  Guatemala  de  la  Oficina  de  Derechos  Humanos   del</w:t>
        <w:br/>
        <w:t>Arzobispado de  Guatemala[177]  (en  adelante  “ODHAG,  Hasta  Encontrarte”)</w:t>
        <w:br/>
        <w:t>resalta  la  problemática  de  los  niños   y   niñas   desaparecidos   como</w:t>
        <w:br/>
        <w:t>consecuencia de dicho conflicto, y señala que “del total de casos  de  niñez</w:t>
        <w:br/>
        <w:t>desaparecida  documentada  en  el  proceso  investigativo,  un  69%   fueron</w:t>
        <w:br/>
        <w:t>llevados después de la captura a diferentes  unidades  militares”  y  reseña</w:t>
        <w:br/>
        <w:t>varios “casos donde un miembro del  Ejército  se  llevó  a  un  niño/a,  […]</w:t>
        <w:br/>
        <w:t>después  de  que  el  Ejército  masacrara  su  comunidad”[178].  El  informe</w:t>
        <w:br/>
        <w:t>establece que para la época de los hechos del presente caso hubo un  “mínimo</w:t>
        <w:br/>
        <w:t>de 444 casos de niñas y niños desaparecidos por el conflicto armado  interno</w:t>
        <w:br/>
        <w:t>en Guatemala”[179].</w:t>
        <w:br/>
        <w:br/>
        <w:t>175.  Además dicho informe de la ODHAG, Hasta Encontrarte establece  que  se</w:t>
        <w:br/>
        <w:t>cometió el crimen de la sustracción y retención ilegal de menores, ya que:</w:t>
        <w:br/>
        <w:br/>
        <w:t xml:space="preserve">      [d]urante el conflicto armado hubo adopciones que se dieron dentro  de</w:t>
        <w:br/>
        <w:t xml:space="preserve">      la ilegalidad. Tal como se ha señalado anteriormente, la dinámica  del</w:t>
        <w:br/>
        <w:t xml:space="preserve">      conflicto la cual facilitaba la impunidad, permitió que  los  niños  y</w:t>
        <w:br/>
        <w:t xml:space="preserve">      niñas fueran entregados por sus victimarios  a  entidades  o  personas</w:t>
        <w:br/>
        <w:t xml:space="preserve">      militares, civiles o religiosas, la cuales,  se  estima  que  en  gran</w:t>
        <w:br/>
        <w:t xml:space="preserve">      cantidad de casos les dieron en [‘]adopción[’] sin que  se  respetaran</w:t>
        <w:br/>
        <w:t xml:space="preserve">      los procedimientos  judiciales.  Irregularidades  procesales  como  la</w:t>
        <w:br/>
        <w:t xml:space="preserve">      falsificación de partidas de nacimiento,  o  cambios  de  identidad  a</w:t>
        <w:br/>
        <w:t xml:space="preserve">      través de reasentamientos, permitieron que la niñez fuera adoptada por</w:t>
        <w:br/>
        <w:t xml:space="preserve">      personas extranjeras, nacionales y incluso por  las  familias  de  sus</w:t>
        <w:br/>
        <w:t xml:space="preserve">      propios victimarios. Las adopciones de  hecho  o  integración  de  las</w:t>
        <w:br/>
        <w:t xml:space="preserve">      victimas a hogares sustitutos, fueron en muchos  casos  realizadas  de</w:t>
        <w:br/>
        <w:t xml:space="preserve">      manera arbitraria por sus  propios  victimarios,  entidades  sociales,</w:t>
        <w:br/>
        <w:t xml:space="preserve">      públicas o privadas que obviaron la fase  de  investigación  familiar,</w:t>
        <w:br/>
        <w:t xml:space="preserve">      tornando más complejo este fenómeno relacionado  con  la  desaparición</w:t>
        <w:br/>
        <w:t xml:space="preserve">      forzada de infantes[180].</w:t>
        <w:br/>
        <w:br/>
        <w:t>176.  El mismo informe de  la  ODHAG,  Hasta  Encontrarte  resalta  que  “en</w:t>
        <w:br/>
        <w:t>muchos casos reconocidos se ha podido detectar que  la  reubicación  de  los</w:t>
        <w:br/>
        <w:t>niños y niñas desaparecidos significó un cambio de nombres y apellidos,  que</w:t>
        <w:br/>
        <w:t>no solamente ocurrió en los  casos  de  [‘]adopción[’]  fuera  y  dentro  de</w:t>
        <w:br/>
        <w:t>Guatemala, sino en los que  se  quedaron  en  el  país  viviendo  con  otras</w:t>
        <w:br/>
        <w:t>familias”[181].</w:t>
        <w:br/>
        <w:br/>
        <w:t xml:space="preserve">                                      *</w:t>
        <w:br/>
        <w:t xml:space="preserve">                                   *     *</w:t>
        <w:br/>
        <w:br/>
        <w:t>177.  De lo expuesto  anteriormente  y  de  la  prueba  aportada,  la  Corte</w:t>
        <w:br/>
        <w:t>concluye que está establecido que en la época de  los  hechos  en  Guatemala</w:t>
        <w:br/>
        <w:t>existía un patrón de separación de niños de sus familias,  posteriormente  a</w:t>
        <w:br/>
        <w:t>las masacres perpetradas  por  las  fuerzas  armadas,  y  de  sustracción  y</w:t>
        <w:br/>
        <w:t>retención  ilegal  de  estos  niños,  en  algunos  casos  por  los   propios</w:t>
        <w:br/>
        <w:t>militares. Además, está establecido que dicha práctica  implicó,  en  muchos</w:t>
        <w:br/>
        <w:t>casos, que se le cambiara el nombre y negara la identidad de los  niños.  El</w:t>
        <w:br/>
        <w:t>Estado no ha negado ni alegado desconocimiento de esta situación.</w:t>
        <w:br/>
        <w:br/>
        <w:t>178.  Para efectos del presente caso, el  Tribunal  tendrá  en  cuenta  esta</w:t>
        <w:br/>
        <w:t>práctica de sustracción y retención ilegal de menores y que el Estado  tenía</w:t>
        <w:br/>
        <w:t>conocimiento de ella, y la valorará como antecedente  para  las  violaciones</w:t>
        <w:br/>
        <w:t>alegadas. Consecuentemente, la Corte  debe  establecer  en  qué  medida  los</w:t>
        <w:br/>
        <w:t>antecedentes del presente caso y  la  situación  en  la  que  se  encontraba</w:t>
        <w:br/>
        <w:t>Ramiro Osorio Cristales  con  posterioridad  al  9  de  marzo  de  1987,  se</w:t>
        <w:br/>
        <w:t>enmarcaron en esta práctica sistemática de sustracción  y  retención  ilegal</w:t>
        <w:br/>
        <w:t>de menores, como lo  alegaron  los  representantes.  Para  efectos  de  este</w:t>
        <w:br/>
        <w:t>análisis, se dividirán los hechos del presente  caso  en  dos  períodos:  el</w:t>
        <w:br/>
        <w:t>primero  respecto  a  los  hechos  que  sucedieron   con   anterioridad   al</w:t>
        <w:br/>
        <w:t>reconocimiento de la competencia de la Corte por el Estado el 9 de marzo  de</w:t>
        <w:br/>
        <w:t>1987 y el  segundo  sobre  aquellos  hechos  que  conformaron  la  situación</w:t>
        <w:br/>
        <w:t>fáctica de Ramiro Osorio Cristales después de tal fecha.</w:t>
        <w:br/>
        <w:br/>
        <w:t xml:space="preserve">            B)   Hechos previos al 9 de marzo de 1987</w:t>
        <w:br/>
        <w:br/>
        <w:t>179.  Este Tribunal nota que el Estado ha reconocido  los  hechos  ocurridos</w:t>
        <w:br/>
        <w:t>con anterioridad al 9 de marzo de 1987, por lo que  esta  Corte  los  tomará</w:t>
        <w:br/>
        <w:t>como antecedentes para el presente caso. Ha sido establecido que:</w:t>
        <w:br/>
        <w:br/>
        <w:br/>
        <w:t xml:space="preserve">   a) en el momento de la masacre del Parcelamiento de Las Dos Erres  Ramiro</w:t>
        <w:br/>
        <w:t xml:space="preserve">      Osorio Cristales tenía seis años de edad y vivía con su familia en ese</w:t>
        <w:br/>
        <w:t xml:space="preserve">      lugar[182];</w:t>
        <w:br/>
        <w:br/>
        <w:br/>
        <w:t xml:space="preserve">   b) durante la masacre Ramiro Osorio Cristales presenció la  ejecución  de</w:t>
        <w:br/>
        <w:t xml:space="preserve">      su madre y su hermana y escuchó los gritos del resto de  los  miembros</w:t>
        <w:br/>
        <w:t xml:space="preserve">      de la comunidad al momento de ser ejecutados[183];</w:t>
        <w:br/>
        <w:br/>
        <w:br/>
        <w:t xml:space="preserve">   c) Ramiro Osorio Cristales fue llevado del Parcelamiento de Las Dos Erres</w:t>
        <w:br/>
        <w:t xml:space="preserve">      por el Kaibil Santos López Alonso[184], junto al grupo de Kaibiles que</w:t>
        <w:br/>
        <w:t xml:space="preserve">      perpetró la masacre. Estuvo con ellos durante varios días en su marcha</w:t>
        <w:br/>
        <w:t xml:space="preserve">      por el bosque[185], fue recogido junto al grupo  de  Kaibiles  por  un</w:t>
        <w:br/>
        <w:t xml:space="preserve">      helicóptero   del   ejército[186]   y   permaneció    luego    durante</w:t>
        <w:br/>
        <w:t xml:space="preserve">      aproximadamente dos meses en la escuela de Kaibiles[187]. Durante este</w:t>
        <w:br/>
        <w:t xml:space="preserve">      tiempo su presencia era del conocimiento de  otros  Kaibiles.  En  ese</w:t>
        <w:br/>
        <w:t xml:space="preserve">      mismo momento el señor Santos  López  Alonso  se  encontraba  en  esta</w:t>
        <w:br/>
        <w:t xml:space="preserve">      escuela de Kaibiles, donde se desempeñaba como sub-instructor[188];</w:t>
        <w:br/>
        <w:br/>
        <w:br/>
        <w:t xml:space="preserve">   d) el Kaibil Santos López Alonso se llevó a Ramiro Osorio Cristales a  su</w:t>
        <w:br/>
        <w:t xml:space="preserve">      casa[189] y lo registró bajo los apellidos de él y su  esposa  con  el</w:t>
        <w:br/>
        <w:t xml:space="preserve">      nombre Ramiro Fernando López García[190];</w:t>
        <w:br/>
        <w:br/>
        <w:br/>
        <w:t xml:space="preserve">   e) se le impuso una multa al Kaibil Santos López Alonso  al  registrar  a</w:t>
        <w:br/>
        <w:t xml:space="preserve">      Ramiro Osorio Cristales, “por  no  haberse  inscrito  e[l]  nacimiento</w:t>
        <w:br/>
        <w:t xml:space="preserve">      dentro del término de la ley”[191], y</w:t>
        <w:br/>
        <w:br/>
        <w:br/>
        <w:t xml:space="preserve">   f) Ramiro Osorio Cristales vivió con la familia del Kaibil  Santos  López</w:t>
        <w:br/>
        <w:t xml:space="preserve">      Alonso, bajo el nombre de Ramiro Fernando López García, desde  el  año</w:t>
        <w:br/>
        <w:t xml:space="preserve">      1983[192].</w:t>
        <w:br/>
        <w:br/>
        <w:t xml:space="preserve">    C)      Hechos posteriores al 9 de marzo de 1987</w:t>
        <w:br/>
        <w:br/>
        <w:t>180.  Adicionalmente, y efectuado el  examen  de  las  declaraciones  de  la</w:t>
        <w:br/>
        <w:t>presunta víctima, de los testigos, de los dictámenes de  los  peritos  y  de</w:t>
        <w:br/>
        <w:t>las manifestaciones de la Comisión, de los representantes y  del  Estado  en</w:t>
        <w:br/>
        <w:t>el  curso  del  presente  proceso,  la  Corte  considera  establecidos   los</w:t>
        <w:br/>
        <w:t>siguientes hechos:</w:t>
        <w:br/>
        <w:br/>
        <w:t xml:space="preserve">   a) Ramiro Osorio Cristales permaneció en  la  situación  descrita  (supra</w:t>
        <w:br/>
        <w:t xml:space="preserve">      párrs. 180.d y 180.f) hasta el año 1999[193];</w:t>
        <w:br/>
        <w:br/>
        <w:br/>
        <w:t xml:space="preserve">   b) en el año 1999 fue contactado por FAMDEGUA y el Ministerio Público, en</w:t>
        <w:br/>
        <w:t xml:space="preserve">      el marco de la investigación de la masacre[194];</w:t>
        <w:br/>
        <w:br/>
        <w:br/>
        <w:t xml:space="preserve">   c) en febrero de 1999 rindió su declaración de lo ocurrido en el marco de</w:t>
        <w:br/>
        <w:t xml:space="preserve">      la investigación de la masacre y se vio forzado a salir  de  Guatemala</w:t>
        <w:br/>
        <w:t xml:space="preserve">      porque su vida corría riesgo[195];</w:t>
        <w:br/>
        <w:br/>
        <w:br/>
        <w:t xml:space="preserve">   d) fue recién en ese momento -1999- que tuvo conocimiento  de  que  tenía</w:t>
        <w:br/>
        <w:t xml:space="preserve">      familia biológica que no había muerto  en  la  masacre  y  a  la  cual</w:t>
        <w:br/>
        <w:t xml:space="preserve">      reencontró después de 18 años[196];</w:t>
        <w:br/>
        <w:br/>
        <w:br/>
        <w:t xml:space="preserve">   e) una prueba de ADN comprobó en el año 1999 su parentesco con su familia</w:t>
        <w:br/>
        <w:t xml:space="preserve">      biológica[197], y</w:t>
        <w:br/>
        <w:br/>
        <w:br/>
        <w:t xml:space="preserve">   f) el 15 de mayo de 2002 Ramiro Osorio  Cristales  cambió  sus  apellidos</w:t>
        <w:br/>
        <w:t xml:space="preserve">      para volver a llevar el nombre que sus padres le dieron[198].</w:t>
        <w:br/>
        <w:br/>
        <w:t>181.  La Corte observa, en  primer  lugar,  que  el  Estado  no  ha  alegado</w:t>
        <w:br/>
        <w:t>desconocimiento de estos hechos ni los ha controvertido. Además, los  hechos</w:t>
        <w:br/>
        <w:t>generadores de la alegada violación, es decir, la  sustracción  y  retención</w:t>
        <w:br/>
        <w:t>ilegal del entonces niño Ramiro Osorio Cristales fueron perpetradas  por  el</w:t>
        <w:br/>
        <w:t>Kaibil Santos López Alonso, un agente estatal. Dicha sustracción sucedió  en</w:t>
        <w:br/>
        <w:t>el marco de una operación militar  oficial,  la  cual  fue  llevada  a  cabo</w:t>
        <w:br/>
        <w:t>siguiendo órdenes del superior a cargo[199].  Todo  indica  que  ocurrió  de</w:t>
        <w:br/>
        <w:t>manera pública y con el conocimiento de  compañeros  y  superiores[200].  En</w:t>
        <w:br/>
        <w:t>segundo lugar, está probado que  Ramiro  Osorio  Cristales  caminó  con  los</w:t>
        <w:br/>
        <w:t>Kaibiles  que  perpetraron  la  masacre  durante   varios   días   por   las</w:t>
        <w:br/>
        <w:t>montañas[201] y fue recogido junto a  este  grupo  por  helicópteros  de  la</w:t>
        <w:br/>
        <w:t>fuerza armada, los cuales los llevaron a la  escuela  de  Kaibiles[202].  En</w:t>
        <w:br/>
        <w:t>tercer lugar, Ramiro Osorio Cristales permaneció en  dicha  escuela  durante</w:t>
        <w:br/>
        <w:t>al menos durante dos meses, con el conocimiento  de  otros  Kaibiles  y  sus</w:t>
        <w:br/>
        <w:t>superiores presentes, hasta que el Kaibil Santos López Alonso se lo llevó  a</w:t>
        <w:br/>
        <w:t>su casa[203].</w:t>
        <w:br/>
        <w:br/>
        <w:t>182.  Además, el hecho de que existiera un proceso interno  por  la  Masacre</w:t>
        <w:br/>
        <w:t>de Las Dos Erres a partir del año 1994, en el cual Ramiro  Osorio  Cristales</w:t>
        <w:br/>
        <w:t>fue llamado a rendir su declaración como prueba anticipada en el  año  1999,</w:t>
        <w:br/>
        <w:t>representa otro  elemento  adicional  que  demuestra  que  el  Estado  tenía</w:t>
        <w:br/>
        <w:t>conocimiento de la existencia de Ramiro Osorio Cristales y de  la  situación</w:t>
        <w:br/>
        <w:t>en la que éste se encontraba. Asimismo, la Corte encuentra  que  los  hechos</w:t>
        <w:br/>
        <w:t>de este caso se enmarcan claramente en un patrón sistemático de  sustracción</w:t>
        <w:br/>
        <w:t>y retención ilegal de menores, perpetrado y tolerado por actores estatales.</w:t>
        <w:br/>
        <w:br/>
        <w:t>183.  Una vez establecidos los hechos relativos a la  alegada  violación  de</w:t>
        <w:br/>
        <w:t>los derechos a la  familia,  al  nombre  y  del  niño,  reconocidos  en  los</w:t>
        <w:br/>
        <w:t>artículos 17, 18 y 19 de la Convención Americana,  en  perjuicio  de  Ramiro</w:t>
        <w:br/>
        <w:t>Osorio Cristales, corresponde al Tribunal examinar si éstos generan o no  la</w:t>
        <w:br/>
        <w:t>responsabilidad internacional del Estado.</w:t>
        <w:br/>
        <w:br/>
        <w:br/>
        <w:br/>
        <w:br/>
        <w:t xml:space="preserve">    2.      Derechos a la familia (artículo 17), al nombre (artículo 18)  y</w:t>
        <w:br/>
        <w:t xml:space="preserve">    del niño (artículo 19)</w:t>
        <w:br/>
        <w:br/>
        <w:t>184.  En lo que se  refiere  a  los  derechos  del  niño  protegidos  en  la</w:t>
        <w:br/>
        <w:t>Convención,  la  Corte  ha  establecido  que  los  niños   tienen   derechos</w:t>
        <w:br/>
        <w:t>especiales a los que  corresponden  deberes  específicos  por  parte  de  la</w:t>
        <w:br/>
        <w:t>familia, la sociedad y el Estado. Además, su condición exige una  protección</w:t>
        <w:br/>
        <w:t>especial debida por este último y que debe ser  entendida  como  un  derecho</w:t>
        <w:br/>
        <w:t>adicional y complementario a los demás derechos que la  Convención  reconoce</w:t>
        <w:br/>
        <w:t>a toda persona[204]. La prevalencia del interés superior del niño  debe  ser</w:t>
        <w:br/>
        <w:t>entendida como la necesidad de satisfacción de todos  los  derechos  de  los</w:t>
        <w:br/>
        <w:t>niños, que obliga al Estado e irradia efectos en la interpretación de  todos</w:t>
        <w:br/>
        <w:t>los demás derechos de la Convención cuando el caso se refiera a  menores  de</w:t>
        <w:br/>
        <w:t>edad[205].  Asimismo,  el  Estado  debe  prestar  especial  atención  a  las</w:t>
        <w:br/>
        <w:t>necesidades y a los derechos de los niños, en consideración a  su  condición</w:t>
        <w:br/>
        <w:t>particular de vulnerabilidad.</w:t>
        <w:br/>
        <w:br/>
        <w:t>185.  De igual forma, este Tribunal ha establecido reiteradamente, a  través</w:t>
        <w:br/>
        <w:t>del análisis de la norma  general  consagrada  en  el  artículo  1.1  de  la</w:t>
        <w:br/>
        <w:t>Convención Americana, que el Estado está obligado a respetar los derechos  y</w:t>
        <w:br/>
        <w:t>libertades  reconocidos  en  ella  y  a  organizar  el  poder  público  para</w:t>
        <w:br/>
        <w:t>garantizar a las personas bajo su jurisdicción el libre  y  pleno  ejercicio</w:t>
        <w:br/>
        <w:t>de los derechos humanos[206]. Esta obligación  no  sólo  presupone  que  los</w:t>
        <w:br/>
        <w:t>Estados se abstengan de inferir indebidamente en los  derechos  garantizados</w:t>
        <w:br/>
        <w:t>en la Convención (obligación negativa), sino que además,  a  la  luz  de  su</w:t>
        <w:br/>
        <w:t>obligación de  garantizar  el  pleno  y  libre  ejercicio  de  los  derechos</w:t>
        <w:br/>
        <w:t>humanos, requiere que los Estados adopten todas las medidas apropiadas  para</w:t>
        <w:br/>
        <w:t>proteger y preservar dichos derechos  (obligación  positiva)[207]  de  todos</w:t>
        <w:br/>
        <w:t>quienes se encuentren bajo su jurisdicción.</w:t>
        <w:br/>
        <w:br/>
        <w:t>186.  Teniendo en cuenta lo señalado en los párrafos  anteriores,  la  Corte</w:t>
        <w:br/>
        <w:t>hace notar que  al  momento  en  que  el  Estado  reconoció  la  competencia</w:t>
        <w:br/>
        <w:t>contenciosa de la Corte, Ramiro Osorio Cristales aún era niño[208].  Por  lo</w:t>
        <w:br/>
        <w:t>tanto, el Estado le debía medidas de protección  especiales,  adicionales  y</w:t>
        <w:br/>
        <w:t>complementarias, con el fin  de  garantizar  el  ejercicio  y  goce  de  sus</w:t>
        <w:br/>
        <w:t>derechos, incluyendo el derecho a la familia y al nombre.  En  consecuencia,</w:t>
        <w:br/>
        <w:t>este Tribunal  analizará  la  supuesta  violación  del  artículo  19  de  la</w:t>
        <w:br/>
        <w:t>Convención junto con las demás violaciones alegadas.</w:t>
        <w:br/>
        <w:br/>
        <w:t xml:space="preserve">                                      *</w:t>
        <w:br/>
        <w:t xml:space="preserve">                                   *     *</w:t>
        <w:br/>
        <w:br/>
        <w:t>187.  En relación con el derecho a la familia la Corte ya ha establecido  en</w:t>
        <w:br/>
        <w:t>su jurisprudencia que la separación de niños de su familia constituye,  bajo</w:t>
        <w:br/>
        <w:t>ciertas condiciones, una violación de su derecho a la familia reconocido  en</w:t>
        <w:br/>
        <w:t>el artículo 17 de la Convención Americana[209].</w:t>
        <w:br/>
        <w:br/>
        <w:t>188.  Además, este Tribunal ha señalado que “el niño tiene derecho  a  vivir</w:t>
        <w:br/>
        <w:t>con su familia, llamada a satisfacer sus necesidades  materiales,  afectivas</w:t>
        <w:br/>
        <w:t>y psicológicas. El derecho de  toda  persona  a  recibir  protección  contra</w:t>
        <w:br/>
        <w:t>injerencias  arbitrarias  o   ilegales   en   su   familia,   forma   parte,</w:t>
        <w:br/>
        <w:t>implícitamente, del derecho a la protección de la  familia  y  del  niño,  y</w:t>
        <w:br/>
        <w:t>además  está  expresamente  reconocido  por  los  artículos   12.1   de   la</w:t>
        <w:br/>
        <w:t>Declaración Universal de los Derechos  Humanos[210],  V  de  la  Declaración</w:t>
        <w:br/>
        <w:t>Americana de Derechos y Deberes del Hombre[211], 17 del Pacto  Internacional</w:t>
        <w:br/>
        <w:t>de Derechos Civiles y Políticos[212], 11.2 de la Convención Americana  sobre</w:t>
        <w:br/>
        <w:t>Derechos  Humanos[213]  y  8  de   la   Convención   Europea   de   Derechos</w:t>
        <w:br/>
        <w:t>Humanos[214]. Estas  disposiciones  poseen  especial  relevancia  cuando  se</w:t>
        <w:br/>
        <w:t>analiza la separación del niño de su familia”[215].</w:t>
        <w:br/>
        <w:br/>
        <w:t>189.  Asimismo, la jurisprudencia de la Corte Europea  de  Derechos  Humanos</w:t>
        <w:br/>
        <w:t>ha señalado que el disfrute mutuo de la convivencia  entre  padres  e  hijos</w:t>
        <w:br/>
        <w:t>constituye un elemento fundamental en la vida  de  familia[216],  y  que  el</w:t>
        <w:br/>
        <w:t>artículo 8 de la Convención Europea de Derechos Humanos no solo  tiene  como</w:t>
        <w:br/>
        <w:t>objetivo preservar el individuo contra las injerencias  arbitrarias  de  las</w:t>
        <w:br/>
        <w:t>autoridades públicas, sino que, además, este  artículo  supone  obligaciones</w:t>
        <w:br/>
        <w:t>positivas a cargo del Estado  a  favor  del  respeto  efectivo  de  la  vida</w:t>
        <w:br/>
        <w:t>familiar[217].</w:t>
        <w:br/>
        <w:br/>
        <w:t>190.  Lo mismo se desprende de las normas contenidas en la Convención  sobre</w:t>
        <w:br/>
        <w:t>los Derechos  del  Niño,  que  establece  que  los  derechos  de  los  niños</w:t>
        <w:br/>
        <w:t>requieren no sólo que el Estado se abstenga de interferir  indebidamente  en</w:t>
        <w:br/>
        <w:t>las relaciones privadas o familiares del niño, sino también que,  según  las</w:t>
        <w:br/>
        <w:t>circunstancias, adopte providencias positivas para asegurar el  ejercicio  y</w:t>
        <w:br/>
        <w:t>disfrute  pleno  de  sus  derechos.  Esto  requiere  que  el  Estado,   como</w:t>
        <w:br/>
        <w:t>responsable del bien común, debe  resguardar  el  rol  preponderante  de  la</w:t>
        <w:br/>
        <w:t>familia en la protección del niño; y prestar asistencia del poder público  a</w:t>
        <w:br/>
        <w:t>la familia,  mediante  la  adopción  de  medidas  que  promuevan  la  unidad</w:t>
        <w:br/>
        <w:t>familiar[218].</w:t>
        <w:br/>
        <w:br/>
        <w:t>191.  Finalmente la Corte nota que, en el contexto de  un  conflicto  armado</w:t>
        <w:br/>
        <w:t>interno, las obligaciones del Estado a favor de los niños se definen  en  el</w:t>
        <w:br/>
        <w:t>artículo 4.3 del Protocolo adicional II a los Convenios  de  Ginebra.  Dicho</w:t>
        <w:br/>
        <w:t>artículo establece que: “[s]e proporcionarán a los niños los cuidados  y  la</w:t>
        <w:br/>
        <w:t>ayuda que necesiten, y,  en  particular:  […]  b)  se  tomarán  las  medidas</w:t>
        <w:br/>
        <w:t>oportunas para facilitar la reunión de las familias temporalmente  separadas</w:t>
        <w:br/>
        <w:t>[…]”.  De  acuerdo  con  el  Comité  Internacional  de  la  Cruz  Roja  esta</w:t>
        <w:br/>
        <w:t>obligación ha sido definida como que “las partes en  conflicto  deben  hacer</w:t>
        <w:br/>
        <w:t>lo posible  por  reestablecer  los  lazos  familiares,  es  decir,  no  solo</w:t>
        <w:br/>
        <w:t>permitir las búsquedas que emprendan los  miembros  de  familias  dispersas,</w:t>
        <w:br/>
        <w:t>sino facilitarlas incluso”[219].</w:t>
        <w:br/>
        <w:br/>
        <w:t xml:space="preserve">                                      *</w:t>
        <w:br/>
        <w:t xml:space="preserve">                                   *     *</w:t>
        <w:br/>
        <w:br/>
        <w:t>192.   En  cuanto  al  derecho  al  nombre,  la  Corte  hace  notar  que  ha</w:t>
        <w:br/>
        <w:t>establecido en su jurisprudencia que “el derecho al  nombre,  reconocido  en</w:t>
        <w:br/>
        <w:t>el artículo 18 de la Convención Americana, constituye un elemento  básico  e</w:t>
        <w:br/>
        <w:t>indispensable de la identidad de cada persona”[220].  En  este  sentido,  el</w:t>
        <w:br/>
        <w:t>Tribunal ha señalado que “los Estados deben garantizar que  la  persona  sea</w:t>
        <w:br/>
        <w:t>registrada con el nombre elegido por ella o por sus  padres,  según  sea  el</w:t>
        <w:br/>
        <w:t>momento  del  registro,  sin  ningún  tipo  de  restricción  al  derecho  ni</w:t>
        <w:br/>
        <w:t>interferencia en la decisión de escoger el nombre.  Una  vez  registrada  la</w:t>
        <w:br/>
        <w:t>persona, se debe garantizar la posibilidad de  preservar  y  restablecer  su</w:t>
        <w:br/>
        <w:t>nombre y su  apellido.  El  nombre  y  los  apellidos  son  esenciales  para</w:t>
        <w:br/>
        <w:t>establecer formalmente el vínculo existente entre  los  diferentes  miembros</w:t>
        <w:br/>
        <w:t>de la familia”[221].</w:t>
        <w:br/>
        <w:br/>
        <w:t>193.  También la Corte Europea decidió en materia del derecho al nombre  que</w:t>
        <w:br/>
        <w:t>“como medio de identificación personal y de relación o  de  incorporación  a</w:t>
        <w:br/>
        <w:t>la familia, el nombre  de  una  persona  afecta  la  vida  […]  familiar  de</w:t>
        <w:br/>
        <w:t>esta”[222].</w:t>
        <w:br/>
        <w:br/>
        <w:t>194.  Con base en  todas  las  anteriores  consideraciones,  corresponde  al</w:t>
        <w:br/>
        <w:t>Tribunal determinar si el Estado es responsable  por  la  violación  de  los</w:t>
        <w:br/>
        <w:t>derechos al nombre, a la familia y del niño en perjuicio  de  Ramiro  Osorio</w:t>
        <w:br/>
        <w:t>Cristales. Para tales efectos, la Corte reitera que al 9 de marzo  de  1987,</w:t>
        <w:br/>
        <w:t>cuando Guatemala  reconoció  la  competencia  de  la  Corte,  Ramiro  Osorio</w:t>
        <w:br/>
        <w:t>Cristales estaba  separado  de  su  familia,  viviendo  con  otro  nombre  e</w:t>
        <w:br/>
        <w:t>identidad y con una familia que no era la suya. La separación de su  familia</w:t>
        <w:br/>
        <w:t>se mantuvo hasta el año 1999, cuando Ramiro Osorio Cristales  se  reencontró</w:t>
        <w:br/>
        <w:t>con su familia biológica. Asimismo,  el  cambio  de  nombre,  basado  en  su</w:t>
        <w:br/>
        <w:t>sustracción y retención  ilegal  por  el  Kaibil  Santos  López  Alonso,  se</w:t>
        <w:br/>
        <w:t>mantuvo hasta el año 2002, cuando recuperó  el  nombre  que  sus  padres  le</w:t>
        <w:br/>
        <w:t>dieron.</w:t>
        <w:br/>
        <w:br/>
        <w:t>195.  La Corte considera que el Estado tenía la obligación de adoptar  todas</w:t>
        <w:br/>
        <w:t>aquellas medidas positivas que fueran necesarias para garantizar que  Ramiro</w:t>
        <w:br/>
        <w:t>Osorio Cristales pudiera ejercer y disfrutar  plenamente  de  su  derecho  a</w:t>
        <w:br/>
        <w:t>vivir con su familia biológica, así como de su  derecho  al  nombre  que  le</w:t>
        <w:br/>
        <w:t>dieron sus padres. Estos  derechos,  y  la  correspondiente  obligación  del</w:t>
        <w:br/>
        <w:t>Estado de garantizar su ejercicio y goce es permanente,  y  existe  para  el</w:t>
        <w:br/>
        <w:t>Estado a partir del 25 de mayo 1978 cuando Guatemala ratificó la  Convención</w:t>
        <w:br/>
        <w:t>Americana. Sin embargo, este  Tribunal  se  pronunciará  sobre  una  posible</w:t>
        <w:br/>
        <w:t>violación de estos derechos sólo a partir del 9 de marzo de 1987,  fecha  en</w:t>
        <w:br/>
        <w:t>la cual el Estado reconoció la competencia de este Tribunal, con base en  la</w:t>
        <w:br/>
        <w:t>situación fáctica existente después de la referida fecha.</w:t>
        <w:br/>
        <w:br/>
        <w:t>196.  Como la Corte ya  estableció,  el  Estado  tenía  conocimiento  de  la</w:t>
        <w:br/>
        <w:t>existencia de Ramiro Osorio Cristales y de la situación en la  que  éste  se</w:t>
        <w:br/>
        <w:t>encontraba (supra párrs. 181 y 182). Sin embargo, hasta el año  1999  omitió</w:t>
        <w:br/>
        <w:t>toda gestión para garantizar a Ramiro Osorio Cristales  sus  derechos  a  la</w:t>
        <w:br/>
        <w:t>familia y al nombre.</w:t>
        <w:br/>
        <w:br/>
        <w:t>197.  El Tribunal reitera  que,  según  las  normas  del  derecho  sobre  la</w:t>
        <w:br/>
        <w:t>responsabilidad  internacional  del  Estado   aplicables   en   el   Derecho</w:t>
        <w:br/>
        <w:t>Internacional de los Derechos Humanos, la  acción  u  omisión  de  cualquier</w:t>
        <w:br/>
        <w:t>autoridad pública constituye un hecho imputable al Estado que compromete  su</w:t>
        <w:br/>
        <w:t>responsabilidad en los términos previstos en la  Convención  Americana[223].</w:t>
        <w:br/>
        <w:t>En estos supuestos, para establecer que se ha  producido  una  violación  de</w:t>
        <w:br/>
        <w:t>los derechos consagrados en la Convención no se  requiere  determinar,  como</w:t>
        <w:br/>
        <w:t>ocurre en el derecho penal interno, la culpabilidad  de  sus  autores  o  su</w:t>
        <w:br/>
        <w:t>intencionalidad y tampoco  es  preciso  identificar  individualmente  a  los</w:t>
        <w:br/>
        <w:t>agentes  a  los  cuales  se  atribuyen  los  hechos   violatorios[224].   Es</w:t>
        <w:br/>
        <w:t>suficiente que exista una obligación del Estado  que  haya  sido  incumplida</w:t>
        <w:br/>
        <w:t>por éste[225].</w:t>
        <w:br/>
        <w:br/>
        <w:t>198.  Si bien en el año 1999 el Estado se acercó a Ramiro  Osorio  Cristales</w:t>
        <w:br/>
        <w:t>con el propósito de que éste rindiera su declaración como prueba  anticipada</w:t>
        <w:br/>
        <w:t>sobre lo ocurrido en la masacre de Las Dos Erres[226], antes de dicha  fecha</w:t>
        <w:br/>
        <w:t>no realizó actividad alguna dirigida a fin de reunificarlo  con  su  familia</w:t>
        <w:br/>
        <w:t>biológica y devolverle su  nombre  e  identidad.  Esta  omisión  del  Estado</w:t>
        <w:br/>
        <w:t>postergó e  incluso  negó  a  Ramiro  Osorio  Cristales  la  oportunidad  de</w:t>
        <w:br/>
        <w:t>restablecer el vínculo con su familia y de recuperar su nombre y  apellidos.</w:t>
        <w:br/>
        <w:t>De esta manera incumplió con su obligación de adoptar medidas positivas  que</w:t>
        <w:br/>
        <w:t>promuevan la unidad familiar, a fin de  asegurar  el  ejercicio  y  disfrute</w:t>
        <w:br/>
        <w:t>pleno del derecho a la familia, así  como  para  garantizar  el  derecho  al</w:t>
        <w:br/>
        <w:t>nombre de Ramiro Osorio Cristales, el  cual  como  medio  de  identificación</w:t>
        <w:br/>
        <w:t>personal y de relación con la familia biológica de  una  persona  afecta  su</w:t>
        <w:br/>
        <w:t>vida privada  y  familiar  de  manera  particular.  Este  incumplimiento  es</w:t>
        <w:br/>
        <w:t>particularmente  grave  porque  se  enmarca  en  un  patrón  sistemático  de</w:t>
        <w:br/>
        <w:t>tolerancia y desinterés por parte del Estado, el cual durante al  menos  dos</w:t>
        <w:br/>
        <w:t>décadas no adoptó las medidas positivas necesarias.</w:t>
        <w:br/>
        <w:br/>
        <w:t>199.  En este sentido,  y  a  la  luz  del  artículo  19  de  la  Convención</w:t>
        <w:br/>
        <w:t>Americana, la Corte reitera la especial gravedad que reviste  el  que  pueda</w:t>
        <w:br/>
        <w:t>atribuirse a un Estado Parte en dicha Convención el cargo de haber  aplicado</w:t>
        <w:br/>
        <w:t>o tolerado en su territorio una  práctica  sistemática  de  sustracciones  y</w:t>
        <w:br/>
        <w:t>retenciones ilegales de menores[227] (supra párr. 177).</w:t>
        <w:br/>
        <w:br/>
        <w:t>200.  Consecuentemente, este Tribunal encuentra que  la  falta  absoluta  de</w:t>
        <w:br/>
        <w:t>acción estatal después del 9 de marzo  de  1987  y  hasta  1999,  a  fin  de</w:t>
        <w:br/>
        <w:t>reunificar a Ramiro Osorio Cristales con su familia biológica y  restablecer</w:t>
        <w:br/>
        <w:t>su nombre y apellidos constituye una violación de su derecho a la familia  y</w:t>
        <w:br/>
        <w:t>al nombre, reconocidos en los  artículos  17  y  18  de  la  Convención,  en</w:t>
        <w:br/>
        <w:t>relación con los artículos 1.1 y 19 de la misma.</w:t>
        <w:br/>
        <w:br/>
        <w:br/>
        <w:t xml:space="preserve">                                      X</w:t>
        <w:br/>
        <w:t xml:space="preserve">            Artículo 5.1 (Derecho a la integridad personal)[228]</w:t>
        <w:br/>
        <w:t xml:space="preserve">  de la Convención Americana, en relación con los artículos 1.1 (obligación</w:t>
        <w:br/>
        <w:t xml:space="preserve">  de respetar los derechos)[229] y 19 (Derechos del niño)[230] de la misma</w:t>
        <w:br/>
        <w:br/>
        <w:br/>
        <w:t>201.  La Comisión Interamericana no ha  alegado  expresamente  la  violación</w:t>
        <w:br/>
        <w:t>del artículo  5.1  de  la  Convención.  Sin  embargo,  ha  referido  que  la</w:t>
        <w:br/>
        <w:t>“impunidad constituye una infracción del deber del Estado que lesiona  a  la</w:t>
        <w:br/>
        <w:t>víctima, a sus familiares y  al  conjunto  de  la  sociedad  y  propicia  la</w:t>
        <w:br/>
        <w:t>repetición crónica de las violaciones de los  derechos  humanos  de  que  se</w:t>
        <w:br/>
        <w:t>trata”,  y  según  su  criterio,  se  derivaría,  el  derecho   de   recibir</w:t>
        <w:br/>
        <w:t>reparaciones.</w:t>
        <w:br/>
        <w:br/>
        <w:t>202.  Los representantes, en su escrito de  solicitudes  y  argumentos,  así</w:t>
        <w:br/>
        <w:t>como en sus alegatos finales escritos alegaron la violación del  artículo  5</w:t>
        <w:br/>
        <w:t>de la Convención Americana, en relación con el artículo 1.1 de ese  tratado,</w:t>
        <w:br/>
        <w:t>con fundamento, inter alia, en  que  el  Estado  ha  reconocido  que  no  ha</w:t>
        <w:br/>
        <w:t>realizado  una  investigación   completa   y   efectiva   tendiente   a   la</w:t>
        <w:br/>
        <w:t>determinación y eventual  sanción  de  los  responsables,  ni  ha  realizado</w:t>
        <w:br/>
        <w:t>acciones  dirigidas  a  evitar  que  los  presuntos  responsables  continúen</w:t>
        <w:br/>
        <w:t>vinculados con el poder, lo cual ha  generado  sentimientos  de  impotencia,</w:t>
        <w:br/>
        <w:t>indignación y dolor a las presuntas víctimas, y que el  grado  de  violencia</w:t>
        <w:br/>
        <w:t>que caracterizó la masacre causó un profundo sufrimiento en los  familiares,</w:t>
        <w:br/>
        <w:t>mismo que ha perdurado a través de los años.</w:t>
        <w:br/>
        <w:br/>
        <w:t>203.  El Estado no controvirtió de manera específica los argumentos  de  los</w:t>
        <w:br/>
        <w:t>representantes respecto al referido artículo, sino que sólo hizo  alusión  a</w:t>
        <w:br/>
        <w:t>alegaciones relacionadas con la competencia del Tribunal.</w:t>
        <w:br/>
        <w:br/>
        <w:t>204.  Esta Corte observa que la Comisión Interamericana, en sus  alegaciones</w:t>
        <w:br/>
        <w:t>sobre reparaciones, señaló que la impunidad  que  persiste  en  el  presente</w:t>
        <w:br/>
        <w:t>caso contribuye a prolongar los sufrimientos causados a  los  familiares  de</w:t>
        <w:br/>
        <w:t>las personas fallecidas por las graves violaciones ocurridas.  Sin  embargo,</w:t>
        <w:br/>
        <w:t>pese a la gravedad y naturaleza de  las  alegadas  violaciones  de  derechos</w:t>
        <w:br/>
        <w:t>humanos perpetradas  en  el  presente  caso,  es  decir,  la  denegación  de</w:t>
        <w:br/>
        <w:t>justicia e impunidad que persiste después de 15 años de haberse iniciado  el</w:t>
        <w:br/>
        <w:t>proceso  judicial  sin  haberse  esclarecido  los  hechos  ni   juzgado,   y</w:t>
        <w:br/>
        <w:t>eventualmente sancionado a los responsables, no sometió a este  Tribunal  la</w:t>
        <w:br/>
        <w:t>presunta violación de la integridad personal reconocida en el  artículo  5.1</w:t>
        <w:br/>
        <w:t>de la Convención, en perjuicio de las 155 presuntas víctimas del caso.</w:t>
        <w:br/>
        <w:br/>
        <w:t>205.  El Tribunal ya ha indicado que los  representantes  de  las  presuntas</w:t>
        <w:br/>
        <w:t>víctimas o sus familiares pueden alegar derechos distintos a los  reclamados</w:t>
        <w:br/>
        <w:t>por la Comisión en su demanda, y ha hecho la salvedad de que éstos se  deben</w:t>
        <w:br/>
        <w:t>atener a los hechos ya contenidos en la misma (supra párr. 161).</w:t>
        <w:br/>
        <w:br/>
        <w:t>206.  En su jurisprudencia más reciente en casos de  masacres,  el  Tribunal</w:t>
        <w:br/>
        <w:t>ha  reiterado  que  los  familiares  de  las  víctimas  de  ciertas   graves</w:t>
        <w:br/>
        <w:t>violaciones de derechos humanos,  como  las  masacres,  pueden,  a  su  vez,</w:t>
        <w:br/>
        <w:t>resultar  víctimas  de  violaciones  de  su  integridad  personal[231].   El</w:t>
        <w:br/>
        <w:t>Tribunal estableció en el Caso de las Masacres de Ituango, por ejemplo,  que</w:t>
        <w:br/>
        <w:t>“en un caso como [tal], la Corte considera que no se  necesita  prueba  para</w:t>
        <w:br/>
        <w:t>demostrar  las  graves  afectaciones  a  la  integridad  psíquica   de   los</w:t>
        <w:br/>
        <w:t>familiares de las víctimas ejecutadas[232]”.   En  este  tipo  de  casos  la</w:t>
        <w:br/>
        <w:t>Corte ha considerado violado el derecho a la integridad psíquica y moral  de</w:t>
        <w:br/>
        <w:t>los familiares de  las  víctimas  con  motivo  del  sufrimiento  y  angustia</w:t>
        <w:br/>
        <w:t>adicionales que éstos han padecido a causa de las  actuaciones  u  omisiones</w:t>
        <w:br/>
        <w:t>posteriores de las autoridades estatales con respecto a esos  hechos[233]  y</w:t>
        <w:br/>
        <w:t>debido a la ausencia de recursos efectivos[234].  La  Corte  ha  considerado</w:t>
        <w:br/>
        <w:t>que  “la  realización  de  una  investigación  efectiva   es   un   elemento</w:t>
        <w:br/>
        <w:t>fundamental y condicionante para la protección de ciertos  derechos  que  se</w:t>
        <w:br/>
        <w:t>ven afectados o anulados por  esas  situaciones”[235],  como  lo  es  en  el</w:t>
        <w:br/>
        <w:t>presente caso el derecho a la integridad personal.</w:t>
        <w:br/>
        <w:br/>
        <w:t>207.  Asimismo, la Corte considera que en el presente caso  no  puede  dejar</w:t>
        <w:br/>
        <w:t>de observar  la  política  de  Estado  durante  el  conflicto  interno,  que</w:t>
        <w:br/>
        <w:t>comprendía acciones militares, entre las cuales se encontraban las  masacres</w:t>
        <w:br/>
        <w:t>y las operaciones de “tierra arrasada” (supra párr. 71 y 73),  y  que  tenía</w:t>
        <w:br/>
        <w:t>como objetivo la destrucción  del  núcleo  familiar  completo,  que  por  la</w:t>
        <w:br/>
        <w:t>naturaleza propia de las masacres afectaba a toda  la  familia.   Dentro  de</w:t>
        <w:br/>
        <w:t>este contexto se enmarcó la masacre de Las Dos Erres.</w:t>
        <w:br/>
        <w:br/>
        <w:t>208.  Tal como fue establecido, la Corte otorgó plenos efectos jurídicos  al</w:t>
        <w:br/>
        <w:t>reconocimiento parcial de responsabilidad internacional del  Estado  por  la</w:t>
        <w:br/>
        <w:t>violación de los artículos  8.1  y  25.1  de  la  Convención  Americana,  en</w:t>
        <w:br/>
        <w:t>perjuicio de las dos presuntas víctimas sobrevivientes y las  153  presuntas</w:t>
        <w:br/>
        <w:t>víctimas familiares de las personas fallecidas  durante  la  masacre  (supra</w:t>
        <w:br/>
        <w:t>párr. 36).  El mismo Estado reconoció las dificultades para la obtención  de</w:t>
        <w:br/>
        <w:t>justicia a las que se han enfrentado  las  presuntas  víctimas  por  el  uso</w:t>
        <w:br/>
        <w:t>indiscriminado de recursos judiciales como el recurso de amparo.</w:t>
        <w:br/>
        <w:br/>
        <w:t>209.  A propósito de las circunstancias en que  ocurrió  la  muerte  de  los</w:t>
        <w:br/>
        <w:t>fallecidos en la  masacre  y  debido  a  que  la  búsqueda  de  justicia  se</w:t>
        <w:br/>
        <w:t>mantiene, durante la audiencia pública la  señora  Felicita  Herenia  Romero</w:t>
        <w:br/>
        <w:t>Ramírez manifestó que se sentía “enojada y a la vez triste por que no  hemos</w:t>
        <w:br/>
        <w:t>encontrado justicia, y es  lo  que  más  pedimos”.  Agregó  que  “el  Estado</w:t>
        <w:br/>
        <w:t>protege a [las] personas  que  cometieron  esta  masacre,  por  que  algunos</w:t>
        <w:br/>
        <w:t>todavía son funcionarios públicos, y eso nos indigna”.  Asimismo,  el  señor</w:t>
        <w:br/>
        <w:t>Francisco Arriaga  Alonzo,  otra  presunta  víctima,  en  sus  declaraciones</w:t>
        <w:br/>
        <w:t>rendidas ante fedatario público indicó que se sentían “decepcionados de  ver</w:t>
        <w:br/>
        <w:t>que el Estado es débil en la justicia”,  con  “falta  de  confianza  de  las</w:t>
        <w:br/>
        <w:t>autoridades” y “frustrado, sin sentirle sabor a la vida”.</w:t>
        <w:br/>
        <w:br/>
        <w:t>210.   Ramiro  Osorio  Cristales,  presunta  víctima  sobreviviente  de   la</w:t>
        <w:br/>
        <w:t>masacre, expresó  su  sufrimiento  en  su  declaración  rendida  durante  la</w:t>
        <w:br/>
        <w:t>audiencia pública[236]. Agregó que “lo que yo pensé es que [en] el mundo  se</w:t>
        <w:br/>
        <w:t>iba a hacer justicia, que algún día se iba esclarecer todo esto,  y  que  no</w:t>
        <w:br/>
        <w:t>todo el tiempo me iba a pasar sufriendo”, del  mismo  modo  exigió  “que  se</w:t>
        <w:br/>
        <w:t>haga justicia, en la voz de todos los que ya no están, que se haga  justicia</w:t>
        <w:br/>
        <w:t>con los que quedamos ahorita que están vivos”. Además, señaló que  “volvería</w:t>
        <w:br/>
        <w:t>a Guatemala, pero nunca voy andar,  tengo  temor,  en  primer  lugar  porque</w:t>
        <w:br/>
        <w:t>todavía están libres los asesinos”. Asimismo, en su declaración  rendida  en</w:t>
        <w:br/>
        <w:t>el proceso interno expresó que había querido declarar en  el  mismo  “porque</w:t>
        <w:br/>
        <w:t>lo h[a] tenido guardado mucho tiempo, es un dolor que h[a]  llevado  siempre</w:t>
        <w:br/>
        <w:t>en el corazón”[237].</w:t>
        <w:br/>
        <w:br/>
        <w:t>211.  Por  su  parte,  la  perito  Nieves  Gómez  Dupuis,  en  su  affidávit</w:t>
        <w:br/>
        <w:t>presentado ante la Corte, expresó que la falta de  justicia  “favorece  que,</w:t>
        <w:br/>
        <w:t>al no existir culpables de los hechos, la culpa se revierte en las  víctimas</w:t>
        <w:br/>
        <w:t>y éstas qued[e]n estigmatizadas”, lo que aunado al  “miedo,  [el]  silencio,</w:t>
        <w:br/>
        <w:t>[la] tristeza, [los] recuerdos constantes de la masacre,  [las]  situaciones</w:t>
        <w:br/>
        <w:t>de duelo alterado, [la] incertidumbre por el paradero  de  los  niños,  [el]</w:t>
        <w:br/>
        <w:t>miedo a que les vuelva a ocurrir lo mismo que sus familiares, cólera, y  una</w:t>
        <w:br/>
        <w:t>profunda impotencia” generan secuelas y  daños  psicológicos,  que  no  sólo</w:t>
        <w:br/>
        <w:t>afectan a las víctimas, sino también a “[l]a segunda generación [que] se  ha</w:t>
        <w:br/>
        <w:t>visto […] afectada por  los  efectos  de  la  impunidad  y  la  ausencia  de</w:t>
        <w:br/>
        <w:t>justicia manifestando sentimientos de cólera, tristeza, y dolor frente a  la</w:t>
        <w:br/>
        <w:t>ausencia de investigación y sanción de los culpables de  la masacre”.</w:t>
        <w:br/>
        <w:br/>
        <w:t>212.   Igualmente,  el  perito  Marco  Antonio  Garavito  Fernández,  en  su</w:t>
        <w:br/>
        <w:t>affidávit  presentado  ante  la  Corte  manifestó,  en  relación   con   los</w:t>
        <w:br/>
        <w:t>familiares, que “hay un daño emocional como resultado  de  la  incertidumbre</w:t>
        <w:br/>
        <w:t>vivida sobre qué fue lo que en realidad ocurrió con sus seres queridos”,  lo</w:t>
        <w:br/>
        <w:t>que ha generado que no se pueda realizar el “proceso de duelo”. Unido  a  lo</w:t>
        <w:br/>
        <w:t>anterior existe un proceso de “re-víctimiza[ción…] ante la  ausencia  de  un</w:t>
        <w:br/>
        <w:t>Estado que se preocupe por  el  restablecimiento  de  los  nexos  familiares</w:t>
        <w:br/>
        <w:t>perdidos”.</w:t>
        <w:br/>
        <w:br/>
        <w:t>213.  Esta Corte observa que de las declaraciones y  peritajes  rendidos  se</w:t>
        <w:br/>
        <w:t>evidencia que la impunidad que persiste en el presente caso  es  vivida  por</w:t>
        <w:br/>
        <w:t>las presuntas víctimas como un nuevo impacto  traumático,  el  que  ha  sido</w:t>
        <w:br/>
        <w:t>generado por sentimientos de indignación, frustración e incluso de  temor  a</w:t>
        <w:br/>
        <w:t>represalias por la búsqueda de justicia.</w:t>
        <w:br/>
        <w:br/>
        <w:t>214.  De otra parte, en atención a que  dos  de  los  sobrevivientes  de  la</w:t>
        <w:br/>
        <w:t>masacre, Ramiro Osorio Cristales y Salomé Gómez Hernández,  eran  niños,  la</w:t>
        <w:br/>
        <w:t>Corte reitera que ellos “tienen […]  derechos  especiales  derivados  de  su</w:t>
        <w:br/>
        <w:t>condición, a los que corresponden deberes  específicos  de  la  familia,  la</w:t>
        <w:br/>
        <w:t>sociedad y el  Estado”[238],  de  conformidad  con  el  artículo  19  de  la</w:t>
        <w:br/>
        <w:t>Convención Americana.</w:t>
        <w:br/>
        <w:br/>
        <w:t>215.  Con base en todas las anteriores consideraciones,  esta  Corte  estima</w:t>
        <w:br/>
        <w:t>que  los  dos  entonces  niños,  Ramiro  Osorio  Cristales  y  Salomé  Gómez</w:t>
        <w:br/>
        <w:t>Hernández, han sufrido afectaciones a  su  salud  física  y  psicológica  de</w:t>
        <w:br/>
        <w:t>manera particular por la falta de justicia y la impunidad prolongada  en  el</w:t>
        <w:br/>
        <w:t>presente caso, y que dichas experiencias han  impactado  en  sus  relaciones</w:t>
        <w:br/>
        <w:t>sociales y  laborales,  alterado  la  dinámica  de  sus  familias  y  siguió</w:t>
        <w:br/>
        <w:t>causando sufrimiento y temor a que se repitan las agresiones  o  se  vaya  a</w:t>
        <w:br/>
        <w:t>atentar contra su vida. Es evidente, además, la afectación psicológica y  el</w:t>
        <w:br/>
        <w:t>sufrimiento duradero que padeció  Ramiro  Osorio  Cristales,  provocado  por</w:t>
        <w:br/>
        <w:t>haber tenido que vivir alejado de su familia, con otro nombre e identidad.</w:t>
        <w:br/>
        <w:br/>
        <w:t>216.  Este  Tribunal  estima  que  el  Estado  omitió  adoptar  las  medidas</w:t>
        <w:br/>
        <w:t>positivas apropiadas para amparar a Ramiro Osorio Cristales y  Salomé  Gómez</w:t>
        <w:br/>
        <w:t>Hernández ante la situación  de  desprotección  en  que  se  encontraban,  a</w:t>
        <w:br/>
        <w:t>partir del año 1987 cuando Guatemala reconoció  la  competencia  contenciosa</w:t>
        <w:br/>
        <w:t>de la Corte, para asegurar y garantizar sus  derechos  como  niños[239].  En</w:t>
        <w:br/>
        <w:t>razón de ello, el Estado incumplió su deber de protección, en  perjuicio  de</w:t>
        <w:br/>
        <w:t>Ramiro Osorio Cristales y Salomé Gómez Hernández, desde el  año  1987  hasta</w:t>
        <w:br/>
        <w:t>los años 1994 y 1989,  respectivamente,  cuando  alcanzaron  la  mayoría  de</w:t>
        <w:br/>
        <w:t>edad.</w:t>
        <w:br/>
        <w:br/>
        <w:t xml:space="preserve">                                      *</w:t>
        <w:br/>
        <w:t xml:space="preserve">                                   *     *</w:t>
        <w:br/>
        <w:br/>
        <w:t>217.  Por lo expuesto, la Corte  considera  que  en  el  presente  caso,  la</w:t>
        <w:br/>
        <w:t>gravedad de los hechos de la masacre y la falta de respuesta  judicial  para</w:t>
        <w:br/>
        <w:t>esclarecer éstos ha afectado la integridad personal  de  las  153  presuntas</w:t>
        <w:br/>
        <w:t>víctimas  familiares  de  las  personas  fallecidas  en   la   masacre.   El</w:t>
        <w:br/>
        <w:t>sufrimiento y daño psicológico que éstos han padecido debido a la  impunidad</w:t>
        <w:br/>
        <w:t>que persiste a  la  fecha,  después  de  15  años  de  haberse  iniciado  la</w:t>
        <w:br/>
        <w:t>investigación, hace responsable  al  Estado  de  la  violación  del  derecho</w:t>
        <w:br/>
        <w:t>reconocido en el artículo 5.1 de la Convención, en relación con el  artículo</w:t>
        <w:br/>
        <w:t>1.1 de la misma, en perjuicio de las referidas personas.   Además,  por  las</w:t>
        <w:br/>
        <w:t>razones  expresadas  anteriormente,  y  por  las  condiciones   particulares</w:t>
        <w:br/>
        <w:t>señaladas respecto a los  dos  sobrevivientes  de  la  masacre,  esta  Corte</w:t>
        <w:br/>
        <w:t>considera que el Estado violó el artículo 5.1 de  la  Convención  Americana,</w:t>
        <w:br/>
        <w:t>en relación con los artículos 1.1 y 19 de la misma, en perjuicio  de  Ramiro</w:t>
        <w:br/>
        <w:t>Osorio Cristales y Salomé Gómez Hernández.</w:t>
        <w:br/>
        <w:br/>
        <w:br/>
        <w:t xml:space="preserve">                                     XI</w:t>
        <w:br/>
        <w:t xml:space="preserve">              Artículo 21 (Derecho a la propiedad privada)[240]</w:t>
        <w:br/>
        <w:t xml:space="preserve">         de la convención americana, en relación con el artículo 1.1</w:t>
        <w:br/>
        <w:t xml:space="preserve">           (obligación de respetar los derechos)[241] de la misma</w:t>
        <w:br/>
        <w:br/>
        <w:br/>
        <w:t>218.  En lo que se refiere al derecho a la propiedad privada  reconocido  en</w:t>
        <w:br/>
        <w:t>el artículo 21 de la Convención,  ni  la  Comisión  en  su  demanda  ni  los</w:t>
        <w:br/>
        <w:t>representantes en  su  escrito  de  solicitudes  y  argumentos  alegaron  la</w:t>
        <w:br/>
        <w:t>violación de dicho derecho. Por su parte, en su escrito de  contestación  de</w:t>
        <w:br/>
        <w:t>la demanda el Estado tampoco se refirió al mencionado artículo.</w:t>
        <w:br/>
        <w:br/>
        <w:t>219.  No obstante, durante la audiencia pública  celebrada  en  el  presente</w:t>
        <w:br/>
        <w:t>caso, la presunta víctima Felicita  Herenia  Romero  Ramírez  manifestó  que</w:t>
        <w:br/>
        <w:t>solicitaba “la recuperación [de] nuestras tierras[,] porque […]  a  nosotros</w:t>
        <w:br/>
        <w:t>nos arrebataron todo lo que teníamos ahí […]. Fuimos desposeídos  de  todo.”</w:t>
        <w:br/>
        <w:t>Al respecto, durante dicha audiencia los representantes manifestaron que  se</w:t>
        <w:br/>
        <w:t>“distribuyó todo el parcelamiento[,y que hoy día […]  es  privado”.  Por  su</w:t>
        <w:br/>
        <w:t>parte, el Estado argumentó que “no ten[ía]  información  de  que  la  tierra</w:t>
        <w:br/>
        <w:t>haya pasado a manos privadas”, y agregó que el tema  en  cuestión  no  había</w:t>
        <w:br/>
        <w:t>sido expresado “en ninguno de los hechos sobre  los  cuáles  se  propusieron</w:t>
        <w:br/>
        <w:t>los testigos y  los  peritos,  [por  lo  que]  no  t[enía]  una  información</w:t>
        <w:br/>
        <w:t>puntual”. Dado lo anterior, la Corte consideró oportuno solicitar al  Estado</w:t>
        <w:br/>
        <w:t>y a los representantes que, en sus  alegatos  finales  escritos,  remitieran</w:t>
        <w:br/>
        <w:t>información sobre la situación actual de las tierras  del  Parcelamiento  de</w:t>
        <w:br/>
        <w:t>Las Dos Erres, así como de la decisión y acciones  seguidas  por  el  Estado</w:t>
        <w:br/>
        <w:t>para devolver las tierras a las presuntas víctimas.</w:t>
        <w:br/>
        <w:br/>
        <w:t>220.  El 18 de agosto de  2009  tanto  los  representantes  como  el  Estado</w:t>
        <w:br/>
        <w:t>remitieron a la Corte la  información  requerida.  Al  respecto,  el  Estado</w:t>
        <w:br/>
        <w:t>señaló que existen “algunos registros donde aparecen los nombres de  algunas</w:t>
        <w:br/>
        <w:t>de las víctimas de la masacre, quienes no aparecen como  adjudicatarios  y/o</w:t>
        <w:br/>
        <w:t>posesionarios de ninguna parcela; ya que […] sólo les aparecen registros  de</w:t>
        <w:br/>
        <w:t>solicitud[,] pero no les aparece  haber  realizado  ningún  pago  por  [las]</w:t>
        <w:br/>
        <w:t>tierras”. Agregó que los representantes  no  acudieron  “a  la  jurisdicción</w:t>
        <w:br/>
        <w:t>nacional en ningún proceso de reivindicación de propiedad[, y  que  t]ampoco</w:t>
        <w:br/>
        <w:t>lo incluyen […] en ningún punto del  Acuerdo  de  Solución  Amistosa[,  pero</w:t>
        <w:br/>
        <w:t>que] consta en la reparación económica  otorgada  que  se  incluye[ron]  las</w:t>
        <w:br/>
        <w:t>pérdidas materiales”. Por último, señaló que la propiedad de las tierras  no</w:t>
        <w:br/>
        <w:t>ha sido tema del proceso ante la  Corte,  ya  que  ni  la  Comisión  ni  los</w:t>
        <w:br/>
        <w:t>representantes  solicitaron  que  se  declare  violado  el  artículo  de  la</w:t>
        <w:br/>
        <w:t>Convención relacionado.</w:t>
        <w:br/>
        <w:br/>
        <w:t>221.   Por su parte, los  representantes  indicaron  que  debido  a  que  el</w:t>
        <w:br/>
        <w:t>parcelamiento fue destruido, los sobrevivientes  y  familiares  huyeron  por</w:t>
        <w:br/>
        <w:t>temor a nuevos actos de violencia y represalias,  y  que  de  acuerdo  a  lo</w:t>
        <w:br/>
        <w:t>manifestado por la perito Nieves Gómez, la  mayoría  de  los  sobrevivientes</w:t>
        <w:br/>
        <w:t>vive fuera del Departamento de Petén. Agregaron que en el año 1994  trataron</w:t>
        <w:br/>
        <w:t>de recabar información sobre lo que había sucedido con las tierras, y  según</w:t>
        <w:br/>
        <w:t>testimonios  brindados  por  los  familiares,  numerosos  pobladores  habían</w:t>
        <w:br/>
        <w:t>realizado abonos conforme al convenio de fijación de base, pero los  escasos</w:t>
        <w:br/>
        <w:t>documentos que  existen  a  la  fecha  estaban  en  poder  de  familiares  o</w:t>
        <w:br/>
        <w:t>sobrevivientes que vivían en las afueras del  parcelamiento.  Señalaron  que</w:t>
        <w:br/>
        <w:t>se “tienen referencias de que los terrenos donde estuvo la comunidad de  Las</w:t>
        <w:br/>
        <w:t>Dos Erres son ‘una finca de un solo dueño’ y que  pertenece  a  una  de  las</w:t>
        <w:br/>
        <w:t>familias más ricas [de] Petén”. Finalmente, indicaron que el Estado  no  “ha</w:t>
        <w:br/>
        <w:t>tomado medidas para investigar […] las tierras y su destino” y  que  incluso</w:t>
        <w:br/>
        <w:t>“las instituciones del Estado han negado la existencia  del  parcelamiento”.</w:t>
        <w:br/>
        <w:t>La Comisión no hizo consideraciones al respecto.</w:t>
        <w:br/>
        <w:br/>
        <w:t>222.  La Corte observa que los hechos señalados en la  demanda,  los  cuales</w:t>
        <w:br/>
        <w:t>constituyen el marco fáctico del presente caso, se refieren a los actos  que</w:t>
        <w:br/>
        <w:t>afectaron bienes muebles propiedad de los pobladores  del  parcelamiento  de</w:t>
        <w:br/>
        <w:t>Las Dos Erres.  En  este  sentido,  la  demanda,  así  como  el  Informe  de</w:t>
        <w:br/>
        <w:t>Admisibilidad y Fondo No. 22/08  de  la  Comisión,  únicamente  indican  que</w:t>
        <w:br/>
        <w:t>“[l]os soldados a su  cargo  se  apoderaron  de  todo  lo  que  encontraron:</w:t>
        <w:br/>
        <w:t>enseres domésticos, animales, granos, entre otros. […] Al día siguiente  los</w:t>
        <w:br/>
        <w:t>soldados y patrulleros quemaron las casas de Las Dos  Erres”.  Al  respecto,</w:t>
        <w:br/>
        <w:t>la Corte señala que si bien hubo afectaciones al derecho de la propiedad  de</w:t>
        <w:br/>
        <w:t>los pobladores del Parcelamiento de Las Dos  Erres  en  el  contexto  de  la</w:t>
        <w:br/>
        <w:t>masacre, este Tribunal carece de  competencia  para  pronunciarse  sobre  la</w:t>
        <w:br/>
        <w:t>alegada  violación,  debido   a   que   sucedieron   con   anterioridad   al</w:t>
        <w:br/>
        <w:t>reconocimiento  de  competencia  de  su  jurisdicción,  y   no   constituyen</w:t>
        <w:br/>
        <w:t>violaciones continuadas que le permitan pronunciarse sobre ellas.</w:t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t>223.  Es un principio de Derecho Internacional que  toda  violación  de  una</w:t>
        <w:br/>
        <w:t>obligación internacional que  haya  producido  daño  comporta  el  deber  de</w:t>
        <w:br/>
        <w:t>repararlo adecuadamente[242]. Esa obligación de reparar se regula  en  todos</w:t>
        <w:br/>
        <w:t>los aspectos por el Derecho Internacional[243]. En sus decisiones, la  Corte</w:t>
        <w:br/>
        <w:t>se ha basado en el artículo 63.1 de la Convención Americana.</w:t>
        <w:br/>
        <w:br/>
        <w:t>224.  Previo a examinar las reparaciones pretendidas, la Corte  observa  que</w:t>
        <w:br/>
        <w:t>durante el trámite de solución amistosa,  el  Estado  y  los  representantes</w:t>
        <w:br/>
        <w:t>suscribieron varios acuerdos en  los  cuales  el  Estado  se  comprometió  a</w:t>
        <w:br/>
        <w:t>ejecutar varias medidas de reparación[244]. En ese sentido, en  el  presente</w:t>
        <w:br/>
        <w:t>caso el Estado hizo alegaciones específicas sobre las medidas de  reparación</w:t>
        <w:br/>
        <w:t>que había cumplido. A su vez, los  representantes  solicitaron  determinadas</w:t>
        <w:br/>
        <w:t>medidas de reparación y se  refirieron  a  las  medidas  que  el  Estado  ha</w:t>
        <w:br/>
        <w:t>realizado, de conformidad con los referidos acuerdos.  Por último,  si  bien</w:t>
        <w:br/>
        <w:t>la Comisión solicitó a la Corte que ordene al  Estado  determinadas  medidas</w:t>
        <w:br/>
        <w:t>de  reparación,  no  se  refirió  expresamente  a  lo   señalado   por   los</w:t>
        <w:br/>
        <w:t>representantes y el Estado.</w:t>
        <w:br/>
        <w:br/>
        <w:t xml:space="preserve">    A)      Parte lesionada</w:t>
        <w:br/>
        <w:br/>
        <w:t>225.  La Corte considera como “parte lesionada”, conforme al  artículo  63.1</w:t>
        <w:br/>
        <w:t>de la Convención  Americana,  a  quien  ha  sido  declarado  víctima  de  la</w:t>
        <w:br/>
        <w:t>violación de algún derecho consagrado en  la  misma.   Por  lo  tanto,  este</w:t>
        <w:br/>
        <w:t>Tribunal considera como “parte lesionada”, a las 155 víctimas  señaladas  en</w:t>
        <w:br/>
        <w:t>la demanda de la Comisión, así como en la siguiente tabla,  quienes  en  sus</w:t>
        <w:br/>
        <w:t>carácter de víctimas de las violaciones declaradas en  los  capítulos  VIII,</w:t>
        <w:br/>
        <w:t>IX y X serán acreedoras de lo que el Tribunal ordene a continuación:</w:t>
        <w:br/>
        <w:br/>
        <w:t>|1   |Ramiro Antonio Osorio Cristales|78  |Gloria Marina Salazar Castillo |</w:t>
        <w:br/>
        <w:t>|2   |Salomé Armando Gómez Hernández |79  |María Vicenta Moran Solís      |</w:t>
        <w:br/>
        <w:t>|3   |Baldomero Pineda Batres        |80  |María Luisa Corado             |</w:t>
        <w:br/>
        <w:t>|4   |Catalina Arana Pineda de Ruano |81  |Hilario López Jiménez          |</w:t>
        <w:br/>
        <w:t>|5   |Francisca Morales Contreras    |82  |Guillermina Ruano Barahona     |</w:t>
        <w:br/>
        <w:t>|6   |Tomasa Galicia González        |83  |Rosalina Castañeda Lima        |</w:t>
        <w:br/>
        <w:t>|7   |Inocencio González             |84  |Teodoro Jiménez Pernillo       |</w:t>
        <w:br/>
        <w:t>|8   |Santos Nicolás Montepeque      |85  |Luz Flores                     |</w:t>
        <w:br/>
        <w:t>|    |Galicia                        |    |                               |</w:t>
        <w:br/>
        <w:t>|9   |Pedro Antonio Montepeque       |86  |Ladislao Jiménez Pernillo      |</w:t>
        <w:br/>
        <w:t>|10  |Enriqueta González G. de       |87  |Catalina Jiménez Castillo      |</w:t>
        <w:br/>
        <w:t>|    |Martínez                       |    |                               |</w:t>
        <w:br/>
        <w:t>|11  |Inés Otilio Jiménez Pernillo   |88  |Enma Carmelina Jiménez Castillo|</w:t>
        <w:br/>
        <w:t>|12  |Mayron Jiménez Castillo        |89  |Álvaro Hugo Jiménez Castillo   |</w:t>
        <w:br/>
        <w:t>|13  |Eugenia Jiménez Pineda         |90  |Rigoberto Vidal Jiménez        |</w:t>
        <w:br/>
        <w:t>|    |                               |    |Castillo                       |</w:t>
        <w:br/>
        <w:t>|14  |Concepción de María Pernillo J.|91  |Albertina Pineda Cermeño       |</w:t>
        <w:br/>
        <w:t>|15  |Encarnación Pérez Agustín      |92  |Etelvina Cermeño Castillo      |</w:t>
        <w:br/>
        <w:t>|16  |María Ester Contreras          |93  |Sofía Cermeño Castillo         |</w:t>
        <w:br/>
        <w:t>|17  |Marcelina Cardona Juárez       |94  |Marta Lidia Jiménez Castillo   |</w:t>
        <w:br/>
        <w:t>|18  |Victoria Hércules Rivas        |95  |Valeria García                 |</w:t>
        <w:br/>
        <w:t>|19  |Margarito Corrales Grijalva    |96  |Cipriano Morales Pérez         |</w:t>
        <w:br/>
        <w:t>|20  |Laura García Godoy             |97  |Antonio Morales Miguel         |</w:t>
        <w:br/>
        <w:t>|21  |Luis Armando Romero Gracia     |98  |Nicolasa Pérez Méndez          |</w:t>
        <w:br/>
        <w:t>|22  |Edgar Geovani Romero García    |99  |Jorge Granados Cardona         |</w:t>
        <w:br/>
        <w:t>|23  |Edwin Saúl Romero García       |100 |Santos Osorio Ligue            |</w:t>
        <w:br/>
        <w:t>|24  |Aura Anabella Romero García    |101 |Gengli Marisol Martínez        |</w:t>
        <w:br/>
        <w:t>|    |                               |    |Villatoro                      |</w:t>
        <w:br/>
        <w:t>|25  |Elvia Luz Granados Rodríguez   |102 |Amner Rivai Martínez Villatoro |</w:t>
        <w:br/>
        <w:t>|26  |Catalino González              |103 |Celso Martínez Villatoro       |</w:t>
        <w:br/>
        <w:t>|27  |María Esperanza Arreaga        |104 |Rudy Leonel Martínez Villatoro |</w:t>
        <w:br/>
        <w:t>|28  |Felipa de Jesús Medrano Pérez  |105 |Sandra Patricia Martínez       |</w:t>
        <w:br/>
        <w:t>|    |                               |    |Villatoro                      |</w:t>
        <w:br/>
        <w:t>|29  |Felipe Medrana García          |106 |Yuli Judith Martínez Villatoro |</w:t>
        <w:br/>
        <w:t>|    |                               |    |de López                       |</w:t>
        <w:br/>
        <w:t>|30  |Juan José Arévalo Valle        |107 |María Luisa Villatoro Izara    |</w:t>
        <w:br/>
        <w:t>|31  |Noé Arévalo Valle              |108 |Olegario Rodríguez Tepec       |</w:t>
        <w:br/>
        <w:t>|32  |Cora María Arévalo Valle       |109 |Teresa Juárez                  |</w:t>
        <w:br/>
        <w:t>|33  |Lea Arévalo Valle              |110 |Lucrecia Ramos Yanes de Guevara|</w:t>
        <w:br/>
        <w:t>|34  |Luis Saúl Arevalo Valle        |111 |Eliseo Guevara Yanes           |</w:t>
        <w:br/>
        <w:t>|35  |Gladis Esperanza Arevalo Valle |112 |Amparo Pineda Linares de       |</w:t>
        <w:br/>
        <w:t>|    |                               |    |Arreaga                        |</w:t>
        <w:br/>
        <w:t>|36  |Felicita Lima Ayala            |113 |María Sabrina Alonzo P. de     |</w:t>
        <w:br/>
        <w:t>|    |                               |    |Arreaga                        |</w:t>
        <w:br/>
        <w:t>|37  |Cristina Alfaro Mejia          |114 |Francisco Arreaga Alonzo       |</w:t>
        <w:br/>
        <w:t>|38  |Dionisio Campos Rodríguez      |115 |Eladio Arreaga Alonzo          |</w:t>
        <w:br/>
        <w:t>|39  |Elena López                    |116 |María Menegilda Marroquín      |</w:t>
        <w:br/>
        <w:t>|    |                               |    |Miranda                        |</w:t>
        <w:br/>
        <w:t>|40  |Petronila López Méndez         |117 |Oscar Adelso Antonio Jiménez   |</w:t>
        <w:br/>
        <w:t>|41  |Timotea Alicia Pérez López     |118 |Ever Ismael Antonio Coto       |</w:t>
        <w:br/>
        <w:t>|42  |Vitalina López Pérez           |119 |Héctor Coto                    |</w:t>
        <w:br/>
        <w:t>|43  |Sara Pérez López               |120 |Rogelia Natalia Ortega Ruano   |</w:t>
        <w:br/>
        <w:t>|44  |María Luisa Pérez López        |121 |Ángel Cermeño Pineda           |</w:t>
        <w:br/>
        <w:t>|45  |David Pérez López              |122 |Felicita Herenia Romero Ramírez|</w:t>
        <w:br/>
        <w:t>|46  |Manuela Hernández              |123 |Esperanza Cermeño Arana        |</w:t>
        <w:br/>
        <w:t>|47  |Blanca Dina Elisabeth Mayen    |124 |Abelina Flores                 |</w:t>
        <w:br/>
        <w:t>|    |Ramírez                        |    |                               |</w:t>
        <w:br/>
        <w:t>|48  |Rafael Barrientos Mazariegos   |125 |Albina Jiménez Flores          |</w:t>
        <w:br/>
        <w:t>|49  |Toribia Ruano Castillo         |126 |Mercedez Jiménez Flores        |</w:t>
        <w:br/>
        <w:t>|50  |Eleuterio López Méndez         |127 |Transito Jiménez Flores        |</w:t>
        <w:br/>
        <w:t>|51  |Marcelino Deras Tejada         |128 |Celedonia Jiménez Flores       |</w:t>
        <w:br/>
        <w:t>|52  |Amalia Elena Girón             |129 |Venancio Jiménez Flores,       |</w:t>
        <w:br/>
        <w:t>|53  |Aura Leticia Juárez Hernández  |130 |José Luís Cristales Escobar    |</w:t>
        <w:br/>
        <w:t>|54  |Israel Portillo Pérez          |131 |Reyna Montepeque               |</w:t>
        <w:br/>
        <w:t>|55  |María Otilia González Aguilar  |132 |Miguel Angel Cristales         |</w:t>
        <w:br/>
        <w:t>|56  |Sonia Elisabeth Salazar        |133 |Felipa de Jesús Díaz de        |</w:t>
        <w:br/>
        <w:t>|    |Gonzáles                       |    |Hernández                      |</w:t>
        <w:br/>
        <w:t>|57  |Glendi Marleni Salazar Gonzáles|134 |Rosa Erminda Hernández Díaz    |</w:t>
        <w:br/>
        <w:t>|58  |Brenda Azucena Salazar González|135 |Vilma Hernández Díaz de Osorio |</w:t>
        <w:br/>
        <w:t>|59  |Susana Gonzáles Menéndez       |136 |Félix Hernández Díaz           |</w:t>
        <w:br/>
        <w:t>|60  |Benigno de Jesús Ramírez       |137 |Desiderio Aquino Ruano         |</w:t>
        <w:br/>
        <w:t>|    |González                       |    |                               |</w:t>
        <w:br/>
        <w:t>|61  |María Dolores Romero Ramírez   |138 |Leonarda Saso Hernández        |</w:t>
        <w:br/>
        <w:t>|62  |Encarnación García Castillo    |139 |Paula Antonia Falla Saso       |</w:t>
        <w:br/>
        <w:t>|63  |Baudilia Hernández García      |140 |Dominga Falla Saso             |</w:t>
        <w:br/>
        <w:t>|64  |Susana Linarez                 |141 |Agustina Falla Saso            |</w:t>
        <w:br/>
        <w:t>|65  |Andrés Rivas                   |142 |María Juliana Hernández Moran  |</w:t>
        <w:br/>
        <w:t>|66  |Darío Ruano Linares            |143 |Raul de Jesús Gómez Hernández  |</w:t>
        <w:br/>
        <w:t>|67  |Edgar Ruano Linares            |144 |María Ofelia Gómez Hernández   |</w:t>
        <w:br/>
        <w:t>|68  |Otilia Ruano Linares           |145 |Sandra Ofelia Gómez Hernández  |</w:t>
        <w:br/>
        <w:t>|69  |Yolanda Ruano Linares          |146 |José Ramiro Gómez Hernández    |</w:t>
        <w:br/>
        <w:t>|70  |Arturo Ruano Linares           |147 |Bernardina Gómez Linarez       |</w:t>
        <w:br/>
        <w:t>|71  |Saturnino García Pineda        |148 |Telma Guadalupe Aldana Canan   |</w:t>
        <w:br/>
        <w:t>|72  |Juan de Dios Cabrera Ruano     |149 |Mirna Elizabeth Aldana Canan   |</w:t>
        <w:br/>
        <w:t>|73  |Luciana Cabrera Galeano        |150 |Rosa Elvira Mayen Ramírez      |</w:t>
        <w:br/>
        <w:t>|74  |Hilaria Castillo García        |151 |Augusto Mayen Ramírez          |</w:t>
        <w:br/>
        <w:t>|75  |Amílcar Salazar Castillo       |152 |Rodrigo Mayen Ramírez          |</w:t>
        <w:br/>
        <w:t>|76  |Marco Tulio Salazar Castillo   |153 |Onivia García Castillo         |</w:t>
        <w:br/>
        <w:t>|77  |Ana Margarita Rosales Rodas    |154 |Saturnino Romero Ramírez       |</w:t>
        <w:br/>
        <w:t>|    |                               |155 |Berta Alicia Cermeño Arana     |</w:t>
        <w:br/>
        <w:br/>
        <w:t>226.  La Corte estima que  con  motivo  de  la  denegación  de  justicia  en</w:t>
        <w:br/>
        <w:t>perjuicio de las víctimas de muy  graves  violaciones  a  derechos  humanos,</w:t>
        <w:br/>
        <w:t>como lo es una masacre, se presentan una diversidad  de  afectaciones  tanto</w:t>
        <w:br/>
        <w:t>en la esfera  individual  como  colectiva[245].  En  este  sentido,  resulta</w:t>
        <w:br/>
        <w:t>evidente que las víctimas  de  una  impunidad  prolongada  sufran  distintas</w:t>
        <w:br/>
        <w:t>afectaciones por la búsqueda de justicia no sólo de carácter material,  sino</w:t>
        <w:br/>
        <w:t>también otros sufrimientos y daños de carácter psicológico, físico y  en  su</w:t>
        <w:br/>
        <w:t>proyecto de vida, así como otras posibles  alteraciones  en  sus  relaciones</w:t>
        <w:br/>
        <w:t>sociales y la dinámica de sus familias y  comunidades[246].   Este  Tribunal</w:t>
        <w:br/>
        <w:t>ha señalado que estos daños se intensifican por la falta  de  apoyo  de  las</w:t>
        <w:br/>
        <w:t>autoridades estatales en  la  búsqueda  efectiva  e  identificación  de  los</w:t>
        <w:br/>
        <w:t>restos,  y  la  imposibilidad  de  honrar   apropiadamente   a   sus   seres</w:t>
        <w:br/>
        <w:t>queridos[247]. Frente a ello,  la  Corte  ha  considerado  la  necesidad  de</w:t>
        <w:br/>
        <w:t>otorgar diversas medidas de reparación, a  fin  de  resarcir  los  daños  de</w:t>
        <w:br/>
        <w:t>manera integral, por lo que además de las  compensaciones  pecuniarias,  las</w:t>
        <w:br/>
        <w:t>medidas de satisfacción,  restitución,  rehabilitación  y  garantías  de  no</w:t>
        <w:br/>
        <w:t>repetición tienen especial relevancia por la gravedad de las afectaciones  y</w:t>
        <w:br/>
        <w:t>el carácter colectivo de los daños ocasionados[248].</w:t>
        <w:br/>
        <w:br/>
        <w:t>227.  Este Tribunal ha establecido que las reparaciones deben tener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 Por lo tanto, la  Corte  deberá  observar  dicha  concurrencia</w:t>
        <w:br/>
        <w:t>para pronunciarse debidamente y conforme a derecho[249].</w:t>
        <w:br/>
        <w:br/>
        <w:t>228.  De acuerdo con las consideraciones sobre el fondo y las violaciones  a</w:t>
        <w:br/>
        <w:t>la Convención declaradas en los capítulos correspondientes, así  como  a  la</w:t>
        <w:br/>
        <w:t>luz de los criterios fijados en la jurisprudencia del Tribunal  en  relación</w:t>
        <w:br/>
        <w:t>con la naturaleza y alcances de la  obligación  de  reparar[250],  la  Corte</w:t>
        <w:br/>
        <w:t>procederá a analizar tanto las pretensiones presentadas por  la  Comisión  y</w:t>
        <w:br/>
        <w:t>los representantes, como los argumentos  del  Estado  al  respecto,  con  el</w:t>
        <w:br/>
        <w:t>objeto de disponer las medidas tendientes a reparar dichas violaciones.</w:t>
        <w:br/>
        <w:br/>
        <w:t xml:space="preserve">    B)       Obligación de investigar los hechos e  identificar,  juzgar  y</w:t>
        <w:br/>
        <w:t xml:space="preserve">    eventualmente sancionar a los responsables</w:t>
        <w:br/>
        <w:br/>
        <w:t xml:space="preserve">    B.1)     Investigación  completa,   determinación,   enjuiciamiento   y</w:t>
        <w:br/>
        <w:t xml:space="preserve">    eventual sanción de todos los responsables materiales e intelectuales</w:t>
        <w:br/>
        <w:br/>
        <w:t>229.  Tanto la Comisión como los representantes solicitaron a la  Corte  que</w:t>
        <w:br/>
        <w:t>ordene al Estado la realización de  una  investigación  especial,  rigurosa,</w:t>
        <w:br/>
        <w:t>imparcial y efectiva sobre la verdad de los hechos de la masacre,  así  como</w:t>
        <w:br/>
        <w:t>adopte las medidas judiciales y administrativas necesarias  para  localizar,</w:t>
        <w:br/>
        <w:t>juzgar y sancionar a los autores intelectuales y materiales  de  los  hechos</w:t>
        <w:br/>
        <w:t>de la masacre, y solicitaron que se adopten las medidas necesarias para  que</w:t>
        <w:br/>
        <w:t>no  se  apliquen  disposiciones  de  amnistía  contrarias  a  la  Convención</w:t>
        <w:br/>
        <w:t>Americana. Por su  parte,  los  representantes  consideraron  necesario  que</w:t>
        <w:br/>
        <w:t>dichas medidas de investigación  se  realicen  respecto  de:  a)  todos  los</w:t>
        <w:br/>
        <w:t>partícipes en los hechos de la masacre del Parcelamiento de Las  Dos  Erres;</w:t>
        <w:br/>
        <w:t>b) los responsables de los diferentes actos de intimidación y  hostigamiento</w:t>
        <w:br/>
        <w:t>cometidos  en  contra  de  las  diferentes  personas  involucradas  en   las</w:t>
        <w:br/>
        <w:t>investigaciones, y c) los responsables de las irregularidades  cometidas  en</w:t>
        <w:br/>
        <w:t>los procesos judiciales.  Además,  los  representantes  solicitaron  que  el</w:t>
        <w:br/>
        <w:t>Estado concluya con el procedimiento establecido en la LRN  y  continúe  con</w:t>
        <w:br/>
        <w:t>el trámite penal existente.</w:t>
        <w:br/>
        <w:br/>
        <w:t>230.  Al respecto, el  Estado  reconoció  el  retardo  injustificado  de  la</w:t>
        <w:br/>
        <w:t>justicia. Sin embargo, solicitó que  la  Corte  valore  como  positivos  los</w:t>
        <w:br/>
        <w:t>esfuerzos realizados por el  mismo,  tales  como  la  identificación  de  20</w:t>
        <w:br/>
        <w:t>presuntos responsables y las órdenes de aprehensión contra 17 de ellos.</w:t>
        <w:br/>
        <w:br/>
        <w:t>231.  La Corte ha establecido en la presente Sentencia, de  conformidad  con</w:t>
        <w:br/>
        <w:t>el reconocimiento de  la  responsabilidad  internacional  del  Estado  y  la</w:t>
        <w:br/>
        <w:t>declaración de la violación de los artículos  8.1 y 25.1 de  la  Convención,</w:t>
        <w:br/>
        <w:t>que la investigación seguida en  el  presente  caso  no  ha  constituido  un</w:t>
        <w:br/>
        <w:t>recurso efectivo para garantizar un  verdadero  acceso  a  la  justicia  por</w:t>
        <w:br/>
        <w:t>parte de las  víctimas,  dentro  de  un  plazo  razonable,  que  abarque  el</w:t>
        <w:br/>
        <w:t>esclarecimiento de  los  hechos,  la  investigación,  persecución,  captura,</w:t>
        <w:br/>
        <w:t>enjuiciamiento y eventual sanción de todos los presuntos responsables de  la</w:t>
        <w:br/>
        <w:t>masacre, de  modo  que  se  examinen  de  forma  completa  y  exhaustiva  la</w:t>
        <w:br/>
        <w:t>multiplicidad   de   afectaciones   ocasionadas   a   los   pobladores   del</w:t>
        <w:br/>
        <w:t>Parcelamiento de Las Dos Erres por los hechos. Dicha investigación no se  ha</w:t>
        <w:br/>
        <w:t>realizado en forma  seria  y  exhaustiva  ni  ha  sido  conducida  libre  de</w:t>
        <w:br/>
        <w:t>obstáculos e irregularidades (supra párrs. 152 y 153).</w:t>
        <w:br/>
        <w:br/>
        <w:t>232.  Tal como  lo  ha  hecho  en  otros  casos[251],  la  Corte  valora  la</w:t>
        <w:br/>
        <w:t>publicación del informe de la CEH, Guatemala: Memoria del Silencio, el  cual</w:t>
        <w:br/>
        <w:t>incluye el caso de la Masacre de Las Dos Erres,  como  un  esfuerzo  que  ha</w:t>
        <w:br/>
        <w:t>contribuido a la búsqueda  y  determinación  de  la  verdad  de  un  período</w:t>
        <w:br/>
        <w:t>histórico de Guatemala. Sin  desconocer  lo  anterior,  la  Corte  considera</w:t>
        <w:br/>
        <w:t>pertinente precisar que la “verdad histórica” contenida en  ese  informe  no</w:t>
        <w:br/>
        <w:t>completa o sustituye la obligación del Estado  de  establecer  la  verdad  y</w:t>
        <w:br/>
        <w:t>asegurar la  determinación  judicial  de  responsabilidades  individuales  o</w:t>
        <w:br/>
        <w:t>estatales también a través de los procesos judiciales[252].</w:t>
        <w:br/>
        <w:br/>
        <w:t>233.  En razón de lo anterior, el Estado  deberá  utilizar  los  medios  que</w:t>
        <w:br/>
        <w:t>sean necesarios, de  acuerdo  con  su  legislación  interna,  para  conducir</w:t>
        <w:br/>
        <w:t>eficazmente las investigaciones con  el  fin  de  individualizar,  juzgar  y</w:t>
        <w:br/>
        <w:t>eventualmente sancionar a los responsables de los crímenes cometidos  en  el</w:t>
        <w:br/>
        <w:t>Parcelamiento de Las Dos Erres, y remover todos los obstáculos, de  facto  y</w:t>
        <w:br/>
        <w:t>de jure, que mantienen la impunidad en este caso. En particular,  el  Estado</w:t>
        <w:br/>
        <w:t>deberá velar porque la investigación abarque los siguientes criterios:</w:t>
        <w:br/>
        <w:br/>
        <w:t xml:space="preserve">   a) en consideración de la gravedad de los  hechos,  el  Estado  no  podrá</w:t>
        <w:br/>
        <w:t xml:space="preserve">      aplicar leyes de amnistía ni argumentar prescripción, irretroactividad</w:t>
        <w:br/>
        <w:t xml:space="preserve">      de la ley penal, cosa juzgada, ni el principio non bis in idem  (supra</w:t>
        <w:br/>
        <w:t xml:space="preserve">      párr. 129), o cualquier excluyente similar  de  responsabilidad,  para</w:t>
        <w:br/>
        <w:t xml:space="preserve">      excusarse de esta obligación[253]. En consecuencia, el  Estado  deberá</w:t>
        <w:br/>
        <w:t xml:space="preserve">      continuar con el proceso penal, sin mayor dilación;</w:t>
        <w:br/>
        <w:br/>
        <w:br/>
        <w:t xml:space="preserve">   b) investigar de forma efectiva todos los hechos de la masacre tomando el</w:t>
        <w:br/>
        <w:t xml:space="preserve">      cuenta  el  patrón  sistemático  de  violaciones  a  derechos  humanos</w:t>
        <w:br/>
        <w:t xml:space="preserve">      existente en la época en que ocurrieron los hechos del presente  caso,</w:t>
        <w:br/>
        <w:t xml:space="preserve">      incluyendo, además del asesinato de los pobladores del  Parcelamiento,</w:t>
        <w:br/>
        <w:t xml:space="preserve">      otras posibles graves afectaciones a  la  integridad  personal,  y  en</w:t>
        <w:br/>
        <w:t xml:space="preserve">      particular, los presuntos actos de tortura, a la luz de  los  impactos</w:t>
        <w:br/>
        <w:t xml:space="preserve">      diferenciados con motivo de la alegada violencia contra la niñez y  la</w:t>
        <w:br/>
        <w:t xml:space="preserve">      mujer[254]. El  Estado  también  deberá  aplicar,  eventualmente,  las</w:t>
        <w:br/>
        <w:t xml:space="preserve">      sanciones correspondientes a  estos  hechos,  así  como  ejecutar  las</w:t>
        <w:br/>
        <w:t xml:space="preserve">      órdenes pendientes de captura;</w:t>
        <w:br/>
        <w:br/>
        <w:br/>
        <w:t xml:space="preserve">   c)  la  determinación  de  todos  los  presuntos  autores  materiales   e</w:t>
        <w:br/>
        <w:t xml:space="preserve">      intelectuales de la masacre, por lo que  deberá  culminar  el  proceso</w:t>
        <w:br/>
        <w:t xml:space="preserve">      penal  iniciado  contra  ellos,  y  proceder  a  investigar   aquellos</w:t>
        <w:br/>
        <w:t xml:space="preserve">      presuntos autores que aún no se encuentran  identificados.  La  debida</w:t>
        <w:br/>
        <w:t xml:space="preserve">      diligencia en la  investigación  implica  que  todas  las  autoridades</w:t>
        <w:br/>
        <w:t xml:space="preserve">      estatales están obligadas a colaborar en la recaudación de la  prueba,</w:t>
        <w:br/>
        <w:t xml:space="preserve">      por lo que deberán brindar al juez de la causa toda la información que</w:t>
        <w:br/>
        <w:t xml:space="preserve">      requiera y abstenerse de actos que impliquen la  obstrucción  para  la</w:t>
        <w:br/>
        <w:t xml:space="preserve">      marcha del proceso investigativo (supra párr. 144);</w:t>
        <w:br/>
        <w:br/>
        <w:br/>
        <w:t xml:space="preserve">   d) iniciar las acciones disciplinarias,  administrativas  o  penales,  de</w:t>
        <w:br/>
        <w:t xml:space="preserve">      acuerdo con su legislación interna, de las  posibles  autoridades  del</w:t>
        <w:br/>
        <w:t xml:space="preserve">      Estado que han obstaculizado e impedido la investigación debida de los</w:t>
        <w:br/>
        <w:t xml:space="preserve">      hechos, así como los responsables  de  las  distintas  irregularidades</w:t>
        <w:br/>
        <w:t xml:space="preserve">      procesales y hechos de hostigamiento que han contribuido  a  prolongar</w:t>
        <w:br/>
        <w:t xml:space="preserve">      la impunidad de la masacre (supra párr. 145);</w:t>
        <w:br/>
        <w:br/>
        <w:br/>
        <w:t xml:space="preserve">   e) adoptar las medidas necesarias para que el uso del recurso  de  amparo</w:t>
        <w:br/>
        <w:t xml:space="preserve">      sea efectivo, conforme a los principios de  concentración,  celeridad,</w:t>
        <w:br/>
        <w:t xml:space="preserve">      contradictorio y motivación de los fallos, derechos de defensa, y  que</w:t>
        <w:br/>
        <w:t xml:space="preserve">      no sea utilizado como un mecanismo dilatorio del proceso, y</w:t>
        <w:br/>
        <w:br/>
        <w:br/>
        <w:t xml:space="preserve">   f)  asegurarse  que  los  distintos  órganos  del  sistema  de   justicia</w:t>
        <w:br/>
        <w:t xml:space="preserve">      involucrados en el caso cuenten con los recursos humanos y  materiales</w:t>
        <w:br/>
        <w:t xml:space="preserve">      necesarios  para   desempeñar   sus   tareas   de   manera   adecuada,</w:t>
        <w:br/>
        <w:t xml:space="preserve">      independiente e imparcial y que las  personas  que  participen  en  la</w:t>
        <w:br/>
        <w:t xml:space="preserve">      investigación,  entre  ellas  víctimas,  testigos  y   operadores   de</w:t>
        <w:br/>
        <w:t xml:space="preserve">      justicia, cuenten con las debidas garantías de seguridad.</w:t>
        <w:br/>
        <w:br/>
        <w:t>234.  Este Tribunal considera necesario  reiterar  lo  que  ya  ha  señalado</w:t>
        <w:br/>
        <w:t>constantemente en  cuanto  a  que  conforme  a  la  obligación  de  garantía</w:t>
        <w:br/>
        <w:t>consagrada en el artículo 1.1 de la Convención Americana,  el  Estado  tiene</w:t>
        <w:br/>
        <w:t>el deber de evitar y combatir la impunidad, la cual ha sido definida por  la</w:t>
        <w:br/>
        <w:t>Corte como “la falta en su conjunto de investigación, persecución,  captura,</w:t>
        <w:br/>
        <w:t>enjuiciamiento y condena de los  responsables  de  las  violaciones  de  los</w:t>
        <w:br/>
        <w:t>derechos humanos”. Para cumplir con dicha obligación, el  Estado  tiene  que</w:t>
        <w:br/>
        <w:t>combatir ésta por todos los medios legales disponibles, ya que la  impunidad</w:t>
        <w:br/>
        <w:t>“propicia la repetición crónica de las violaciones de derechos humanos y  la</w:t>
        <w:br/>
        <w:t>total indefensión de las  víctimas  y  sus  familiares”[255].  Asimismo,  el</w:t>
        <w:br/>
        <w:t>Estado tiene que “organizar todo el aparato  gubernamental  y,  en  general,</w:t>
        <w:br/>
        <w:t>todas las estructuras a través de las cuales se manifiesta el ejercicio  del</w:t>
        <w:br/>
        <w:t>poder público, de manera tal que sean capaces de asegurar  jurídicamente  el</w:t>
        <w:br/>
        <w:t>libre y pleno ejercicio de los derechos humanos”[256].</w:t>
        <w:br/>
        <w:br/>
        <w:t>235.  La Corte considera que para efectos  del  presente  caso,  para  hacer</w:t>
        <w:br/>
        <w:t>efectivo el acceso a la justicia de las víctimas, los jueces  como  rectores</w:t>
        <w:br/>
        <w:t>del proceso tienen que dirigir y encausar el procedimiento judicial  con  el</w:t>
        <w:br/>
        <w:t>fin de no sacrificar la justicia y  el  debido  proceso  legal  en  pro  del</w:t>
        <w:br/>
        <w:t>formalismo y de la impunidad, así como tramitar los recursos  judiciales  de</w:t>
        <w:br/>
        <w:t>modo a que se restrinja el  uso  desproporcionado  de  acciones  que  pueden</w:t>
        <w:br/>
        <w:t>tener efectos dilatorios o entorpecedores.</w:t>
        <w:br/>
        <w:br/>
        <w:t>236.   Por  último,  el  Estado  deberá  divulgar  los  resultados   de   la</w:t>
        <w:br/>
        <w:t>investigación así como del proceso penal a toda la sociedad guatemalteca.</w:t>
        <w:br/>
        <w:br/>
        <w:t xml:space="preserve">    B.2)    Regulación de la Ley de Amparo</w:t>
        <w:br/>
        <w:br/>
        <w:t>237.  La Comisión solicitó que se tomen las medidas necesarias para  que  el</w:t>
        <w:br/>
        <w:t>recurso de amparo no sea utilizado  como  un  mecanismo  dilatorio.  Por  su</w:t>
        <w:br/>
        <w:t>parte, los representantes solicitaron que la Corte ordene al Estado  adecuar</w:t>
        <w:br/>
        <w:t>la Ley de Amparo a los estándares interamericanos, para lo cual se  tome  en</w:t>
        <w:br/>
        <w:t>cuenta el establecimiento de  criterios  de  admisibilidad  del  recurso  de</w:t>
        <w:br/>
        <w:t>amparo; la determinación de competencia específica de  las  distintas  salas</w:t>
        <w:br/>
        <w:t>en el conocimiento  del  amparo;  la  ampliación  de  las  posibilidades  de</w:t>
        <w:br/>
        <w:t>acumulación de amparos;  la  obligación  de  los  magistrados  de  la  Corte</w:t>
        <w:br/>
        <w:t>Suprema de Justicia de inhibirse de conocer  temas  de  su  interés,  y  los</w:t>
        <w:br/>
        <w:t>mecanismos para la sanción de conductas abusivas y dilatorias en relación  a</w:t>
        <w:br/>
        <w:t>los abogados.</w:t>
        <w:br/>
        <w:br/>
        <w:t>238.  Esta Corte estableció que el Estado  incumplió  con  las  obligaciones</w:t>
        <w:br/>
        <w:t>establecidas en los artículos 1.1 y 2 de la Convención, debido a que  en  el</w:t>
        <w:br/>
        <w:t>presente caso las autoridades, en el marco de la  legislación  vigente,  han</w:t>
        <w:br/>
        <w:t>permitido y tolerado el abuso de recursos judiciales,  como  el  recurso  de</w:t>
        <w:br/>
        <w:t>amparo. Asimismo, el Estado no ha adoptado las previsiones  para  hacer  del</w:t>
        <w:br/>
        <w:t>amparo un recurso simple, rápido,  adecuado  y  efectivo  para  tutelar  los</w:t>
        <w:br/>
        <w:t>derechos humanos e impedir que se convierta  en  un  medio  para  dilatar  y</w:t>
        <w:br/>
        <w:t>entorpecer el proceso judicial como factor para la  impunidad  (supra  párr.</w:t>
        <w:br/>
        <w:t>153).</w:t>
        <w:br/>
        <w:br/>
        <w:t>239.  Al respecto,  el  Estado  informó  que  se  encuentra  en  trámite  un</w:t>
        <w:br/>
        <w:t>proyecto de reforma a la Ley de Amparo (iniciativa de  Ley  No.  3319),  que</w:t>
        <w:br/>
        <w:t>cumple en gran parte con  las  observaciones  presentadas  por  la  Comisión</w:t>
        <w:br/>
        <w:t>Interamericana en su demanda. Agregó que la iniciativa  de  ley  recibió  el</w:t>
        <w:br/>
        <w:t>dictamen favorable de la  Comisión  Extraordinaria  de  Reformas  al  Sector</w:t>
        <w:br/>
        <w:t>Justicia,   pero   que   se   encuentra   pendiente   ante   la   Corte   de</w:t>
        <w:br/>
        <w:t>Constitucionalidad, para que proceda a dictaminar sobre  dicho  proyecto  de</w:t>
        <w:br/>
        <w:t>ley.</w:t>
        <w:br/>
        <w:br/>
        <w:t>240.  El Tribunal recuerda que el Estado debe remover todos  los  obstáculos</w:t>
        <w:br/>
        <w:t>que impidan la debida investigación de los hechos y respectivos  procesos  a</w:t>
        <w:br/>
        <w:t>fin  de  evitar  la  repetición  de  hechos  como  los  presentes.[257]   En</w:t>
        <w:br/>
        <w:t>particular, y conforme al artículo 2 de la Convención, el  Estado  tiene  el</w:t>
        <w:br/>
        <w:t>deber de adoptar las medidas necesarias para hacer efectivo el ejercicio  de</w:t>
        <w:br/>
        <w:t>los derechos y libertades reconocidos en la Convención.</w:t>
        <w:br/>
        <w:br/>
        <w:t>241.  El Tribunal toma nota que las partes en el litigio  han  indicado  que</w:t>
        <w:br/>
        <w:t>la iniciativa de Ley No. 3319, presentada al Congreso de la República el  25</w:t>
        <w:br/>
        <w:t>de  agosto  de  2005  por  la  Corte  Suprema  de   Justicia,   cuenta   con</w:t>
        <w:br/>
        <w:t>modificaciones que permitirían reducir el uso abusivo del  amparo  judicial.</w:t>
        <w:br/>
        <w:t>La CICIG corroboró esta información, y  en  virtud  de  su  mandato  propuso</w:t>
        <w:br/>
        <w:t>modificaciones adicionales con el fin de agilizar los trámites y  garantizar</w:t>
        <w:br/>
        <w:t>el derecho a un debido proceso[258].</w:t>
        <w:br/>
        <w:br/>
        <w:t>242.  El Estado deberá adoptar, en un plazo razonable,  de  acuerdo  con  el</w:t>
        <w:br/>
        <w:t>artículo  2  de  la  Convención   Americana,   las   medidas   legislativas,</w:t>
        <w:br/>
        <w:t>administrativas y de cualquier otra índole que sean necesarias para  regular</w:t>
        <w:br/>
        <w:t>la Ley de Amparo, a fin de adecuar este recurso  a  su  verdadero  objeto  y</w:t>
        <w:br/>
        <w:t>fin, de conformidad con los estándares interamericanos de protección de  los</w:t>
        <w:br/>
        <w:t>derechos humanos. Mientras se  adoptan  las  referidas  medidas,  el  Estado</w:t>
        <w:br/>
        <w:t>deberá adoptar todas aquellas acciones que garanticen el  uso  efectivo  del</w:t>
        <w:br/>
        <w:t>recurso de amparo, de conformidad con lo establecido en el apartado  A)  del</w:t>
        <w:br/>
        <w:t>capítulo VIII de la presente Sentencia.</w:t>
        <w:br/>
        <w:br/>
        <w:br/>
        <w:t xml:space="preserve">    B.3)     Identificación  y  entrega  de  los  restos  de  las  personas</w:t>
        <w:br/>
        <w:t xml:space="preserve">    ejecutadas en la masacre de Las Dos Erres a sus familiares</w:t>
        <w:br/>
        <w:br/>
        <w:t>243.  Los representantes solicitaron a este Tribunal que  ordene  al  Estado</w:t>
        <w:br/>
        <w:t>que emplee todas las medidas a su alcance para establecer  la  identidad  de</w:t>
        <w:br/>
        <w:t>todos los restos mortales encontrados en las exhumaciones, y la  entrega  de</w:t>
        <w:br/>
        <w:t>éstos a sus familiares. Ni la Comisión ni  el  Estado  presentaron  alegatos</w:t>
        <w:br/>
        <w:t>sobre dicha medida de reparación.  Sin embargo, el Estado se  refirió  a  la</w:t>
        <w:br/>
        <w:t>creación, a través del acuerdo gubernativo  No.835-2000,  de  una  “Comisión</w:t>
        <w:br/>
        <w:t>Especial de Búsqueda e Identificación de Familiares y  de  las  víctimas  de</w:t>
        <w:br/>
        <w:t>los hechos acaecidos el 7 de diciembre de 1982 en el  Parcelamiento  de  Las</w:t>
        <w:br/>
        <w:t>Dos Erres, de la Aldea Las Cruces, Municipio La Libertad,  del  departamento</w:t>
        <w:br/>
        <w:t>[de] Petén”, la cual el 30 de agosto de 2001 entregó la lista definitiva  de</w:t>
        <w:br/>
        <w:t>las víctimas identificadas, consistente en 71 grupos familiares.</w:t>
        <w:br/>
        <w:br/>
        <w:t>244.  La Corte hace notar que si bien las víctimas del presente caso no  son</w:t>
        <w:br/>
        <w:t>las  personas  fallecidas  en  la  masacre,  sino  sus  familiares   y   dos</w:t>
        <w:br/>
        <w:t>sobrevivientes, la exhumación, identificación y entrega de los restos es  un</w:t>
        <w:br/>
        <w:t>derecho que corresponde a los familiares de  las  víctimas  como  medida  de</w:t>
        <w:br/>
        <w:t>reparación para éstas.</w:t>
        <w:br/>
        <w:br/>
        <w:t>245.  Este Tribunal ha establecido que el derecho de los familiares  de  las</w:t>
        <w:br/>
        <w:t>víctimas de conocer donde se encuentran los restos  de  sus  seres  queridos</w:t>
        <w:br/>
        <w:t>constituye, además de una exigencia del derecho a  conocer  la  verdad,  una</w:t>
        <w:br/>
        <w:t>medida de reparación, y por lo tanto hace nacer el  deber  correlativo  para</w:t>
        <w:br/>
        <w:t>el Estado de satisfacer estas justas expectativas. Recibir  los  cuerpos  de</w:t>
        <w:br/>
        <w:t>las personas que fallecieron en la masacre es de suma importancia  para  sus</w:t>
        <w:br/>
        <w:t>familiares, ya que les permite sepultarlos de acuerdo a sus  creencias,  así</w:t>
        <w:br/>
        <w:t>como cerrar el proceso de duelo que han estado viviendo a lo largo de  estos</w:t>
        <w:br/>
        <w:t>años. Los restos son una prueba de lo sucedido y ofrecen detalles del  trato</w:t>
        <w:br/>
        <w:t>que recibió, la forma en que fue ejecutada,  el  modus  operandi.  El  lugar</w:t>
        <w:br/>
        <w:t>mismo en el que los restos son encontrados pueden  proporcionar  información</w:t>
        <w:br/>
        <w:t>valiosa sobre los perpetradores o la institución a la que pertenecían.</w:t>
        <w:br/>
        <w:br/>
        <w:t>246.  Este Tribunal valora las acciones emprendidas por  el  Estado  en  los</w:t>
        <w:br/>
        <w:t>años 1994 y 1995 para recuperar  los  restos  de  las  personas  ejecutadas,</w:t>
        <w:br/>
        <w:t>quienes fueron enterradas en fosas comunes y en el  pozo  del  Parcelamiento</w:t>
        <w:br/>
        <w:t>de Las Dos Erres, mediante las cuales se lograron  encontrar  162  osamentas</w:t>
        <w:br/>
        <w:t>(supra párr. 86). No obstante dichos esfuerzos, la Corte observa  que  desde</w:t>
        <w:br/>
        <w:t>ese entonces, no se han realizado otras diligencias con el fin de  buscar  y</w:t>
        <w:br/>
        <w:t>localizar a las demás personas que fallecieron en  la  masacre,  ni  se  han</w:t>
        <w:br/>
        <w:t>efectuado diligencias para identificar las osamentas ya ubicadas.</w:t>
        <w:br/>
        <w:br/>
        <w:t>247.  En consecuencia, la Corte considera que el Estado, dentro de un  plazo</w:t>
        <w:br/>
        <w:t>seis meses, contado a partir de la notificación del presente  Fallo,  deberá</w:t>
        <w:br/>
        <w:t>iniciar de manera  sistemática  y  rigurosa,  con  los  recursos  humanos  y</w:t>
        <w:br/>
        <w:t>técnicos adecuados, y en seguimiento de las labores ya  emprendidas  por  la</w:t>
        <w:br/>
        <w:t>Comisión de Identificación y Localización de Víctimas  y  Familiares  de  la</w:t>
        <w:br/>
        <w:t>Masacre de Las Dos Erres, cualquier otra acción que resulte  necesaria  para</w:t>
        <w:br/>
        <w:t>la exhumación e identificación de las demás personas ejecutadas.  Para  esto</w:t>
        <w:br/>
        <w:t>deberá emplear todos los medios técnicos y científicos  necesarios,  tomando</w:t>
        <w:br/>
        <w:t>en  cuenta  las  normas  nacionales  o  internacionales  pertinentes  en  la</w:t>
        <w:br/>
        <w:t>materia[259] y deberá concluir con el total de las exhumaciones en un  plazo</w:t>
        <w:br/>
        <w:t>de dos años, contado a partir de la notificación de la presente Sentencia.</w:t>
        <w:br/>
        <w:br/>
        <w:t>248.  En caso de identificar  los  restos,  deberán  ser  entregados  a  sus</w:t>
        <w:br/>
        <w:t>familiares, previa comprobación genética de filiación, a la  mayor  brevedad</w:t>
        <w:br/>
        <w:t>y sin costo alguno para dichos familiares. Además, el Estado  deberá  cubrir</w:t>
        <w:br/>
        <w:t>los gastos de transporte y sepultura, de acuerdo  a  las  creencias  de  sus</w:t>
        <w:br/>
        <w:t>familiares[260]. Si los restos no son reclamados por ningún familiar  en  un</w:t>
        <w:br/>
        <w:t>plazo de dos años contado a partir de la fecha en que así lo informen a  los</w:t>
        <w:br/>
        <w:t>familiares, el Estado deberá sepultarlos  de  forma  individualizada  en  el</w:t>
        <w:br/>
        <w:t>cementerio de Las Cruces.  En el referido cementerio  se  deberá  determinar</w:t>
        <w:br/>
        <w:t>un área específica  reservada  e  identificable  para  sepultarlos  y  hacer</w:t>
        <w:br/>
        <w:t>referencia a que se  trata  de  personas  no  reclamadas  fallecidas  en  la</w:t>
        <w:br/>
        <w:t>masacre de Las Dos Erres.</w:t>
        <w:br/>
        <w:br/>
        <w:t>249.  Para hacer efectiva y viable  la  individualización  de  las  personas</w:t>
        <w:br/>
        <w:t>exhumadas, el Estado deberá anunciar a los representantes de  las  víctimas,</w:t>
        <w:br/>
        <w:t>a través de comunicación escrita,  sobre  el  proceso  de  identificación  y</w:t>
        <w:br/>
        <w:t>entrega de los restos de las personas fallecidas en  la  masacre  y,  en  su</w:t>
        <w:br/>
        <w:t>caso, requerir su colaboración para los efectos pertinentes. Las  copias  de</w:t>
        <w:br/>
        <w:t>dichas comunicaciones deberán ser presentadas  a  la  Corte  para  que  sean</w:t>
        <w:br/>
        <w:t>consideradas dentro de la supervisión del cumplimiento de esta Sentencia.</w:t>
        <w:br/>
        <w:br/>
        <w:t xml:space="preserve">    B.4)    Capacitación a operadores de justicia</w:t>
        <w:br/>
        <w:br/>
        <w:t>250.  La Comisión solicitó a la Corte  que  ordene  al  Estado  adoptar  una</w:t>
        <w:br/>
        <w:t>política  de  capacitación  permanente  en  derechos   humanos   y   derecho</w:t>
        <w:br/>
        <w:t>internacional humanitario para el personal de las Fuerzas  Armadas,  con  el</w:t>
        <w:br/>
        <w:t>fin de evitar que en el futuro se produzcan hechos  similares,  conforme  al</w:t>
        <w:br/>
        <w:t>deber de prevención y garantía de los derechos fundamentales reconocidos  en</w:t>
        <w:br/>
        <w:t>la Convención Americana. Por su parte, los representantes solicitaron  a  la</w:t>
        <w:br/>
        <w:t>Corte  que  ordene  al  Estado  adoptar  medidas  para  fortalecer   a   las</w:t>
        <w:br/>
        <w:t>autoridades encargadas de la dirección de los procesos judiciales de  graves</w:t>
        <w:br/>
        <w:t>violaciones de derechos humanos  y  garantizar  el  acceso  a  los  archivos</w:t>
        <w:br/>
        <w:t>militares  de  la  época  del  conflicto.  El  Estado   informó   sobre   la</w:t>
        <w:br/>
        <w:t>capacitación en derechos humanos y derecho internacional humanitario que  se</w:t>
        <w:br/>
        <w:t>brinda al personal que integra las fuerzas armadas de Guatemala a través  de</w:t>
        <w:br/>
        <w:t>los distintos centros de formación y profesionalización del ejército.</w:t>
        <w:br/>
        <w:br/>
        <w:t>251.  Las violaciones imputables  al  Estado  en  el  presente  caso  fueron</w:t>
        <w:br/>
        <w:t>perpetradas por funcionarios estatales. Adicionalmente, las  violaciones  se</w:t>
        <w:br/>
        <w:t>han visto agravadas  por  la  existencia  de  un  contexto  generalizado  de</w:t>
        <w:br/>
        <w:t>impunidad  respecto  de  las  graves  violaciones  a  los  derechos  humanos</w:t>
        <w:br/>
        <w:t>propiciada por los operadores judiciales. En consecuencia, sin perjuicio  de</w:t>
        <w:br/>
        <w:t>la  existencia  de  programas  en  Guatemala  para   capacitación   de   sus</w:t>
        <w:br/>
        <w:t>funcionarios en derechos humanos, el Tribunal  considera  necesario  que  el</w:t>
        <w:br/>
        <w:t>Estado organice e inicie de manera independiente  o  en  fortalecimiento  de</w:t>
        <w:br/>
        <w:t>los ya existentes, un programa permanente de educación en  derechos  humanos</w:t>
        <w:br/>
        <w:t>destinado a los miembros de  las  Fuerzas  Armadas,  así  como  a  jueces  y</w:t>
        <w:br/>
        <w:t>fiscales. Dentro de dicho  programa  deberá  hacer  especial  mención  a  la</w:t>
        <w:br/>
        <w:t>presente Sentencia y otros casos fallados por esta Corte  contra  Guatemala,</w:t>
        <w:br/>
        <w:t>así como a los instrumentos internacionales de derechos  humanos  y  derecho</w:t>
        <w:br/>
        <w:t>internacional humanitario[261] y,  específicamente,  a  lo  relativo  a  las</w:t>
        <w:br/>
        <w:t>graves violaciones a derechos humanos y los  componentes  del  acceso  a  la</w:t>
        <w:br/>
        <w:t>justicia de las víctimas. Este programa debe ser organizado y ejecutado,  en</w:t>
        <w:br/>
        <w:t>un plazo de seis  meses,  contado  a  partir  de  la  notificación  de  esta</w:t>
        <w:br/>
        <w:t>Sentencia.</w:t>
        <w:br/>
        <w:br/>
        <w:t>252.  Al respecto, la Corte estima pertinente recordar  que  la  eficacia  e</w:t>
        <w:br/>
        <w:t>impacto de la implementación de  los  programas  de  educación  en  derechos</w:t>
        <w:br/>
        <w:t>humanos en el seno de las fuerzas  de  seguridad  es  crucial  para  generar</w:t>
        <w:br/>
        <w:t>garantías de no repetición de hechos  como  los  del  presente  caso.  Tales</w:t>
        <w:br/>
        <w:t>programas  deben  reflejarse  en  resultados  de  acción  y  prevención  que</w:t>
        <w:br/>
        <w:t>acrediten su eficacia, más allá de  que  su  evaluación  deba  realizarse  a</w:t>
        <w:br/>
        <w:t>través de indicadores adecuados[262].</w:t>
        <w:br/>
        <w:br/>
        <w:t>253.  Aunado a lo anterior, este Tribunal considera necesario que el  Estado</w:t>
        <w:br/>
        <w:t>organice e inicie de manera independiente o en  fortalecimiento  de  los  ya</w:t>
        <w:br/>
        <w:t>existentes, un programa específico de capacitación  y  fortalecimiento  para</w:t>
        <w:br/>
        <w:t>el mejoramiento integral del Sistema de Justicia en Guatemala,  destinado  a</w:t>
        <w:br/>
        <w:t>las autoridades encargadas de la dirección de  los  procesos  judiciales  de</w:t>
        <w:br/>
        <w:t>graves violaciones a los derechos humanos, el cual  incluya  una  estrategia</w:t>
        <w:br/>
        <w:t>de investigación de  patrones  de  violaciones  masivas  y  sistemáticas  de</w:t>
        <w:br/>
        <w:t>derechos humanos y tutela judicial efectiva, a fin  de  dirigir  y  encausar</w:t>
        <w:br/>
        <w:t>este tipo de procesos en tiempos razonables y considerando la  investigación</w:t>
        <w:br/>
        <w:t>de todos los hechos y responsables, en garantía del acceso a la justicia  de</w:t>
        <w:br/>
        <w:t>las víctimas de este tipo  de  violaciones,  en  un  plazo  de  seis  meses,</w:t>
        <w:br/>
        <w:t>contado a partir de la notificación de esta Sentencia.</w:t>
        <w:br/>
        <w:br/>
        <w:t>254.  Finalmente, una vez aprobada  la  normativa  referente  a  la  Ley  de</w:t>
        <w:br/>
        <w:t>Amparo, el Estado deberá organizar e iniciar dentro de los  siguientes  seis</w:t>
        <w:br/>
        <w:t>meses  de  publicada  la  correspondiente  norma  legal   un   programa   de</w:t>
        <w:br/>
        <w:t>capacitación a los operadores de justicia  para  el  uso  adecuado  de  este</w:t>
        <w:br/>
        <w:t>recurso y sobre la tutela judicial efectiva.</w:t>
        <w:br/>
        <w:br/>
        <w:t xml:space="preserve">    C)      Medidas de Satisfacción, Rehabilitación y garantía de no</w:t>
        <w:br/>
        <w:t xml:space="preserve">    repetición</w:t>
        <w:br/>
        <w:br/>
        <w:t>255.  El Tribunal determinará otras  medidas  que  buscan  reparar  el  daño</w:t>
        <w:br/>
        <w:t>inmaterial y que no tienen naturaleza pecuniaria,  y  dispondrá  medidas  de</w:t>
        <w:br/>
        <w:t>alcance o repercusión pública[263].</w:t>
        <w:br/>
        <w:br/>
        <w:br/>
        <w:br/>
        <w:t xml:space="preserve">    C.1)    Satisfacción</w:t>
        <w:br/>
        <w:br/>
        <w:br/>
        <w:t xml:space="preserve">      a)    Publicación de la sentencia</w:t>
        <w:br/>
        <w:br/>
        <w:t>256.  Tal y como se  ha  ordenado  en  otras  oportunidades[264],  la  Corte</w:t>
        <w:br/>
        <w:t>estima que, como medida de satisfacción, el Estado debe  publicar,  por  una</w:t>
        <w:br/>
        <w:t>sola vez, en el Diario Oficial y en otro  diario  de  circulación  nacional,</w:t>
        <w:br/>
        <w:t>los Capítulos I, VIII; IX y X;  el  párrafo  222  del  Capítulo  XI,  y  los</w:t>
        <w:br/>
        <w:t>párrafos 225, 229 a 236, 238 a 242, 244 a 249, 251 a 254, 256,  259  a  264,</w:t>
        <w:br/>
        <w:t>265, 268 a 270, 271 a 274 y 283 a 291  del  Capítulo  XII,  de  la  presente</w:t>
        <w:br/>
        <w:t>Sentencia,  incluyendo  los  nombres  de  cada  capítulo  y   del   apartado</w:t>
        <w:br/>
        <w:t>respectivo - sin las notas al pie de página correspondientes,   y  la  parte</w:t>
        <w:br/>
        <w:t>resolutiva de la misma.   Adicionalmente,  como  ha  sido  ordenado  por  el</w:t>
        <w:br/>
        <w:t>Tribunal en ocasiones anteriores[265], el presente Fallo se deberá  publicar</w:t>
        <w:br/>
        <w:t>íntegramente, al menos por un año,  en  un  sitio  web  oficial  del  Estado</w:t>
        <w:br/>
        <w:t>adecuado, tomando en cuenta las características de  la  publicación  que  se</w:t>
        <w:br/>
        <w:t>ordena realizar.  Para realizar las publicaciones en  los  periódicos  y  en</w:t>
        <w:br/>
        <w:t>Internet se fijan los plazos de seis y dos meses, respectivamente,  contados</w:t>
        <w:br/>
        <w:t>a partir de la notificación de la presente Sentencia.</w:t>
        <w:br/>
        <w:br/>
        <w:t xml:space="preserve">      b)     Reconocimiento  público  de  responsabilidad  internacional   y</w:t>
        <w:br/>
        <w:t xml:space="preserve">      difusión del  video  documental  de  los  hechos  de  la  Masacre  del</w:t>
        <w:br/>
        <w:t xml:space="preserve">      Parcelamiento de Las Dos Erres</w:t>
        <w:br/>
        <w:br/>
        <w:t>257.  Los representantes solicitaron la realización de un acto en el que  el</w:t>
        <w:br/>
        <w:t>Estado  reconozca  públicamente  su  responsabilidad  por  la  negación   de</w:t>
        <w:br/>
        <w:t>justicia, en el  cual  deben  participar  “altos  representantes  del  Poder</w:t>
        <w:br/>
        <w:t>Judicial”.  Además,  solicitaron  que  se   coordine   el   acto   con   los</w:t>
        <w:br/>
        <w:t>representantes para definir lo relacionado con  la  realización  del  mismo.</w:t>
        <w:br/>
        <w:t>En relación con el video  que  el  Estado  ha  realizado  sobre  los  hechos</w:t>
        <w:br/>
        <w:t>ocurridos en el Parcelamiento de Las Dos Erres, los representantes  alegaron</w:t>
        <w:br/>
        <w:t>que las víctimas no fueron informadas de las fechas  en  que  el  video  fue</w:t>
        <w:br/>
        <w:t>transmitido, por lo que desconocen su contenido. La Comisión no  se  refirió</w:t>
        <w:br/>
        <w:t>al respecto.</w:t>
        <w:br/>
        <w:br/>
        <w:t>258.  Por su parte, el Estado  señaló  ya  haber  hecho  público  en  varias</w:t>
        <w:br/>
        <w:t>ocasiones el reconocimiento de responsabilidad internacional por los  hechos</w:t>
        <w:br/>
        <w:t>ocurridos en el Parcelamiento de Las Dos Erres. De igual  forma  hizo  notar</w:t>
        <w:br/>
        <w:t>que realizó un acto simbólico de  la  entrega  de  las  reparaciones  a  las</w:t>
        <w:br/>
        <w:t>víctimas  en  el   cual   participaron   altos   funcionarios   del   Estado</w:t>
        <w:br/>
        <w:t>guatemalteco. En lo que se refiere al video, el Estado indicó  que  éste  ya</w:t>
        <w:br/>
        <w:t>fue elaborado y divulgado en el canal  Guatevisión  los  días  17  y  21  de</w:t>
        <w:br/>
        <w:t>diciembre de 2007.</w:t>
        <w:br/>
        <w:br/>
        <w:t>259.  Cabe señalar que la perito Nieves Gómez Dupuis en su peritaje  rendido</w:t>
        <w:br/>
        <w:t>ante fedatario público, manifestó que el caso  revela  que  “[l]a  falta  de</w:t>
        <w:br/>
        <w:t>justicia y la ausencia de difusión  de  la  historia  favorece  que,  al  no</w:t>
        <w:br/>
        <w:t>existir culpables de los hechos, la culpa se  revierte  en  las  víctimas  y</w:t>
        <w:br/>
        <w:t>éstas quedan  estigmatizadas”[266].   Agregó  que  “[a]  nivel  colectivo  y</w:t>
        <w:br/>
        <w:t>social, se registró la existencia de etiquetamiento y estigmatización  hacia</w:t>
        <w:br/>
        <w:t>las víctimas y familiares que viven desplazadas en el interior del país,  se</w:t>
        <w:br/>
        <w:t>detectó la existencia de modelos violentos de resolución de  conflictos  por</w:t>
        <w:br/>
        <w:t>la situación de impunidad,  divisiones  comunitarias  por  la  ejecución  de</w:t>
        <w:br/>
        <w:t>medidas de reparación en [L]as Cruces y sistemas de comunicación basados  en</w:t>
        <w:br/>
        <w:t>la desinformación y los rumores”[267]. De  esta  manera  el  efecto  de  las</w:t>
        <w:br/>
        <w:t>medidas  antes referidas contribuyen a conocer lo  sucedido,  reivindicar  a</w:t>
        <w:br/>
        <w:t>los familiares y preservar la memoria de sus seres queridos.</w:t>
        <w:br/>
        <w:br/>
        <w:t>260.  Esta Corte valora el  hecho  de  que  el  Estado  hiciera  público  el</w:t>
        <w:br/>
        <w:t>reconocimiento de responsabilidad internacional efectuado el 1 de  abril  de</w:t>
        <w:br/>
        <w:t>2000, en varias oportunidades, pero dicho reconocimiento  no  comprendió  la</w:t>
        <w:br/>
        <w:t>totalidad de hechos del presente caso, los cuales el Tribunal  ha  examinado</w:t>
        <w:br/>
        <w:t>a partir del 9  de  marzo  de  1987,  así  como  tampoco  las  consecuencias</w:t>
        <w:br/>
        <w:t>jurídicas derivados de éstos.</w:t>
        <w:br/>
        <w:br/>
        <w:t>261.  Para que el reconocimiento parcial  de  responsabilidad  internacional</w:t>
        <w:br/>
        <w:t>efectuado por el Estado  ante  la  Corte  surta  sus  efectos  plenos,  como</w:t>
        <w:br/>
        <w:t>garantía de no repetición de las  graves  violaciones  de  derechos  humanos</w:t>
        <w:br/>
        <w:t>declaradas, esta Corte considera oportuno que  el  Estado  realice  un  acto</w:t>
        <w:br/>
        <w:t>público de reconocimiento de responsabilidad internacional.  En  dicho  acto</w:t>
        <w:br/>
        <w:t>se deberá hacer referencia: a) a los hechos propios de la  masacre  y  b)  a</w:t>
        <w:br/>
        <w:t>los hechos del presente  caso  y  a  las  violaciones  de  derechos  humanos</w:t>
        <w:br/>
        <w:t>declaradas en la presente Sentencia, en perjuicio de las 155  víctimas,  dos</w:t>
        <w:br/>
        <w:t>de ellas sobrevivientes de la masacre[268].</w:t>
        <w:br/>
        <w:br/>
        <w:t>262.  La realización y particularidades de dicha  ceremonia  pública  deberá</w:t>
        <w:br/>
        <w:t>realizarse en lo posible, con el acuerdo y cooperación de las  víctimas,  si</w:t>
        <w:br/>
        <w:t>es su voluntad. Además, deberá garantizarse que las víctimas que  tengan  la</w:t>
        <w:br/>
        <w:t>posibilidad de asistir lo hagan, para lo cual el Estado deberá sufragar  los</w:t>
        <w:br/>
        <w:t>gastos  correspondientes  a  su  transporte.  De  igual   forma,   por   las</w:t>
        <w:br/>
        <w:t>características específicas del presente caso y en aras de crear  conciencia</w:t>
        <w:br/>
        <w:t>sobre las consecuencias  de  los  hechos  del  mismo,  en  dicho  evento  de</w:t>
        <w:br/>
        <w:t>reconocimiento deberán estar  presentes  altos  funcionarios  del  Estado  y</w:t>
        <w:br/>
        <w:t>magistrados  de  la  Corte  Suprema  de  Justicia   y   de   la   Corte   de</w:t>
        <w:br/>
        <w:t>Constitucionalidad de la República de Guatemala.</w:t>
        <w:br/>
        <w:br/>
        <w:t>263.  Respecto al video documental sobre los hechos ocurridos en la  Masacre</w:t>
        <w:br/>
        <w:t>del Parcelamiento de Las Dos Erres, que el Estado  ya  elaboró,  esta  Corte</w:t>
        <w:br/>
        <w:t>considera  que  este  deberá  proyectarse  durante  la  referida   ceremonia</w:t>
        <w:br/>
        <w:t>pública. Además, el Estado deberá proyectar el video en un acto  público  en</w:t>
        <w:br/>
        <w:t>la cabecera  departamental  de  Petén  y  en  un  departamento  de  la  zona</w:t>
        <w:br/>
        <w:t>occidental en el que se hayan producido graves violaciones de  los  derechos</w:t>
        <w:br/>
        <w:t>humanos durante el conflicto armado interno. En dichos actos  deberán  estar</w:t>
        <w:br/>
        <w:t>presentes altos funcionarios  del  Departamento  y  municipios.  Dicho  acto</w:t>
        <w:br/>
        <w:t>deberá  ser  organizado  con  la  participación  de  las  víctimas   o   sus</w:t>
        <w:br/>
        <w:t>representantes. Además, el video deberá ser distribuido lo  más  ampliamente</w:t>
        <w:br/>
        <w:t>posible entre las víctimas, sus representantes y las universidades del  país</w:t>
        <w:br/>
        <w:t>para su promoción y proyección posterior.</w:t>
        <w:br/>
        <w:br/>
        <w:t>264.  Para la realización de dichos actos, el Estado cuenta con el plazo  de</w:t>
        <w:br/>
        <w:t>un año, contado a partir de la notificación de la presente Sentencia.</w:t>
        <w:br/>
        <w:br/>
        <w:br/>
        <w:t xml:space="preserve">      c)    Construcción de un monumento</w:t>
        <w:br/>
        <w:br/>
        <w:br/>
        <w:t>265.  La Corte considera pertinente ordenar al Estado levantar un  monumento</w:t>
        <w:br/>
        <w:t>en la memoria de  las  personas  que  fallecieron  durante  la  masacre  del</w:t>
        <w:br/>
        <w:t>Parcelamiento de Las Dos Erres, en el lugar  donde  ocurrieron  los  hechos.</w:t>
        <w:br/>
        <w:t>Dicho monumento deberá tener una  placa  que  haga  alusión  a  la  referida</w:t>
        <w:br/>
        <w:t>masacre y que haga constar el nombre de estas personas, con el propósito  de</w:t>
        <w:br/>
        <w:t>mantener viva su memoria y como garantía de  no  repetición.  Tal  monumento</w:t>
        <w:br/>
        <w:t>deberá ser construido en  el  plazo  de  un  año  contado  a  partir  de  la</w:t>
        <w:br/>
        <w:t>notificación de la presente Sentencia.</w:t>
        <w:br/>
        <w:br/>
        <w:br/>
        <w:t xml:space="preserve">    C.2)    Rehabilitación</w:t>
        <w:br/>
        <w:br/>
        <w:br/>
        <w:t xml:space="preserve">    Atención médica y psicológica a las víctimas</w:t>
        <w:br/>
        <w:br/>
        <w:t>266.  La Comisión solicitó a este Tribunal que ordene al Estado  que  adopte</w:t>
        <w:br/>
        <w:t>medidas de rehabilitación psicológica y  médica  para  las  víctimas  y  que</w:t>
        <w:br/>
        <w:t>implemente un programa adecuado de atención psicosocial para ellas.  Por  su</w:t>
        <w:br/>
        <w:t>parte, los representantes presentaron alegatos adicionales respecto de  esta</w:t>
        <w:br/>
        <w:t>medida  de  reparación  y  se  refirieron  al  supuesto  incumplimiento  del</w:t>
        <w:br/>
        <w:t>compromiso establecido en el acuerdo de  solución  amistosa  del  Estado  de</w:t>
        <w:br/>
        <w:t>brindar atención médica y psicosocial especializada, y  solicitaron  que  la</w:t>
        <w:br/>
        <w:t>Corte ordene al Estado la provisión de dicha atención a todas  las  víctimas</w:t>
        <w:br/>
        <w:t>de este caso.</w:t>
        <w:br/>
        <w:br/>
        <w:t>267.  El Estado señaló que  en  cumplimiento  del  compromiso  derivado  del</w:t>
        <w:br/>
        <w:t>acuerdo  de  solución  amistosa,  había  “gestionado   tratamiento   médico-</w:t>
        <w:br/>
        <w:t>psicológico a favor de [familiares de] las víctimas de la masacre  de  [L]as</w:t>
        <w:br/>
        <w:t>Dos Erres, el cual  ha[bía]  brindado  el  Ministerio  de  Salud  Pública  y</w:t>
        <w:br/>
        <w:t>Asistencia Social, a través del programa de  Salud  Mental,  Área  de  Salud</w:t>
        <w:br/>
        <w:t>Petén Sur Occidente”, que se continúa implementando y  se  consolidaría  con</w:t>
        <w:br/>
        <w:t>la firma de  un  convenio  entre  el  Ministerio  de  Salud  y  la  Comisión</w:t>
        <w:br/>
        <w:t>Presidencial Coordinadora  de  la  Política  del  Ejecutivo  en  Materia  de</w:t>
        <w:br/>
        <w:t>Derechos Humanos (en adelante “COPREDEH”).</w:t>
        <w:br/>
        <w:br/>
        <w:t>268.  La Corte toma nota que en el procedimiento  de  solución  amistosa  el</w:t>
        <w:br/>
        <w:t>Estado se comprometió a brindar atención médica especializada y de  carácter</w:t>
        <w:br/>
        <w:t>integral a las víctimas sobrevivientes y a los familiares  de  las  personas</w:t>
        <w:br/>
        <w:t>fallecidas en la masacre que lo requieran, y que el  Estado  ha  manifestado</w:t>
        <w:br/>
        <w:t>su buena voluntad realizando algunos  de  los  compromisos  establecidos  en</w:t>
        <w:br/>
        <w:t>éste, por lo que valora positivamente dichas actuaciones.</w:t>
        <w:br/>
        <w:br/>
        <w:t>269.  Sin perjuicio de lo anterior, la Corte estima, como  lo  ha  hecho  en</w:t>
        <w:br/>
        <w:t>otros casos[269], que es preciso  disponer  una  medida  de  reparación  que</w:t>
        <w:br/>
        <w:t>brinde una atención adecuada a  los  padecimientos  psicológicos  y  morales</w:t>
        <w:br/>
        <w:t>sufridos por las víctimas, como ya ha sido establecido  de  conformidad  con</w:t>
        <w:br/>
        <w:t>la violación del artículo 5.1 de la Convención, así  como  las  afectaciones</w:t>
        <w:br/>
        <w:t>de este carácter derivadas de las violaciones de los artículos 17, 18  y  19</w:t>
        <w:br/>
        <w:t>de la misma.</w:t>
        <w:br/>
        <w:br/>
        <w:t>270.  Por lo tanto, con el fin  de  contribuir  a  la  reparación  de  estos</w:t>
        <w:br/>
        <w:t>daños, el Tribunal dispone la obligación  a  cargo  del  Estado  de  brindar</w:t>
        <w:br/>
        <w:t>gratuitamente y de forma inmediata, el tratamiento médico y psicológico  que</w:t>
        <w:br/>
        <w:t>requieran las 155  víctimas,  previo  consentimiento  informado,  y  por  el</w:t>
        <w:br/>
        <w:t>tiempo  que  sea  necesario,  incluida  la  provisión  de  medicamentos.  El</w:t>
        <w:br/>
        <w:t>tratamiento  psicológico  y  psiquiátrico  debe  brindarse  por  personal  e</w:t>
        <w:br/>
        <w:t>instituciones especializadas estatales en la atención de víctimas de  hechos</w:t>
        <w:br/>
        <w:t>de violencia como los ocurridos en el presente caso[270]. En el caso de  que</w:t>
        <w:br/>
        <w:t>el Estado careciera de ellas deberá recurrir a instituciones privadas  o  de</w:t>
        <w:br/>
        <w:t>la sociedad civil especializadas. Al  proveer  dicho  tratamiento  se  deben</w:t>
        <w:br/>
        <w:t>considerar, además, las circunstancias y necesidades  particulares  de  cada</w:t>
        <w:br/>
        <w:t>víctima, de manera que se les brinden tratamientos colectivos, familiares  e</w:t>
        <w:br/>
        <w:t>individuales, según lo que se acuerde con cada una de  ellas  y  después  de</w:t>
        <w:br/>
        <w:t>una evaluación individual[271].  Finalmente,  dicho  tratamiento  se  deberá</w:t>
        <w:br/>
        <w:t>brindar, en la medida de las posibilidades, en los centros  más  cercanos  a</w:t>
        <w:br/>
        <w:t>su lugar de residencia.</w:t>
        <w:br/>
        <w:br/>
        <w:br/>
        <w:br/>
        <w:br/>
        <w:br/>
        <w:t xml:space="preserve">    C.3)    Garantías de no repetición</w:t>
        <w:br/>
        <w:br/>
        <w:br/>
        <w:t xml:space="preserve">    Creación de  una  página  web  de  búsqueda  de  menores  sustraídos  y</w:t>
        <w:br/>
        <w:t>retenidos ilegalmente</w:t>
        <w:br/>
        <w:br/>
        <w:t>271.   Este  Tribunal  considera  necesaria,  como  lo  ha  hecho  en  casos</w:t>
        <w:br/>
        <w:t>anteriores, la creación de una página web de búsqueda de menores  sustraídos</w:t>
        <w:br/>
        <w:t>y retenidos ilegalmente en el conflicto interno, en  la  cual,  mediante  la</w:t>
        <w:br/>
        <w:t>implementación de una base de datos, se difunda  los  nombres  y  apellidos,</w:t>
        <w:br/>
        <w:t>posibles características físicas y todos los datos con los que se cuente  de</w:t>
        <w:br/>
        <w:t>dichos menores,  así  como,  previo  consentimiento  informado,  la  de  sus</w:t>
        <w:br/>
        <w:t>familiares[272]. El objetivo de dicha página web será brindar orientación  y</w:t>
        <w:br/>
        <w:t>acompañamiento a instituciones o  asociaciones  nacionales  dedicados  a  la</w:t>
        <w:br/>
        <w:t>búsqueda de menores sustraídos y retenidos ilegalmente durante el  conflicto</w:t>
        <w:br/>
        <w:t>interno, así como a particulares que se dirigen a  ella  buscando  a  dichos</w:t>
        <w:br/>
        <w:t>niños o con la sospecha de ser un menor  sustraído  y  retenido  ilegalmente</w:t>
        <w:br/>
        <w:t>durante el conflicto interno,  y  para  facilitar  el  reencuentro  con  sus</w:t>
        <w:br/>
        <w:t>familiares.</w:t>
        <w:br/>
        <w:br/>
        <w:t>272.  En este sentido, en dicha página web se deben  establecer  direcciones</w:t>
        <w:br/>
        <w:t>y  teléfonos  de  contacto  de  instituciones   estatales,   así   como   de</w:t>
        <w:br/>
        <w:t>organizaciones de la sociedad civil como,  por  ejemplo,  FAMDEGUA,  con  el</w:t>
        <w:br/>
        <w:t>propósito de que los menores sustraídos y retenidos ilegalmente  durante  el</w:t>
        <w:br/>
        <w:t>conflicto interno puedan ubicar a sus  familiares,  o  a  las  instituciones</w:t>
        <w:br/>
        <w:t>estatales o no estatales  pertinentes[273].  Asimismo,  la  Corte  considera</w:t>
        <w:br/>
        <w:t>indispensable que el Estado adopte las medidas  necesarias  para  coordinar,</w:t>
        <w:br/>
        <w:t>desde la referida página web, además de los enlaces  nacionales  mencionadas</w:t>
        <w:br/>
        <w:t>anteriormente, enlaces  internacionales  con  otras  páginas  web  de  otros</w:t>
        <w:br/>
        <w:t>Estados,  de  instituciones  o  asociaciones  nacionales  y  de   organismos</w:t>
        <w:br/>
        <w:t>internacionales dedicados a la búsqueda de menores  sustraídos  y  retenidos</w:t>
        <w:br/>
        <w:t>ilegalmente en conflictos internos, con el fin de  propiciar,  participar  y</w:t>
        <w:br/>
        <w:t>colaborar con  la  formación  y  desarrollo  de  una  red  internacional  de</w:t>
        <w:br/>
        <w:t>búsqueda[274].</w:t>
        <w:br/>
        <w:br/>
        <w:t>273.  La Corte estima necesario que el Estado adopte las  medidas  y  asigne</w:t>
        <w:br/>
        <w:t>los recursos humanos, económicos, logísticos, y de  otra  índole  necesarios</w:t>
        <w:br/>
        <w:t>para que esta página web  funcione  de  manera  adecuada  y  cumpla  con  el</w:t>
        <w:br/>
        <w:t>propósito descrito en el párrafo anterior.</w:t>
        <w:br/>
        <w:br/>
        <w:t>274.  Para la creación de dicha página web, las  medidas  y  mecanismos  que</w:t>
        <w:br/>
        <w:t>garanticen su adecuado funcionamiento según lo  descrito  anteriormente,  el</w:t>
        <w:br/>
        <w:t>Estado cuenta con el plazo de un año, contado a partir  de  la  notificación</w:t>
        <w:br/>
        <w:t>de la presente Sentencia.</w:t>
        <w:br/>
        <w:br/>
        <w:br/>
        <w:br/>
        <w:t xml:space="preserve">    D)      Indemnizaciones</w:t>
        <w:br/>
        <w:br/>
        <w:br/>
        <w:t xml:space="preserve">    D.1)    Daño material e inmaterial</w:t>
        <w:br/>
        <w:br/>
        <w:t>275.   La  Corte  ha  desarrollado  el  concepto  de  daño  material[275]  e</w:t>
        <w:br/>
        <w:t>inmaterial[276] y los supuestos en que corresponde indemnizarlos.</w:t>
        <w:br/>
        <w:br/>
        <w:t>276.  La Comisión no solicitó a la Corte medidas pecuniarias  de  reparación</w:t>
        <w:br/>
        <w:t>por daño material ni por daño inmaterial. Por su parte,  los  representantes</w:t>
        <w:br/>
        <w:t>no solicitaron  específicamente  una  indemnización  por  concepto  de  daño</w:t>
        <w:br/>
        <w:t>material, pero sí solicitaron que  la  Corte  ordene  al  Estado  fijar,  en</w:t>
        <w:br/>
        <w:t>equidad, una indemnización compensatoria a cada una de las víctimas  por  el</w:t>
        <w:br/>
        <w:t>“daño moral” causado por el sufrimiento a raíz de las violaciones  cometidas</w:t>
        <w:br/>
        <w:t>después del 1 de abril de 2000.  Además,  solicitaron  una  suma  específica</w:t>
        <w:br/>
        <w:t>para la reparación del  daño  causado  a  la  víctima  sobreviviente  Ramiro</w:t>
        <w:br/>
        <w:t>Osorio Cristales. El Estado solicitó a la  Corte  que  tome  en  cuenta  las</w:t>
        <w:br/>
        <w:t>reparaciones  económicas  ya   otorgadas   y   consideró   improcedente   el</w:t>
        <w:br/>
        <w:t>requerimiento de un nuevo pago, entendiendo  el  pago  ya  entregado  a  las</w:t>
        <w:br/>
        <w:t>víctimas como justo, adecuado y efectivo.</w:t>
        <w:br/>
        <w:br/>
        <w:t>277.  Al respecto, el Estado  indicó  que  dio  cumplimiento  al  compromiso</w:t>
        <w:br/>
        <w:t>relacionado con la indemnización económica  acordada,  la  cual  incluye  el</w:t>
        <w:br/>
        <w:t>pago de cantidades correspondientes  al  lucro  cesante,  daño  emergente  y</w:t>
        <w:br/>
        <w:t>“daño moral” a la lista de las víctimas identificadas al  30  de  agosto  de</w:t>
        <w:br/>
        <w:t>2001 por la Comisión Especial  de  Búsqueda,  correspondiente  a  71  grupos</w:t>
        <w:br/>
        <w:t>familiares. Además, en el  año  2006  indemnizó  a  un  grupo  de  personas,</w:t>
        <w:br/>
        <w:t>quienes  se  presentaron  en  el  año  2004  ante  COPREDEH  declarando  ser</w:t>
        <w:br/>
        <w:t>familiares de las personas fallecidas en la masacre y  argumentando  que  no</w:t>
        <w:br/>
        <w:t>habían  recibido  indemnización  alguna.   En  razón  de  esto,  el   Estado</w:t>
        <w:br/>
        <w:t>considera improcedente  la  solicitud  de  los  representantes,  ya  que  el</w:t>
        <w:br/>
        <w:t>proceso de indemnización fue amplio y culminó en el  año  2006,  oportunidad</w:t>
        <w:br/>
        <w:t>en la cual otorgó el resarcimiento a 40 víctimas más.  Asimismo,  el  Estado</w:t>
        <w:br/>
        <w:t>manifestó que Ramiro Osorio Cristales ya recibió una indemnización, por  las</w:t>
        <w:br/>
        <w:t>violaciones  alegadas,  la  cual  fue  fijada  de  mutuo  acuerdo  con   los</w:t>
        <w:br/>
        <w:t>representantes.</w:t>
        <w:br/>
        <w:br/>
        <w:t xml:space="preserve">    a) Indemnizaciones otorgadas por el Estado durante el trámite  ante  la</w:t>
        <w:br/>
        <w:t xml:space="preserve">    Comisión con motivo del acuerdo entre las partes</w:t>
        <w:br/>
        <w:br/>
        <w:t>278.  La Corte  observa  que  de  la  prueba  aportada  por  las  partes  se</w:t>
        <w:br/>
        <w:t>desprende que en virtud del “Acuerdo  Sobre  Reparación  Económica”  firmado</w:t>
        <w:br/>
        <w:t>entre el Estado y los representantes durante el trámite  ante  la  Comisión,</w:t>
        <w:br/>
        <w:t>el Estado se había obligado a indemnizar a las  víctimas  sobrevivientes  de</w:t>
        <w:br/>
        <w:t>la masacre y a los  familiares  de  los  fallecidos  en  ésta  por  la  suma</w:t>
        <w:br/>
        <w:t>Q.14.500.000.00 (catorce millones quinientos mil  quetzales),  cantidad  que</w:t>
        <w:br/>
        <w:t>sería pagada  de  acuerdo  a  “los  criterios  aprobados  por  las  partes”.</w:t>
        <w:br/>
        <w:t>Asimismo, en la contestación de la demanda el Estado señaló que  los  montos</w:t>
        <w:br/>
        <w:t>reparatorios fueron acordados de la siguiente forma: por  concepto  de  daño</w:t>
        <w:br/>
        <w:t>emergente por cada grupo  familiar  Q.15.440.00  (quince  mil  cuatrocientos</w:t>
        <w:br/>
        <w:t>cuarenta  quetzales);  por  el  lucro  cesante  Q.50.000.00  (cincuenta  mil</w:t>
        <w:br/>
        <w:t>quetzales); por el daño moral por cada  víctima  asesinada  o  sobreviviente</w:t>
        <w:br/>
        <w:t>Q.26.300.00 (veintiseis mil trescientos quetzales), y por  costas  y  gastos</w:t>
        <w:br/>
        <w:t>judiciales Q.820.754.72 (ochocientos  veinte  mil  setecientos  cincuenta  y</w:t>
        <w:br/>
        <w:t>cuatro quetzales con setenta y dos centavos). El Tribunal advierte  que  los</w:t>
        <w:br/>
        <w:t>pagos[277] fueron hechos efectivos a 125 beneficiarios[278].</w:t>
        <w:br/>
        <w:br/>
        <w:t>279.   Asimismo,  la  Corte  observa  que  en  el  año  2006  se   pagó   la</w:t>
        <w:br/>
        <w:t>indemnización a una lista  adicional  de  40  víctimas,  de  las  cuales  37</w:t>
        <w:br/>
        <w:t>solicitaron indemnización por pérdidas materiales y 3 por pérdidas  humanas.</w:t>
        <w:br/>
        <w:t>El Estado señaló  que  la  indemnización  acordada  en  tal  oportunidad  se</w:t>
        <w:br/>
        <w:t>distribuyó de la  siguiente  manera:  para  víctimas  con  pérdida  material</w:t>
        <w:br/>
        <w:t>Q.41.740.00 (cuarenta y un  mil  setecientos  cuarenta  quetzales),  y  para</w:t>
        <w:br/>
        <w:t>víctimas con pérdida humana Q.91.740 (noventa y un mil setecientos  cuarenta</w:t>
        <w:br/>
        <w:t>quetzales).</w:t>
        <w:br/>
        <w:br/>
        <w:t>280.  Al  respecto,  la  Corte  advierte  que  sólo  cinco  personas  de  la</w:t>
        <w:br/>
        <w:t>mencionada lista adicional son víctimas en este caso, a saber: 1)  Inocencio</w:t>
        <w:br/>
        <w:t>González, 2) Santos Nicolás Montepeque Galicia, 3) Pedro Antonio  Montepeque</w:t>
        <w:br/>
        <w:t>García, 4) Albina Jiménez Flores y 5) Venancio Jiménez Flores, así como  que</w:t>
        <w:br/>
        <w:t>el pago efectuado a cada una de  ellas  fue  por  el  monto  de  US$5,499.34</w:t>
        <w:br/>
        <w:t>(cinco mil cuatrocientos noventa  y  nueve  dólares  de  Estados  Unidos  de</w:t>
        <w:br/>
        <w:t>América  con  treinta  y  cuatro  centavos)   por   concepto   de   pérdidas</w:t>
        <w:br/>
        <w:t>materiales[279].</w:t>
        <w:br/>
        <w:br/>
        <w:t>281.  Al respecto, el Tribunal observa que el Estado, de conformidad con  el</w:t>
        <w:br/>
        <w:t>acuerdo de solución amistosa suscrito entre las éste y  los  representantes,</w:t>
        <w:br/>
        <w:t>en el trámite ante la Comisión, pagó las  indemnizaciones  acordadas  a  los</w:t>
        <w:br/>
        <w:t>beneficiarios como fue señalado por el mismo  Estado  (supra  párrs.  278  y</w:t>
        <w:br/>
        <w:t>279).   Consecuentemente,   la   Corte   no   considera   necesario    fijar</w:t>
        <w:br/>
        <w:t>indemnizaciones adicionales por concepto de  daño  material  ni  ordenar  la</w:t>
        <w:br/>
        <w:t>deducción de la mencionada indemnización.</w:t>
        <w:br/>
        <w:br/>
        <w:t>282.  Por último, la Corte hace notar que dentro de  los  grupos  familiares</w:t>
        <w:br/>
        <w:t>que fueron reparados en esa ocasión se encuentran las víctimas del  presente</w:t>
        <w:br/>
        <w:t>caso.</w:t>
        <w:br/>
        <w:br/>
        <w:t xml:space="preserve">    b)      Determinación  de  indemnización  por  daño  inmaterial  en  el</w:t>
        <w:br/>
        <w:t xml:space="preserve">    trámite ante la Corte</w:t>
        <w:br/>
        <w:br/>
        <w:t>283.  No obstante lo anterior, en el capítulo X de  la  presente  Sentencia,</w:t>
        <w:br/>
        <w:t>el Tribunal concluyó que en el presente caso la denegación  de  justicia  ha</w:t>
        <w:br/>
        <w:t>afectado la integridad psíquica y moral de las 155 víctimas,  dos  de  ellas</w:t>
        <w:br/>
        <w:t>sobrevivientes. Por lo tanto, corresponde  que  el  Tribunal  determine  una</w:t>
        <w:br/>
        <w:t>justa compensación por el daño inmaterial sufrido por ellas.</w:t>
        <w:br/>
        <w:br/>
        <w:t>284.  La Corte advierte que  de  los  peritajes  realizados  por  la  perito</w:t>
        <w:br/>
        <w:t>Nieves Gómez Dupuis[280], se desprende  que  “[l]a  falta  de  justicia  […]</w:t>
        <w:br/>
        <w:t>favorece que […] la culpa se reviert[a] en las  víctimas  y  éstas  qued[en]</w:t>
        <w:br/>
        <w:t>estigmatizadas [y que el] “miedo a que les vuelva a  ocurrir  lo  mismo  […]</w:t>
        <w:br/>
        <w:t>hace  que  la  reparación   psicológica   [sea]   muy   difícil,   [si   no]</w:t>
        <w:br/>
        <w:t>imposible”[281]. Además, señala que las víctimas, manifestaron  sentimientos</w:t>
        <w:br/>
        <w:t>de  rabia,  cólera,  enojo,  tristeza,  inseguridad,  desánimo,  venganza  e</w:t>
        <w:br/>
        <w:t>impotencia, los cuales han afectado también a la segunda generación  de  las</w:t>
        <w:br/>
        <w:t>víctimas sobrevivientes y los familiares. Aunado a lo anterior, la  ausencia</w:t>
        <w:br/>
        <w:t>de  justicia  provocó  una  pérdida  de  oportunidades   en   las   víctimas</w:t>
        <w:br/>
        <w:t>sobrevivientes y los familiares provocando un daño a su  proyecto  de  vida.</w:t>
        <w:br/>
        <w:t>Asimismo, indica que  esta  situación  ha  provocado  la  desvinculación  de</w:t>
        <w:br/>
        <w:t>algunas personas del proceso legal por el miedo y  la  retraumatización  que</w:t>
        <w:br/>
        <w:t>provoca hablar del caso.</w:t>
        <w:br/>
        <w:br/>
        <w:t>285.  Asimismo, mediante su declaración presentada por affidávit,  el  señor</w:t>
        <w:br/>
        <w:t>Francisco  Arriaga  Alonzo  manifestó  que  “teníamos  miedo  y   falta   de</w:t>
        <w:br/>
        <w:t>confianza”, y agregó que “uno siente desilusión”. En el  mismo  sentido,  la</w:t>
        <w:br/>
        <w:t>Corte observa que en su declaración en la audiencia pública ante  la  Corte,</w:t>
        <w:br/>
        <w:t>la señora Felicita  Herenia  Romero  Ramírez  manifestó  que  “nos  sentimos</w:t>
        <w:br/>
        <w:t>burlados, […] repito, también enojados y tristes”.</w:t>
        <w:br/>
        <w:br/>
        <w:t>286.  De lo anterior se desprende que  las  víctimas  en  el  presente  caso</w:t>
        <w:br/>
        <w:t>efectivamente  sufrieron  daños  inmateriales,   que   se   evidencian   con</w:t>
        <w:br/>
        <w:t>frustraciones y otros daños  psicológicos  y  emocionales  derivados  de  la</w:t>
        <w:br/>
        <w:t>falta de justicia e impunidad que persiste en  el  presente  caso  hasta  la</w:t>
        <w:br/>
        <w:t>fecha, después de 15 años  de  haberse  iniciado  la  investigación  de  los</w:t>
        <w:br/>
        <w:t>hechos de la masacre.</w:t>
        <w:br/>
        <w:br/>
        <w:t>287.  Esta Corte valora, como ya se indicó, las  indemnizaciones  realizadas</w:t>
        <w:br/>
        <w:t>por el Estado en el marco del proceso de solución amistosa ante la  Comisión</w:t>
        <w:br/>
        <w:t>(supra párrs. 281). Sin embargo, considera que, como ha sido establecido  en</w:t>
        <w:br/>
        <w:t>la presente Sentencia, las víctimas han sufrido daños  inmateriales  por  su</w:t>
        <w:br/>
        <w:t>afectación a la integridad psíquica  y  moral,  derivados  de  la  falta  de</w:t>
        <w:br/>
        <w:t>justicia e impunidad que persiste en el presente caso hasta la fecha  (supra</w:t>
        <w:br/>
        <w:t>párrs. 213 y 217).  Esta Corte considera oportuno  otorgar  a  las  víctimas</w:t>
        <w:br/>
        <w:t>una compensación adicional por el daño inmaterial sufrido, a  partir  del  1</w:t>
        <w:br/>
        <w:t>de abril de 2000, y de conformidad con  las  violaciones  declaradas  en  la</w:t>
        <w:br/>
        <w:t>presente Sentencia.</w:t>
        <w:br/>
        <w:br/>
        <w:t>288.  Respecto  de  los  entonces  niños  sobrevivientes,  el  perito  Marco</w:t>
        <w:br/>
        <w:t>Antonio Garabito  Fernández, en su peritaje rendido ante fedatario  público,</w:t>
        <w:br/>
        <w:t>manifestó que “[ellos] se convirtieron en extraños al romperse  el  vínculo,</w:t>
        <w:br/>
        <w:t>la intimidad y los sentimientos de pertenencia familiar y comunitaria”.   En</w:t>
        <w:br/>
        <w:t>no pocos casos esta sensación de abandono no pudo  ser  compensado  por  las</w:t>
        <w:br/>
        <w:t>familias sustitutas […] como ocurrió con Ramiro Osorio  Cristales”.  Además,</w:t>
        <w:br/>
        <w:t>dicho perito señaló que “la construcción de una individualidad  sana  supone</w:t>
        <w:br/>
        <w:t>contar con un conjunto de referentes que, para el  caso,  son  violentamente</w:t>
        <w:br/>
        <w:t>destruidos […], pues se tiene que luchar con la disonancia  que  provoca  el</w:t>
        <w:br/>
        <w:t>tener  que  vivir  en  una  nueva  familia,  […]  a  la  vez  de  negar  las</w:t>
        <w:br/>
        <w:t>experiencias previas con la familia de origen, la cual ya no está  presente.</w:t>
        <w:br/>
        <w:t>Esta  dualidad  disonante  es  fuente  permanente   de   conflicto   y   re-</w:t>
        <w:br/>
        <w:t>traumatización de la niñez desaparecida”.</w:t>
        <w:br/>
        <w:br/>
        <w:t>289.  El propio Ramiro Antonio Osorio Cristales, mediante declaración en  la</w:t>
        <w:br/>
        <w:t>audiencia pública ante la Corte, resaltó que “todo el día  decía  que  tenía</w:t>
        <w:br/>
        <w:t>que aguantar porque yo quedé vivo por un propósito, y  el  propósito  es  el</w:t>
        <w:br/>
        <w:t>ser la voz de  los  que  ya  no  están”.  Además,  señaló  que  “volvería  a</w:t>
        <w:br/>
        <w:t>Guatemala, pero nunca voy [a] andar, tengo temor,  en  primer  lugar  porque</w:t>
        <w:br/>
        <w:t>todavía están libres los asesinos”.</w:t>
        <w:br/>
        <w:br/>
        <w:t>290.  En este sentido, este Tribunal ha  establecido  en  su  jurisprudencia</w:t>
        <w:br/>
        <w:t>constante que una  sentencia  declaratoria  de  una  violación  de  derechos</w:t>
        <w:br/>
        <w:t>constituye per se una forma de reparación[282], y así  lo  reitera  en  esta</w:t>
        <w:br/>
        <w:t>ocasión.</w:t>
        <w:br/>
        <w:br/>
        <w:t>291.  La Corte observa que el Estado, como consecuencia  del  reconocimiento</w:t>
        <w:br/>
        <w:t>de su responsabilidad en el procedimiento ante la Comisión, otorgó un  monto</w:t>
        <w:br/>
        <w:t>por concepto de reparaciones  y  se  comprometió  a  combatir  la  impunidad</w:t>
        <w:br/>
        <w:t>imperante en el caso, lo cual hasta la fecha  no  ha  sido  cumplido.   Esta</w:t>
        <w:br/>
        <w:t>demostrado que la denegación de justicia ha profundizado el  sufrimiento  de</w:t>
        <w:br/>
        <w:t>las 155 víctimas en el presente caso (supra párrs. 213 y 217), en  razón  de</w:t>
        <w:br/>
        <w:t>lo cual, este Tribunal determina la  configuración  de  un  daño  inmaterial</w:t>
        <w:br/>
        <w:t>susceptible  de  una  reparación,  por   vía   sustitutiva,   mediante   una</w:t>
        <w:br/>
        <w:t>indemnización compensatoria.</w:t>
        <w:br/>
        <w:br/>
        <w:t>292.  Por lo  tanto,  la  Corte  fija  en  equidad,  por  concepto  de  daño</w:t>
        <w:br/>
        <w:t>inmaterial, la cantidad de US$20.000.00 (veinte mil dólares de  los  Estados</w:t>
        <w:br/>
        <w:t>Unidos de América) para cada una de las 153 víctimas, como  consecuencia  de</w:t>
        <w:br/>
        <w:t>la violación de los artículos 5.1, 8.1 y 25.1 de  la  Convención  Americana,</w:t>
        <w:br/>
        <w:t>en relación con el artículo 1.1 de la misma.</w:t>
        <w:br/>
        <w:br/>
        <w:t>293.  En el caso de Ramiro  Osorio  Cristales  la  Corte  estima  pertinente</w:t>
        <w:br/>
        <w:t>fijar, en equidad, una compensación que asciende a la suma  de  US$40.000.00</w:t>
        <w:br/>
        <w:t>(cuarenta mil dólares de los Estados Unidos de América), tomando  en  cuenta</w:t>
        <w:br/>
        <w:t>que: a) fue declarado víctima de la violación a los  artículos  5.1,  8.1  y</w:t>
        <w:br/>
        <w:t>25.1 de la Convención por la denegación de  justicia  y  el  correspondiente</w:t>
        <w:br/>
        <w:t>sufrimiento causado;  b)  fue  declarado  víctima  de  la  violación  a  los</w:t>
        <w:br/>
        <w:t>artículos 17, 18 y 19 de  la  Convención  por  encontrarse  separado  de  su</w:t>
        <w:br/>
        <w:t>familia y con otro nombre, y no garantizársele  las  medidas  especiales  de</w:t>
        <w:br/>
        <w:t>protección por su condición de niño, y c) las afectaciones psicológicas y  a</w:t>
        <w:br/>
        <w:t>su proyecto de vida familiar[283] y destierro.</w:t>
        <w:br/>
        <w:br/>
        <w:t>294.  Por último, en lo que se refiere Salomé Gómez  Hernández,  tomando  en</w:t>
        <w:br/>
        <w:t>cuenta que fue declarado víctima de la violación de los artículos  5.1,  19,</w:t>
        <w:br/>
        <w:t>8.1 y 25.1 de la Convención,  este  Tribunal  estima  pertinente  fijar,  en</w:t>
        <w:br/>
        <w:t>equidad, una compensación que asciende a US$30.000.00 (treinta  mil  dólares</w:t>
        <w:br/>
        <w:t>de los Estados Unidos de América) por ese concepto.</w:t>
        <w:br/>
        <w:br/>
        <w:t>295.  El Estado deberá efectuar el pago de este monto  directamente  a  cada</w:t>
        <w:br/>
        <w:t>uno de los beneficiarios dentro  del  plazo  de  un  año,  a  partir  de  la</w:t>
        <w:br/>
        <w:t>notificación de la presente Sentencia.</w:t>
        <w:br/>
        <w:br/>
        <w:t xml:space="preserve">    D.2)    Costas y gastos</w:t>
        <w:br/>
        <w:br/>
        <w:t>296.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Americana[284].</w:t>
        <w:br/>
        <w:br/>
        <w:t>297.  La Comisión Interamericana solicitó a este  Tribunal  que  “ordene  al</w:t>
        <w:br/>
        <w:t>Estado  […]  el  pago  de  las  costas  y  gastos  razonables  y  necesarios</w:t>
        <w:br/>
        <w:t>debidamente  probados,  que  se  hayan  originado  y  se  originen   de   la</w:t>
        <w:br/>
        <w:t>tramitación del presente caso ante la Corte Interamericana”.</w:t>
        <w:br/>
        <w:br/>
        <w:t>298.  Los  representantes,  en  su  escrito  de  solicitudes  y  argumentos,</w:t>
        <w:br/>
        <w:t>solicitaron que el  Estado  pagara  por  concepto  de  gastos  y  costas  la</w:t>
        <w:br/>
        <w:t>cantidad de US$96.92 (noventa y  seis  dólares  de  los  Estados  Unidos  de</w:t>
        <w:br/>
        <w:t>América con noventa y dos centavos) a favor de Ramiro Osorio  Cristales,  en</w:t>
        <w:br/>
        <w:t>virtud de que “incurrió en gastos personales para la tramitación  del  poder</w:t>
        <w:br/>
        <w:t>de  representación[,  así  como  para]  el  envío  del   mismo”.   Asimismo,</w:t>
        <w:br/>
        <w:t>solicitaron el pago de la cantidad de  US$9,885.38  (nueve  mil  ochocientos</w:t>
        <w:br/>
        <w:t>ochenta y cinco dólares de los Estados Unidos de América con treinta y  ocho</w:t>
        <w:br/>
        <w:t>centavos) por los gastos en que incurrió CEJIL a partir  de  abril  del  año</w:t>
        <w:br/>
        <w:t>2000, ya que el Estado, “a raíz  del  acuerdo  [en  el]  marco  de  solución</w:t>
        <w:br/>
        <w:t>amistosa[,…] reembolsó los gastos y costas incurridos hasta esa fecha”.  Los</w:t>
        <w:br/>
        <w:t>representantes agregaron que FAMDEGUA  “ha  participado  activamente  en  el</w:t>
        <w:br/>
        <w:t>impulso del proceso y en  la  presentación  de  argumentos”,  pero  que  “no</w:t>
        <w:br/>
        <w:t>guarda comprobantes de estos gastos”, por lo que solicitaron a la Corte  que</w:t>
        <w:br/>
        <w:t>“fij[ara] [la] suma en equidad”. Por  último,  en  su  escrito  de  alegatos</w:t>
        <w:br/>
        <w:t>finales, los representantes sumaron  al  concepto  de  gastos  y  costas  la</w:t>
        <w:br/>
        <w:t>cantidad de US$11,189.29 (once mil ciento ochenta y nueve  mil   dólares  de</w:t>
        <w:br/>
        <w:t>los  Estados  Unidos  de  América  con  veintinueve  centavos)  a  favor  de</w:t>
        <w:br/>
        <w:t>FAMDEGUA, así como US$20,455.95 (veinte mil cuatrocientos cincuenta y  cinco</w:t>
        <w:br/>
        <w:t>dólares de los Estados Unidos de América con noventa  y  cinco  centavos)  a</w:t>
        <w:br/>
        <w:t>favor de CEJIL, por los  gastos  incurridos  para  la  participación  en  la</w:t>
        <w:br/>
        <w:t>audiencia pública.</w:t>
        <w:br/>
        <w:br/>
        <w:t>299.  El Estado alegó que “pagó una cantidad de  Q.820,754.72  [(ochocientos</w:t>
        <w:br/>
        <w:t>veinte mil setecientos cincuenta  y  cuatro  quetzales  con  setenta  y  dos</w:t>
        <w:br/>
        <w:t>centavos)] en concepto de costas y  gastos  […]  por  la  sustanciación  del</w:t>
        <w:br/>
        <w:t>proceso ante la Comisión”. Además, en relación a los gastos  efectuados  por</w:t>
        <w:br/>
        <w:t>los representantes durante la audiencia pública, el  Estado  objetó  algunos</w:t>
        <w:br/>
        <w:t>de ellos por considerar “que no corresponden al trámite del proceso ante  la</w:t>
        <w:br/>
        <w:t>Corte”[285].</w:t>
        <w:br/>
        <w:br/>
        <w:t>300.  Como lo ha señalado la Corte, las costas  y  gastos  hacen  parte  del</w:t>
        <w:br/>
        <w:t>concepto de  reparación  (supra  párr.  296),  toda  vez  que 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 condenatoria.  En  cuanto  a  su  reembolso,  corresponde  al</w:t>
        <w:br/>
        <w:t>Tribunal apreciar prudentemente su alcance, el  cual  comprende  los  gastos</w:t>
        <w:br/>
        <w:t>generados ante las autoridades de la  jurisdicción  interna,  así  como  los</w:t>
        <w:br/>
        <w:t>generados en el curso del proceso ante este  Tribunal,  teniendo  en  cuenta</w:t>
        <w:br/>
        <w:t>las circunstancias del caso concreto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razonable[286].</w:t>
        <w:br/>
        <w:br/>
        <w:t>301.  Al respecto el Tribunal, al hacer el examen de todos los  comprobantes</w:t>
        <w:br/>
        <w:t>remitidos por los  representantes,  tomará  en  cuenta  las  objeciones  del</w:t>
        <w:br/>
        <w:t>Estado respecto de ciertos gastos (supra  párr.  299).  Asimismo,  la  Corte</w:t>
        <w:br/>
        <w:t>reitera que “no es suficiente la remisión de  documentos  probatorios,  sino</w:t>
        <w:br/>
        <w:t>que se requiere que las partes hagan  una  argumentación  que  relacione  la</w:t>
        <w:br/>
        <w:t>prueba con el hecho que se considera representado, y  que,  al  tratarse  de</w:t>
        <w:br/>
        <w:t>alegados desembolsos económicos, se establezca con claridad los rubros y  la</w:t>
        <w:br/>
        <w:t>justificación de los mismos”[287].</w:t>
        <w:br/>
        <w:br/>
        <w:t>302.  En el presente caso, al momento de remitir su escrito  de  solicitudes</w:t>
        <w:br/>
        <w:t>y argumentos los representantes no presentaron los respectivos  comprobantes</w:t>
        <w:br/>
        <w:t>de las costas y gastos en los que supuestamente habría incurrido FAMDEGUA  a</w:t>
        <w:br/>
        <w:t>ese momento. Los  representantes  se  limitaron  a  indicar  que  no  guarda</w:t>
        <w:br/>
        <w:t>comprobantes de estos gastos y solicitaron  a  la  Corte  que  los  fije  en</w:t>
        <w:br/>
        <w:t>equidad. Al respecto, el Tribunal ha señalado que “las pretensiones  de  las</w:t>
        <w:br/>
        <w:t>víctimas o sus representantes en materia de costas y gastos, y  las  pruebas</w:t>
        <w:br/>
        <w:t>que las sustentan, deben  presentarse  a  la  Corte  en  el  primer  momento</w:t>
        <w:br/>
        <w:t>procesal que se les concede,  esto  es,  en  el  escrito  de  solicitudes  y</w:t>
        <w:br/>
        <w:t>argumentos, sin perjuicio de que tales  pretensiones  se  actualicen  en  un</w:t>
        <w:br/>
        <w:t>momento posterior, conforme a las nuevas costas y  gastos  en  que  se  haya</w:t>
        <w:br/>
        <w:t>incurrido con ocasión del  procedimiento  ante  esta  Corte”[288].  En  este</w:t>
        <w:br/>
        <w:t>sentido, la Corte  advierte  que  FAMDEGUA  posteriormente  aportó  diversos</w:t>
        <w:br/>
        <w:t>comprobantes relacionados con  los  gastos  incurridos  para  preparación  y</w:t>
        <w:br/>
        <w:t>asistencia a la audiencia pública del caso celebrada  en  la  ciudad  de  La</w:t>
        <w:br/>
        <w:t>Paz, Bolivia.</w:t>
        <w:br/>
        <w:br/>
        <w:t>303.  Teniendo en cuenta las anteriores consideraciones, así como el  acervo</w:t>
        <w:br/>
        <w:t>probatorio y las objeciones del Estado, la Corte determina  en  equidad  que</w:t>
        <w:br/>
        <w:t>el Estado debe entregar  la cantidad de US$9.500.00  (nueve  mil  quinientos</w:t>
        <w:br/>
        <w:t>dólares de los Estados Unidos de América) a favor de FAMDEGUA y la  cantidad</w:t>
        <w:br/>
        <w:t>de US$27.000.00 (veintisiete mil dólares de los Estados Unidos  de  América)</w:t>
        <w:br/>
        <w:t>a favor de CEJIL  por  concepto  de  costas  y  gastos  incurridos  ante  la</w:t>
        <w:br/>
        <w:t>Comisión a partir del año 2000, y ante este Tribunal. Estos montos  incluyen</w:t>
        <w:br/>
        <w:t>los  gastos  futuros  en  que  puedan  incurrir  las  víctimas  durante   la</w:t>
        <w:br/>
        <w:t>supervisión del cumplimiento de esta Sentencia. Dadas  las  particularidades</w:t>
        <w:br/>
        <w:t>y el número de víctimas del presente caso, la Corte considera  oportuno  que</w:t>
        <w:br/>
        <w:t>el  Estado  entregue  a  cada  una   de   las   representaciones   la   suma</w:t>
        <w:br/>
        <w:t>correspondiente, dentro del plazo de un año a partir de la  notificación  de</w:t>
        <w:br/>
        <w:t>la presente Sentencia.</w:t>
        <w:br/>
        <w:br/>
        <w:t>304.  Asimismo, en lo que se refiere a los gastos en  los  que  incurrió  el</w:t>
        <w:br/>
        <w:t>señor Ramiro Osorio Cristales, los cuales fueron  debidamente  probados,  la</w:t>
        <w:br/>
        <w:t>Corte determina que el  Estado  debe  entregarle  la  cantidad  de  US$96.92</w:t>
        <w:br/>
        <w:t>(noventa y seis dólares de los Estados Unidos de América con noventa  y  dos</w:t>
        <w:br/>
        <w:t>centavos). Este monto debe ser pagado dentro del plazo de un  año  a  partir</w:t>
        <w:br/>
        <w:t>de la notificación de la presente Sentencia.</w:t>
        <w:br/>
        <w:br/>
        <w:t xml:space="preserve">    D.3)    Modalidad de cumplimiento de los pagos ordenados</w:t>
        <w:br/>
        <w:br/>
        <w:t>305.  El pago de la indemnización por daño  inmaterial  y  el  reintegro  de</w:t>
        <w:br/>
        <w:t>costas  y  gastos  establecidos  en  la  presente  Sentencia  serán   hechos</w:t>
        <w:br/>
        <w:t>directamente a las personas indicadas en la misma, en el plazo  de  un  año,</w:t>
        <w:br/>
        <w:t>contado a partir de la notificación de la presente  Sentencia,  considerando</w:t>
        <w:br/>
        <w:t>lo indicado en los párrafos 292 a 295 y 303 y 304 de la misma.  En  caso  de</w:t>
        <w:br/>
        <w:t>fallecimiento de las víctimas con anterioridad al  pago  de  las  cantidades</w:t>
        <w:br/>
        <w:t>respectivas,  éstas  se  entregarán  a  sus  derechohabientes,  conforme  al</w:t>
        <w:br/>
        <w:t>derecho interno aplicable.</w:t>
        <w:br/>
        <w:br/>
        <w:t>306.  El Estado deberá cumplir con las obligaciones monetarias  mediante  el</w:t>
        <w:br/>
        <w:t>pago en dólares de los Estados Unidos de América o su equivalente en  moneda</w:t>
        <w:br/>
        <w:t>nacional, utilizando para el cálculo respectivo el tipo  de  cambio  que  se</w:t>
        <w:br/>
        <w:t>encuentre vigente en la bolsa de Nueva York, el día anterior al pago.</w:t>
        <w:br/>
        <w:br/>
        <w:t>307.  Si por causas atribuibles a los beneficiarios de  las  indemnizaciones</w:t>
        <w:br/>
        <w:t>o a sus  derechohabientes  no  fuese  posible  el  pago  de  las  cantidades</w:t>
        <w:br/>
        <w:t>determinadas dentro del plazo indicado, el Estado consignará dicho  monto  a</w:t>
        <w:br/>
        <w:t>su favor en  una  cuenta  o  certificado  de  depósito  en  una  institución</w:t>
        <w:br/>
        <w:t>financiera guatemalteca solvente,  en  dólares  estadounidenses,  y  en  las</w:t>
        <w:br/>
        <w:t>condiciones financieras más favorables que  permitan  la  legislación  y  la</w:t>
        <w:br/>
        <w:t>práctica bancaria. Si al cabo de diez años el  monto  asignado  no  ha  sido</w:t>
        <w:br/>
        <w:t>reclamado, las cantidades  serán  devueltas  al  Estado  con  los  intereses</w:t>
        <w:br/>
        <w:t>devengados.</w:t>
        <w:br/>
        <w:br/>
        <w:t>308.  Las cantidades asignadas en la presente Sentencia bajo  los  conceptos</w:t>
        <w:br/>
        <w:t>de daño inmaterial y reintegro de costas y gastos deberán ser  entregadas  a</w:t>
        <w:br/>
        <w:t>las víctimas en forma íntegra, conforme a lo establecido en esta  Sentencia,</w:t>
        <w:br/>
        <w:t>y no podrán ser afectadas o condicionadas por motivos  fiscales  actuales  o</w:t>
        <w:br/>
        <w:t>futuros.</w:t>
        <w:br/>
        <w:br/>
        <w:t>309.  En caso de que el Estado incurriera en mora, deberá pagar  un  interés</w:t>
        <w:br/>
        <w:t>sobre la cantidad adeudada correspondiente al interés bancario moratorio  en</w:t>
        <w:br/>
        <w:t>Guatemala.</w:t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t>310.  Por tanto,</w:t>
        <w:br/>
        <w:br/>
        <w:t>La Corte</w:t>
        <w:br/>
        <w:br/>
        <w:t>DECIDE:</w:t>
        <w:br/>
        <w:br/>
        <w:t>Por unanimidad,</w:t>
        <w:br/>
        <w:br/>
        <w:t>1.    Desestimar  parcialmente  la  excepción  preliminar  ratione  temporis</w:t>
        <w:br/>
        <w:t>interpuesta por el Estado, de conformidad con los párrafos 44  a  51  de  la</w:t>
        <w:br/>
        <w:t>presente Sentencia.</w:t>
        <w:br/>
        <w:br/>
        <w:t>Y Declara,</w:t>
        <w:br/>
        <w:br/>
        <w:t>Por unanimidad, que:</w:t>
        <w:br/>
        <w:br/>
        <w:t>1.    Acepta el  reconocimiento  parcial  de  responsabilidad  internacional</w:t>
        <w:br/>
        <w:t>efectuado por el Estado, en los términos de los  párrafos  28  a  38  de  la</w:t>
        <w:br/>
        <w:t>presente Sentencia.</w:t>
        <w:br/>
        <w:br/>
        <w:t>2.    El Estado violó los derechos a las  garantías  y  protección  judicial</w:t>
        <w:br/>
        <w:t>consagrados en los artículos 8.1 y 25.1 de  la  Convención  Americana  sobre</w:t>
        <w:br/>
        <w:t>Derechos Humanos, en relación con el artículo 1.1 de la misma, y  violó  las</w:t>
        <w:br/>
        <w:t>obligaciones establecidas en los  artículos  1,  6  y  8  de  la  Convención</w:t>
        <w:br/>
        <w:t>Interamericana para Prevenir y Sancionar la Tortura y en  el  artículo  7.b)</w:t>
        <w:br/>
        <w:t>de la Convención Interamericana para  Prevenir,  Sancionar  y  Erradicar  la</w:t>
        <w:br/>
        <w:t>Violencia contra la Mujer, en perjuicio de las  155  víctimas  del  presente</w:t>
        <w:br/>
        <w:t>caso, en sus respectivas circunstancias, en los términos de los párrafos  69</w:t>
        <w:br/>
        <w:t>a 154 de este Fallo.</w:t>
        <w:br/>
        <w:br/>
        <w:t>3.    El Estado incumplió la obligación de respetar los derechos y el  deber</w:t>
        <w:br/>
        <w:t>de adoptar disposiciones de derecho interno,  consagrados,  respectivamente,</w:t>
        <w:br/>
        <w:t>en los artículos 1.1 y 2 de la Convención Americana de Derechos Humanos,  en</w:t>
        <w:br/>
        <w:t>los términos de los  párrafos  106  a  124  y  152  a  154  de  la  presente</w:t>
        <w:br/>
        <w:t>Sentencia.</w:t>
        <w:br/>
        <w:br/>
        <w:t>4.    El Estado violó los derechos a la protección a la familia y al  nombre</w:t>
        <w:br/>
        <w:t>consagrados en los artículos 17  y  18  de  la  Convención  Americana  sobre</w:t>
        <w:br/>
        <w:t>Derechos Humanos, en relación con los artículos 1.1 y 19  de  la  misma,  en</w:t>
        <w:br/>
        <w:t>perjuicio de Ramiro  Antonio  Osorio  Cristales,  en  los  términos  de  los</w:t>
        <w:br/>
        <w:t>párrafos 169 a 200 de la presente Sentencia.</w:t>
        <w:br/>
        <w:br/>
        <w:t>5.    El Estado violó el derecho a la integridad personal consagrado  en  el</w:t>
        <w:br/>
        <w:t>artículo 5.1 de la Convención Americana sobre Derechos Humanos, en  relación</w:t>
        <w:br/>
        <w:t>con el artículo 1.1 de la misma, en perjuicio de las 153  víctimas,  en  los</w:t>
        <w:br/>
        <w:t>términos de los párrafos 204 a 217 de la presente  Sentencia.  Asimismo,  el</w:t>
        <w:br/>
        <w:t>Estado violó el derecho a la integridad personal consagrado en  el  artículo</w:t>
        <w:br/>
        <w:t>5.1 de la Convención Americana sobre Derechos Humanos, en relación  con  los</w:t>
        <w:br/>
        <w:t>artículos 1.1 y 19 de la  misma,  en  perjuicio  de  Ramiro  Antonio  Osorio</w:t>
        <w:br/>
        <w:t>Cristales y Salomé Armando Gómez Hernández, en los términos de los  párrafos</w:t>
        <w:br/>
        <w:t>214 a 217 del presente Fallo.</w:t>
        <w:br/>
        <w:br/>
        <w:t>6.    No corresponde emitir un pronunciamiento sobre  la  alegada  violación</w:t>
        <w:br/>
        <w:t>del derecho a la propiedad consagrado en el artículo 21  de  la  Convención,</w:t>
        <w:br/>
        <w:t>de conformidad con el párrafo 222 de la presente Sentencia.</w:t>
        <w:br/>
        <w:br/>
        <w:br/>
        <w:t>Y Dispone:</w:t>
        <w:br/>
        <w:br/>
        <w:t>Por unanimidad, que:</w:t>
        <w:br/>
        <w:br/>
        <w:t>7.    Esta Sentencia constituye, per se, una forma de reparación.</w:t>
        <w:br/>
        <w:br/>
        <w:t>8.    El Estado debe investigar,  sin  mayor  dilación,  de  forma  seria  y</w:t>
        <w:br/>
        <w:t>efectiva  los  hechos  que  originaron  las  violaciones  declaradas  en  la</w:t>
        <w:br/>
        <w:t>presente Sentencia, con el propósito de juzgar y,  eventualmente,  sancionar</w:t>
        <w:br/>
        <w:t>a los presuntos responsables, en los términos de los párrafos 231 a  236  de</w:t>
        <w:br/>
        <w:t>este Fallo.</w:t>
        <w:br/>
        <w:br/>
        <w:t>9.    El Estado debe iniciar las acciones disciplinarias, administrativas  o</w:t>
        <w:br/>
        <w:t>penales que sean pertinentes, de acuerdo con su legislación interna,  contra</w:t>
        <w:br/>
        <w:t>las autoridades del Estado que puedan  haber  cometido  y  obstaculizado  la</w:t>
        <w:br/>
        <w:t>investigación de los hechos, en  los  términos  del  párrafo  233.d)  de  la</w:t>
        <w:br/>
        <w:t>presente Sentencia.</w:t>
        <w:br/>
        <w:br/>
        <w:t>10.   El Estado debe adoptar las medidas pertinentes para  reformar  la  Ley</w:t>
        <w:br/>
        <w:t>de Amparo, Exhibición Personal y de Constitucionalidad en Guatemala, en  los</w:t>
        <w:br/>
        <w:t>términos de los párrafos 238 a 242 de la presente Sentencia.</w:t>
        <w:br/>
        <w:br/>
        <w:t>11.   El Estado debe proceder a la exhumación, identificación y  entrega  de</w:t>
        <w:br/>
        <w:t>los restos de las personas fallecidas en la masacre de Las Dos Erres  a  sus</w:t>
        <w:br/>
        <w:t>familiares, en los términos de  los  párrafos  244  a  249  de  la  presente</w:t>
        <w:br/>
        <w:t>Sentencia.</w:t>
        <w:br/>
        <w:br/>
        <w:t>12.   El Estado  deberá  implementar  cursos  de  capacitación  en  derechos</w:t>
        <w:br/>
        <w:t>humanos a diversas autoridades estatales, en los términos  de  los  párrafos</w:t>
        <w:br/>
        <w:t>251 a 254 de la presente Sentencia.</w:t>
        <w:br/>
        <w:br/>
        <w:t>13.   El Estado debe publicar, por una sola vez, en el Diario Oficial  y  en</w:t>
        <w:br/>
        <w:t>otro diario de circulación nacional, los Capítulos  I,  VIII;  IX  y  X;  el</w:t>
        <w:br/>
        <w:t>párrafo 222 del Capítulo XI, y los párrafos 225, 229 a 236, 238 a  242,  244</w:t>
        <w:br/>
        <w:t>a 249, 251 a 254, 256, 259 a 264, 265, 268 a 270, 271 a 274 y 283 a 291  del</w:t>
        <w:br/>
        <w:t>Capítulo XII, de la presente  Sentencia,  incluyendo  los  nombres  de  cada</w:t>
        <w:br/>
        <w:t>capítulo y del apartado  respectivo  -  sin  las  notas  al  pie  de  página</w:t>
        <w:br/>
        <w:t>correspondientes, y la parte resolutiva  de  la  misma.   Adicionalmente  el</w:t>
        <w:br/>
        <w:t>presente Fallo se deberá publicar íntegramente, al menos por un año,  en  un</w:t>
        <w:br/>
        <w:t>sitio web oficial del Estado adecuado, en los términos del párrafo  256  del</w:t>
        <w:br/>
        <w:t>Fallo.</w:t>
        <w:br/>
        <w:br/>
        <w:t>14.   El Estado debe realizar los actos públicos ordenados, en los  términos</w:t>
        <w:br/>
        <w:t>de los párrafos 259 a 264 de la presente Sentencia.</w:t>
        <w:br/>
        <w:br/>
        <w:t>15.   El Estado debe levantar un monumento, en los términos del párrafo  265</w:t>
        <w:br/>
        <w:t>de la presente Sentencia.</w:t>
        <w:br/>
        <w:br/>
        <w:t>16.   El Estado  debe  brindar  el  tratamiento  médico  y  psicológico  que</w:t>
        <w:br/>
        <w:t>requieran las 155 víctimas, en los términos de los párrafos 268 a 270 de  la</w:t>
        <w:br/>
        <w:t>presente Sentencia.</w:t>
        <w:br/>
        <w:br/>
        <w:t>17.   El Estado debe crear una página web de búsqueda de niños sustraídos  y</w:t>
        <w:br/>
        <w:t>retenidos ilegalmente, en los términos de los párrafos 271 a 274 del Fallo.</w:t>
        <w:br/>
        <w:br/>
        <w:t>18.   El Estado debe pagar las cantidades fijadas en los párrafos 292 a  295</w:t>
        <w:br/>
        <w:t>y 303 y 304 de la misma, por concepto de indemnización por  daño  inmaterial</w:t>
        <w:br/>
        <w:t>y reintegro de costas y gastos, en los términos de los párrafos 278  a  295,</w:t>
        <w:br/>
        <w:t>300 a 304 y 305 de la presente Sentencia.</w:t>
        <w:br/>
        <w:br/>
        <w:t>19.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deberá presentar, dentro del plazo de un año contado a partir  de  la</w:t>
        <w:br/>
        <w:t>notificación de esta Sentencia, un informe sobre las medidas adoptadas  para</w:t>
        <w:br/>
        <w:t>cumplir con la misma.</w:t>
        <w:br/>
        <w:br/>
        <w:t>El Juez Cadena Rámila hizo conocer a la Corte su Voto Razonado  Concurrente,</w:t>
        <w:br/>
        <w:t>el cual acompaña la presente Sentencia.</w:t>
        <w:br/>
        <w:br/>
        <w:br/>
        <w:t>Redactada en español e inglés haciendo fe el texto en español, en San  José,</w:t>
        <w:br/>
        <w:t>Costa Rica, el 24 de noviembre de 2009.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Diego García-Sayán                                            Sergio  García</w:t>
        <w:br/>
        <w:t>Ramírez</w:t>
        <w:br/>
        <w:br/>
        <w:br/>
        <w:br/>
        <w:br/>
        <w:t>Manuel                  E.                  Ventura                   Robles</w:t>
        <w:br/>
        <w:t>Margarette May Macaulay</w:t>
        <w:br/>
        <w:br/>
        <w:br/>
        <w:br/>
        <w:br/>
        <w:br/>
        <w:t xml:space="preserve">                            Rhadys Abreu Blondet</w:t>
        <w:br/>
        <w:br/>
        <w:br/>
        <w:br/>
        <w:br/>
        <w:br/>
        <w:t xml:space="preserve">                             Ramón Cadena Rámila</w:t>
        <w:br/>
        <w:t xml:space="preserve">                                 Secretario</w:t>
        <w:br/>
        <w:br/>
        <w:br/>
        <w:br/>
        <w:br/>
        <w:t xml:space="preserve">                          Emilia Segares Rodríguez</w:t>
        <w:br/>
        <w:t xml:space="preserve">                             Secretaria Adjunta</w:t>
        <w:br/>
        <w:br/>
        <w:br/>
        <w:br/>
        <w:t>Comuníquese y ejecútese,</w:t>
        <w:br/>
        <w:br/>
        <w:br/>
        <w:br/>
        <w:t xml:space="preserve">                              Cecilia Medina Quiroga</w:t>
        <w:br/>
        <w:t xml:space="preserve">                                     Presidenta</w:t>
        <w:br/>
        <w:br/>
        <w:br/>
        <w:br/>
        <w:t>Emilia Segares Rodríguez</w:t>
        <w:br/>
        <w:t xml:space="preserve">   Secretaria Adjunta</w:t>
        <w:br/>
        <w:br/>
        <w:br/>
        <w:t xml:space="preserve">                          Voto razonado concurrente</w:t>
        <w:br/>
        <w:t xml:space="preserve">                             Ramón Cadena Rámila</w:t>
        <w:br/>
        <w:t xml:space="preserve">                                 Juez Ad-Hoc</w:t>
        <w:br/>
        <w:br/>
        <w:br/>
        <w:br/>
        <w:br/>
        <w:t>Mi voto es a favor, en su totalidad, de la presente sentencia  que  viene  a</w:t>
        <w:br/>
        <w:t>adoptar la Corte Interamericana  de  Derechos  Humanos  en  el  caso  de  la</w:t>
        <w:br/>
        <w:t>Masacre de Las Dos Erres; ésta viene a ser un avance más en la  construcción</w:t>
        <w:br/>
        <w:t>jurisprudencial de la  Corte  Interamericana.   Las  características  de  la</w:t>
        <w:br/>
        <w:t>Masacre de Las Dos Erres  la  convierten  en  uno  de  los  casos  de  mayor</w:t>
        <w:br/>
        <w:t>gravedad que la Corte Interamericana haya conocido en toda su  historia,  no</w:t>
        <w:br/>
        <w:t>sólo por la crueldad de los hechos y la violencia  extrema  llevada  a  cabo</w:t>
        <w:br/>
        <w:t>por el Ejército de Guatemala en contra de  mujeres  y  niños,  sino  por  la</w:t>
        <w:br/>
        <w:t>impunidad en que se  mantienen.  Las cuestiones  trascendentales  examinadas</w:t>
        <w:br/>
        <w:t>por la Corte me suscitan algunas reflexiones, que me veo  en  la  obligación</w:t>
        <w:br/>
        <w:t>de consignar en este Voto Razonado.</w:t>
        <w:br/>
        <w:br/>
        <w:t>1.  Derecho Internacional Humanitario: La gravedad de los  hechos  del  caso</w:t>
        <w:br/>
        <w:t>de Las Dos Erres es evidente.  Siendo el Derecho  Internacional  Humanitario</w:t>
        <w:br/>
        <w:t>de índole imperativa,  sus  normas  constituyen  compromisos  absolutos  que</w:t>
        <w:br/>
        <w:t>deben  ser  cumplidos  obligatoriamente  por  todos  los  Estados.   No  hay</w:t>
        <w:br/>
        <w:t>argumentos jurídicos y muchos menos políticos que se  puedan  oponer  a  los</w:t>
        <w:br/>
        <w:t>Convenios de Ginebra para justificar su  incumplimiento.   En  efecto,  esta</w:t>
        <w:br/>
        <w:t>rama del derecho internacional no es más que la reafirmación de  las  reglas</w:t>
        <w:br/>
        <w:t>consuetudinarias más antiguas, desarrolladas y completadas  cuando  se  hizo</w:t>
        <w:br/>
        <w:t>la correspondiente codificación.</w:t>
        <w:br/>
        <w:br/>
        <w:t>Debemos referirnos entonces, en primer lugar, a los principios  y  costumbre</w:t>
        <w:br/>
        <w:t>internacional que representan el  mínimo  de  humanidad  aplicable  en  todo</w:t>
        <w:br/>
        <w:t>tiempo, en todo lugar y en toda  circunstancia,  válidos  incluso  para  los</w:t>
        <w:br/>
        <w:t>Estados que no sean partes en los Convenios, dado que expresan la  costumbre</w:t>
        <w:br/>
        <w:t>de los pueblos y el comportamiento que deben observar los  Estados  en  caso</w:t>
        <w:br/>
        <w:t>de conflictos armados internos e internacionales.</w:t>
        <w:br/>
        <w:br/>
        <w:t>Al respecto, es importante citar la famosa cláusula de Fréderic  de  Martens</w:t>
        <w:br/>
        <w:t>que puede leerse en la Declaración de San  Petersburgo:  “En  los  casos  no</w:t>
        <w:br/>
        <w:t>previstos en los Convenios, las personas civiles y los  combatientes  siguen</w:t>
        <w:br/>
        <w:t>estando bajo la salvaguardia  y  bajo  el  dominio  de  los  principios  del</w:t>
        <w:br/>
        <w:t>derecho  de  gentes,  según  resultan  de  los  usos  establecidos,  de  los</w:t>
        <w:br/>
        <w:t>principios de humanidad y de las exigencias de la conciencia pública.”</w:t>
        <w:br/>
        <w:br/>
        <w:t>Esta frase ha demostrado su profunda sensatez desde 1899  al  punto  que  se</w:t>
        <w:br/>
        <w:t>reproduce en los Protocolos Adicionales a los Convenios de Ginebra de  1977.</w:t>
        <w:br/>
        <w:t xml:space="preserve"> Constituye una  fórmula  aceptada  universalmente  para  resolver  aquellos</w:t>
        <w:br/>
        <w:t>casos no previstos en los convenios  y  leyes  internacionales  de  carácter</w:t>
        <w:br/>
        <w:t>humanitario.  Como en todas las ramas del derecho,  el  derecho  humanitario</w:t>
        <w:br/>
        <w:t>tiene principios fundamentales de los cuales se derivan las otras nociones.</w:t>
        <w:br/>
        <w:br/>
        <w:t>En  el  presente  caso,  la  Corte  cita  acertadamente  a  la  Comisión  de</w:t>
        <w:br/>
        <w:t>Esclarecimiento Histórico, ya que la  misma  es  útil  para  fundamentar  la</w:t>
        <w:br/>
        <w:t>responsabilidad del Estado de Guatemala de la siguiente forma: “Es  en  este</w:t>
        <w:br/>
        <w:t>contexto que se desarrolló la Masacre  de  Las  Dos  Erres,  dentro  de  una</w:t>
        <w:br/>
        <w:t>política de Estado y un patrón de graves  violaciones  a  derechos  humanos.</w:t>
        <w:br/>
        <w:t>Según la CEH “en general, de las violaciones de los derechos  humanos  y  de</w:t>
        <w:br/>
        <w:t>las infracciones al Derecho Internacional Humanitario  cometidos  se  deriva</w:t>
        <w:br/>
        <w:t>una ineludible responsabilidad del Estado  de  Guatemala.”  (párrafo  82  de</w:t>
        <w:br/>
        <w:t>dicha sentencia subrayado propio)</w:t>
        <w:br/>
        <w:br/>
        <w:t>Posteriormente, señala que “en el contexto de un conflicto  armado  interno,</w:t>
        <w:br/>
        <w:t>las obligaciones del Estado a favor de los niños se definen en  el  artículo</w:t>
        <w:br/>
        <w:t>4.3 del Protocolo adicional II a los Convenios de Ginebra.   Dicho  artículo</w:t>
        <w:br/>
        <w:t>establece que: “se proporcionarán a los niños los cuidados y  la  ayuda  que</w:t>
        <w:br/>
        <w:t>necesiten y, en particular: … b)  se  tomarán  las  medidas  oportunas  para</w:t>
        <w:br/>
        <w:t>facilitar la reunión de las familias temporalmente separadas…”   De  acuerdo</w:t>
        <w:br/>
        <w:t>con el Comité  Internacional  de  la  Cruz  Roja  esta  obligación  ha  sido</w:t>
        <w:br/>
        <w:t>definida como que “las partes  en  conflicto  deben  hacer  lo  posible  por</w:t>
        <w:br/>
        <w:t>reestablecer los lazos familiares, es decir, no sólo permitir las  búsquedas</w:t>
        <w:br/>
        <w:t>que  emprendan  los  miembros  de  familias  dispersas,  sino   facilitarlas</w:t>
        <w:br/>
        <w:t>incluso.”  (párrafo 191 de la sentencia aludida).</w:t>
        <w:br/>
        <w:br/>
        <w:t>Del contexto descrito en la sentencia, así como de las  consideraciones  que</w:t>
        <w:br/>
        <w:t>se hacen en otros apartados, está  claro  que  el  Estado  de  Guatemala  no</w:t>
        <w:br/>
        <w:t>observó en la conducción de las hostilidades  durante  el  conflicto  armado</w:t>
        <w:br/>
        <w:t>interno y específicamente en el  caso  de  la  Masacre  de  Las  Dos  Erres,</w:t>
        <w:br/>
        <w:t>diferentes principios y costumbres aceptadas universalmente.</w:t>
        <w:br/>
        <w:br/>
        <w:t>En efecto, según el principio de  distinción,  “la  población  civil  y  las</w:t>
        <w:br/>
        <w:t>personas  civiles  gozarán  de  protección  general  contra   los   peligros</w:t>
        <w:br/>
        <w:t>procedentes de operaciones militares.”  Esta protección general de que  goza</w:t>
        <w:br/>
        <w:t>la población civil se deriva de la costumbre y de los principios  generales,</w:t>
        <w:br/>
        <w:t>pero a partir del artículo 3 común a los Convenios  de  Ginebra  de  1949  y</w:t>
        <w:br/>
        <w:t>sobre todo del Protocolo Adicional II a los Convenios de Ginebra  consta  en</w:t>
        <w:br/>
        <w:t>el texto de derecho positivo.  En otras palabras, mientras que los  primeros</w:t>
        <w:br/>
        <w:t>(combatientes) son, por excelencia, el objeto de la guerra, los segundos  no</w:t>
        <w:br/>
        <w:t>deben ser implicados en  las  hostilidades.   Esta  norma  de  la  costumbre</w:t>
        <w:br/>
        <w:t>internacional reconoce enfáticamente  que las partes en conflicto harán,  en</w:t>
        <w:br/>
        <w:t>todo tiempo, la distinción entre población civil y combatientes.</w:t>
        <w:br/>
        <w:br/>
        <w:t>Por otro lado, según el principio de  proporcionalidad,  en  todo  conflicto</w:t>
        <w:br/>
        <w:t>armado interno o internacional los ataques deben limitarse  estrictamente  a</w:t>
        <w:br/>
        <w:t>los objetivos militares.  Los bienes civiles  no  deben  ser  objeto  ni  de</w:t>
        <w:br/>
        <w:t>ataques,  ni  de  represalias.   Y,  por  último,  según  el  principio   de</w:t>
        <w:br/>
        <w:t>prohibición  de  causar  males  superfluos  o  innecesarios  se  prohíbe   a</w:t>
        <w:br/>
        <w:t>cualquier combatiente y a todas las partes en  conflicto  utilizar  armas  y</w:t>
        <w:br/>
        <w:t>métodos de  guerra  que  puedan  causar  pérdidas  inútiles  o  sufrimientos</w:t>
        <w:br/>
        <w:t>innecesarios  o  excesivos.   En  este  sentido,  se  prohíben  los  ataques</w:t>
        <w:br/>
        <w:t>indiscriminados.</w:t>
        <w:br/>
        <w:br/>
        <w:t>Todos estos  principios  constituyen  deberes  humanitarios  que  todos  los</w:t>
        <w:br/>
        <w:t>Estados deben cumplir, ya que en el Derecho  Internacional  Humanitario  los</w:t>
        <w:br/>
        <w:t>principios representan el mínimo de humanidad aplicable en todo  tiempo,  en</w:t>
        <w:br/>
        <w:t>todo lugar y en toda circunstancia, válido incluso para los estados  que  no</w:t>
        <w:br/>
        <w:t>sean partes en los Convenios o Protocolos, dado que  expresan  la  costumbre</w:t>
        <w:br/>
        <w:t>de los pueblos.</w:t>
        <w:br/>
        <w:br/>
        <w:t>En lo que respecta a los Convenios de Ginebra,  es  importante  señalar  que</w:t>
        <w:br/>
        <w:t>fueron ratificados por el Estado de Guatemala el 14 de mayo de  1952.   Como</w:t>
        <w:br/>
        <w:t>parte de dichos convenios, el artículo 3  común  constituye  un  sistema  de</w:t>
        <w:br/>
        <w:t>protección a víctimas de los conflictos armados  internos  y  un  mínimo  de</w:t>
        <w:br/>
        <w:t>protección que se debe dar al ser humano en todo tiempo y lugar en  caso  de</w:t>
        <w:br/>
        <w:t>conflictos armados que no sean de índole internacional.    Como  lo  precisa</w:t>
        <w:br/>
        <w:t>la  Sala  de  Apelaciones  del  Tribunal  Penal  Internacional  para  la  Ex</w:t>
        <w:br/>
        <w:t>Yugoslavia en la sentencia del 20 de  febrero  de  2001,  “el  mundo  entero</w:t>
        <w:br/>
        <w:t>reconoce que los actos enumerados en el artículo 3 común  son  criminales  y</w:t>
        <w:br/>
        <w:t>que chocan la conciencia de todo  pueblo  civilizado”.   En  conclusión,  el</w:t>
        <w:br/>
        <w:t>Estado de Guatemala tiene obligación de investigar los hechos  y  determinar</w:t>
        <w:br/>
        <w:t>si hubo violaciones al artículo 3  común  de  los  Convenios  de  Ginebra  e</w:t>
        <w:br/>
        <w:t>identificar a los responsables.</w:t>
        <w:br/>
        <w:br/>
        <w:t>Es importante decir que la  consideración  de  la  Corte  Interamericana  de</w:t>
        <w:br/>
        <w:t>Derechos Humanos en el párrafo 131 de esta sentencia,  al  referirse  a  una</w:t>
        <w:br/>
        <w:t>investigación sin dilación de la multiplicidad de los delitos  generados  en</w:t>
        <w:br/>
        <w:t>los hechos de la masacre, debe entenderse que incluye  la  investigación  de</w:t>
        <w:br/>
        <w:t>aquellos hechos que se consideren crímenes de guerra u otros prohibidos  por</w:t>
        <w:br/>
        <w:t>el  Derecho  Internacional  Humanitario,  para  juzgar  y  sancionar  a  los</w:t>
        <w:br/>
        <w:t>responsables de estos actos.  Hubiese sido deseable,  sin  embargo,  que  la</w:t>
        <w:br/>
        <w:t>sentencia señalase concretamente que el Estado de Guatemala está obligado  a</w:t>
        <w:br/>
        <w:t>investigar los hechos e  identificar  a  los  responsables,  incluyendo  una</w:t>
        <w:br/>
        <w:t>investigación exhaustiva y eficiente para determinar si hubo violaciones  al</w:t>
        <w:br/>
        <w:t>Derecho Internacional Humanitario,  con  el  objeto  de  identificar  a  los</w:t>
        <w:br/>
        <w:t>responsables.</w:t>
        <w:br/>
        <w:br/>
        <w:t>Existen tres argumentos  de  fondo  que  vienen  a  darle  sustento  a  esta</w:t>
        <w:br/>
        <w:t>afirmación.</w:t>
        <w:br/>
        <w:br/>
        <w:t>a)  La interpretación y aplicación de la Convención  Americana  no  excluyen</w:t>
        <w:br/>
        <w:t>las del derecho internacional general; todo  lo  contrario,  las  requieren.</w:t>
        <w:br/>
        <w:t>El propio preámbulo de la Convención Americana  se  refiere  expresamente  a</w:t>
        <w:br/>
        <w:t>los principios reafirmados y desarrollados en instrumentos  internacionales,</w:t>
        <w:br/>
        <w:t>"tanto de ámbito universal como regional" (párr. 3). También  se  refiere  a</w:t>
        <w:br/>
        <w:t>obligaciones impuestas por el derecho internacional (artículo 27), así  como</w:t>
        <w:br/>
        <w:t>a  los  "principios  del  derecho  internacional  generalmente  reconocidos"</w:t>
        <w:br/>
        <w:t>(artículo 46(1)(a)).</w:t>
        <w:br/>
        <w:br/>
        <w:t>b)  El hecho de que la Corte Interamericana  carezca  de  jurisdicción  para</w:t>
        <w:br/>
        <w:t>determinar violaciones de determinadas convenciones como  los  Convenios  de</w:t>
        <w:br/>
        <w:t>Ginebra de 1944 o la Convención contra el Genocidio  (1948),   no  significa</w:t>
        <w:br/>
        <w:t>que la Corte  no  pueda  tomar  en  cuenta  actos  que  dichas  convenciones</w:t>
        <w:br/>
        <w:t>tipifican  como  infracciones  graves  o  genocidio,   como   circunstancias</w:t>
        <w:br/>
        <w:t>agravantes  (aspecto  desarrollado  por  el  Juez  Antonio  Augusto  Cancado</w:t>
        <w:br/>
        <w:t>Trindade en su voto razonado en el Caso de la Masacre de Plan  de  Sánchez).</w:t>
        <w:br/>
        <w:t>Este argumento toma más fuerza, cuando estas convenciones  se  relacionan  a</w:t>
        <w:br/>
        <w:t>la violación de  un  derecho  establecido  en  dicha  Convención,  como  por</w:t>
        <w:br/>
        <w:t>ejemplo cuando se trata de una violación al Derecho a  la  Vida  establecido</w:t>
        <w:br/>
        <w:t>en el artículo 4º de la Convención Americana.</w:t>
        <w:br/>
        <w:br/>
        <w:t>En tal sentido, tal y como lo argumenta el jurista  Cancado  Trindade  “bajo</w:t>
        <w:br/>
        <w:t>la Convención Americana, es perfectamente posible  la  determinación  de  la</w:t>
        <w:br/>
        <w:t>responsabilidad internacional agravada del Estado…No sería ésta  la  primera</w:t>
        <w:br/>
        <w:t>vez que la Corte Interamericana  hubiese  identificado  una  responsabilidad</w:t>
        <w:br/>
        <w:t>internacional agravada (tal y como se hizo en los términos  del  párrafo  51</w:t>
        <w:br/>
        <w:t>de la sentencia sobre el caso de la Masacre de Plan  de  Sánchez   o  en  su</w:t>
        <w:br/>
        <w:t>anterior Sentencia, del 25.11.2003, sobre el caso Myrna  Mack  Chang  versus</w:t>
        <w:br/>
        <w:t>Guatemala, en la cual la Corte concluyó que,  de  los  hechos  probados,  se</w:t>
        <w:br/>
        <w:t>desprendía  una   "responsabilidad   internacional   agravada   del   Estado</w:t>
        <w:br/>
        <w:t>demandado" párr. 139).” (Voto razonado Cancado Trindade Masacre de  Plan  de</w:t>
        <w:br/>
        <w:t>Sánchez página 9)</w:t>
        <w:br/>
        <w:br/>
        <w:t>c)  En la  época  en  que  ocurrieron  los  hechos  del  presente  caso,  la</w:t>
        <w:br/>
        <w:t>prohibición establecida en el artículo 3 común a los  convenios  de  Ginebra</w:t>
        <w:br/>
        <w:t>ya formaba parte del derecho  internacional  consuetudinario,  e  inclusive,</w:t>
        <w:br/>
        <w:t>del dominio del jus cogens.  Por lo tanto, el Estado de Guatemala ya  estaba</w:t>
        <w:br/>
        <w:t>obligado a cumplir con dicha prohibición.</w:t>
        <w:br/>
        <w:br/>
        <w:t>2.  Competencia y aplicación de la Convención de  Belém  do  Pará:    Es  de</w:t>
        <w:br/>
        <w:t>mucha importancia que en este caso se haya aplicado la Convención  de  Belém</w:t>
        <w:br/>
        <w:t>do Pará.  Las razones expuestas en la sentencia aludida son:  a)  el  Estado</w:t>
        <w:br/>
        <w:t>tenía obligación de investigar con la debida diligencia  todos  los  hechos,</w:t>
        <w:br/>
        <w:t>lo  que  se  encontraba  pendiente  al  momento  del  reconocimiento  de  la</w:t>
        <w:br/>
        <w:t>competencia contenciosa de la  Corte  (9  de  marzo  de  1987);   b)   dicha</w:t>
        <w:br/>
        <w:t>obligación fue reafirmada posteriormente por el  Estado  con  motivo  de  la</w:t>
        <w:br/>
        <w:t>ratificación de la Convención de Belém do Pará el 4 de abril  de  1995,  por</w:t>
        <w:br/>
        <w:t>lo que el Estado debía velar por su cumplimiento a partir  de  ese  momento,</w:t>
        <w:br/>
        <w:t>aún cuando ésta no había sido adoptada por  el  Estado  al  momento  de  los</w:t>
        <w:br/>
        <w:t>hechos del caso; y c)  la Convención de Belém do Pará complementa el  corpus</w:t>
        <w:br/>
        <w:t>iuris internacional en materia de  protección  de  la  integridad  personal.</w:t>
        <w:br/>
        <w:br/>
        <w:br/>
        <w:t>Cabe agregar que el caso de  Las  Dos  Erres  constituye  no  sólo  un  caso</w:t>
        <w:br/>
        <w:t>paradigmático en materia de impunidad, sino  en  cuanto  a  los  métodos  de</w:t>
        <w:br/>
        <w:t>guerra utilizados por el  Estado  de  Guatemala  en  la  conducción  de  las</w:t>
        <w:br/>
        <w:t>hostilidades en un conflicto armado interno.  En repetidas ocasiones  se  ha</w:t>
        <w:br/>
        <w:t>denunciado la utilización de la violación sexual como método  de  tortura  y</w:t>
        <w:br/>
        <w:t>la especificidad de la violencia en contra de las mujeres, en  el  marco  de</w:t>
        <w:br/>
        <w:t>los conflictos armados internos.  Este es precisamente el caso de  Guatemala</w:t>
        <w:br/>
        <w:t>en el caso que se analiza.</w:t>
        <w:br/>
        <w:br/>
        <w:t>En este contexto es importante destacar un aspecto del Estatuto de Roma  que</w:t>
        <w:br/>
        <w:t>crea la  Corte  Penal  Internacional.   Éste  reconoce  como  parte  de  los</w:t>
        <w:br/>
        <w:t>crímenes  de  genocidio,  lesa  humanidad  y  de   guerra,   las   prácticas</w:t>
        <w:br/>
        <w:t>violatorias a los derechos humanos de las  mujeres  que  históricamente  han</w:t>
        <w:br/>
        <w:t>ocurrido en situaciones de conflicto armado o de disturbios:  la  violación,</w:t>
        <w:br/>
        <w:t>la esclavitud sexual, la  prostitución  forzada,  el  embarazo  forzado,  la</w:t>
        <w:br/>
        <w:t>esterilización forzada u otros abusos sexuales de  gravedad  comparable.   Y</w:t>
        <w:br/>
        <w:t>este aspecto se da en el caso de la Masacre de Las Dos Erres.</w:t>
        <w:br/>
        <w:br/>
        <w:t>Aplicar la Convención de Belém do Pará en el caso de la Masacre de  Las  Dos</w:t>
        <w:br/>
        <w:t>Erres resulta de suma importancia, ya que ésta define  la  violencia  contra</w:t>
        <w:br/>
        <w:t>la mujer;  reconoce el derecho de las mujeres a una  vida  sin  violencia  y</w:t>
        <w:br/>
        <w:t>establece que la violencia contra ellas es  una  violación  a  los  derechos</w:t>
        <w:br/>
        <w:t>humanos, equiparando este derecho tanto en el  ámbito  público  como  en  el</w:t>
        <w:br/>
        <w:t>privado.</w:t>
        <w:br/>
        <w:br/>
        <w:t>Puede afirmarse que la aplicación de la perspectiva de género, enriquece  la</w:t>
        <w:br/>
        <w:t>manera de mirar la realidad y de actuar sobre ella, y de  ahí  la  necesidad</w:t>
        <w:br/>
        <w:t>de mencionarla y aplicarla en el Caso de  Las  Dos  Erres.   En  materia  de</w:t>
        <w:br/>
        <w:t>derechos  humanos  permite,  entre  otras  cosas,   visualizar   inequidades</w:t>
        <w:br/>
        <w:t>construidas de manera artificial, socio-culturalmente y  detectar  mejor  la</w:t>
        <w:br/>
        <w:t>especificidad en la protección que precisan  quienes  sufren  desigualdad  o</w:t>
        <w:br/>
        <w:t>discriminación.  Ofrece, pues, grandes  ventajas  y  posibilidades  para  la</w:t>
        <w:br/>
        <w:t>efectiva tutela de las personas y concretamente, de las mujeres.</w:t>
        <w:br/>
        <w:br/>
        <w:t>El preámbulo de la Convención de Belém do Pará reconoce  que  “la  violencia</w:t>
        <w:br/>
        <w:t>contra la mujer es una ofensa a la dignidad humana y  una  manifestación  de</w:t>
        <w:br/>
        <w:t>las relaciones de poder históricamente desiguales entre mujeres y  hombres.”</w:t>
        <w:br/>
        <w:t xml:space="preserve"> El caso de Las Dos Erres demuestra que existe  esa  desigualdad  y  por  lo</w:t>
        <w:br/>
        <w:t>tanto la importancia de aplicarla.  Estoy convencido que  la  Jurisprudencia</w:t>
        <w:br/>
        <w:t>de la Corte Interamericana  de  Derechos  Humanos  debería  seguir  sentando</w:t>
        <w:br/>
        <w:t>precedentes en esta dirección.  Por otro lado, la importancia  de  reconocer</w:t>
        <w:br/>
        <w:t>en el marco del Sistema Interamericano las violaciones  específicas  de  los</w:t>
        <w:br/>
        <w:t>derechos humanos de las mujeres,  radica  en  el  desarrollo  de  estándares</w:t>
        <w:br/>
        <w:t>específicos de protección para las mujeres (Declaración y Plan de Acción  de</w:t>
        <w:br/>
        <w:t>Viena 1993 y IV Conferencia mundial sobre la Mujer (Beijing, 1995 y  otros).</w:t>
        <w:br/>
        <w:br/>
        <w:br/>
        <w:t>Esta consideración nos debe llevar a  plantear  aspectos  más  concretos  en</w:t>
        <w:br/>
        <w:t>materia de medidas de reparación y concretamente,  de  no  repetición,  como</w:t>
        <w:br/>
        <w:t>por ejemplo:  a)  el Estado de Guatemala debe  intensificar  y  ampliar  las</w:t>
        <w:br/>
        <w:t>acciones  existentes  para  capacitar  a  funcionarios,  particularmente   a</w:t>
        <w:br/>
        <w:t>aquéllos de la Policía Nacional Civil y del Ministerio Público con  respecto</w:t>
        <w:br/>
        <w:t>a las causas, naturaleza y las consecuencias de la violencia de género;   b)</w:t>
        <w:br/>
        <w:t xml:space="preserve"> el Estado de Guatemala debe garantizar que el impacto y  las  consecuencias</w:t>
        <w:br/>
        <w:t>de los actos de violencia cometidos contra las mujeres durante el  conflicto</w:t>
        <w:br/>
        <w:t>armado interno estén contemplados  adecuadamente  en  el  Plan  Nacional  de</w:t>
        <w:br/>
        <w:t>Resarcimiento;  c)  el Estado de Guatemala  debe  implementar  programas  de</w:t>
        <w:br/>
        <w:t>capacitación sobre los derechos de las mujeres y particularmente,  sobre  el</w:t>
        <w:br/>
        <w:t>derecho a una vida libre de violencia, dirigidos a  personal  de  la  fuerza</w:t>
        <w:br/>
        <w:t>pública, del ejército y de las instituciones públicas;   d)   el  Estado  de</w:t>
        <w:br/>
        <w:t>Guatemala  debe  implementar  medidas  de  protección  y  prevención,   para</w:t>
        <w:br/>
        <w:t>garantizar a las mujeres una  vida  libre  de  violencia  y  también  la  de</w:t>
        <w:br/>
        <w:t>procesar y castigar  adecuadamente  los  delitos  de  violencia  contra  las</w:t>
        <w:br/>
        <w:t>mujeres;   e)   El  Estado  de  Guatemala  debe  tomar  todas  las   medidas</w:t>
        <w:br/>
        <w:t>preventivas necesarias para  evitar  el  abuso  y  la  violación  sexual  de</w:t>
        <w:br/>
        <w:t>mujeres en custodia estatal, policial o del  ejército,  utilizada  como  una</w:t>
        <w:br/>
        <w:t>forma de tortura.</w:t>
        <w:br/>
        <w:br/>
        <w:t>3.  Acceso a la información y el  Secreto  de  Estado  en  casos  de  graves</w:t>
        <w:br/>
        <w:t>violaciones a los derechos humanos: la sentencia  establece  en  el  numeral</w:t>
        <w:br/>
        <w:t>144.  que  “todas  las  autoridades  están  obligadas  a  colaborar  en   la</w:t>
        <w:br/>
        <w:t>recaudación de la prueba y por lo tanto deberán brindar al juez de la  causa</w:t>
        <w:br/>
        <w:t>toda la información  que  requiera  y  abstenerse  de  actos  que  impliquen</w:t>
        <w:br/>
        <w:t>obstrucción para la marcha del  proceso  investigativo.”   Al  respecto,  es</w:t>
        <w:br/>
        <w:t>importante hacer una  referencia  puntual  a  la  obligación  que  tiene  el</w:t>
        <w:br/>
        <w:t>Ejército de Guatemala de entregar documentos relativos  a  planes  militares</w:t>
        <w:br/>
        <w:t>de campaña o documentos  que  contienen  estrategias  en  la  conducción  de</w:t>
        <w:br/>
        <w:t>operativos militares y las hostilidades en general y permitir  el  acceso  a</w:t>
        <w:br/>
        <w:t>los archivos militares.</w:t>
        <w:br/>
        <w:br/>
        <w:t>Como lo mencionó la  Comisión  Interamericana  de  Derechos  Humanos  en  su</w:t>
        <w:br/>
        <w:t>demanda inicial en el caso en cuestión, en abril de 1982 “la  Junta  Militar</w:t>
        <w:br/>
        <w:t>de  Gobierno  dictó  el  Plan  Nacional  de  Seguridad  y  Desarrollo”   que</w:t>
        <w:br/>
        <w:t>establecía objetivos  nacionales  en  términos  militares,  administrativos,</w:t>
        <w:br/>
        <w:t>legales, sociales, económicos y políticos.”  En este plan  se  identificaron</w:t>
        <w:br/>
        <w:t>las principales áreas de conflicto en  diferentes  departamentos  del  país.</w:t>
        <w:br/>
        <w:t>La  Junta  Militar  y  el  Alto  Mando  también  diseñaron  y  ordenaron  la</w:t>
        <w:br/>
        <w:t>implementación de un plan de campaña militar llamado “Victoria  82”,  en  el</w:t>
        <w:br/>
        <w:t>cual utilizaron nuevas definiciones estratégicas dentro  del  marco  de  las</w:t>
        <w:br/>
        <w:t>contrainsurgencia  y  los  objetivos  del  Plan  Nacional  de  Seguridad   y</w:t>
        <w:br/>
        <w:t>Desarrollo.  La negativa del Ejército de entregar éstos y  otros  documentos</w:t>
        <w:br/>
        <w:t>están promoviendo más impunidad en Guatemala.</w:t>
        <w:br/>
        <w:br/>
        <w:t>En el caso Mack Chang Vs. Guatemala, Sentencia de 25 de noviembre  de  2003,</w:t>
        <w:br/>
        <w:t>parágrafo 180, la Corte Interamericana de Derechos Humanos aseveró  que  “en</w:t>
        <w:br/>
        <w:t>caso de violaciones de derechos humanos, las  autoridades  estatales  no  se</w:t>
        <w:br/>
        <w:t>pueden  amparar  en  mecanismos   como   el   secreto   de   Estado   o   la</w:t>
        <w:br/>
        <w:t>confidencialidad de la información,  o  en  razones  de  interés  público  o</w:t>
        <w:br/>
        <w:t>seguridad nacional, para dejar de aportar la información requerida  por  las</w:t>
        <w:br/>
        <w:t>autoridades judiciales o administrativas encargadas de  la  investigación  o</w:t>
        <w:br/>
        <w:t>proceso pendientes.”  La Corte Interamericana de  Derechos  Humanos  también</w:t>
        <w:br/>
        <w:t>se ha referido al  “secreto  de  Estado”  como  obstáculo  al  acceso  a  la</w:t>
        <w:br/>
        <w:t>información, en particular aquella relativa a esclarecer graves  violaciones</w:t>
        <w:br/>
        <w:t>de derechos humanos.</w:t>
        <w:br/>
        <w:br/>
        <w:t>En efecto, en el caso Myrna Mack Chang vs. Guatemala la Corte  se  hizo  eco</w:t>
        <w:br/>
        <w:t>de las palabras de la Comisión Interamericana y reconoció que “en  el  marco</w:t>
        <w:br/>
        <w:t>de  un  procedimiento  penal,  especialmente   cuando   se   trata   de   la</w:t>
        <w:br/>
        <w:t>investigación y  persecución  de  ilícitos  atribuibles  a  las  fuerzas  de</w:t>
        <w:br/>
        <w:t>seguridad del Estado, surge una eventual  colisión  de  intereses  entre  la</w:t>
        <w:br/>
        <w:t>necesidad de proteger el secreto de Estado, por un lado, y las  obligaciones</w:t>
        <w:br/>
        <w:t>del Estado de proteger a las personas de los actos  ilícitos  cometidos  por</w:t>
        <w:br/>
        <w:t>sus  agentes  públicos  y  la  de  investigar,  juzgar  y  sancionar  a  los</w:t>
        <w:br/>
        <w:t>responsables de los mismos, por el otro lado.”  En este caso, la  Corte  fue</w:t>
        <w:br/>
        <w:t>categórica al afirmar que “en caso de violaciones de derechos  humanos,  las</w:t>
        <w:br/>
        <w:t>autoridades estatales no se pueden amparar en mecanismos como el secreto  de</w:t>
        <w:br/>
        <w:t>Estado o la confidencialidad de la información,  o  en  razones  de  interés</w:t>
        <w:br/>
        <w:t>público  o  seguridad  nacional,  para  dejar  de  aportar  la   información</w:t>
        <w:br/>
        <w:t>requerida por las autoridades judiciales o administrativas encargadas de  la</w:t>
        <w:br/>
        <w:t>investigación o proceso pendientes.”</w:t>
        <w:br/>
        <w:br/>
        <w:t>En conclusión, el Estado de  Guatemala  y  específicamente  el  Ejército  de</w:t>
        <w:br/>
        <w:t>Guatemala están obligados a entregar éstos y otros  documentos  que  aportan</w:t>
        <w:br/>
        <w:t>información necesaria para esclarecer, no sólo casos como el de  la  Masacre</w:t>
        <w:br/>
        <w:t>de Las Dos Erres, sino otros casos de igual gravedad que  permanecen  en  la</w:t>
        <w:br/>
        <w:t>impunidad.  El Derecho Internacional reconoce el derecho de  los  individuos</w:t>
        <w:br/>
        <w:t>a  recibir  información,  en  especial  aquella  relativa  a  actos  de   la</w:t>
        <w:br/>
        <w:t>administración pública.  Si bien el derecho al acceso a  la  información  no</w:t>
        <w:br/>
        <w:t>es absoluto, toda restricción  que  se  le  imponga  debe  estar  claramente</w:t>
        <w:br/>
        <w:t>establecido en la ley y responder a una situación excepcional.</w:t>
        <w:br/>
        <w:br/>
        <w:t>El Estado de Guatemala tiene  el  deber  de  combatir  la  impunidad  y,  en</w:t>
        <w:br/>
        <w:t>consecuencia, de remover todos los obstáculos que puedan impedir  o  demorar</w:t>
        <w:br/>
        <w:t>injustificadamente la investigación y sanción efectiva de  los  responsables</w:t>
        <w:br/>
        <w:t>por graves violaciones de  derechos  humanos  y  crímenes  bajo  el  derecho</w:t>
        <w:br/>
        <w:t>internacional y específicamente debe hacer en el caso de la Masacre  de  Las</w:t>
        <w:br/>
        <w:t>Dos Erres.  Por tal razón, no puede invocar  el  “secreto  de  Estado”  para</w:t>
        <w:br/>
        <w:t>negar información relativa  a  graves  violaciones  de  derechos  humanos  y</w:t>
        <w:br/>
        <w:t>crímenes bajo el derecho internacional.</w:t>
        <w:br/>
        <w:br/>
        <w:t>Asimismo, el Estado de Guatemala no puede  oponer  el  “secreto  de  Estado”</w:t>
        <w:br/>
        <w:t>como justificación para evitar que avancen los  procesos  judiciales  contra</w:t>
        <w:br/>
        <w:t>los presuntos responsables de graves violaciones  a  los  derechos  humanos.</w:t>
        <w:br/>
        <w:t>Al negarse a entregar diferentes documentos de esta  naturaleza,  el  Estado</w:t>
        <w:br/>
        <w:t>de Guatemala ha comprometido  su  responsabilidad  internacional  y  por  lo</w:t>
        <w:br/>
        <w:t>tanto  debe  cuanto  antes  finalizar  con  esta  práctica  y  entregar  los</w:t>
        <w:br/>
        <w:t>documentos correspondientes.</w:t>
        <w:br/>
        <w:br/>
        <w:br/>
        <w:br/>
        <w:br/>
        <w:br/>
        <w:t xml:space="preserve">                                            Ramón Cadena Rámila</w:t>
        <w:br/>
        <w:t xml:space="preserve">                                                  Juez ad hoc</w:t>
        <w:br/>
        <w:br/>
        <w:br/>
        <w:br/>
        <w:br/>
        <w:t xml:space="preserve">  Emilia Segares Rodríguez</w:t>
        <w:br/>
        <w:t xml:space="preserve">       Secretaria Adjunta</w:t>
        <w:br/>
        <w:br/>
        <w:br/>
        <w:br/>
        <w:br/>
        <w:br/>
        <w:br/>
        <w:br/>
        <w:br/>
        <w:br/>
        <w:br/>
        <w:br/>
        <w:br/>
        <w:br/>
        <w:t>-----------------------</w:t>
        <w:br/>
        <w:br/>
        <w:t>(     Por razones de fuerza mayor, el Juez Leonardo A. Franco  no  participó</w:t>
        <w:br/>
        <w:t>en  la  deliberación  y  firma  de  la  presente  Sentencia.  Asimismo,   el</w:t>
        <w:br/>
        <w:t>Secretario de la Corte Pablo  Saavedra  Alessandri  por  razones  de  fuerza</w:t>
        <w:br/>
        <w:t>mayor no estuvo presente en la decisión del caso.</w:t>
        <w:br/>
        <w:br/>
        <w:t>((    Conforme a lo dispuesto en el  artículo  72.2  del  Reglamento  de  la</w:t>
        <w:br/>
        <w:t>Corte Interamericana que entró en vigor el  24  de  marzo  de  2009,  “[l]os</w:t>
        <w:br/>
        <w:t>casos en curso se continuarán tramitando conforme a este Reglamento, con  la</w:t>
        <w:br/>
        <w:t>excepción de aquellos casos en que se haya convocado a audiencia al  momento</w:t>
        <w:br/>
        <w:t>de  entrada  en  vigor  del  presente  Reglamento,   los   cuales   seguirán</w:t>
        <w:br/>
        <w:t>tramitándose conforme a las disposiciones del Reglamento anterior”.  De  ese</w:t>
        <w:br/>
        <w:t>modo, el  Reglamento  de  la  Corte  mencionado  en  la  presente  Sentencia</w:t>
        <w:br/>
        <w:t>corresponde al instrumento aprobado por  el  Tribunal  en  su  XLIX  Período</w:t>
        <w:br/>
        <w:t>Ordinario de Sesiones  celebrado  del  16  a  25  de  noviembre  de  2000  y</w:t>
        <w:br/>
        <w:t>reformado parcialmente por la  Corte  en  su  LXXXII  Período  Ordinario  de</w:t>
        <w:br/>
        <w:t>Sesiones, celebrado del 19 a 31 de enero de 2009.</w:t>
        <w:br/>
        <w:br/>
        <w:t>[1]   El 26 de marzo de 1999  la  Asociación  de  Familiares  de  Detenidos-</w:t>
        <w:br/>
        <w:t>Desaparecidos de Guatemala se incorporó al procedimiento  ante  la  Comisión</w:t>
        <w:br/>
        <w:t>como co-peticionaria.</w:t>
        <w:br/>
        <w:br/>
        <w:t>[2]   Los  representantes  denunciaron  las  presuntas  violaciones  de  los</w:t>
        <w:br/>
        <w:t>derechos contenidos en los artículos 4 (Derecho a la Vida), 5 (Derecho a  la</w:t>
        <w:br/>
        <w:t>Integridad Personal), 8 (Garantías Judiciales), 19 (Derechos del Niño) y  25</w:t>
        <w:br/>
        <w:t>(Protección  Judicial)  de  la  Convención,  todos  en   relación   con   el</w:t>
        <w:br/>
        <w:t>artículo1.1  (Obligación  de  Respetar  los  Derechos)  del  mismo  tratado.</w:t>
        <w:br/>
        <w:t>Posteriormente, el 26 de agosto de 1997  los  peticionarios  presentaron  un</w:t>
        <w:br/>
        <w:t>escrito mediante el cual solicitaron a la Comisión que declarara  al  Estado</w:t>
        <w:br/>
        <w:t>responsable de las violaciones a los derechos contenidos en los artículos  3</w:t>
        <w:br/>
        <w:t>(Derecho al Reconocimiento de la Personalidad Jurídica),  4  (Derecho  a  la</w:t>
        <w:br/>
        <w:t>Vida), 5 (Derecho a la  Integridad  Personal),  7  (Derecho  a  la  Libertad</w:t>
        <w:br/>
        <w:t>Personal), 8 (Garantías Judiciales), 11 (Protección de  la  Honra  y  de  la</w:t>
        <w:br/>
        <w:t>Dignidad), 17  (Protección  a  la  Familia),  19  (Derechos  del  Niño),  21</w:t>
        <w:br/>
        <w:t>(Derecho  a  la  Propiedad  Privada),  22  (Derecho  de  Circulación  y   de</w:t>
        <w:br/>
        <w:t>Residencia), 25 (Protección Judicial) y 29 (Normas de Interpretación) de  la</w:t>
        <w:br/>
        <w:t>Convención, en concordancia con el artículo 1.1 (Obligación de Respetar  los</w:t>
        <w:br/>
        <w:t>Derechos) de ese instrumento.</w:t>
        <w:br/>
        <w:br/>
        <w:t>[3]   En el acuerdo suscrito el 1 de  abril  de  2000  en  el  marco  de  la</w:t>
        <w:br/>
        <w:t>solución amistosa, entre el Estado y  los  representantes,  el  Estado  dejó</w:t>
        <w:br/>
        <w:t>plasmado  su  reconocimiento  de  responsabilidad   internacional   en   los</w:t>
        <w:br/>
        <w:t>siguientes términos: “El Gobierno de Guatemala reconoce  la  responsabilidad</w:t>
        <w:br/>
        <w:t>institucional del Estado por  los  hechos  ocurridos  entre  el  6  y  8  de</w:t>
        <w:br/>
        <w:t>diciembre de 1982 en el Parcelamiento  Las  Dos  Erres,  Aldea  Las  Cruces,</w:t>
        <w:br/>
        <w:t>ubicado en el municipio de la Libertad, Departamento [de] Petén  […],  donde</w:t>
        <w:br/>
        <w:t>miembros  del  Ejército  de  Guatemala  masacraron  aproximadamente  a   300</w:t>
        <w:br/>
        <w:t>personas, pobladores del Parcelamiento, hombres, niños, ancianos y  mujeres.</w:t>
        <w:br/>
        <w:t>El Gobierno de Guatemala reconoce también la  responsabilidad  institucional</w:t>
        <w:br/>
        <w:t>del Estado guatemalteco  por el retardo de la justicia para  investigar  los</w:t>
        <w:br/>
        <w:t>hechos relativos a la masacre, identificar a los responsables  materiales  e</w:t>
        <w:br/>
        <w:t>intelectuales de los mismos y aplicar  las  sanciones  correspondientes  […]</w:t>
        <w:br/>
        <w:t>Guatemala acepta su responsabilidad  por  las  violaciones  a  los  derechos</w:t>
        <w:br/>
        <w:t>humanos denunciadas por los peticionarios en la comunicación  enviada  a  la</w:t>
        <w:br/>
        <w:t>Comisión de fecha 13 de septiembre de 1996, a saber, violación  del  derecho</w:t>
        <w:br/>
        <w:t>a reconocimiento de la personalidad jurídica, del derecho a la  vida,  a  la</w:t>
        <w:br/>
        <w:t>integridad, a la libertad personal, violación de la protección a la  familia</w:t>
        <w:br/>
        <w:t>y los derechos del niño, violación del derecho a  la  propiedad  privada,  a</w:t>
        <w:br/>
        <w:t>las garantías judiciales, a la protección judicial y violación del deber  de</w:t>
        <w:br/>
        <w:t>investigar, sancionar y reparar.”</w:t>
        <w:br/>
        <w:br/>
        <w:t>[4]   El procedimiento de solución amistosa no se concretó  con  el  informe</w:t>
        <w:br/>
        <w:t>del artículo 49 de la Convención.</w:t>
        <w:br/>
        <w:br/>
        <w:t>[5]   En el informe de Admisibilidad y Fondo No. 22/08 la Comisión  concluyó</w:t>
        <w:br/>
        <w:t>que el Estado violó los derechos consagrados en los artículos 3 (Derecho  al</w:t>
        <w:br/>
        <w:t>Reconocimiento de la Personalidad  Jurídica),  4  (Derecho  a  la  Vida),  5</w:t>
        <w:br/>
        <w:t>(Derecho a la Integridad Personal), 7 (Derecho a la Libertad Personal),  8.1</w:t>
        <w:br/>
        <w:t>(Garantías Judiciales), 17 (Protección  a  la  Familia),  19  (Derechos  del</w:t>
        <w:br/>
        <w:t>Niño), 21 (Derecho a la Propiedad Privada) y 25 (Protección Judicial) de  la</w:t>
        <w:br/>
        <w:t>Convención, en relación con el artículo  1.1  (Obligación  de  Respetar  los</w:t>
        <w:br/>
        <w:t>Derechos)  de  dicho  instrumento,  por   los   hechos   ocurridos   en   el</w:t>
        <w:br/>
        <w:t>Parcelamiento de Las Dos Erres, los días 6, 7, 8 y 9 de diciembre de 1982  y</w:t>
        <w:br/>
        <w:t>la posterior denegación de justicia.</w:t>
        <w:br/>
        <w:br/>
        <w:t>[6]   De acuerdo a lo  señalado  en  el  Informe  de  la  Comisión  para  el</w:t>
        <w:br/>
        <w:t>Esclarecimiento Histórico, Guatemala:  Memoria  del  Silencio  (en  adelante</w:t>
        <w:br/>
        <w:t>“CEH, Guatemala: Memoria del Silencio”),  Guatemala:  Oficina  de  Servicios</w:t>
        <w:br/>
        <w:t>para Proyectos de las Naciones Unidas, 1999; “los kaibiles eran  una  fuerza</w:t>
        <w:br/>
        <w:t>especial contrainsurgente del Ejército de Guatemala, los cuales en  diversos</w:t>
        <w:br/>
        <w:t>operativos ponían  en  práctica  la  extrema  crueldad  de  sus  métodos  de</w:t>
        <w:br/>
        <w:t>entrenamiento.” (Anexos al escrito de solicitudes y  argumentos,  anexo  30,</w:t>
        <w:br/>
        <w:t>f. 10936).</w:t>
        <w:br/>
        <w:br/>
        <w:t>[7]   Salomé Armando Gómez Hernández  y  Ramiro  Antonio  Osorio  Cristales.</w:t>
        <w:br/>
        <w:t>Este último fue obligado a llevar el nombre Ramiro Fernando López García,  y</w:t>
        <w:br/>
        <w:t>es llamado de esa manera en la demanda. Sin embargo, en el año 2002  recobró</w:t>
        <w:br/>
        <w:t>su verdadero nombre biológico, el cual será utilizado por la Corte  en  esta</w:t>
        <w:br/>
        <w:t>Sentencia.</w:t>
        <w:br/>
        <w:br/>
        <w:t>[8]   A saber: 1) Baldomero Pineda  Batres,  2)  Catalina  Arana  Pineda  de</w:t>
        <w:br/>
        <w:t>Ruano, 3) Francisca  Morales  Contreras,  4)  Tomasa  Galicia  González,  5)</w:t>
        <w:br/>
        <w:t>Inocencio González, 6) Santos Nicolás Montepeque Galicia, 7)  Pedro  Antonio</w:t>
        <w:br/>
        <w:t>Montepeque, 8) Enriqueta González G. de Martínez,  9)  Inés  Otilio  Jiménez</w:t>
        <w:br/>
        <w:t>Pernillo, 10) Mayron Jiménez  Castillo,  11)  Eugenia  Jiménez  Pineda,  12)</w:t>
        <w:br/>
        <w:t>Concepción de María Pernillo J., 13) Encarnación Pérez  Agustín,  14)  María</w:t>
        <w:br/>
        <w:t>Ester Contreras, 15) Marcelina Cardona Juárez, 16) Victoria Hércules  Rivas,</w:t>
        <w:br/>
        <w:t>17) Margarito Corrales Grijalva, 18) Laura García Godoy,  19)  Luis  Armando</w:t>
        <w:br/>
        <w:t>Romero Gracia, 20) Edgar  Geovani  Romero  García,  21)  Edwin  Saúl  Romero</w:t>
        <w:br/>
        <w:t>García, 22) Aura Anabella Romero García, 23) Elvia Luz  Granados  Rodríguez,</w:t>
        <w:br/>
        <w:t>24) Catalino González, 25) María Esperanza  Arreaga,  26)  Felipa  de  Jesús</w:t>
        <w:br/>
        <w:t>Medrano Pérez, 27) Felipe Medrana García, 28) Juan José Arévalo  Valle,  29)</w:t>
        <w:br/>
        <w:t>Noé Arévalo Valle, 30) Cora María Arévalo Valle, 31) Lea Arévalo Valle,  32)</w:t>
        <w:br/>
        <w:t>Luis Saúl Arevalo Valle, 33) Gladis Esperanza Arevalo  Valle,  34)  Felicita</w:t>
        <w:br/>
        <w:t>Lima Ayala, 35) Cristina Alfaro Mejia, 36) Dionisio  Campos  Rodríguez,  37)</w:t>
        <w:br/>
        <w:t>Elena López, 38) Petronila López Méndez, 39)  Timotea  Alicia  Pérez  López,</w:t>
        <w:br/>
        <w:t>40) Vitalina López Pérez, 41)  Sara  Pérez  López,  42)  María  Luisa  Pérez</w:t>
        <w:br/>
        <w:t>López, 43) David  Pérez  López,  44)  Manuela  Hernández,  45)  Blanca  Dina</w:t>
        <w:br/>
        <w:t>Elisabeth Mayen Ramírez,  46)  Rafael  Barrientos  Mazariegos,  47)  Toribia</w:t>
        <w:br/>
        <w:t>Ruano Castillo, 48) Eleuterio López Méndez, 49) Marcelino Deras Tejada,  50)</w:t>
        <w:br/>
        <w:t>Amalia Elena Girón, 51) Aura Leticia Juárez Hernández, 52)  Israel  Portillo</w:t>
        <w:br/>
        <w:t>Pérez, 53) María  Otilia  González  Aguilar,  54)  Sonia  Elisabeth  Salazar</w:t>
        <w:br/>
        <w:t>Gonzáles, 55) Glendi Marleni Salazar Gonzáles, 56)  Brenda  Azucena  Salazar</w:t>
        <w:br/>
        <w:t>González, 57)  Susana  Gonzáles  Menéndez,  58)  Benigno  de  Jesús  Ramírez</w:t>
        <w:br/>
        <w:t>González,  59)  María  Dolores  Romero  Ramírez,  60)   Encarnación   García</w:t>
        <w:br/>
        <w:t>Castillo, 61) Baudilia Hernández García,  62)  Susana  Linarez,  63)  Andrés</w:t>
        <w:br/>
        <w:t>Rivas, 64) Darío Ruano Linares, 65) Edgar Ruano Linares,  66)  Otilia  Ruano</w:t>
        <w:br/>
        <w:t>Linares, 67) Yolanda Ruano Linares, 68) Arturo Ruano Linares, 69)  Saturnino</w:t>
        <w:br/>
        <w:t>García Pineda, 70) Juan de Dios Cabrera Ruano, 71) Luciana Cabrera  Galeano,</w:t>
        <w:br/>
        <w:t>72) Hilaria Castillo García, 73) Amílcar Salazar Castillo, 74)  Marco  Tulio</w:t>
        <w:br/>
        <w:t>Salazar Castillo, 75) Gloria Marina  Salazar  Castillo,  76)  María  Vicenta</w:t>
        <w:br/>
        <w:t>Moran  Solís,77)  María  Luisa  Corado,  78)  Hilario  López  Jiménez,   79)</w:t>
        <w:br/>
        <w:t>Guillermina  Ruano  Barahona,  80)  Rosalina  Castañeda  Lima,  81)  Teodoro</w:t>
        <w:br/>
        <w:t>Jiménez Pernillo,  82)  Luz  Flores,  83)  Ladislao  Jiménez  Pernillo,  84)</w:t>
        <w:br/>
        <w:t>Catalina Jiménez Castillo, 85) Enma Carmelina Jiménez Castillo,  86)  Álvaro</w:t>
        <w:br/>
        <w:t>Hugo Jiménez Castillo, 87) Rigoberto Vidal Jiménez Castillo,  88)  Albertina</w:t>
        <w:br/>
        <w:t>Pineda Cermeño, 89) Etelvina Cermeño Castillo, 90) Sofía  Cermeño  Castillo,</w:t>
        <w:br/>
        <w:t>91) Marta Lidia Jiménez Castillo, 92) Valeria García, 93)  Cipriano  Morales</w:t>
        <w:br/>
        <w:t>Pérez, 94) Antonio Morales Miguel, 95)  Nicolasa  Pérez  Méndez,  96)  Jorge</w:t>
        <w:br/>
        <w:t>Granados Cardona, 97) Santos  Osorio  Ligue,  98)  Gengli  Marisol  Martínez</w:t>
        <w:br/>
        <w:t>Villatoro,  99)  Amner  Rivai  Martínez  Villatoro,  100)   Celso   Martínez</w:t>
        <w:br/>
        <w:t>Villatoro,  101)  Rudy  Leonel  Martínez  Villatoro,  102)  Sandra  Patricia</w:t>
        <w:br/>
        <w:t>Martínez Villatoro, 103) Yuli  Judith  Martínez  Villatoro  de  López,  104)</w:t>
        <w:br/>
        <w:t>María Luisa Villatoro Izara, 105)  Olegario  Rodríguez  Tepec,  106)  Teresa</w:t>
        <w:br/>
        <w:t>Juárez, 107) Lucrecia Ramos Yanes de Guevara,  108)  Eliseo  Guevara  Yanes,</w:t>
        <w:br/>
        <w:t>109) Amparo Pineda Linares de Arreaga,  110)  María  Sabrina  Alonzo  P.  de</w:t>
        <w:br/>
        <w:t>Arreaga,111) Francisco Arreaga Alonzo,  112)  Eladio  Arreaga  Alonzo,  113)</w:t>
        <w:br/>
        <w:t>María Menegilda Marroquín Miranda, 114) Oscar Adelso Antonio  Jiménez,  115)</w:t>
        <w:br/>
        <w:t>Ever Ismael Antonio Coto, 116) Héctor  Coto,  117)  Rogelia  Natalia  Ortega</w:t>
        <w:br/>
        <w:t>Ruano, 118) Ángel Cermeño Pineda,  119)  Felicita  Herenia  Romero  Ramírez,</w:t>
        <w:br/>
        <w:t>120) Esperanza Cermeño Arana,  121)  Abelina  Flores,  122)  Albina  Jiménez</w:t>
        <w:br/>
        <w:t>Flores, 123) Mercedez Jiménez Flores, 124)  Transito  Jiménez  Flores,  125)</w:t>
        <w:br/>
        <w:t>Celedonia Jiménez Flores, 126)  Venancio  Jiménez  Flores,  127)  José  Luís</w:t>
        <w:br/>
        <w:t>Cristales Escobar, 128) Reyna Montepeque, 129) Miguel Angel Cristales,  130)</w:t>
        <w:br/>
        <w:t>Felipa de Jesús Díaz de Hernández, 131) Rosa Erminda  Hernández  Díaz,  132)</w:t>
        <w:br/>
        <w:t>Vilma Hernández Díaz de Osorio, 133) Félix Hernández  Díaz,  134)  Desiderio</w:t>
        <w:br/>
        <w:t>Aquino Ruano, 135) Leonarda Saso Hernández, 136) Paula Antonia  Falla  Saso,</w:t>
        <w:br/>
        <w:t>137) Dominga Falla Saso,  138)  Agustina  Falla  Saso,  139)  María  Juliana</w:t>
        <w:br/>
        <w:t>Hernández Moran, 140) Raul de  Jesús  Gómez  Hernández,  141)  María  Ofelia</w:t>
        <w:br/>
        <w:t>Gómez Hernández, 142) Sandra Ofelia Gómez Hernández, 143) José Ramiro  Gómez</w:t>
        <w:br/>
        <w:t>Hernández, 144)  Bernardina  Gómez  Linarez,  145)  Telma  Guadalupe  Aldana</w:t>
        <w:br/>
        <w:t>Canan, 146) Mirna Elizabeth Aldana Canan, 147) Rosa  Elvira  Mayen  Ramírez,</w:t>
        <w:br/>
        <w:t>148) Augusto Mayen Ramírez, 149) Rodrigo Mayen Ramírez, 150)  Onivia  García</w:t>
        <w:br/>
        <w:t>Castillo, 151) Saturnino Romero Ramírez, 152) Ana Margarita  Rosales  Rodas,</w:t>
        <w:br/>
        <w:t>y 153) Berta Alicia Cermeño Arana.</w:t>
        <w:br/>
        <w:br/>
        <w:t>[9]   De lo señalado por los representantes se desprende  que  se  trata  de</w:t>
        <w:br/>
        <w:t>aquellas personas que fallecieron durante los hechos de la masacre.</w:t>
        <w:br/>
        <w:br/>
        <w:t>[10]  Las 96 presuntas víctimas que no otorgaron poder de  representación  a</w:t>
        <w:br/>
        <w:t>CEJIL ni a FAMDEGUA son: 1) Tomasa Galicia González, 2) Inés Otilio  Jiménez</w:t>
        <w:br/>
        <w:t>Pernillo, 3) Encarnación Pérez Agustín, 4)  Edwin  Saúl  Romero  García,  5)</w:t>
        <w:br/>
        <w:t>Elvia Luz Granados Rodríguez, 6) Juan José Arévalo  Valle,  7)  Noe  Arévalo</w:t>
        <w:br/>
        <w:t>Valle, 8) Cora María Arévalo Valle, 9) Lea  Arévalo  Valle,  10)  Luis  Saúl</w:t>
        <w:br/>
        <w:t>Arévalo Valle, 11) Gladis Esperanza Arévalo Valle, 12) Felicita Lima  Ayala,</w:t>
        <w:br/>
        <w:t>13) Dionisio Campos Rodríguez, 14) Elena López, 15) Sara  Pérez  López,  16)</w:t>
        <w:br/>
        <w:t>David Pérez López, 17) Manuela Hernández, 18) Blanca  Dina  Elizabeth  Mayen</w:t>
        <w:br/>
        <w:t>Ramírez, 19) Rafael Barrientos Mazariegos, 20) Toribia Ruano  Castillo,  21)</w:t>
        <w:br/>
        <w:t>Eleuterio López Méndez,  22)  Marcelino  Deras  Tejadas,  23)  Amalia  Elena</w:t>
        <w:br/>
        <w:t>Girón, 24) Aura Leticia Juárez Hernández, 25)  Israel  Portillo  Pérez,  26)</w:t>
        <w:br/>
        <w:t>Glendi Marlini Salazar González, 27) Brenda Azucena  Salazar  González,  28)</w:t>
        <w:br/>
        <w:t>Susana González Menéndez, 29) Benigno de Jesús Ramírez González,  30)  María</w:t>
        <w:br/>
        <w:t>Dolores Romero  Ramírez,  31)  Encarnación  García  Castillo,  32)  Baudilia</w:t>
        <w:br/>
        <w:t>Hernández García, 33) Susana Linarez, 34)  Andrés  Rivas,  35)  Edgar  Ruano</w:t>
        <w:br/>
        <w:t>Linarez, 36) Arturo Ruano Linares, 37) Saturnino García Pineda, 38) Juan  de</w:t>
        <w:br/>
        <w:t>Dios Cabrera Ruano,  39)  Luciana  Cabrera  Galeano,  40)  Hilaria  Castillo</w:t>
        <w:br/>
        <w:t>García,  41)  Marco  Tulio  Salazar  Castillo,  42)  Gloria  Marina  Salazar</w:t>
        <w:br/>
        <w:t>Castillo, 43) María  Vicente  Moran  Solís,  44)  María  Luisa  Corado,  45)</w:t>
        <w:br/>
        <w:t>Rosalina Castañeda Lima, 46) Teodoro Jiménez Pernillo, 47) Ladislao  Jiménez</w:t>
        <w:br/>
        <w:t>Pernillo,  48)  Catalina  Jiménez  Castillo,  49  Enma   Carmelina   Jiménez</w:t>
        <w:br/>
        <w:t>Castillo, 50) Álvaro Hugo Jiménez  Castillo,  51)  Rigoberto  Vidal  Jiménez</w:t>
        <w:br/>
        <w:t>Castillo, 52) Etelvina Cermeño Castillo, 53)  Sofía  Cermeño  Castillo,  54)</w:t>
        <w:br/>
        <w:t>Marta Lidia Jiménez Castillo,  55)  Valeria  García,  56)  Cipriano  Morales</w:t>
        <w:br/>
        <w:t>Pérez, 57) Antonio Morales Miguel, 58)  Nicolasa  Pérez  Méndez,  59)  Jorge</w:t>
        <w:br/>
        <w:t>Granados  Cardona,  60)  Santos  Osorio  Ligue,  61)  Rudy  Leonel  Martínez</w:t>
        <w:br/>
        <w:t>Villatoro, 62) Olegario Rodríguez Tepec, 63)  Teresa  Juárez,  64)  Lucrecia</w:t>
        <w:br/>
        <w:t>Ramos Yanes de Guevara,  65)  Eliseo  Guevara  Yanes,  66)  María  Menegilda</w:t>
        <w:br/>
        <w:t>Marroquín Miranda,  67)  Oscar  Adelso  Antonio  Jiménez,  68)  Ever  Ismael</w:t>
        <w:br/>
        <w:t>Antonio Coto, 69) Héctor Coto, 70) Rogelia Natalia Ortega Ruano,  71)  Ángel</w:t>
        <w:br/>
        <w:t>Cermeño Pineda,  72)  Esperanza  Cermeño  Arana,  73)  Abelina  Flores,  74)</w:t>
        <w:br/>
        <w:t>Mercedes Jiménez Flores, 75) Tránsito Jiménez Flores, 76)  Felipa  de  Jesús</w:t>
        <w:br/>
        <w:t>Díaz de Hernández, 77) Rosa Ermida Hernández Díaz, 78) Vilma Hernández  Díaz</w:t>
        <w:br/>
        <w:t>de Osorio, 79)  Félix  Hernández  Díaz,  80)  Desiderio  Aquino  Ruano,  81)</w:t>
        <w:br/>
        <w:t>Leonarda Saso Hernández, 82) Paula Antonia Falla  Saso,  83)  Dominga  Falla</w:t>
        <w:br/>
        <w:t>Saso, 84) Agustina Falla  Saso,  85)  María  Juliana  Hernández  Morán,  86)</w:t>
        <w:br/>
        <w:t>Sandra  Ofelia  Gómez  Hernández,  87)  José  Ramiro  Gómez  Hernández,  88)</w:t>
        <w:br/>
        <w:t>Bernardina Gómez Linarez, 89) Mirna Elizabeth Aldana Canan, 90) Rosa  Elvira</w:t>
        <w:br/>
        <w:t>Mayen Ramírez, 91) Augusto Mayen Ramírez, 92) Onivia  García  Castillo,  93)</w:t>
        <w:br/>
        <w:t>Saturnino Romero Ramírez, 94) Ana Margarita Rosales Rodas, 95) Berta  Alicia</w:t>
        <w:br/>
        <w:t>Cermeño Arana, y 96) el sobreviviente Salomé Armando Gómez Hernández.</w:t>
        <w:br/>
        <w:br/>
        <w:t>[11]  Cuando se notificó la demanda al Estado se le informó  de  su  derecho</w:t>
        <w:br/>
        <w:t>de designar a un Juez ad hoc  para  la  consideración  del  caso.  El  2  de</w:t>
        <w:br/>
        <w:t>octubre de 2008 el Estado designó al señor Ramón Cadena Rámila.</w:t>
        <w:br/>
        <w:br/>
        <w:t>[12]  Cfr. Caso Masacre de Las Dos Erres Vs.  Guatemala.  Resolución  de  la</w:t>
        <w:br/>
        <w:t>Presidenta de la Corte de 18 de mayo de 2009.</w:t>
        <w:br/>
        <w:br/>
        <w:t>[13]   El  9  de  junio  de  2009  los  representantes  desistieron  de   la</w:t>
        <w:br/>
        <w:t>declaración del señor Amílcar Salazar Castillo, presunta víctima del caso.</w:t>
        <w:br/>
        <w:br/>
        <w:t>[14]  El 14 de mayo de 2009 el Estado remitió sus observaciones a  la  lista</w:t>
        <w:br/>
        <w:t>definitiva de testigos y peritos ofrecida por los  representantes  y  objetó</w:t>
        <w:br/>
        <w:t>el testimonio de Marco Antonio Garavito Fernández.</w:t>
        <w:br/>
        <w:br/>
        <w:t>[15]  Cfr. Caso Masacre de Las Dos Erres Vs.  Guatemala.  Resolución  de  la</w:t>
        <w:br/>
        <w:t>Corte de 6 de julio de 2009.</w:t>
        <w:br/>
        <w:br/>
        <w:t>[16]  A esta audiencia comparecieron: a)  por  la  Comisión  Interamericana:</w:t>
        <w:br/>
        <w:t>Isabel Madariaga, Juan Pablo Albán Alecastro y Angelita  Baeyens,  abogados;</w:t>
        <w:br/>
        <w:t>b) por los  representantes:  Viviana  Krsticevic,  Marcela  Martino,  Marcia</w:t>
        <w:br/>
        <w:t>Aguiluz, Carlos Pelayo Moller y Aura Elena Farfán, y c) por el Estado:  Dora</w:t>
        <w:br/>
        <w:t>Ruth del Valle Cóbar, Presidenta de la  Comisión  Presidencial  Coordinadora</w:t>
        <w:br/>
        <w:t>de la Política del Ejecutivo en Materia de Derechos  Humanos,  Delia  Marina</w:t>
        <w:br/>
        <w:t>Dávila Salazar,  Agente,  María  Elena  de  Jesús  Rodríguez  López,  Agente</w:t>
        <w:br/>
        <w:t>Alterna y Sara Elizabeth Romero, asesora.</w:t>
        <w:br/>
        <w:br/>
        <w:t>[17]   Cfr.  Caso  de  las  Masacres  de  Ituango  Vs.  Colombia.  Excepción</w:t>
        <w:br/>
        <w:t>Preliminar, Fondo, Reparaciones y Costas. Sentencia de 1 de julio  de  2006.</w:t>
        <w:br/>
        <w:t>Serie C No. 148, párr. 98; Caso Kimel Vs. Argentina. Fondo,  Reparaciones  y</w:t>
        <w:br/>
        <w:t>Costas. Sentencia de 2 de mayo de 2008. Serie C No. 117, párr. 102,  y  Caso</w:t>
        <w:br/>
        <w:t>Tiu Tojín Vs. Guatemala. Fondo, Reparaciones y Costas. Sentencia  de  26  de</w:t>
        <w:br/>
        <w:t>noviembre de 2008. Serie C No. 190, párr. 58.</w:t>
        <w:br/>
        <w:br/>
        <w:t>[18]  Cfr. Caso Myrna  Mack  Chang  Vs.  Guatemala.  Fondo,  Reparaciones  y</w:t>
        <w:br/>
        <w:t>Costas. Sentencia de 25 de noviembre de 2003. Serie C No.  101,  párr.  105;</w:t>
        <w:br/>
        <w:t>Caso Albán Cornejo y  otros  Vs.  Ecuador.  Fondo,  Reparaciones  y  Costas.</w:t>
        <w:br/>
        <w:t>Sentencia de 22 de noviembre de 2007. Serie C No. 171, párr. 14, y Caso  Tiu</w:t>
        <w:br/>
        <w:t>Tojín Vs. Guatemala, supra nota 17, párr. 24.</w:t>
        <w:br/>
        <w:br/>
        <w:t>[19]  Cfr. Caso Myrna Mack Chang, supra nota  18,  párr.  107;  Caso  de  la</w:t>
        <w:br/>
        <w:t>Masacre de Mapiripán Vs. Colombia. Excepciones Preliminares. Sentencia de  7</w:t>
        <w:br/>
        <w:t>de marzo de 2005. Serie C No. 122, párr. 28, y  Caso  Goiburú  y  otros  Vs.</w:t>
        <w:br/>
        <w:t>Paraguay. Fondo, Reparaciones y Costas. Sentencia de  22  de  septiembre  de</w:t>
        <w:br/>
        <w:t>2006. Serie C No. 153, párr. 47.</w:t>
        <w:br/>
        <w:br/>
        <w:t>[20]  Cfr. Acuerdo de Solución Amistosa, supra nota 3.</w:t>
        <w:br/>
        <w:br/>
        <w:t>[21]  Caso Carpio Nicolle y  otros  Vs.  Guatemala.  Fondo,  Reparaciones  y</w:t>
        <w:br/>
        <w:t>Costas. Sentencia de 22 de noviembre de 2004. Serie C  No.  117,  párr.  84;</w:t>
        <w:br/>
        <w:t>Caso Valle Jaramillo y otros Vs. Colombia.  Fondo,  Reparaciones  y  Costas.</w:t>
        <w:br/>
        <w:t>Sentencia de 27 de noviembre de 2008. Serie C No.  192,  párr.  46,  y  Caso</w:t>
        <w:br/>
        <w:t>Kawas Fernández Vs. Honduras. Fondo, Reparaciones y Costas. Sentencia  de  3</w:t>
        <w:br/>
        <w:t>de abril de 2009. Serie C No. 196, párr. 32.</w:t>
        <w:br/>
        <w:br/>
        <w:t>[22]  Dicho artículo establece que: “[l]as disposiciones de  un  tratado  no</w:t>
        <w:br/>
        <w:t>obligarán a una parte respecto de ningún acto o hecho que haya tenido  lugar</w:t>
        <w:br/>
        <w:t>con anterioridad a la fecha de entrada en vigor del tratado para  esa  parte</w:t>
        <w:br/>
        <w:t>ni de ninguna situación que en esa fecha haya dejado de existir,  salvo  que</w:t>
        <w:br/>
        <w:t>una intención diferente se desprenda del tratado o conste de otro modo.”</w:t>
        <w:br/>
        <w:br/>
        <w:t>[23]  Cfr. Caso Cantos Vs. Argentina.  Excepciones  Preliminares.  Sentencia</w:t>
        <w:br/>
        <w:t>de 7 de septiembre de 2001. Serie C No. 85, párrs. 35 a 37;  Caso  Heliodoro</w:t>
        <w:br/>
        <w:t>Portugal  Vs.  Panamá.  Excepciones  Preliminares,  Fondo,  Reparaciones   y</w:t>
        <w:br/>
        <w:t>Costas. Sentencia de 12 de agosto de 2008. Serie C  No.  186,  párr.  23,  y</w:t>
        <w:br/>
        <w:t>Caso Garibaldi Vs. Brasil. Excepciones Preliminares, Fondo,  Reparaciones  y</w:t>
        <w:br/>
        <w:t>Costas. Sentencia de 23 de septiembre de 2009. Serie C No. 203, párr. 19.</w:t>
        <w:br/>
        <w:br/>
        <w:t>[24]  El reconocimiento de competencia hecho por Guatemala el 9 de marzo  de</w:t>
        <w:br/>
        <w:t>1987  señala  que  “[l]a  aceptación  de  la   competencia   de   la   Corte</w:t>
        <w:br/>
        <w:t>Interamericana de  Derechos  Humanos  se  hace  por  plazo  indefinido,  con</w:t>
        <w:br/>
        <w:t>carácter general, bajo condiciones de reciprocidad y con la reserva  de  que</w:t>
        <w:br/>
        <w:t>los  casos  en  que  se  reconoce  la  competencia  son  exclusivamente  los</w:t>
        <w:br/>
        <w:t>acaecidos  con  posterioridad  a  la  fecha  en  que  esta  declaración  sea</w:t>
        <w:br/>
        <w:t>presentada a Secretario de la Organización de los Estados Americanos”.</w:t>
        <w:br/>
        <w:br/>
        <w:t>[25]  Cfr. Caso Cantos Vs. Argentina, supra nota 23, párrs. 35  a  37;  Caso</w:t>
        <w:br/>
        <w:t>Heliodoro Portugal Vs. Panamá, supra nota 23, párr.  24,  y  Caso  Garibaldi</w:t>
        <w:br/>
        <w:t>Vs. Brasil, supra 23, párr. 20.</w:t>
        <w:br/>
        <w:br/>
        <w:t>[26]  Cfr. Caso Heliodoro Portugal Vs. Panamá, supra nota 23, párr. 24.</w:t>
        <w:br/>
        <w:br/>
        <w:t>[27]   Cfr.  Caso  Tibi  Vs.  Ecuador.  Excepciones   Preliminares,   Fondo,</w:t>
        <w:br/>
        <w:t>Reparaciones y Costas. Sentencia de 7 de septiembre de  2004.  Serie  C  No.</w:t>
        <w:br/>
        <w:t>114,  párrs.  62,  159  y  162;  Caso  Baldeón  García  Vs.   Perú.   Fondo,</w:t>
        <w:br/>
        <w:t>Reparaciones y Costas. Sentencia de 6 de abril de 2006.  Serie  C  No.  147,</w:t>
        <w:br/>
        <w:t>párr. 162, y Caso del Penal Miguel  Castro  Castro.  Fondo,  Reparaciones  y</w:t>
        <w:br/>
        <w:t>Costas. Sentencia de 25 de noviembre de 2006. Serie C No. 160, párrs. 266  y</w:t>
        <w:br/>
        <w:t>378.</w:t>
        <w:br/>
        <w:br/>
        <w:t>[28]  Cfr. Caso  de  la  “Panel  Blanca”  (Paniagua  Morales  y  otros)  Vs.</w:t>
        <w:br/>
        <w:t>Guatemala. Reparaciones y Costas. Sentencia de 25 de mayo de 2001.  Serie  C</w:t>
        <w:br/>
        <w:t>No. 76, párr. 50; Caso  Anzualdo  Castro  Vs.  Perú.  Excepción  Preliminar,</w:t>
        <w:br/>
        <w:t>Fondo, Reparaciones y Costas. Sentencia de 22 de septiembre de  2009.  Serie</w:t>
        <w:br/>
        <w:t>C No. 202, párr. 21,  y  Caso  Dacosta  Cadogan  Vs.  Barbados.  Excepciones</w:t>
        <w:br/>
        <w:t>Preliminares, Fondo, Reparaciones y Costas. Sentencia de  24  de  septiembre</w:t>
        <w:br/>
        <w:t>de 2009. Serie C No. 203, párr. 32.</w:t>
        <w:br/>
        <w:br/>
        <w:t>[29]  Cfr. Caso  de  la  “Panel  Blanca”  (Paniagua  Morales  y  otros)  Vs.</w:t>
        <w:br/>
        <w:t>Guatemala. Fondo. Sentencia de 8 de marzo de 1998. Serie  C  No.  37,  párr.</w:t>
        <w:br/>
        <w:t>76; Caso Kawas Fernández Vs. Honduras, supra  nota  21,  párr.  36,  y  Caso</w:t>
        <w:br/>
        <w:t>Reverón Trujillo Vs. Venezuela. Excepción Preliminar, Fondo, Reparaciones  y</w:t>
        <w:br/>
        <w:t>Costas. Sentencia de 30 de junio de 2009. Serie C No. 197, párr. 26.</w:t>
        <w:br/>
        <w:br/>
        <w:t>[30]  Cfr. Caso Velásquez Rodríguez Vs. Honduras. Fondo. Sentencia de 29  de</w:t>
        <w:br/>
        <w:t>julio de 1988. Serie C No. 4,  párr.  140;  Caso  Acevedo  Buendía  y  otros</w:t>
        <w:br/>
        <w:t>(“Cesantes y Jubilados de la Contraloría”) Vs. Perú.  Excepción  Preliminar,</w:t>
        <w:br/>
        <w:t>Fondo, Reparaciones y Costas. Sentencia de 1 de julio de 2009. Serie  C  No.</w:t>
        <w:br/>
        <w:t>198, párr. 26, y Caso Dacosta Cadogan Vs. Barbados,  supra  nota  28,  párr.</w:t>
        <w:br/>
        <w:t>39.</w:t>
        <w:br/>
        <w:br/>
        <w:t>[31]  Cfr. Caso Escué Zapata Vs. Colombia.  Fondo,  Reparaciones  y  Costas.</w:t>
        <w:br/>
        <w:t>Sentencia de 4 de julio de 2007. Serie C No. 165, párr. 26,  Caso  Perozo  y</w:t>
        <w:br/>
        <w:t>otros  Vs.  Venezuela.  Excepciones  Preliminares,  Fondo,  Reparaciones   y</w:t>
        <w:br/>
        <w:t>Costas. Sentencia de 28 de enero de 2009. Serie C  No.  195,  párr.  108,  y</w:t>
        <w:br/>
        <w:t>Caso Reverón Trujillo Vs. Venezuela, supra nota 29, párr. 46.</w:t>
        <w:br/>
        <w:br/>
        <w:t>[32]   Prueba  superveniente  presentada  el  30  de  junio  de  2009:  nota</w:t>
        <w:br/>
        <w:t>periodística “Abogados adeudan Q6.4  millones  a  la  CC”  publicada  en  el</w:t>
        <w:br/>
        <w:t>diario guatemalteco “Prensa Libre” el día 21 de mayo de 2009;  solicitud  de</w:t>
        <w:br/>
        <w:t>información a la Corte de Constitucionalidad realizada por CEJIL el  día  10</w:t>
        <w:br/>
        <w:t>de junio de 2009; lista de  abogados  que  tienen  adeudos  a  la  Corte  de</w:t>
        <w:br/>
        <w:t>Constitucionalidad por concepto de costas procesales y multas  derivadas  de</w:t>
        <w:br/>
        <w:t>la interposición de recursos frívolos o notoriamente improcedentes;  recurso</w:t>
        <w:br/>
        <w:t>de reposición interpuesto por el Ministerio Público el 27 de enero del  2009</w:t>
        <w:br/>
        <w:t>contra la resolución de 8 de diciembre de 2008 emitida por  la  Sala  Cuarta</w:t>
        <w:br/>
        <w:t>de la Corte de Narcoactividad y Delitos contra  el  Ambiente  de  Guatemala;</w:t>
        <w:br/>
        <w:t>resolución de 23 de febrero de 2009 que  otorga  el  mencionado  recurso  de</w:t>
        <w:br/>
        <w:t>reposición  interpuesto  el  27  de  enero  de  2009;  recurso   de   amparo</w:t>
        <w:br/>
        <w:t>interpuesto por el imputado Reyes Colin  Gualip  el  13  de  marzo  de  2009</w:t>
        <w:br/>
        <w:t>contra la resolución de 23 de  febrero  de  2009,  y  resolución  de  23  de</w:t>
        <w:br/>
        <w:t>febrero de 2009 de la Sala Cuarta de Apelaciones del Ramo Penal por el  cual</w:t>
        <w:br/>
        <w:t>se resuelve la Acción de Inconstitucionalidad  presentada  por  el  imputado</w:t>
        <w:br/>
        <w:t>Roberto Aníbal Rivera  Martínez,  y  el  trámite  de  su  apelación.  Prueba</w:t>
        <w:br/>
        <w:t>superviniente presentada el 7 de  julio  de  2009:  acreditación  del  señor</w:t>
        <w:br/>
        <w:t>Benedicto Tenas como Agente Fiscal de la Fiscalía  de  Sección  de  Derechos</w:t>
        <w:br/>
        <w:t>Humanos; nota del Magistrado Presidente de la Cámara Penal de 25 de mayo  de</w:t>
        <w:br/>
        <w:t>2009, solicitud del  Ministerio  Público  a  Juzgado  de  Primera  Instancia</w:t>
        <w:br/>
        <w:t>Penal, Narcoactividad y Delitos contra el Ambiente de San Benito, Petén,  de</w:t>
        <w:br/>
        <w:t>22 de junio de 2009; resolución  del  Juzgado  de  Primera  Instancia  Penal</w:t>
        <w:br/>
        <w:t>Narcoactividad y Delitos contra el Ambiente de San Benito, Petén  de  23  de</w:t>
        <w:br/>
        <w:t>junio de 2009,  y nota periodística  “Bitácora  militar  queda  en  reserva”</w:t>
        <w:br/>
        <w:t>publicada en el diario guatemalteco “Prensa Libre” el  día  6  de  julio  de</w:t>
        <w:br/>
        <w:t>2007.</w:t>
        <w:br/>
        <w:br/>
        <w:t>[33]  Cfr. Caso Baena Ricardo y otros  Vs.  Panamá.  Fondo,  Reparaciones  y</w:t>
        <w:br/>
        <w:t>Costas. Sentencia de 2 de febrero de 2001. Serie C No. 72,  párr.  71;  Caso</w:t>
        <w:br/>
        <w:t>Perozo y otros Vs. Venezuela, supra nota 31,  párr.  95,  y  Caso  Escher  y</w:t>
        <w:br/>
        <w:t>otros Vs. Brasil. Excepciones Preliminares, Fondo,  Reparaciones  y  Costas.</w:t>
        <w:br/>
        <w:t>Sentencia de 6 de julio de 2009. Serie C No. 200, párr. 59.</w:t>
        <w:br/>
        <w:br/>
        <w:t>[34]  Cfr. Caso de las Masacres de Ituango  Vs.  Colombia,  supra  nota  17,</w:t>
        <w:br/>
        <w:t>párr.  114;  Caso  de  la  Masacre  de  la  Rochela  Vs.  Colombia.   Fondo,</w:t>
        <w:br/>
        <w:t>Reparaciones y Costas. Sentencia de 11 de mayo de  2007.  Serie  C  No  153,</w:t>
        <w:br/>
        <w:t>párr. 62, y Caso Escher y otros, supra nota 33, párr. 74.</w:t>
        <w:br/>
        <w:br/>
        <w:t>[35]  Cfr. Caso de la Masacre de Mapiripán  Vs.  Colombia,  supra  nota  19,</w:t>
        <w:br/>
        <w:t>párr. 58; Caso de la Masacre de la Rochela  Vs.  Colombia,  supra  nota  34,</w:t>
        <w:br/>
        <w:t>párr. 62, y Caso Escher y otros Vs. Brasil, supra nota 33, párr. 74.</w:t>
        <w:br/>
        <w:br/>
        <w:t>[36]  Cfr. Caso de  las  Hermanas  Serrano  Cruz  Vs.  El  Salvador.  Fondo,</w:t>
        <w:br/>
        <w:t>Reparaciones y Costas. Sentencia de 1 de marzo de 2005.  Serie  C  No.  120,</w:t>
        <w:br/>
        <w:t>párr. 39; Caso de la Masacre de la Rochela  Vs.  Colombia,  supra  nota  34,</w:t>
        <w:br/>
        <w:t>párr. 62, y Caso Escher y otros Vs. Brasil, supra nota 33, párr. 74.</w:t>
        <w:br/>
        <w:br/>
        <w:t>[37]  Cfr. Caso de las Hermanas Serrano Cruz Vs.  El  Salvador,  supra  nota</w:t>
        <w:br/>
        <w:t>36, párr. 40, Caso de la Masacre de la Rochela Vs. Colombia, supra nota  34,</w:t>
        <w:br/>
        <w:t>párr. 62, y Caso Escher y otros Vs. Brasil, supra nota 33, párr. 74.</w:t>
        <w:br/>
        <w:br/>
        <w:t>[38]  Cfr. Caso Velásquez Rodríguez Vs. Honduras, supra nota 30, párr.  146;</w:t>
        <w:br/>
        <w:t>Caso Escher y otros Vs. Brasil, supra nota 33, párr.  76,  y  Caso  Anzualdo</w:t>
        <w:br/>
        <w:t>Castro Vs. Perú, supra nota 28, párr. 25.</w:t>
        <w:br/>
        <w:br/>
        <w:t>[39]  En lo pertinente, el artículo 8.1 señala  que  “[t]oda  persona  tiene</w:t>
        <w:br/>
        <w:t>derecho a ser  oída,  con  las  debidas  garantías 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carácter.”</w:t>
        <w:br/>
        <w:br/>
        <w:t>[40]  En lo pertinente, el artículo 25.1, señala que “[t]oda  persona  tiene</w:t>
        <w:br/>
        <w:t>derecho a un recurso sencillo y rápido a  cualquier  otro  recurso  efectivo</w:t>
        <w:br/>
        <w:t>ante los jueces o tribunales competentes, que la  ampare  contra  actos  que</w:t>
        <w:br/>
        <w:t>violen sus derechos fundamentales reconocidos por la Constitución, la ley  o</w:t>
        <w:br/>
        <w:t>la presente Convención, aun cuando tal violación sea cometida  por  personas</w:t>
        <w:br/>
        <w:t>que actúen en ejercicio de sus funciones oficiales.”</w:t>
        <w:br/>
        <w:br/>
        <w:t>[41]  En lo pertinente, el artículo 1.1, señala que  “[l]os  Estados  Partes</w:t>
        <w:br/>
        <w:t>en esta Convención se comprometen  a  respetar  los  derechos  y  libertades</w:t>
        <w:br/>
        <w:t>reconocidos en ella y a  garantizar  su  libre  y  pleno  ejercicio  a  toda</w:t>
        <w:br/>
        <w:t>persona que esté sujeta a su jurisdicción,  sin  discriminación  alguna  por</w:t>
        <w:br/>
        <w:t>motivos de raza, color, sexo, idioma, religión,  opiniones  políticas  o  de</w:t>
        <w:br/>
        <w:t>cualquier  otra  índole,  origen  nacional  o  social,  posición  económica,</w:t>
        <w:br/>
        <w:t>nacimiento o cualquier otra condición social.”</w:t>
        <w:br/>
        <w:br/>
        <w:t>[42]  El artículo 2 establece que “[s]i  el  ejercicio  de  los  derechos  y</w:t>
        <w:br/>
        <w:t>libertades mencionados en el artículo 1  no  estuviere  ya  garantizado  por</w:t>
        <w:br/>
        <w:t>disposiciones legislativas  o  de  otro  carácter,  los  Estados  Partes  se</w:t>
        <w:br/>
        <w:t>comprometen a adoptar, con arreglo a sus procedimientos  constitucionales  y</w:t>
        <w:br/>
        <w:t>a las disposiciones de esta Convención, las medidas legislativas o  de  otro</w:t>
        <w:br/>
        <w:t>carácter que  fueren  necesarias  para  hacer  efectivos  tales  derechos  y</w:t>
        <w:br/>
        <w:t>libertades.”</w:t>
        <w:br/>
        <w:br/>
        <w:t>[43]  El artículo 1  establece  que  “[l]os  Estados  partes  se  obligan  a</w:t>
        <w:br/>
        <w:t>prevenir  y  a  sancionar  la  tortura  en  los  términos  de  la   presente</w:t>
        <w:br/>
        <w:t>Convención.”</w:t>
        <w:br/>
        <w:br/>
        <w:t>[44]  El artículo 6 establece que “[d]e conformidad con lo dispuesto  en  el</w:t>
        <w:br/>
        <w:t>artículo 1, los Estados partes tomarán medidas  efectivas  para  prevenir  y</w:t>
        <w:br/>
        <w:t>sancionar la tortura en el ámbito de su jurisdicción. Los Estados partes  se</w:t>
        <w:br/>
        <w:t>asegurarán de que todos los actos de  tortura  y  los  intentos  de  cometer</w:t>
        <w:br/>
        <w:t>tales actos constituyan delitos conforme a su derecho  penal,  estableciendo</w:t>
        <w:br/>
        <w:t>para castigarlos  sanciones  severas  que  tengan  en  cuenta  su  gravedad.</w:t>
        <w:br/>
        <w:t>Igualmente, los Estados partes tomarán medidas  efectivas  para  prevenir  y</w:t>
        <w:br/>
        <w:t>sancionar, además, otros tratos o penas crueles, inhumanos o degradantes  en</w:t>
        <w:br/>
        <w:t>el ámbito de su jurisdicción.”</w:t>
        <w:br/>
        <w:br/>
        <w:t>[45]  El artículo 8 establece que “[l]os Estados partes garantizarán a  toda</w:t>
        <w:br/>
        <w:t>persona que denuncie haber sido sometida  a  tortura  en  el  ámbito  de  su</w:t>
        <w:br/>
        <w:t>jurisdicción  el  derecho  a  que  el  caso  sea  examinado  imparcialmente.</w:t>
        <w:br/>
        <w:t>Asimismo, cuando exista denuncia o  razón  fundada  para  creer  que  se  ha</w:t>
        <w:br/>
        <w:t>cometido un acto de tortura en el ámbito de  su  jurisdicción,  los  Estados</w:t>
        <w:br/>
        <w:t>partes garantizarán que sus respectivas autoridades procederán de  oficio  y</w:t>
        <w:br/>
        <w:t>de inmediato a realizar una investigación sobre el caso y a iniciar,  cuando</w:t>
        <w:br/>
        <w:t>corresponda, el respectivo proceso penal.  Una vez agotado  el  ordenamiento</w:t>
        <w:br/>
        <w:t>jurídico interno del respectivo Estado y los recursos  que  éste  prevé,  el</w:t>
        <w:br/>
        <w:t>caso podrá ser sometido a instancias internacionales cuya  competencia  haya</w:t>
        <w:br/>
        <w:t>sido aceptada por ese Estado.”</w:t>
        <w:br/>
        <w:br/>
        <w:t>[46]  El artículo 7 establece que “[l]os Estados Partes condenan  todas  las</w:t>
        <w:br/>
        <w:t>formas de violencia contra la mujer y convienen en adoptar,  por  todos  los</w:t>
        <w:br/>
        <w:t>medios  apropiados  y  sin  dilaciones,  políticas  orientadas  a  prevenir,</w:t>
        <w:br/>
        <w:t>sancionar y erradicar dicha violencia y en llevar a cabo  lo  siguiente  […]</w:t>
        <w:br/>
        <w:t>b. actuar con la debida diligencia para prevenir, investigar y sancionar  la</w:t>
        <w:br/>
        <w:t>violencia contra la mujer.”</w:t>
        <w:br/>
        <w:br/>
        <w:t>[47]  Cfr. CEH, Guatemala: Memoria del Silencio,  Capítulo  II:  Volumen  2,</w:t>
        <w:br/>
        <w:t>supra nota 6, párr. 86.</w:t>
        <w:br/>
        <w:br/>
        <w:t>[48]  Cfr. CEH, Guatemala: Memoria del Silencio, supra nota 6,  Capítulo  I,</w:t>
        <w:br/>
        <w:t>Antecedentes Inmediatos, párr. 120.</w:t>
        <w:br/>
        <w:br/>
        <w:t>[49]   Cfr.  CEH,  Guatemala:  Memoria   del   Silencio,   supra   nota   6,</w:t>
        <w:br/>
        <w:t>Conclusiones, párrs. 86, 105 y 114  (Anexos  al  escrito  de  solicitudes  y</w:t>
        <w:br/>
        <w:t>pruebas, Anexo 33, fs. 10945, 10949 y 10951).</w:t>
        <w:br/>
        <w:br/>
        <w:t>[50]  CEH, Guatemala: Memoria del Silencio, supra nota 6, Anexo  I,  Volumen</w:t>
        <w:br/>
        <w:t>I, Caso Ilustrativo No. 31.</w:t>
        <w:br/>
        <w:br/>
        <w:t>[51]  CEH, Guatemala: Memoria del Silencio, supra nota 6.</w:t>
        <w:br/>
        <w:br/>
        <w:t>[52]  Del informe  de  la  CEH,  Guatemala:  Memoria  del  Silencio,  y  del</w:t>
        <w:br/>
        <w:t>testimonio rendido por César Franco Ibáñez  se  desprende  que  las  FAR  se</w:t>
        <w:br/>
        <w:t>llevaron 19 fusiles (Anexos a la demanda, anexo 30, f. 4020).  Sin  embargo,</w:t>
        <w:br/>
        <w:t>en la demanda la Comisión se refiere al testimonio rendido por Favio  Pinzón</w:t>
        <w:br/>
        <w:t>del cual se desprende que eran 21 fusiles (Anexos a la  demanda,  anexo  30,</w:t>
        <w:br/>
        <w:t>f. 3940).</w:t>
        <w:br/>
        <w:br/>
        <w:t>[53]  Del análisis comparativo de las listas remitidas  por  la  Comisión  y</w:t>
        <w:br/>
        <w:t>los representantes, así como de las observaciones del Estado,  se  desprende</w:t>
        <w:br/>
        <w:t>que durante la masacre por lo menos fallecieron las siguientes personas:  1)</w:t>
        <w:br/>
        <w:t>Gerónimo Muñoz Batres, 2) José Domingo Batres, 3) Elvida  Cano  Aguilar,  4)</w:t>
        <w:br/>
        <w:t>Margarita Cortes, 5) Abel Muñoz Cano, 6) Bernabe Muñoz Cano, 7) Vilma  Muñoz</w:t>
        <w:br/>
        <w:t>Cano, 8) Oralia Muñoz Cano, 9) Isabel Muñoz Cano, 10) Elizabeth Muñoz  Cano,</w:t>
        <w:br/>
        <w:t>11) Geronimo Muñoz Cano, 12) Recién nacida,  13)  Cayetano  Ruano  Castillo,</w:t>
        <w:br/>
        <w:t>14) Irma Aracely Ruano Arana, 15) Nery Ruano Arana, 16) Isabel Ruano  Arana,</w:t>
        <w:br/>
        <w:t>17) Paulina Ruano Arana, 18) Tito Ruano  Arana,  19)  Mártir  Alfonso  Ruano</w:t>
        <w:br/>
        <w:t>Arana, 20) Esperanza Consuelo Ruano Arana,  21)  Obdulio  Ruano  Arana,  22)</w:t>
        <w:br/>
        <w:t>Mirian  Ruano  Arana,  23)  Edgar  Leonel  Ruano  Arana,  24)   Juan   Mejía</w:t>
        <w:br/>
        <w:t>Echeverría, 25) Jose Antonio Mejía Morales,  26)  Estanislao  González,  27)</w:t>
        <w:br/>
        <w:t>Josefina Arreaga de Galicia, 28) Miguel Ángel Galicia, 29)  Maribel  Galicia</w:t>
        <w:br/>
        <w:t>Arreaga, 30) Samuel Galicia Arreaga, 31) Raquel  Galicia  Arreaga,  32)  Noé</w:t>
        <w:br/>
        <w:t>Galicia Arreaga, 33) Celso Martínez Gómez,  34)  Cristina  Castillo  Alfaro,</w:t>
        <w:br/>
        <w:t>35) Santos Pernillo Jiménez, 36)  Hilario  Pernillo  Jiménez,  37)  Graciela</w:t>
        <w:br/>
        <w:t>Pernillo Jiménez, 38) Agustín Loaiza Contreras, 39) Benedicto Granados,  40)</w:t>
        <w:br/>
        <w:t>Marcelino Granados Juárez, 41) Raúl Antonio Corrales Hércules, 42) Tomas  de</w:t>
        <w:br/>
        <w:t>Jesús Romero Ramírez,  43)  Abel  Granados  Sandoval,  44)  Adelso  Granados</w:t>
        <w:br/>
        <w:t>Rodríguez, 45) Mirian Granados Rodríguez, 46)  Leticia  Granados  Rodríguez,</w:t>
        <w:br/>
        <w:t>47) Irma Granados Rodríguez, 48)  Carlos  Enrique  Granados  Rodríguez,  49)</w:t>
        <w:br/>
        <w:t>Elida Esperanza González Arreaga,  50)  Ana  Alcira  González  Arreaga,  51)</w:t>
        <w:br/>
        <w:t>Rubilio Armando Barahona Medrano,  52)  Catarino  Medrano  Pérez,  53)  Juan</w:t>
        <w:br/>
        <w:t>Pablo Arévalo, 54) Marta de  Jesús  Valle  de  Arévalo,  55)  Josué  Arévalo</w:t>
        <w:br/>
        <w:t>Valle, 56) Dina Elizabeth Arévalo Valle, 57) Joel Arévalo  Valle,  58)  Abel</w:t>
        <w:br/>
        <w:t>Antonio Arévalo Valle, 59)  Dora  Patricia  López  Arévalo,  60)  Elda  Rubí</w:t>
        <w:br/>
        <w:t>Hernández Lima, 61) Justiniano Hernández Lima, 62) Bertila  Hernández  Lima,</w:t>
        <w:br/>
        <w:t>63) Angelina Hernández Lima, 64)  Fernando  García,  65)  Francisca  Leticia</w:t>
        <w:br/>
        <w:t>Megía, 66) Germayin Mayen Alfaro, 67) Audias Mayen Alfaro, 68) Marta  Maleny</w:t>
        <w:br/>
        <w:t>Mayen, 69) Victor Manuel Campos López, 70) Salvador Campos López,  71)  José</w:t>
        <w:br/>
        <w:t>Rubén Campos López, 72) Canuto Pérez  Morales,  73)  Cecilio  Gustavo  Pérez</w:t>
        <w:br/>
        <w:t>López, 74) Abel Pérez  López,  75)  Gladis  Judith  Aldana  Canan,  76)  Edi</w:t>
        <w:br/>
        <w:t>Rolando Aldana Canan, 77) Ana  Maritza  Aldana  Canan,  78)  Franciso  Mayen</w:t>
        <w:br/>
        <w:t>Ramírez, 79) Rolando Barrientos Corado, 80)  Dionicio  Ruano  Castillo,  81)</w:t>
        <w:br/>
        <w:t>Juan López Méndez,  82)  Francisco  Deras  Tejada,  83)  Francisco  González</w:t>
        <w:br/>
        <w:t>Palma, 84) Rigoberto Ruano Aquino, 85) Lencho  Portillo  Pérez,  86)  Arturo</w:t>
        <w:br/>
        <w:t>Salazar Castillo, 87) José Esteban Romero, 88) Natividad de  Jesús  Ramirez,</w:t>
        <w:br/>
        <w:t>89) María Ines Romero Ramírez, 90) Paula  Romero  Ramírez,  91)  Maximiliano</w:t>
        <w:br/>
        <w:t>Peralta  Chinchilla,  92)  Gilberta  Hernández  García,  93)  Geovani  Ruano</w:t>
        <w:br/>
        <w:t>Hernández, 94) Jaime Ruano Hernández, 95) María Linares Pernillo,  96)  Rosa</w:t>
        <w:br/>
        <w:t>García Linares, 97) Silvia García Linares, 98)  Santos  Cermeño  Arana,  99)</w:t>
        <w:br/>
        <w:t>Niño recién nacido de 6 días no  identificado,  100)  Isidro  Alonzo  Rivas,</w:t>
        <w:br/>
        <w:t>101) Marcelino Ruano Castillo, 102) Manuel Ruano Pernillo, 103) Jorge  Ruano</w:t>
        <w:br/>
        <w:t>Pernillo, 104) Marcelino Ruano Pernillo, 105) Anabela Adela Ruano  Pernillo,</w:t>
        <w:br/>
        <w:t>106) Consuelo Esperanza Ruano Pernillo, 107) Niña de 1 año no  identificada,</w:t>
        <w:br/>
        <w:t>108) Patrocinio García Barahona, 109) Franciso Javier Cabrera Galeano,  110)</w:t>
        <w:br/>
        <w:t>Solero Salazar Cano, 111) Eren  Rene  Salazar  Castillo,  112)  Elsa  Oralia</w:t>
        <w:br/>
        <w:t>Salazar Castillo, 113) Irma Consuelo Salazar Castillo,  114)  Edgar  Rolando</w:t>
        <w:br/>
        <w:t>Salazar Castillo, 115) Leonarda Lima Moran,  116)  Fredy  de  Jesús  Cabrera</w:t>
        <w:br/>
        <w:t>Lima, 117) Lorenzo Corado Castillo, 118) Toribio López  Ruano,  119)  Santos</w:t>
        <w:br/>
        <w:t>López Ruano, 120)  Alicia  López  Ruano,  121)  Mariano  López  Ruano,  122)</w:t>
        <w:br/>
        <w:t>Clorinda Recinos, 123) Eleluina Catañeda  Recinos,  124)  Antonio  Castañeda</w:t>
        <w:br/>
        <w:t>Recinos, 125) Cesar Castañeda Recinos, 126) Alfredo Castañeda Recinos,  127)</w:t>
        <w:br/>
        <w:t>Esther  Castañeda  Recinos,  128)  Enma  Castañeda  Recinos,  129)   Maribel</w:t>
        <w:br/>
        <w:t>Castañeda Recinos, 130) Israel Medrano Flores,  131)  Rene  Jiménez  Flores,</w:t>
        <w:br/>
        <w:t>132) Victoriano Jiménez Pernillo, 133) Lucita Jiménez Castillo, 134)  Lilian</w:t>
        <w:br/>
        <w:t>Jiménez Castillo, 135) Mayra Jiménez Castillo, 136) Adan  Jiménez  Castillo,</w:t>
        <w:br/>
        <w:t>137) Baldomero Jiménez Castillo, 138) Lucita Castillo  Pineda,  139)  Odilia</w:t>
        <w:br/>
        <w:t>Pernillo Pineda, 140) Rudy Cermeño Pernillo, 141) Amparo Cermeño   Pernillo,</w:t>
        <w:br/>
        <w:t>142) Wendy Yesenia Cermeño Pernillo,  143)  Santos  Oliverio  Cermeño,  144)</w:t>
        <w:br/>
        <w:t>Jeremías Jiménez, 145) Serapio García García, 146)  Timoteo  Morales  Pérez,</w:t>
        <w:br/>
        <w:t>147) Everildo  Granados  Sandoval,  148)  Euralio  Granados  Sandoval,  149)</w:t>
        <w:br/>
        <w:t>Angelina Escobar Osorio de Granados, 150) Celso Martínez  Gómez,  151)  Ilda</w:t>
        <w:br/>
        <w:t>Rodríguez Cardona de Granados, 152) Francisco de  Jesús  Guevara,  153)  Noé</w:t>
        <w:br/>
        <w:t>Guevara Yanes, 154) Roberto Pineda  García,  155)  Juana  Linares  Pernillo,</w:t>
        <w:br/>
        <w:t>156) Leonel Pineda Linares, 157)  Dora  Alicia  Pineda  Linares,  158)  Adán</w:t>
        <w:br/>
        <w:t>Pineda Linares, 159) Sonia Pineda Linares, 160) Felipe  Arreaga,  161)  Luis</w:t>
        <w:br/>
        <w:t>Alberto Arreaga  Alonzo,  162)  María  Carmela  Arreaga  Alonso,  163)  Juan</w:t>
        <w:br/>
        <w:t>Humberto Arreaga Alonzo, 164) Rosa Lorena Arreaga Alonzo, 165)  Juana  Maura</w:t>
        <w:br/>
        <w:t>Arrega Alonzo, 166) María Decidora Marroquín  Miranda,  167)  Vilma  Pastora</w:t>
        <w:br/>
        <w:t>Coto Rivas, 168) Leonarda Antonio Coto, 169) Juan  Antonio  Cermeño  Ortega,</w:t>
        <w:br/>
        <w:t>170) Sotero Cermeño Arana, 171) Julia Arana  Pineda,  172)  Horacio  Cermeño</w:t>
        <w:br/>
        <w:t>Arana, 173) Olivia Cermeño Arana, 174) Catalino Cermeño Arana,  175)  Ramiro</w:t>
        <w:br/>
        <w:t>Cermeño Arana, 176)  María  del  Rosario  Cermeño  Arana,  177)  Rosa  María</w:t>
        <w:br/>
        <w:t>Cermeño Arana, 178) Julio Cesar Cermeño Arana, 179) Ricardo  Cermeño  Arana,</w:t>
        <w:br/>
        <w:t>180) Julián Jiménez Jerónimo, 181) Petrona Cristales Motepeque, 182)  Víctor</w:t>
        <w:br/>
        <w:t>Manuel Corado Osorio, 183) Víctor Hugo Corado Cirstales,  184)  Rony  Corado</w:t>
        <w:br/>
        <w:t>Cristales, 185) Adelso Corado Cristales, 186) Félix  Hernández  Moran,  187)</w:t>
        <w:br/>
        <w:t>Dora Alicia Hernández, 188) María Antonia Hernández, 189)  Dorca  Hernández,</w:t>
        <w:br/>
        <w:t>190) Blanca Hernández, 191) Federico Ruano  Aquino,  192)  Cristóbal  Aquino</w:t>
        <w:br/>
        <w:t>Gudiel, 193) Juana Aquino Gudiel,  194)  Juan  de  Dios  Falla  Mejía,  195)</w:t>
        <w:br/>
        <w:t>Ramiro Gómez, 196) Ramiro Aldana,  197)  Albina  Canan  Aldana,  198)  Delia</w:t>
        <w:br/>
        <w:t>Aracely Aldana Canan, 199) Sandra Nohemi  Aldana  Canan,  200)  Rosa  Albina</w:t>
        <w:br/>
        <w:t>Aldana Canan, 201) Mario Amilcar  Mayen  Ramírez,  202)  Juan  Carlos  Mayen</w:t>
        <w:br/>
        <w:t>Ramírez, 203) Maynor Mayen Aquino, 204) Edelmira Mayen  Aquino,  205)  Marco</w:t>
        <w:br/>
        <w:t>Antonio Mayen Aquino, 206) niña de 5 meses  NN,  207)  Sonia  Ruano  García,</w:t>
        <w:br/>
        <w:t>208) Raquel Silvestre Ruano García, 209) Olivero Ruano García,  210)  Héctor</w:t>
        <w:br/>
        <w:t>Corado Cristales, 211) Albino Israel González Carias,  212)  Sotero  Cermeño</w:t>
        <w:br/>
        <w:t>Barahona, 213) María Magdalena Granados Rodríguez, y  214)  Amanda  Granados</w:t>
        <w:br/>
        <w:t>Rodríguez.  Además,  durante  el  trámite  ante  la  Corte  Susana  González</w:t>
        <w:br/>
        <w:t>Menéndez  y  Benigno  de  Jesús  Ramírez  González  fueron  señalados   como</w:t>
        <w:br/>
        <w:t>presuntas víctimas en el presente caso  (supra  nota  8).   Debido  a  esto,</w:t>
        <w:br/>
        <w:t>posteriormente los representantes aclararon que  sus  familiares  fallecidos</w:t>
        <w:br/>
        <w:t>en la masacre eran  Próspero  Ramírez  Peralta  y  Guadalupe  Nelia  Ramírez</w:t>
        <w:br/>
        <w:t>González, quienes no fueron señalados en la demanda  ni  en  el  escrito  de</w:t>
        <w:br/>
        <w:t>solicitudes y argumentos (Escrito de los representantes de 11 de  septiembre</w:t>
        <w:br/>
        <w:t>de  2009,  expediente  de  excepciones  preliminares,  fondo  y   eventuales</w:t>
        <w:br/>
        <w:t>reparaciones y costas,  Tomo  VI,  f.  1159).  En  consecuencia,  estas  dos</w:t>
        <w:br/>
        <w:t>personas se incluyen a los fallecidos en la masacre.  Por  otra  parte,  los</w:t>
        <w:br/>
        <w:t>representantes  también  indicaron  que  falleció  una  “niña  de  años   no</w:t>
        <w:br/>
        <w:t>identificada”, nieta de Encarnación García  Castillo,  presunta  víctima  de</w:t>
        <w:br/>
        <w:t>este  caso  (Escrito  de  los  representantes  de  las  víctimas  de  11  de</w:t>
        <w:br/>
        <w:t>septiembre  de  2009,  expediente  de  excepciones  preliminares,  fondo   y</w:t>
        <w:br/>
        <w:t>eventuales reparaciones y costas, Tomo VI, f. 1159).</w:t>
        <w:br/>
        <w:br/>
        <w:t>[54]  CEH, Guatemala: Memoria del  Silencio,  supra  nota  6,  Conclusiones,</w:t>
        <w:br/>
        <w:t>párr. 126.</w:t>
        <w:br/>
        <w:br/>
        <w:t>[55]  Cfr. Memorial presentado por Aura Elena  Farfán  ante  el  Juzgado  de</w:t>
        <w:br/>
        <w:t>Primera Instancia Penal de Petén el  14  de  julio  de  1994  (Anexos  a  la</w:t>
        <w:br/>
        <w:t>demanda, expediente judicial, pieza 1 a 5, anexo 17, f. 2888).</w:t>
        <w:br/>
        <w:br/>
        <w:t>[56]  Cfr.  Memorial  presentado  por  el  Fiscal  Especial  del  Ministerio</w:t>
        <w:br/>
        <w:t>Público ante el Juzgado de Primera Instancia Penal de Petén el  15  de  mayo</w:t>
        <w:br/>
        <w:t>de 2000 (Anexos a la demanda, expediente judicial, pieza XV  a  XVII,  anexo</w:t>
        <w:br/>
        <w:t>31, fs. 4172 a 4185).</w:t>
        <w:br/>
        <w:br/>
        <w:t>[57]  Cfr.  Memorial  presentado  por  el  Fiscal  Especial  del  Ministerio</w:t>
        <w:br/>
        <w:t>Público ante el Juzgado de Primera Instancia Penal de Petén el  17  de  mayo</w:t>
        <w:br/>
        <w:t>de 2000 (Anexos a la demanda, expediente judicial, pieza XV  a  XVII,  anexo</w:t>
        <w:br/>
        <w:t>31, fs. 4186 a 4324).</w:t>
        <w:br/>
        <w:br/>
        <w:t>[58]  Cfr.  Memorial  presentado  por  el  Fiscal  Especial  del  Ministerio</w:t>
        <w:br/>
        <w:t>Público, supra nota 56.</w:t>
        <w:br/>
        <w:br/>
        <w:t>[59]  Cfr. Auto del Juzgado de Primera Instancia Penal de  Petén  de  22  de</w:t>
        <w:br/>
        <w:t>mayo de 2000 (Anexos a la demanda, expediente judicial,  pieza  XV  a  XVII,</w:t>
        <w:br/>
        <w:t>fs. 4326 a 4327).</w:t>
        <w:br/>
        <w:br/>
        <w:t>[60]  La información solicitada fue la siguiente: “A)  Nombres  y  apellidos</w:t>
        <w:br/>
        <w:t>del Comandante de la Base Militar de Petén, durante los meses  de  Noviembre</w:t>
        <w:br/>
        <w:t>y Diciembre de 1982, B) Nombres  y  apellidos  del  Comandante  de  la  Base</w:t>
        <w:br/>
        <w:t>Militar actual de Petén, C) Nombres y apellidos  de  los  Oficiales  de  los</w:t>
        <w:br/>
        <w:t>distintos destacamentos ubicados en dicho Departamento durante los meses  de</w:t>
        <w:br/>
        <w:t>Noviembre y Diciembre de 1982, D)  Nombres  y  apellidos  de  los  Oficiales</w:t>
        <w:br/>
        <w:t>actuales en los distintos  destacamentos  ubicados  en  el  Departamento  de</w:t>
        <w:br/>
        <w:t>Petén a la presente fecha, E) Nombres y apellidos del Oficial  a  cargo  del</w:t>
        <w:br/>
        <w:t>destacamento ubicado en la Aldea “Las Cruces”,  Municipio  de  La  Libertad,</w:t>
        <w:br/>
        <w:t>Departamento de Petén durante los meses de Noviembre y  Diciembre  de  1982,</w:t>
        <w:br/>
        <w:t>F) Nombres y apellidos del Oficial a cargo del destacamento  ubicado  en  la</w:t>
        <w:br/>
        <w:t>Aldea “Las Cruces”, Municipio de La Libertad, Departamento  de  Petén  a  la</w:t>
        <w:br/>
        <w:t>presente fecha, G) Nombres y  apellidos  completos,  cargo  que  actualmente</w:t>
        <w:br/>
        <w:t>ocupa y base militar o destacamento en donde se encuentra el Oficial  CARLOS</w:t>
        <w:br/>
        <w:t>MANUEL CARIAS, CARLOS CARIAS,  o  MANUEL  CARIAS,  y  si  dicho  Oficial  se</w:t>
        <w:br/>
        <w:t>encontraba de alta en el Petén durante los meses de  Noviembre  y  Diciembre</w:t>
        <w:br/>
        <w:t>de 1982, H)  Que  conocimiento  y/o  información  tuvo  el  Alto  Mando  del</w:t>
        <w:br/>
        <w:t>Ejército Nacional, de  los  hechos  trágicos  ocurridos  en  la  Aldea  “Las</w:t>
        <w:br/>
        <w:t>Cruces”, Municipio de La Libertad, Departamento  de  Petén,  el  7  y  8  de</w:t>
        <w:br/>
        <w:t>Diciembre de 1982, I) Que tipo de  acciones  e  investigaciones  realizó  el</w:t>
        <w:br/>
        <w:t>Ejército Nacional, institucionalmente, para determinar lo sucedido el 7 y  8</w:t>
        <w:br/>
        <w:t>de Diciembre de 1982, en la Aldea “Dos Erres”,  Municipio  de  La  Libertad,</w:t>
        <w:br/>
        <w:t>Departamento de Petén”. Cfr. Auto del Ministerio Público de 26 de  junio  de</w:t>
        <w:br/>
        <w:t>1996 (Anexos a la demanda, expediente judicial, pieza VI a XIII,  anexo  27,</w:t>
        <w:br/>
        <w:t>fs. 3720 a 3721).</w:t>
        <w:br/>
        <w:br/>
        <w:t>[61]  Cfr.  Memorial  presentado  por  FAMDEGUA  al  Fiscal  General  de  la</w:t>
        <w:br/>
        <w:t>República el 18 de julio de 1996 (Anexos a la demanda, expediente  judicial,</w:t>
        <w:br/>
        <w:t>pieza VI a XIII, anexo 28, f. 3727).</w:t>
        <w:br/>
        <w:br/>
        <w:t>[62]  Cfr. Comunicación del Ministerio de  la  Defensa  Nacional  de  24  de</w:t>
        <w:br/>
        <w:t>septiembre de 1996 (Anexos a la demanda, expediente  judicial,  pieza  VI  a</w:t>
        <w:br/>
        <w:t>XIII, anexo 29, fs. 3784 a 3785).</w:t>
        <w:br/>
        <w:br/>
        <w:t>[63]  Cfr. Comunicación del  Ministro  de  la  Defensa  Nacional  al  Agente</w:t>
        <w:br/>
        <w:t>Fiscal del Ministerio Público de 21 de enero de 1997 (Anexos a  la  demanda,</w:t>
        <w:br/>
        <w:t>expediente judicial, pieza VI a XIII, anexo 29, f. 3789).</w:t>
        <w:br/>
        <w:br/>
        <w:t>[64]  Cfr. Comunicación del  Ministro  de  la  Defensa  Nacional  al  Agente</w:t>
        <w:br/>
        <w:t>Fiscal del Ministerio Público  de  27  de  febrero  de  1997  (Anexos  a  la</w:t>
        <w:br/>
        <w:t>demanda, expediente judicial, pieza VI a XIII, anexo 29, f. 3794).</w:t>
        <w:br/>
        <w:br/>
        <w:t>[65]  Cfr. Comunicación del  Ministro  de  la  Defensa  Nacional  al  Agente</w:t>
        <w:br/>
        <w:t>Especial de los Casos Mack y Las Dos Erres de 12 de junio de 1997 (Anexos  a</w:t>
        <w:br/>
        <w:t>la demanda, expediente judicial, pieza VI a XIII, anexo 30, f. 4056).</w:t>
        <w:br/>
        <w:br/>
        <w:t>[66]  Cfr. Comunicación del  Ministro  de  la  Defensa  Nacional  al  Fiscal</w:t>
        <w:br/>
        <w:t>Especial de los Casos Mack y Las Dos Erres de 29 de agosto de  1997  (Anexos</w:t>
        <w:br/>
        <w:t>a la demanda, expediente judicial, piezas VI a XIII, anexo 29,  fs.  3847  a</w:t>
        <w:br/>
        <w:t>3851).</w:t>
        <w:br/>
        <w:br/>
        <w:t>[67]  Cfr. Actas en las que constan declaraciones rendidas: el 28 de  agosto</w:t>
        <w:br/>
        <w:t>de 1996 por Alejandro Gómez Rodríguez, Inocencio González, Baldomero  Pineda</w:t>
        <w:br/>
        <w:t>Batres, Jerónimo Baten Ixcoy, Demetrio Baten Ixcoy, Orlando Amilcar  Aguilar</w:t>
        <w:br/>
        <w:t>Marroquín  y  Domingo  Estrada  Chitoc  (Anexos  a  la  demanda,  expediente</w:t>
        <w:br/>
        <w:t>judicial, pieza VI a XIII, anexo 29, fs. 3761 a 3772); el 12  de  septiembre</w:t>
        <w:br/>
        <w:t>de 1996  por  Desiderio  Aquino  Ruano  (Anexos  a  la  demanda,  expediente</w:t>
        <w:br/>
        <w:t>judicial, pieza VI a XIII, anexo 29, f. 3778); el 27 de  mayo  de  1997  por</w:t>
        <w:br/>
        <w:t>César Franco Ibáñez (Anexos a la demanda, expediente  judicial,  pieza  XIV,</w:t>
        <w:br/>
        <w:t>anexo 30, fs. 3955 a 4006), Favio Pinzón (Anexos a  la  demanda,  expediente</w:t>
        <w:br/>
        <w:t>judicial, pieza XIV, anexo  30,  fs.  3923  a  3954)  e  Inocencio  González</w:t>
        <w:br/>
        <w:t>(Anexos a la demanda, expediente judicial, pieza XIV, anexo 30, fs.  4051  a</w:t>
        <w:br/>
        <w:t>4054); el 23 de febrero de 1999 por Miguel  Ángel  Cristales  (Anexos  a  la</w:t>
        <w:br/>
        <w:t>demanda, expediente judicial, pieza VI a XIII, anexo 29, fs. 3862 a 3863)  y</w:t>
        <w:br/>
        <w:t>Reina Montepeque (Anexos a la  demanda,  expediente  judicial,  pieza  VI  a</w:t>
        <w:br/>
        <w:t>XIII, anexo 29, fs. 3864 a 3866), y acta de la  declaración  testimonial  de</w:t>
        <w:br/>
        <w:t>Lidia García Pérez rendida el 16 julio de 1999 ante  el  Ministerio  Público</w:t>
        <w:br/>
        <w:t>(Anexos a la demanda, expediente judicial, pieza VI a  XIII,  anexo  29,  f.</w:t>
        <w:br/>
        <w:t>3867 a 3870).</w:t>
        <w:br/>
        <w:br/>
        <w:t>[68]  Cfr. Acta de la declaración testimonial de Lidia García  Pérez,  supra</w:t>
        <w:br/>
        <w:t>nota 67.</w:t>
        <w:br/>
        <w:br/>
        <w:t>[69]  Cfr. Resolución del Juzgado de Primera Instancia Penal de Petén de  10</w:t>
        <w:br/>
        <w:t>de febrero de 1999 (Anexos a la demanda, expediente  judicial,  pieza  XIII,</w:t>
        <w:br/>
        <w:t>f. 3819).</w:t>
        <w:br/>
        <w:br/>
        <w:t>[70]  Cfr. Resolución del Juzgado de Primera Instancia Penal de Petén  de  8</w:t>
        <w:br/>
        <w:t>de marzo de 2000 (Anexos a la demanda, expediente judicial, pieza  XIII,  f.</w:t>
        <w:br/>
        <w:t>3889), y acta en la que consta declaración de César  Franco  Ibáñez  rendida</w:t>
        <w:br/>
        <w:t>el 17 de marzo de 2000 ante el Juzgado de Primera Instancia Penal  de  Petén</w:t>
        <w:br/>
        <w:t>(Anexos a la demanda, expediente judicial, pieza VI a XIII,  anexo  29,  fs.</w:t>
        <w:br/>
        <w:t>3895 a 3911).</w:t>
        <w:br/>
        <w:br/>
        <w:t>[71]  Cfr. Resolución del Juzgado de Primera Instancia Penal de Petén  de  7</w:t>
        <w:br/>
        <w:t>de octubre de 1999 (Anexos a la demanda, expediente  judicial,  pieza  VI  a</w:t>
        <w:br/>
        <w:t>XIII, anexo 29, f. 3871).</w:t>
        <w:br/>
        <w:br/>
        <w:t>[72]  Cfr. Resolución del Juzgado de Primera Instancia Penal de Petén  de  4</w:t>
        <w:br/>
        <w:t>de abril de 2000 (Anexos a  la  demanda,  expediente  judicial,  pieza  XIV,</w:t>
        <w:br/>
        <w:t>anexo 30, fs. 4110 a 4113).</w:t>
        <w:br/>
        <w:br/>
        <w:t>[73]  Cfr. Sentencias de la Corte de Constitucionalidad de  3  de  abril  de</w:t>
        <w:br/>
        <w:t>2001 sobre el amparo interpuesto por Carlos Antonio  Carías  López,  Roberto</w:t>
        <w:br/>
        <w:t>Aníbal Rivera Martínez, César Adán Rosales  Batres,  Carlos  Humberto  Oliva</w:t>
        <w:br/>
        <w:t>Martínez y Reyes Collin Gualip el 11 de abril de 2000 (Anexos a la  demanda,</w:t>
        <w:br/>
        <w:t>anexo 37, fs. 5441 a 5454)  y  de  4  de  abril  de  2001  sobre  el  amparo</w:t>
        <w:br/>
        <w:t>interpuesto por Manuel Pop Sun el 26 de abril de 2000 (Anexos a la  demanda,</w:t>
        <w:br/>
        <w:t>anexo 35, fs. 5211 a 5225), y el amparo  interpuesto  por  Manuel  Cupertino</w:t>
        <w:br/>
        <w:t>Montenegro Hernández, Daniel Martínez Méndez y Cirilo Benjamín Caal Ac el  2</w:t>
        <w:br/>
        <w:t>de junio de 2002 (Anexos a la demanda, anexo 36, fs. 5292 a 5305).</w:t>
        <w:br/>
        <w:br/>
        <w:t>[74]  Cfr. Sentencias de la Corte de Constitucionalidad de 3 y  4  de  abril</w:t>
        <w:br/>
        <w:t>de 2001, supra nota 73.</w:t>
        <w:br/>
        <w:br/>
        <w:t>[75]  Cfr. Sentencias de la Corte de Constitucionalidad de 24  de  abril  de</w:t>
        <w:br/>
        <w:t>2000 (Anexos a la demanda, expediente judicial,  pieza  XIV,  anexo  30,  f.</w:t>
        <w:br/>
        <w:t>4148); 8 de mayo de 2000 (Anexos a la demanda,  expediente  judicial,  pieza</w:t>
        <w:br/>
        <w:t>XIV, anexo 30, f. 4159), y 20  de  junio  de  2000  (Anexos  a  la  demanda,</w:t>
        <w:br/>
        <w:t>expediente judicial, pieza XVI, f. 4403).</w:t>
        <w:br/>
        <w:br/>
        <w:t>[76]  Cfr. Resoluciones del Juzgado de Primera Instancia Penal de  Petén  de</w:t>
        <w:br/>
        <w:t>3 de mayo de 2000 (Anexos a la  demanda,  expediente  judicial,  pieza  XIV,</w:t>
        <w:br/>
        <w:t>anexo 30, fs. 4153 a 4155); 19  de  mayo  de  2000  (Anexos  a  la  demanda,</w:t>
        <w:br/>
        <w:t>expediente judicial, pieza XIV, anexo 30, fs. 4164 a 4166), y  17  de  julio</w:t>
        <w:br/>
        <w:t>de 2000 (Anexos a la demanda, expediente judicial, pieza XV  a  XVII,  anexo</w:t>
        <w:br/>
        <w:t>32, fs. 4407 a 4409).</w:t>
        <w:br/>
        <w:br/>
        <w:t>[77]  Cfr. Comunicación del Juzgado de Primera Instancia Penal de  Petén  de</w:t>
        <w:br/>
        <w:t>6 de abril de 2000 de la cual se desprende que el sindicado Manuel  Pop  Sun</w:t>
        <w:br/>
        <w:t>fue Sargento Mayor Especialista,  conductor  de  comitiva  4  (Anexos  a  la</w:t>
        <w:br/>
        <w:t>demanda, anexo 30, f. 4140), y oficio emitido  por  el  Oficial  Primero  de</w:t>
        <w:br/>
        <w:t>Policía, Jefe de Sección, el 25 de abril  de  2000  (Anexos  a  la  demanda,</w:t>
        <w:br/>
        <w:t>expediente judicial, pieza XIV, anexo 30, f. 4139).</w:t>
        <w:br/>
        <w:br/>
        <w:t>[78]  Cfr. Sentencia de la Corte de Constitucionalidad de 3 y 4 de abril  de</w:t>
        <w:br/>
        <w:t>2001, supra nota 73.</w:t>
        <w:br/>
        <w:br/>
        <w:t>[79]  Cfr. Resoluciones del Juzgado de Primera Instancia Penal de  Petén  de</w:t>
        <w:br/>
        <w:t>10 de febrero de 1999 y 8 de marzo de 2000, supra notas 69 y 70.</w:t>
        <w:br/>
        <w:br/>
        <w:t>[80]  De la revisión del expediente se desprende que: el  29  de  septiembre</w:t>
        <w:br/>
        <w:t>de 2000 el sindicado Manuel Pop Sun  interpuso  dos  amparos  ante  la  Sala</w:t>
        <w:br/>
        <w:t>Tercera de  la  Corte  de  Apelaciones  (Cfr.  Sentencias  de  la  Corte  de</w:t>
        <w:br/>
        <w:t>Constitucionalidad de 19 de febrero de 2002 y 11 de julio de 2002, anexos  a</w:t>
        <w:br/>
        <w:t>la demanda, anexo 38, f. 5785 y anexos 39, f. 5894); el  12  de  octubre  de</w:t>
        <w:br/>
        <w:t>2000 un amparo fue interpuesto por Reyes Collin Gualip ante la Sala  Tercera</w:t>
        <w:br/>
        <w:t>de la Corte de Apelaciones (Anexos a la demanda, anexo 50, f. 7339);  el  13</w:t>
        <w:br/>
        <w:t>de octubre de 2000 fueron interpuestos 10 amparos por:  César  Adán  Rosales</w:t>
        <w:br/>
        <w:t>Batres ante la Sala Décima de la  Corte  de  Apelaciones  (Sentencia  de  la</w:t>
        <w:br/>
        <w:t>Corte de Constitucionalidad de 16 de agosto de 2002, anexos  a  la  demanda,</w:t>
        <w:br/>
        <w:t>anexo 55, f. 7946); Carlos Antonio Carías López ante la Sala  Cuarta  de  la</w:t>
        <w:br/>
        <w:t>Corte de Apelaciones (Sentencia de la Corte de Constitucionalidad de  19  de</w:t>
        <w:br/>
        <w:t>agosto de 2002, anexos a la demanda, anexo 46,  f.  6798);  Cirilo  Benjamín</w:t>
        <w:br/>
        <w:t>Caal Ac ante la Sala Primera de la Corte de  Apelaciones  (Sentencia  de  la</w:t>
        <w:br/>
        <w:t>Corte de Constitucionalidad de  27  de  septiembre  de  2002,  Anexos  a  la</w:t>
        <w:br/>
        <w:t>demanda, anexo 43, f. 6463); Carlos Humberto  Oliva  Ramírez  ante  la  Sala</w:t>
        <w:br/>
        <w:t>Segunda  de  la  Corte  de   Apelaciones   (Sentencia   de   la   Corte   de</w:t>
        <w:br/>
        <w:t>Constitucionalidad de 11 de julio de 2002, Anexos a la  demanda,  anexo  44,</w:t>
        <w:br/>
        <w:t>f.  6608);  Roberto  Aníbal  Rivera  Martínez  (Sentencia  de  la  Corte  de</w:t>
        <w:br/>
        <w:t>Constitucionalidad de 11 de julio de 2002, anexos a la  demanda,  anexo  54,</w:t>
        <w:br/>
        <w:t>f.  7853);  Carlos  Antonio  Carías  López  (Sentencia  de   la   Corte   de</w:t>
        <w:br/>
        <w:t>Constitucionalidad de 14 de agosto de 2002, Anexos a la demanda,  anexo  45,</w:t>
        <w:br/>
        <w:t>f.  6704);  Carlos  Humberto  Oliva  Ramírez  (Sentencia  de  la  Corte   de</w:t>
        <w:br/>
        <w:t>Constitucionalidad de 1 de octubre de 2003, Anexos a la demanda,  anexo  57,</w:t>
        <w:br/>
        <w:t>f. 8130); Manuel Supertino Montenegro Hernández (Sentencia de  la  Corte  de</w:t>
        <w:br/>
        <w:t>Constitucionalidad de 26 de abril de 2004, anexos a la  demanda,  anexo  60,</w:t>
        <w:br/>
        <w:t>f.  8386);  César  Adán  Rosales  Batres   (Sentencia   de   la   Corte   de</w:t>
        <w:br/>
        <w:t>Constitucionalidad de 9 de mayo de 2002, Anexos a la demanda, anexo  48,  f.</w:t>
        <w:br/>
        <w:t>7041);  Roberto  Aníbal  Rivera  Martínez  (Sentencia   de   la   Corte   de</w:t>
        <w:br/>
        <w:t>Constitucionalidad de 19 de febrero de 2002, anexos a la demanda, anexo  40,</w:t>
        <w:br/>
        <w:t>f. 5979). Además, el 12 y 13 de octubre  de  2000  fueron  interpuestos  dos</w:t>
        <w:br/>
        <w:t>amparos respectivamente por Manuel Cupertino Montenegro Hernández  y  Cirilo</w:t>
        <w:br/>
        <w:t>Benjamín Caal Ac, los cuales fueron mencionados de forma  incorrecta  en  la</w:t>
        <w:br/>
        <w:t>demanda (f.56).  Por  lo  tanto  no  se  pudieron  localizar,  lo  cual  fue</w:t>
        <w:br/>
        <w:t>confirmado por los representantes que indicaron que  las  decisiones  no  se</w:t>
        <w:br/>
        <w:t>encuentran disponibles (escrito de alegatos finales de  los  representantes,</w:t>
        <w:br/>
        <w:t>anexo 1, f. 19791).</w:t>
        <w:br/>
        <w:br/>
        <w:t>[81]  Cfr. Memoriales presentados por Reyes Collin Gualip el 4 de agosto  de</w:t>
        <w:br/>
        <w:t>2000 (Anexos a la demanda, expediente judicial, pieza XV a XVII, fs. 4433  a</w:t>
        <w:br/>
        <w:t>4446); por Manuel Pop Sun (Anexos a la demanda, expediente  judicial,  pieza</w:t>
        <w:br/>
        <w:t>XV a XVII, fs. 4508 a 4510); Cirilo Benjamín Caal Ac (Anexos a  la  demanda,</w:t>
        <w:br/>
        <w:t>expediente judicial, pieza XV a XVII, fs. 4513 a 4518); César  Adán  Rosales</w:t>
        <w:br/>
        <w:t>Batres (Anexos a la demanda, expediente judicial, pieza XV a XVII, fs.  4520</w:t>
        <w:br/>
        <w:t>a 4525); Carlos Humberto Oliva Ramírez  (Anexos  a  la  demanda,  expediente</w:t>
        <w:br/>
        <w:t>judicial, pieza XV a XVII, fs. 4527 a 4532);  Carlos  Antonio  Carías  López</w:t>
        <w:br/>
        <w:t>(Anexos a la demanda, expediente judicial, pieza  XV  a  XVII,  fs.  4534  a</w:t>
        <w:br/>
        <w:t>4539);  Manuel  Cupertino  Montenegro  Hernández  (Anexos  a   la   demanda,</w:t>
        <w:br/>
        <w:t>expediente judicial, pieza XV a XVII, fs. 4541 a  4546),  y  Roberto  Aníbal</w:t>
        <w:br/>
        <w:t>Rivera Martínez (Anexos a la demanda, expediente judicial, pieza XV a  XVII,</w:t>
        <w:br/>
        <w:t>fs. 4548 a 4553), todos recibidos el 7 de septiembre de  2000;  por  Roberto</w:t>
        <w:br/>
        <w:t>Aníbal Rivera Martínez (Anexos a la demanda, expediente judicial,  pieza  XV</w:t>
        <w:br/>
        <w:t>a XVII, fs. 4764 a  4769);  Carlos  Humberto  Oliva  Ramírez  (Anexos  a  la</w:t>
        <w:br/>
        <w:t>demanda, expediente judicial, pieza XV a XVII,  fs.  4771  a  4776);  Manuel</w:t>
        <w:br/>
        <w:t>Cupertino Montenegro Hernández (Anexos a la  demanda,  expediente  judicial,</w:t>
        <w:br/>
        <w:t>pieza XV a XVII, fs. 4778 a 4783); Cirilo Benjamín  Caal  Ac  (Anexos  a  la</w:t>
        <w:br/>
        <w:t>demanda, expediente judicial, pieza XV a XVII, fs. 4785 a 4790); Manuel  Pop</w:t>
        <w:br/>
        <w:t>Sun (Anexos a la demanda, expediente judicial, pieza XV a XVII, fs.  4792  a</w:t>
        <w:br/>
        <w:t>4797); César Adán Rosales Batres (Anexos a la demanda, expediente  judicial,</w:t>
        <w:br/>
        <w:t>pieza XV a XVII, fs. 4799 a 4804); Carlos Antonio Carías López (Anexos a  la</w:t>
        <w:br/>
        <w:t>demanda, expediente judicial, pieza XV a VII, fs.  4806  a  4811),  y  Reyes</w:t>
        <w:br/>
        <w:t>Collin Gualip (Anexos a la demanda, expediente judicial, pieza  XV  a  XVII,</w:t>
        <w:br/>
        <w:t>fs. 4813 a 4819), todos recibidos el 19 de septiembre de 2000.</w:t>
        <w:br/>
        <w:br/>
        <w:t>[82]  Cfr. Memorial presentado por Reyes Collin Gualip el  4  de  agosto  de</w:t>
        <w:br/>
        <w:t>2000 (Anexos a la demanda, expediente judicial, pieza XV a XVII, fs. 4491  a</w:t>
        <w:br/>
        <w:t>4504); y 14 memoriales recibidos el 7 de septiembre de 2000, de  los  cuales</w:t>
        <w:br/>
        <w:t>se desprende  que  cada  uno  de  los  siguientes  imputados  interpuso  dos</w:t>
        <w:br/>
        <w:t>recursos :  Cirilo  Benjamín  Caal  Ac  (Anexos  a  la  demanda,  expediente</w:t>
        <w:br/>
        <w:t>judicial, pieza XV a XVII, fs. 4558 a 4565 y 4569 a 4580); Manuel  Cupertino</w:t>
        <w:br/>
        <w:t>Montenegro Hernández (Anexos a la demanda, expediente judicial, pieza  XV  a</w:t>
        <w:br/>
        <w:t>XVII, fs. 4584 a 4594 y 4598 a 4609); Carlos Humberto Oliva Ramírez  (Anexos</w:t>
        <w:br/>
        <w:t>a la demanda, expediente judicial, pieza XV a XVII, fs. 4613 a 4623  y  4724</w:t>
        <w:br/>
        <w:t>a 4733);  César  Adán  Rosales  Batres  (Anexos  a  la  demanda,  expediente</w:t>
        <w:br/>
        <w:t>judicial, pieza XV a XVII, fs. 4627 a 4641 y 4645 a  4655);  Carlos  Antonio</w:t>
        <w:br/>
        <w:t>Carías López (Anexos a la demanda, expediente judicial,  pieza  XV  a  XVII,</w:t>
        <w:br/>
        <w:t>fs. 4659 a 4669 y 4683 a 4694); Roberto Aníbal Rivera Martínez (Anexos a  la</w:t>
        <w:br/>
        <w:t>demanda, expediente judicial, pieza XV a XVII, fs. 4673  a  4682  y  4698  a</w:t>
        <w:br/>
        <w:t>4708), y Manuel Pop Sun (Anexos a la demanda, expediente judicial, pieza  XV</w:t>
        <w:br/>
        <w:t>a XVII, fs. 4712 a 4720 y 4737 a 4747).</w:t>
        <w:br/>
        <w:br/>
        <w:t>[83]  Cfr. Sentencias de la Corte de Constitucionalidad de 11  de  julio  de</w:t>
        <w:br/>
        <w:t>2002 sobre los amparos interpuestos por César Adán Rosales  Batres  ante  la</w:t>
        <w:br/>
        <w:t>Sala Décima de la Corte de Apelaciones (Anexos a la demanda,  anexo  53,  f.</w:t>
        <w:br/>
        <w:t>7734); Cirilo  Benjamín  Caal  Ac  ante  la  sala  Cuarta  de  la  Corte  de</w:t>
        <w:br/>
        <w:t>Apelaciones (Anexos a la demanda, anexo 51, f. 7458);  Reyes  Collin  Gualip</w:t>
        <w:br/>
        <w:t>ante la Sala Cuarta de la Corte de Apelaciones (Anexos a la  demanda,  anexo</w:t>
        <w:br/>
        <w:t>49, f. 7150); Carlos Humberto Oliva Ramírez  ante  la  Sala  Tercera  de  la</w:t>
        <w:br/>
        <w:t>Corte de Apelaciones (Anexos a la demanda, anexo 42, f. 6297), y por  Carlos</w:t>
        <w:br/>
        <w:t>Antonio Carías López ante la Sala Cuarta de la Corte de  Apelaciones,  dicho</w:t>
        <w:br/>
        <w:t>recurso fue mencionado en la demanda de forma incorrecta (fs. 58 y 63),  por</w:t>
        <w:br/>
        <w:t>lo que no se pudo localizar, y los representantes lo confirmaron al  indicar</w:t>
        <w:br/>
        <w:t>que la decisión no se encuentra disponible (Escrito de alegatos  finales  de</w:t>
        <w:br/>
        <w:t>los  representantes,  anexo  1,  f.  19795);  Sentencia  de  la   Corte   de</w:t>
        <w:br/>
        <w:t>Constitucionalidad de 18 de octubre de 2002 sobre el amparo interpuesto  por</w:t>
        <w:br/>
        <w:t>Manuel Cupertino Montenegro Hernández ante la Sala Cuarta  de  la  Corte  de</w:t>
        <w:br/>
        <w:t>Apelaciones (Anexos a la demanda, anexo 52, f. 7646); Sentencia de la  Corte</w:t>
        <w:br/>
        <w:t>de Constitucionalidad de 24 de abril de 2002  sobre  el  amparo  interpuesto</w:t>
        <w:br/>
        <w:t>por Manuel Pop Sun ante la Sala Cuarta de la Corte de Apelaciones (Anexos  a</w:t>
        <w:br/>
        <w:t>la  demanda,  anexo  47,  f.   6976),   y   Sentencia   de   la   Corte   de</w:t>
        <w:br/>
        <w:t>Constitucionalidad de 12 de noviembre de 2002 sobre  el  amparo  interpuesto</w:t>
        <w:br/>
        <w:t>por Roberto Aníbal Rivera Martínez ante la  sala  Primera  de  la  Corte  de</w:t>
        <w:br/>
        <w:t>Apelaciones (Anexos a la demanda, anexo 41, f. 6158).</w:t>
        <w:br/>
        <w:br/>
        <w:t>[84]  Cfr. Sentencias de la Corte de Constitucionalidad de 11 de  julio,  18</w:t>
        <w:br/>
        <w:t>de octubre y 12 de noviembre de 2002, supra nota 83.</w:t>
        <w:br/>
        <w:br/>
        <w:t>[85]  Cfr. Auto emitido por el Juzgado de Primera Instancia Penal  de  Petén</w:t>
        <w:br/>
        <w:t>el 7 de marzo de 2002 (Anexos  a  la  demanda,  expediente  judicial,  pieza</w:t>
        <w:br/>
        <w:t>XVIII, f. 5001).</w:t>
        <w:br/>
        <w:br/>
        <w:t>[86]  Cfr. Auto emitido por el Juzgado de Primera Instancia Penal  de  Petén</w:t>
        <w:br/>
        <w:t>el 21 de junio de 2002 (Anexos a la demanda, pieza  1  a  3,  anexo  66,  f.</w:t>
        <w:br/>
        <w:t>8673).</w:t>
        <w:br/>
        <w:br/>
        <w:t>[87]  Cfr. Auto emitido por el Juzgado de Primera Instancia Penal  de  Petén</w:t>
        <w:br/>
        <w:t>el 4 de junio de 2002 (Anexos  a  la  demanda,  expediente  judicial,  pieza</w:t>
        <w:br/>
        <w:t>XVIII, f. 5040).</w:t>
        <w:br/>
        <w:br/>
        <w:t>[88]  Cfr. Acta de excusa emitido por los Magistrados Titulares de  la  Sala</w:t>
        <w:br/>
        <w:t>Duodécima de la Corte de Apelaciones el 25 de junio de  2002  (Anexos  a  la</w:t>
        <w:br/>
        <w:t>demanda, expediente judicial, pieza 1 a 3, anexo 64, f. 8629).</w:t>
        <w:br/>
        <w:br/>
        <w:t>[89]  Cfr. Acta de excusa emitido por los Magistrados de la Sala  Décima  de</w:t>
        <w:br/>
        <w:t>la Corte de Apelaciones el 13 de  agosto  de  2002  (Anexos  a  la  demanda,</w:t>
        <w:br/>
        <w:t>expediente judicial, pieza 1 a 3, anexo 65, f. 8702).</w:t>
        <w:br/>
        <w:br/>
        <w:t>[90]  Cfr. Resolución de la Presidencia del  Organismo  Judicial  de  26  de</w:t>
        <w:br/>
        <w:t>diciembre de 2002 (Anexos a la demanda, expediente judicial, pieza  1  a  3,</w:t>
        <w:br/>
        <w:t>anexo 67, f. 8955).</w:t>
        <w:br/>
        <w:br/>
        <w:t>[91]  Cfr. Resolución de la Sala Cuarta de la Corte de Apelaciones de  2  de</w:t>
        <w:br/>
        <w:t>enero de 2003 (Anexos a la demanda, expediente judicial, pieza 1 a 3,  anexo</w:t>
        <w:br/>
        <w:t>67, f. 8958), y memorial presentado por César Adán Rosales Batres (Anexos  a</w:t>
        <w:br/>
        <w:t>la demanda, expediente judicial, pieza 1 a 3, anexo 65, f. 8842).</w:t>
        <w:br/>
        <w:br/>
        <w:t>[92]  Cfr. Resolución de la Sala Cuarta de la Corte de Apelaciones de 20  de</w:t>
        <w:br/>
        <w:t>enero de 2003 sobre el reclamo de  subsanación  presentado  por  César  Adán</w:t>
        <w:br/>
        <w:t>Rosales Batres (Anexos a la demanda,  expediente  judicial,  pieza  1  a  3,</w:t>
        <w:br/>
        <w:t>anexo 67, f. 8979).</w:t>
        <w:br/>
        <w:br/>
        <w:t>[93]  Cfr. Sentencias de la Corte de Constitucionalidad de  7  de  abril  de</w:t>
        <w:br/>
        <w:t>2003 sobre el amparo interpuesto por Carlos Humberto Oliva Ramírez  ante  la</w:t>
        <w:br/>
        <w:t>Sala Tercera de la Corte de Apelaciones el 11 de julio de 2002 (Anexos a  la</w:t>
        <w:br/>
        <w:t>demanda, anexo 56, f. 8035), y de  5  de  abril  de  2004  sobre  el  amparo</w:t>
        <w:br/>
        <w:t>interpuesto por César Adán Rosales Batres ante la Sala Décima  de  la  Corte</w:t>
        <w:br/>
        <w:t>de Apelaciones el 12 de julio de 2002 (Anexos a la  demanda,  anexo  58,  f.</w:t>
        <w:br/>
        <w:t>8220). Además un amparo fue interpuesto por  Reyes  Collin  Gualip  ante  la</w:t>
        <w:br/>
        <w:t>Sala Cuarta de la Corte de Apelaciones, lo cual  está  mencionado  de  forma</w:t>
        <w:br/>
        <w:t>incorrecta en la demanda (f. 64). Por lo tanto, no  se  pudo  localizar,  lo</w:t>
        <w:br/>
        <w:t>cual fue confirmado por los representantes que indicaron no  contar  con  el</w:t>
        <w:br/>
        <w:t>expediente  correspondiente  (Escrito  de  los  alegatos  finales   de   los</w:t>
        <w:br/>
        <w:t>representantes, anexo 1,  f.  19797).  De  otra  parte,  los  representantes</w:t>
        <w:br/>
        <w:t>también alegaron que  en  estas  fechas  fueron  interpuestos  dos  recursos</w:t>
        <w:br/>
        <w:t>adicionales, el 11 de julio de 2002 por Carlos Antonio Carías López ante  la</w:t>
        <w:br/>
        <w:t>sala Décima de la Corte de Apelaciones y el 5 de agosto de 2002 por  Roberto</w:t>
        <w:br/>
        <w:t>Aníbal Rivera Martínez ante la Sala Primera  de  la  Corte  de  Apelaciones.</w:t>
        <w:br/>
        <w:t>Estos recursos tampoco constan en la demanda y  los  representantes  por  su</w:t>
        <w:br/>
        <w:t>parte señalaron que no cuentan con los legajos correspondientes (Escrito  de</w:t>
        <w:br/>
        <w:t>los alegatos finales de los representantes, anexo 1, fs. 19796 a 19797).  En</w:t>
        <w:br/>
        <w:t>razón  de  esto  no  están  contabilizados  por  la  Corte   como   recursos</w:t>
        <w:br/>
        <w:t>interpuestos.</w:t>
        <w:br/>
        <w:br/>
        <w:t>[94]  Cfr. Memoriales presentados por  Reyes  Collin  Gualip  ante  la  Sala</w:t>
        <w:br/>
        <w:t>Duodécima de la Corte de Apelaciones el 2 de julio  de  2002  (Anexos  a  la</w:t>
        <w:br/>
        <w:t>demanda, expediente judicial, pieza 1 a 3, anexo 65,  fs.  8674  a  8675)  y</w:t>
        <w:br/>
        <w:t>César Adán Rosales Batres ante la Sala Duodécima de la Corte de  Apelaciones</w:t>
        <w:br/>
        <w:t>el 2 de julio de 2002 (Anexos a la demanda, expediente judicial, pieza  1  a</w:t>
        <w:br/>
        <w:t>3, anexo 65, fs. 8677 a 8680).</w:t>
        <w:br/>
        <w:br/>
        <w:t>[95]  Cfr. Memoriales presentados por  Reyes  Collin  Gualip  ante  la  Sala</w:t>
        <w:br/>
        <w:t>Cuarta de la Corte de Apelaciones el 15 de octubre  de  2002  (Anexos  a  la</w:t>
        <w:br/>
        <w:t>demanda, expediente judicial, pieza 1 a 3, anexo 66, fs.  8903  a  8904),  y</w:t>
        <w:br/>
        <w:t>ante la Sala Cuarta de la Corte de  Apelaciones  el  15  de  enero  de  2003</w:t>
        <w:br/>
        <w:t>(Anexos a la demanda, expediente judicial, pieza 1 a 3, anexo 67,  fs.  8972</w:t>
        <w:br/>
        <w:t>a 8973).</w:t>
        <w:br/>
        <w:br/>
        <w:t>[96]  Cfr. Memoriales presentados por Roberto Aníbal  Rivera  Martínez  ante</w:t>
        <w:br/>
        <w:t>la Sala Duodécima de la Corte de Apelaciones el 2 de julio de  2002  (Anexos</w:t>
        <w:br/>
        <w:t>a la demanda, expediente judicial, pieza 1 a 3, anexo 66, fs. 8682  a  8689)</w:t>
        <w:br/>
        <w:t>y Roberto Aníbal Rivera  Martínez  ante  la  Sala  Cuarta  de  la  Corte  de</w:t>
        <w:br/>
        <w:t>Apelaciones el 17  de  enero  de  2003  (Anexos  a  la  demanda,  expediente</w:t>
        <w:br/>
        <w:t>judicial, pieza 1 a 3, anexo 67, fs. 8980 a 8685).</w:t>
        <w:br/>
        <w:br/>
        <w:t>[97]  Cfr. Sentencia de la Sala Décima de la Corte de Apelaciones de  14  de</w:t>
        <w:br/>
        <w:t>febrero de 2003, sobre los recursos de  reposición  interpuestos  por  César</w:t>
        <w:br/>
        <w:t>Adán Rosales Batres, Reyes Collin Gualip y Roberto  Anibal  Rivera  Martínez</w:t>
        <w:br/>
        <w:t>(Anexos a la demanda, expediente judicial, pieza 1 a 3, anexo 65,  fs.  8852</w:t>
        <w:br/>
        <w:t>a 8857).</w:t>
        <w:br/>
        <w:br/>
        <w:t>[98]  El documento referido tiene  fecha  de  6  de  febrero  de  2003;  sin</w:t>
        <w:br/>
        <w:t>embargo, el sello de recepción de la Corte de Apelaciones  indica  la  fecha</w:t>
        <w:br/>
        <w:t>de 5 de febrero de 2003.</w:t>
        <w:br/>
        <w:br/>
        <w:t>[99]  Cfr.  Memorial  presentado  por  el  Fiscal  Especial  del  Ministerio</w:t>
        <w:br/>
        <w:t>Público ante la Sala Décima de la Corte de Apelaciones,  recibido  el  5  de</w:t>
        <w:br/>
        <w:t>febrero de 2003 (Anexos a la demanda, expediente  judicial,  pieza  1  a  3,</w:t>
        <w:br/>
        <w:t>anexo 65, fs. 8793 a 8807).</w:t>
        <w:br/>
        <w:br/>
        <w:t>[100] Cfr. Sentencias de la Sala Cuarta de la Corte de Apelaciones de 24  de</w:t>
        <w:br/>
        <w:t>enero de 2003 sobre la solicitud de Roberto Aníbal Rivera  Martínez  (Anexos</w:t>
        <w:br/>
        <w:t>a la demanda, expediente judicial, pieza 1 a 3, anexo 65, fs. 8771 a  8774),</w:t>
        <w:br/>
        <w:t>y de la Sala Duodécima de la Corte de Apelaciones de 6 de  febrero  de  2003</w:t>
        <w:br/>
        <w:t>sobre la solicitud de Carlos Antonio Carías Lopez   (Anexos  a  la  demanda,</w:t>
        <w:br/>
        <w:t>expediente judicial, pieza 1 a 3, anexo 65, f. 8811).</w:t>
        <w:br/>
        <w:br/>
        <w:t>[101] Cfr. Sentencia de la Sala Cuarta de la Corte de Apelaciones  de  3  de</w:t>
        <w:br/>
        <w:t>febrero de 2003 sobre el  recurso  de  reposición  interpuesto  por  Roberto</w:t>
        <w:br/>
        <w:t>Aníbal Rivera Martínez el  31  de  enero  de  2003  (Anexos  a  la  demanda,</w:t>
        <w:br/>
        <w:t>expediente judicial, pieza 1 a 3, anexo 65, fs. 8789 a 8790).</w:t>
        <w:br/>
        <w:br/>
        <w:t>[102] Cfr. Sentencia de la Corte de Constitucionalidad de 23  de  septiembre</w:t>
        <w:br/>
        <w:t>de 2004 sobre el amparo interpuesto por Roberto Aníbal  Rivera  Martínez  el</w:t>
        <w:br/>
        <w:t>18 de febrero de 2003 (Anexos a la demanda, expediente judicial, pieza  1  a</w:t>
        <w:br/>
        <w:t>3, anexo 61, fs. 8462 a 8471).</w:t>
        <w:br/>
        <w:br/>
        <w:t>[103] Cfr. Sentencia de la Sala Cuarta de la Corte de Apelaciones de  23  de</w:t>
        <w:br/>
        <w:t>febrero de 2009 sobre la  acción  de  inconstitucionalidad  interpuesta  por</w:t>
        <w:br/>
        <w:t>Roberto  Aníbal  Rivera  Martínez  el  14  de  febrero   de   2003   (Prueba</w:t>
        <w:br/>
        <w:t>Superviniente presentada por  los  representantes,  anexo  7,  fs.  19767  a</w:t>
        <w:br/>
        <w:t>19770).</w:t>
        <w:br/>
        <w:br/>
        <w:t>[104] Cfr. Memorial presentado por Roberto Aníbal Rivera  Martínez  ante  la</w:t>
        <w:br/>
        <w:t>Sala Cuarta de la Corte de  Apelaciones  el  6  de  marzo  de  2009  (Prueba</w:t>
        <w:br/>
        <w:t>Superviniente presentada por  los  representantes,  anexo  7,  fs.  19771  a</w:t>
        <w:br/>
        <w:t>19774).</w:t>
        <w:br/>
        <w:br/>
        <w:t>[105] Cfr. Sentencia de la Corte de Constitucionalidad de 8 de diciembre  de</w:t>
        <w:br/>
        <w:t>2004 sobre el amparo interpuesto por Reyes Collin Gualip el 7  de  marzo  de</w:t>
        <w:br/>
        <w:t>2003 (Anexos a la demanda, anexo 62, f. 8550 a 8557).</w:t>
        <w:br/>
        <w:br/>
        <w:t>[106] Cfr. Sentencia de la Corte de Constitucionalidad de  7  de  agosto  de</w:t>
        <w:br/>
        <w:t>2007 sobre el amparo interpuesto por Roberto Aníbal Rivera  Martínez  el  12</w:t>
        <w:br/>
        <w:t>de marzo de 2003 (Anexos al escrito de solicitudes y argumentos,  anexo  10,</w:t>
        <w:br/>
        <w:t>fs. 9381 a 9387).</w:t>
        <w:br/>
        <w:br/>
        <w:t>[107] Cfr. Memorial presentado por Reyes Collin Gualip el  13  de  marzo  de</w:t>
        <w:br/>
        <w:t>2009 (Prueba superveniente presentada por los representantes, anexo  6,  fs.</w:t>
        <w:br/>
        <w:t>19659 a 19675).</w:t>
        <w:br/>
        <w:br/>
        <w:t>[108] Cfr. Caso Velásquez Rodríguez Vs. Honduras. Excepciones  Preliminares.</w:t>
        <w:br/>
        <w:t>Sentencia de 26 de junio de 1987. Serie C No. 3, párr. 91; Caso Bayarri  Vs.</w:t>
        <w:br/>
        <w:t>Argentina. Excepción Preliminar, Fondo, Reparaciones y Costas. Sentencia  de</w:t>
        <w:br/>
        <w:t>30 de octubre de 2008. Serie C No. 187, párr. 103, y  Caso  Kawas  Fernández</w:t>
        <w:br/>
        <w:t>Vs. Honduras, supra nota 21, párr. 110.</w:t>
        <w:br/>
        <w:br/>
        <w:t>[109] Cfr.  Caso  Bulacio  Vs.  Argentina.  Fondo,  Reparaciones  y  Costas.</w:t>
        <w:br/>
        <w:t>Sentencia de 18 de septiembre de 2003. Serie C  No.  100,  párr.  114;  Caso</w:t>
        <w:br/>
        <w:t>Zambrano Vélez y otros Vs. Ecuador. Fondo, Reparaciones y Costas.  Sentencia</w:t>
        <w:br/>
        <w:t>de 4 de julio de 2007. Serie C No. 166, párr. 115, y  Caso  Kawas  Fernández</w:t>
        <w:br/>
        <w:t>Vs. Honduras, supra nota 21, párr. 112.</w:t>
        <w:br/>
        <w:br/>
        <w:t>[110] Cfr. Caso Mack Chang Vs. Guatemala, supra nota 18,  párrs.  204,  206,</w:t>
        <w:br/>
        <w:t>207, 209, 210 y 211.</w:t>
        <w:br/>
        <w:br/>
        <w:t>[111] El Hábeas Corpus Bajo Suspensión de Garantías (arts. 27.2, 25.1 y  7.6</w:t>
        <w:br/>
        <w:t>Convención Americana sobre Derechos Humanos) Opinión Consultiva OC-8/87  del</w:t>
        <w:br/>
        <w:t>30 de enero de 1987. Serie A No. 8, párr. 32.</w:t>
        <w:br/>
        <w:br/>
        <w:t>[112] Garantías Judiciales en Estados de Emergencia  (arts.  27.2,  25  y  8</w:t>
        <w:br/>
        <w:t>Convención Americana sobre Derechos Humanos) Opinión Consultiva OC-9/87  del</w:t>
        <w:br/>
        <w:t>6 de octubre de 1987. Serie A No. 9, párr. 24;  Caso  Castañeda  Gutman  Vs.</w:t>
        <w:br/>
        <w:t>México. Excepciones Preliminares, Fondo, Reparaciones  y  Costas.  Sentencia</w:t>
        <w:br/>
        <w:t>de 6 de agosto de 2008. Serie C No. 184, párr. 78, y  Caso  Escher  y  otros</w:t>
        <w:br/>
        <w:t>Vs. Brasil, supra nota 33, párr. 196.</w:t>
        <w:br/>
        <w:br/>
        <w:t>[113] Cfr. Caso Velásquez Rodríguez  Vs.  Hondura.  Fondo,  supra  nota  30,</w:t>
        <w:br/>
        <w:t>párrs. 64 y 66; Caso Escher y otros Vs. Brasil, supra nota 33, párr.  28,  y</w:t>
        <w:br/>
        <w:t>Caso Garibaldi Vs. Brasil, supra nota 23, párr. 46.</w:t>
        <w:br/>
        <w:br/>
        <w:t>[114] Artículo 1 de la Ley de Amparo, Decreto No. 1-86  de  8  de  enero  de</w:t>
        <w:br/>
        <w:t>1986 (Anexos a la demanda, anexo 70, f. 9121).</w:t>
        <w:br/>
        <w:br/>
        <w:t>[115]  Artículo  265  de  la  Constitución  Política  de  la  República   de</w:t>
        <w:br/>
        <w:t>Guatemala, y artículo 8 de la Ley de Amparo, supra nota 114.</w:t>
        <w:br/>
        <w:br/>
        <w:t>[116] Cfr. Artículos 33 y 77 a) de la Ley de Amparo, supra nota 113.</w:t>
        <w:br/>
        <w:br/>
        <w:t>[117] Por ejemplo, la Corte de Constitucionalidad  rechazó  varios  recursos</w:t>
        <w:br/>
        <w:t>interpuestos el 26 de octubre de 2000  por  ser  notoriamente  improcedentes</w:t>
        <w:br/>
        <w:t>por extemporáneos, y porque el acto  atacado  no  ha  ocasionado  agravio  a</w:t>
        <w:br/>
        <w:t>derechos constitucionales. Cfr. Sentencia de la Corte de  Constitucionalidad</w:t>
        <w:br/>
        <w:t>de 11 de julio de 2002 (Anexos a la demanda, anexos 42, 51 y 53, fs. 6303  a</w:t>
        <w:br/>
        <w:t>6404; 7464 a 7465, y 7738 a 7739).</w:t>
        <w:br/>
        <w:br/>
        <w:t>[118] Caso Myrna Mack Chang Vs. Guatemala, supra nota 18, párr. 206.</w:t>
        <w:br/>
        <w:br/>
        <w:t>[119] De la revisión del expediente ante la Corte se  desprende  que  cuatro</w:t>
        <w:br/>
        <w:t>recursos de amparo fueron otorgados, 24 fueron denegados, y uno de ellos  se</w:t>
        <w:br/>
        <w:t>encuentra pendiente de resolución ante la Corte de Constitucionalidad.   Los</w:t>
        <w:br/>
        <w:t>legajos relacionados con los demás recursos de amparo no fueron aportados  a</w:t>
        <w:br/>
        <w:t>los anexos por las partes del presente caso.</w:t>
        <w:br/>
        <w:br/>
        <w:t>[120] Al respecto, dicho perito señaló que “[e]n promedio en el año 2003  se</w:t>
        <w:br/>
        <w:t>hizo un estudio y se hizo una verificación por la Procuraduría  de  Derechos</w:t>
        <w:br/>
        <w:t>Humanos de Guatemala, y el  estudio  de  ese  análisis  que  evalúo  los  31</w:t>
        <w:br/>
        <w:t>amparos que se habían interpuesto hasta esa fecha. El  promedio  en  primera</w:t>
        <w:br/>
        <w:t>instancia estaba alrededor de los seis  meses.  Y  el  promedio  de  segunda</w:t>
        <w:br/>
        <w:t>instancia estaba alrededor de los 320 días.  Siendo un plazo  más  allá  del</w:t>
        <w:br/>
        <w:t>plazo que la costumbre judicial y en mi experiencia como  abogado  litigante</w:t>
        <w:br/>
        <w:t>en Guatemala, se da  la  tramitación  de  los  amparos  en  casos  comunes”.</w:t>
        <w:br/>
        <w:t>Declaración  del  testigo  Edgar  Fernando  Pérez  Archila  rendida  en   la</w:t>
        <w:br/>
        <w:t>audiencia pública celebrada ante la Corte en  La  Paz,  Bolivia,  el  14  de</w:t>
        <w:br/>
        <w:t>julio de 2009.</w:t>
        <w:br/>
        <w:br/>
        <w:t>[121] Cfr. Dictamen Pericial de Claudia Paz  y  Paz  Bailey  rendida  en  la</w:t>
        <w:br/>
        <w:t>audiencia  pública  celebrada  ante  la  Corte  Interamericana  en  La  Paz,</w:t>
        <w:br/>
        <w:t>Bolivia, el 14 de julio de 2009.</w:t>
        <w:br/>
        <w:br/>
        <w:t>[122] Ver, inter alia, el Informe de la Alta  Comisionada  de  las  Naciones</w:t>
        <w:br/>
        <w:t>Unidas para los Derechos Humanos sobre las  actividades  de  su  oficina  en</w:t>
        <w:br/>
        <w:t>Guatemala A/HRC/4/49/Add.1 del 12 de febrero de 2007, párr.  30,  se  señala</w:t>
        <w:br/>
        <w:t>que “[l]a interposición de recursos dilatorios  de  amparo  sigue  afectando</w:t>
        <w:br/>
        <w:t>los casos de justicia de transición. En este sentido, la iniciativa  de  Ley</w:t>
        <w:br/>
        <w:t>No.  3319  sobre  reformas  al  amparo  sigue  pendiente  en  el  Congreso”.</w:t>
        <w:br/>
        <w:t>Asimismo, la Alta  Comisionada  “inst[ó]  al  Congreso  a  aprobar  […]  las</w:t>
        <w:br/>
        <w:t>reformas a la Ley de Amparo, Exhibición Personal y de Constitucionalidad”.</w:t>
        <w:br/>
        <w:br/>
        <w:t>[123] Acuerdo No. 17-91 de la Corte Suprema de Justicia por medio  del  cual</w:t>
        <w:br/>
        <w:t>se crea la Sala Duodécima de la Corte de Apelaciones, con sede en la  ciudad</w:t>
        <w:br/>
        <w:t>de Guatemala, publicado en el diario de Centro América el 24  de  septiembre</w:t>
        <w:br/>
        <w:t>de 1991 (Anexos al escrito de solicitudes y argumentos, anexo 3, f. 9263).</w:t>
        <w:br/>
        <w:br/>
        <w:t>[124] Según se desprende del análisis de  las  sentencias  de  la  Corte  de</w:t>
        <w:br/>
        <w:t>Constitucionalidad,  en   particular   las   que   resuelven   los   amparos</w:t>
        <w:br/>
        <w:t>interpuestos entre  septiembre  y  octubre  de  2000  (escrito  de  alegatos</w:t>
        <w:br/>
        <w:t>finales de los representantes, anexo 1, tabla de recursos interpuestos,  fs.</w:t>
        <w:br/>
        <w:t>19789 a 19795).</w:t>
        <w:br/>
        <w:br/>
        <w:t>[125] Iniciativa de Ley No. 3319 de 17 agosto de 2005, mediante la  cual  se</w:t>
        <w:br/>
        <w:t>propone modificaciones a la Ley de Amparo (Anexos al escrito de  solicitudes</w:t>
        <w:br/>
        <w:t>y argumentos, anexo 5, fs. 9271 a 9284).</w:t>
        <w:br/>
        <w:br/>
        <w:t>[126] Exposición de motivos de la Iniciativa de Ley  No.  3319,  supra  nota</w:t>
        <w:br/>
        <w:t>125, f. 9273.</w:t>
        <w:br/>
        <w:br/>
        <w:t>[127] Dictamen conjunto favorable de la Iniciativa de Ley No.  3319  de  las</w:t>
        <w:br/>
        <w:t>Comisiones de  Reforma  del  Sector  Justicia  y  de  Legislación  y  Puntos</w:t>
        <w:br/>
        <w:t>Constitucionales (Anexos al escrito de solicitudes y  argumentos,  anexo  6,</w:t>
        <w:br/>
        <w:t>fs. 9286 y 9287).</w:t>
        <w:br/>
        <w:br/>
        <w:t>[128] Cfr. Dictamen Pericial de Claudia Paz y Paz Bailey, supra nota 121.</w:t>
        <w:br/>
        <w:br/>
        <w:t>[129] Cfr. Caso Castillo Petruzzi y otros Vs. Perú.  Fondo,  Reparaciones  y</w:t>
        <w:br/>
        <w:t>Costas. Sentencia de 30 de mayo de 1999. Serie C No.  52,  párr.  207;  Caso</w:t>
        <w:br/>
        <w:t>Heliodoro Portugal Vs. Panamá, supra nota 23,  párr.  180,  y  Caso  Reverón</w:t>
        <w:br/>
        <w:t>Trujillo Vs. Venezuela, supra nota 29, párr. 60.</w:t>
        <w:br/>
        <w:br/>
        <w:t>[130] Cfr. Artículo 11 de la LRN.</w:t>
        <w:br/>
        <w:br/>
        <w:t>[131] Sin embargo, los representantes señalaron que en  diciembre  de  2007,</w:t>
        <w:br/>
        <w:t>al conocer de la apelación de un recurso de amparo  presentado  por  uno  de</w:t>
        <w:br/>
        <w:t>los imputados en el caso de las violaciones  cometidas  en  la  Embajada  de</w:t>
        <w:br/>
        <w:t>España en 1980 contra ciudadanos guatemaltecos  y  españoles,  la  Corte  de</w:t>
        <w:br/>
        <w:t>Constitucionalidad decidió otorgar el amparo,  rechazando  la  solicitud  de</w:t>
        <w:br/>
        <w:t>extradición hecha por España, y dejó sin efecto las órdenes  de  aprehensión</w:t>
        <w:br/>
        <w:t>provisionales que se habían dictado. Cfr.  Corte  de  Constitucionalidad  de</w:t>
        <w:br/>
        <w:t>Guatemala, Sentencia de  12  de  diciembre  de  2007,  Expediente  3380-2007</w:t>
        <w:br/>
        <w:t>(Anexos al escrito de solicitudes  y  argumentos,  anexo  43,  fs.  11785  a</w:t>
        <w:br/>
        <w:t>11847).</w:t>
        <w:br/>
        <w:br/>
        <w:t>[132] El artículo 11 de la LRN establece que “[l]os delitos que están  fuera</w:t>
        <w:br/>
        <w:t>del ámbito de la presente Ley o  los  que  son  imprescriptibles  o  que  no</w:t>
        <w:br/>
        <w:t>admiten extinción de la responsabilidad penal de acuerdo a  derecho  interno</w:t>
        <w:br/>
        <w:t>o a los tratados internacionales aprobados o ratificados  por  Guatemala  se</w:t>
        <w:br/>
        <w:t>tramitarán conforme el  procedimiento  establecido  en  el  Código  Procesal</w:t>
        <w:br/>
        <w:t>Penal.”</w:t>
        <w:br/>
        <w:br/>
        <w:t>[133] Caso Del Caracazo Vs. Venezuela. Reparaciones y Costas.  Sentencia  de</w:t>
        <w:br/>
        <w:t>29 de agosto de 2002. Serie C No. 95, párr. 119. Cfr. Caso Barrios Altos  Vs</w:t>
        <w:br/>
        <w:t>Perú. Fondo. Sentencia de 14 de marzo de 2001. Serie C No. 75. párr.  41,  y</w:t>
        <w:br/>
        <w:t>Caso Anzualdo Castro Vs. Perú, supra nota 28, párr. 182.</w:t>
        <w:br/>
        <w:br/>
        <w:t>[134] Caso Blanco Romero  y  otros  Vs.  Venezuela.  Fondo,  Reparaciones  y</w:t>
        <w:br/>
        <w:t>Costas. Sentencia de 28 de noviembre de 2005. Serie C  No.  138,  párr.  98.</w:t>
        <w:br/>
        <w:t>Cfr. Caso Barrios Altos Vs Perú. Fondo, supra nota 133,  párr.  41,  y  Caso</w:t>
        <w:br/>
        <w:t>Anzualdo Castro Vs. Perú, supra nota 28, párr. 182.</w:t>
        <w:br/>
        <w:br/>
        <w:t>[135] Cfr. Caso Ticona Estrada y otros Vs. Bolivia.  Fondo,  Reparaciones  y</w:t>
        <w:br/>
        <w:t>Costas. Sentencia de 27 de noviembre de 2008. Serie C No.  191,  párr.  147;</w:t>
        <w:br/>
        <w:t>Caso Barrios Altos Vs. Perú.  Fondo,  supra  nota  133,  párr.  41,  y  Caso</w:t>
        <w:br/>
        <w:t>Anzualdo Castro Vs. Perú, supra nota 28, párr. 182.</w:t>
        <w:br/>
        <w:br/>
        <w:t>[136] Caso Myrna Mack Chang Vs. Guatemala, supra nota 18, párr. 139.</w:t>
        <w:br/>
        <w:br/>
        <w:t>[137] Cfr. Caso Suárez  Rosero  Vs.  Ecuador.  Fondo.  Sentencia  de  12  de</w:t>
        <w:br/>
        <w:t>noviembre de 1997. Serie C No. 35, párr. 71; Caso  Ticona  Estrada  y  otros</w:t>
        <w:br/>
        <w:t>Vs. Bolivia, supra nota 135, párr. 78, y Caso Valle Jaramillo y  otros.  Vs.</w:t>
        <w:br/>
        <w:t>Colombia, supra nota 21, párr. 154.</w:t>
        <w:br/>
        <w:br/>
        <w:t>[138] Cfr. Caso Suárez Rosero Vs. Ecuador. Fondo, supra nota 137, párrs.  71</w:t>
        <w:br/>
        <w:t>a 73; Caso Ticona Estrada y otros Vs. Bolivia, supra nota 135, párr.  79,  y</w:t>
        <w:br/>
        <w:t>Caso Valle Jaramillo y otros Vs. Colombia, supra nota 21, párr. 154.</w:t>
        <w:br/>
        <w:br/>
        <w:t>[139] Cfr. Caso Hilaire, Constantine y  Benjamín  y  otros  Vs.  Trinidad  y</w:t>
        <w:br/>
        <w:t>Tobago. Fondo, Reparaciones y Costas. Sentencia de  21  de  junio  de  2002.</w:t>
        <w:br/>
        <w:t>Serie C No. 94, párr. 145; Caso Valle Jaramillo y otros Vs. Colombia,  supra</w:t>
        <w:br/>
        <w:t>nota 21, párr. 154, y Caso Anzualdo Castro Vs. Perú, supra  nota  28,  párr.</w:t>
        <w:br/>
        <w:t>124.</w:t>
        <w:br/>
        <w:br/>
        <w:t>[140]  Cfr.  Caso  García  Prieto  y  otro  Vs.  El  Salvador.   Excepciones</w:t>
        <w:br/>
        <w:t>Preliminares, Fondo, Reparaciones y Costas. Sentencia de 20 de Noviembre  de</w:t>
        <w:br/>
        <w:t>2007. Serie No. 168, párr. 115; Caso Ticona Estrada  y  otros  Vs.  Bolivia,</w:t>
        <w:br/>
        <w:t>supra nota 135, párr. 95, y Caso Escher y otros Vs. Brasil, supra  nota  33,</w:t>
        <w:br/>
        <w:t>párr. 206.</w:t>
        <w:br/>
        <w:br/>
        <w:t>[141]  “El  sistema  de  administración  de  justicia  guatemalteco  resultó</w:t>
        <w:br/>
        <w:t>ineficaz para garantizar el cumplimiento de la ley y la  protección  de  los</w:t>
        <w:br/>
        <w:t>derechos de las víctimas y de sus familiares en casi  la  totalidad  de  las</w:t>
        <w:br/>
        <w:t>violaciones de  derechos humanos cometidas en ese entonces.” Caso Tiu  Tojín</w:t>
        <w:br/>
        <w:t>Vs. Guatemala, supra nota 17, párr. 51.</w:t>
        <w:br/>
        <w:br/>
        <w:t>[142] “[H]asta hoy en día, los tribunales de justicia de  Guatemala  se  han</w:t>
        <w:br/>
        <w:t>mostrado  incapaces  de  investigar  efectivamente,   procesar,   juzgar   y</w:t>
        <w:br/>
        <w:t>sancionar a los responsables de las violaciones de los derechos  humanos”  y</w:t>
        <w:br/>
        <w:t>que “[e]n  numerosas  ocasiones  los  tribunales  de  justicia  han  actuado</w:t>
        <w:br/>
        <w:t>subordinados al Poder Ejecutivo o  a  la  influencia  militar,  ‘aplica[n]do</w:t>
        <w:br/>
        <w:t>normas o disposiciones legales contrarias  al  debido  proceso  u  omitiendo</w:t>
        <w:br/>
        <w:t>aplicar las que  correspondían’”.  Caso  Bámaca  Velásquez.  Supervisión  de</w:t>
        <w:br/>
        <w:t>cumplimiento de sentencia. Resolución de la Corte de 27 de  enero  de  2009,</w:t>
        <w:br/>
        <w:t>párr. 22.  Cfr. Caso Myrna Mack Chang Vs. Guatemala, supra  nota  18,  párr.</w:t>
        <w:br/>
        <w:t>134.13).</w:t>
        <w:br/>
        <w:br/>
        <w:t>[143] Cfr. Caso Myrna Mack Chang Vs. Guatemala, supra nota  18,  párr.  272;</w:t>
        <w:br/>
        <w:t>Caso Maritza Urrutia Vs. Guatemala. Fondo, Reparaciones y Costas.  Sentencia</w:t>
        <w:br/>
        <w:t>de 27 de noviembre de 2003. Serie C No. 103, párr. 176;  Caso  Masacre  Plan</w:t>
        <w:br/>
        <w:t>de Sánchez  Vs.  Guatemala.  Reparaciones  y  Costas.  Sentencia  de  19  de</w:t>
        <w:br/>
        <w:t>noviembre de 2003. Serie C No. 116,  párr.  95;  Caso  Molina  Theissen  Vs.</w:t>
        <w:br/>
        <w:t>Guatemala. Reparaciones y Costas. Sentencia de 3 de julio de 2004.  Serie  C</w:t>
        <w:br/>
        <w:t>No. 108, párr. 79, y Caso Tiu Tojín Vs. Guatemala, supra nota 17, párr.  72.</w:t>
        <w:br/>
        <w:t>Citado en Caso Bámaca Velásquez Vs. Guatemala. Supervisión  de  Cumplimiento</w:t>
        <w:br/>
        <w:t>de Sentencia, supra nota 142, párr. 23.</w:t>
        <w:br/>
        <w:br/>
        <w:t>[144] Cfr. Caso del Penal Miguel Castro Castro  Vs.  Perú,  supra  nota  27,</w:t>
        <w:br/>
        <w:t>párr. 377.</w:t>
        <w:br/>
        <w:br/>
        <w:t>[145] Cfr. Caso del Penal Miguel Castro Castro  Vs.  Perú,  supra  nota  27,</w:t>
        <w:br/>
        <w:t>párrs. 276, 377 y 379.</w:t>
        <w:br/>
        <w:br/>
        <w:t>[146] De conformidad con la legislación vigente en Guatemala al  momento  de</w:t>
        <w:br/>
        <w:t>los hechos (artículos 27 y 69 del Código Penal  de  Guatemala  de  1973)  el</w:t>
        <w:br/>
        <w:t>Estado tiene la posibilidad de  investigar  e  individualizar  los  diversos</w:t>
        <w:br/>
        <w:t>delitos ocurridos, así como sus agravantes.</w:t>
        <w:br/>
        <w:br/>
        <w:t>[147] Caso Masacre Plan de Sánchez Vs.  Guatemala.  Reparaciones  y  Costas,</w:t>
        <w:br/>
        <w:t>supra nota 143, párr. 49.19.</w:t>
        <w:br/>
        <w:br/>
        <w:t>[148] Cfr. Dictamen pericial de Nieves Gómez Dupuis efectuado en  agosto  de</w:t>
        <w:br/>
        <w:t>2005 “sobre el daño a la salud mental derivada de la  Masacre  de  la  Aldea</w:t>
        <w:br/>
        <w:t>Las Dos Erres […] y las medidas de  reparación  psicosocial”  (anexos  a  la</w:t>
        <w:br/>
        <w:t>demanda, anexo 8, f. 2811).</w:t>
        <w:br/>
        <w:br/>
        <w:t>[149] En este sentido, cabe hacer mención que en  el  derecho  internacional</w:t>
        <w:br/>
        <w:t>diversos tribunales se han pronunciado al respecto, así  el  Tribunal  Penal</w:t>
        <w:br/>
        <w:t>Internacional para la Ex Yugoslavia ha calificado la violencia  sexual  como</w:t>
        <w:br/>
        <w:t>comparable a la tortura y otros  tratos  crueles  inhumanos  y  degradantes,</w:t>
        <w:br/>
        <w:t>cuando ésta ha sido cometida dentro de una práctica  sistemática  contra  la</w:t>
        <w:br/>
        <w:t>población civil y  con  una  intención  de  obtener  información,  castigar,</w:t>
        <w:br/>
        <w:t>intimidar, humillar o discriminar a la víctima o una tercera  persona.  Cfr.</w:t>
        <w:br/>
        <w:t>ICTY, Trial Ch II. Prosecutor v. Anto Furundzija. Judgment, Dec.  10,  1998.</w:t>
        <w:br/>
        <w:t>paras. 267.i, 295; ICTY, Trial Ch II. Prosecutor v. Delalic et al  (Celebici</w:t>
        <w:br/>
        <w:t>case). Judgment, Nov. 16, 1998. paras. 941; ICTY, Appeals Ch. Prosecutor  v.</w:t>
        <w:br/>
        <w:t>Delalic et al (Celebici case). Judgment, Feb. 20, 2001. paras. 488,  501;  y</w:t>
        <w:br/>
        <w:t>ICTY, Trial Ch II. Prosecutor v. Kunarac et al.  Judgment,  Feb.  22,  2001.</w:t>
        <w:br/>
        <w:t>paras. 656, 670, 816. Asimismo, el Tribunal Penal Internacional para  Rwanda</w:t>
        <w:br/>
        <w:t>también ha comparado la violación sexual con la tortura,  señalando  que  la</w:t>
        <w:br/>
        <w:t>primera puede constituir tortura al ser cometida por o con la  aquiescencia,</w:t>
        <w:br/>
        <w:t>consentimiento o a instigación de un oficial público..Cfr.  ICTR,  Trial  Ch</w:t>
        <w:br/>
        <w:t>I. Prosecutor v. Akayesu, Jean-Paul. Judgment, Sep.  2,  1998.  paras.  687,</w:t>
        <w:br/>
        <w:t>688.  Por su parte, la Corte Europea de Derechos Humanos ha señalado que  la</w:t>
        <w:br/>
        <w:t>violación sexual puede  constituir  tortura  cuando  ha  sido  cometida  por</w:t>
        <w:br/>
        <w:t>agentes estatales contra personas bajo  su  custodia.  Cfr.  ECHR.  Case  of</w:t>
        <w:br/>
        <w:t>Aydin v. Turkey. Judgment, Sep. 25, 1997. Paras. 86, 87, y Case  of  Maslova</w:t>
        <w:br/>
        <w:t>and Nalbandov v. Russia. Judgment. Jul. 7, 2008. Para. 108.</w:t>
        <w:br/>
        <w:br/>
        <w:t>[150] Cfr. Caso Goiburú y otros Vs. Paraguay,  supra  nota  19,  párr.  128;</w:t>
        <w:br/>
        <w:t>Caso de la Masacre de la Rochela Vs. Colombia, supra nota 34, párr.  132,  y</w:t>
        <w:br/>
        <w:t>Caso Anzualdo Castro Vs. Perú, supra nota 28, párr. 59.</w:t>
        <w:br/>
        <w:br/>
        <w:t>[151] Cfr. Caso Goiburú y otros Vs. Paraguay, supra nota 19, párr. 131.</w:t>
        <w:br/>
        <w:br/>
        <w:t>[152] Cfr. Caso del Penal Miguel Castro Castro  Vs.  Perú,  supra  nota  27,</w:t>
        <w:br/>
        <w:t>párr. 378.</w:t>
        <w:br/>
        <w:br/>
        <w:t>[153]  En  la   investigación   del   Ministerio   Público   se   escucharon</w:t>
        <w:br/>
        <w:t>informaciones   testimoniales   de   diversas   personas,   “entre    ellas:</w:t>
        <w:br/>
        <w:t>sobrevivientes, familiares de  las  víctimas  [fallecidas…]  Comandante  del</w:t>
        <w:br/>
        <w:t>Destacamento de Las Cruces, Comandante de la  zona  Militar  número  23,  el</w:t>
        <w:br/>
        <w:t>entonces Jefe del Estado, el entonces Ministro de la  Defensa  Nacional,  el</w:t>
        <w:br/>
        <w:t>entonces Jefe del Alto Mando del Ejército, los militares que  integraban  el</w:t>
        <w:br/>
        <w:t>Alto Mando de la Zona Militar número 23”.  Al  respecto,  según  información</w:t>
        <w:br/>
        <w:t>rendida por el Estado, de tal  investigación  se  logró  establecer  que  el</w:t>
        <w:br/>
        <w:t>hecho denunciado se produjo por una patrulla compuesta  de  “aproximadamente</w:t>
        <w:br/>
        <w:t>[…] 20 personas [con] refuerzo[s] [de] un pelotón de 40 soldados de la  Zona</w:t>
        <w:br/>
        <w:t>Militar número 23” y que se logró “individualizar a los Kaibiles, no  así  a</w:t>
        <w:br/>
        <w:t>los soldados de la [mencionada] Zona Militar” (escrito de  contestación  del</w:t>
        <w:br/>
        <w:t>Estado, fs. 417 y 418).   Posteriormente,  se  inició  la  investigación  en</w:t>
        <w:br/>
        <w:t>relación a 16 sindicados, y  se  giraron  las  correspondientes  órdenes  de</w:t>
        <w:br/>
        <w:t>aprehensión que no han sido  efectivas  a  la  fecha  (escrito  de  alegatos</w:t>
        <w:br/>
        <w:t>finales del Estado, f. 1178).</w:t>
        <w:br/>
        <w:br/>
        <w:t>[154] En abril de 2000 el Juzgado de Primera Instancia de Petén reiteró  dos</w:t>
        <w:br/>
        <w:t>veces las 17 órdenes de aprehensión emitidas el 7 de octubre de 1999 y 4  de</w:t>
        <w:br/>
        <w:t>abril de 2000  (supra  párr.  89).  Nueve  de  éstas  fueron  suspendidas  a</w:t>
        <w:br/>
        <w:t>consecuencia de las Sentencias de la Corte de Constitucionalidad de  3  y  4</w:t>
        <w:br/>
        <w:t>de abril de 2001 (supra párr. 90), y siete  quedaron  vigentes,  las  cuales</w:t>
        <w:br/>
        <w:t>fueron reiteradas el 7  de  marzo  de  2002  (supra  párr.  92).   El  8  de</w:t>
        <w:br/>
        <w:t>diciembre de 2004 la Corte de Constitucionalidad ordenó al juez de la  causa</w:t>
        <w:br/>
        <w:t>dejar sin efecto todo lo actuado a  partir  del  28  de  diciembre  de  1996</w:t>
        <w:br/>
        <w:t>(supra párr. 99).</w:t>
        <w:br/>
        <w:br/>
        <w:t>[155] Caso García Prieto y otros Vs. El  Salvador,  supra  nota  140,  párr.</w:t>
        <w:br/>
        <w:t>112.</w:t>
        <w:br/>
        <w:br/>
        <w:t>[156] El Estado ha brindado protección y ayuda económica a las personas  que</w:t>
        <w:br/>
        <w:t>se vieron obligadas a salir del país, a través de la Ley para la  Protección</w:t>
        <w:br/>
        <w:t>de Sujetos Procesales y Personas vinculadas a la Administración de  Justicia</w:t>
        <w:br/>
        <w:t>Penal.</w:t>
        <w:br/>
        <w:br/>
        <w:t>[157] El 4 de julio de 1994  se  iniciaron  los  trabajos  de  exhumaciones,</w:t>
        <w:br/>
        <w:t>encontrándose 162 osamentas en el sitio conocido como El  Pozo  de  Las  Dos</w:t>
        <w:br/>
        <w:t>Erres. Igualmente, entre el 8 de mayo de 1995 y el 15 de julio  de  1995  se</w:t>
        <w:br/>
        <w:t>continuó  la  exhumación  de  cadáveres  en  los  sitios  La  Aguada  y  Los</w:t>
        <w:br/>
        <w:t>Salazares, así como la identificación de otras 71 personas más, respecto  de</w:t>
        <w:br/>
        <w:t>la cual el Juez de la causa resolvió  no  haber  lugar  a  la  solicitud  de</w:t>
        <w:br/>
        <w:t>inscripción (supra  párr. 86). De las alegaciones de las partes a través  de</w:t>
        <w:br/>
        <w:t>sus escritos principales y la audiencia pública se  desprende  que  la  gran</w:t>
        <w:br/>
        <w:t>mayoría  de  los  restos  encontrados  permanecen  a  la   fecha   sin   ser</w:t>
        <w:br/>
        <w:t>identificados, además faltan los otros que aún no han sido ubicados.</w:t>
        <w:br/>
        <w:br/>
        <w:t>[158] Cfr. Caso Velásquez Rodríguez Vs.  Honduras.  Fondo,  supra  nota  30,</w:t>
        <w:br/>
        <w:t>párr. 181; Caso Anzualdo Castro Vs Perú, supra nota 28, párr.  113,  y  Caso</w:t>
        <w:br/>
        <w:t>Garibaldi Vs. Brasil, supra nota 23, párr. 116.</w:t>
        <w:br/>
        <w:br/>
        <w:t>[159] Cfr. Caso Velásquez Rodríguez Vs.  Honduras.  Fondo,  supra  nota  30,</w:t>
        <w:br/>
        <w:t>párr. 181; Caso Kawas Fernández Vs. Honduras, supra nota 21,  párr.  190,  y</w:t>
        <w:br/>
        <w:t>Caso Anzualdo Castro Vs. Perú, supra nota 28, párr. 119.</w:t>
        <w:br/>
        <w:br/>
        <w:t>[160] Cfr. Caso Las Palmeras Vs. Colombia. Reparaciones y Costas.  Sentencia</w:t>
        <w:br/>
        <w:t>de 26 de noviembre de 2002. Serie C No. 96, párr. 67; Caso  Kawas  Fernández</w:t>
        <w:br/>
        <w:t>Vs. Honduras, supra nota 21, párr. 194, y Caso  Anzualdo  Castro  Vs.  Perú,</w:t>
        <w:br/>
        <w:t>supra nota 28, párr. 119.</w:t>
        <w:br/>
        <w:br/>
        <w:t>[161] Cfr. Caso de la Masacre de la Rochela Vs.  Colombia,  supra  nota  34,</w:t>
        <w:br/>
        <w:t>párr. 195; Caso Valle Jaramillo y otros Vs Colombia, supra  nota  21,  párr.</w:t>
        <w:br/>
        <w:t>102, y Caso Anzualdo Castro Vs. Perú, supra nota 28, párr. 119.</w:t>
        <w:br/>
        <w:br/>
        <w:t>[162] Cfr. Caso Gómez Palomino  Vs.  Perú.  Fondo,  Reparaciones  y  Costas.</w:t>
        <w:br/>
        <w:t>Sentencia de 22 de noviembre de  2005.  Serie  C  No  136,  párr.  78;  Caso</w:t>
        <w:br/>
        <w:t>Almonacid Arellano y  otros  vs.  Chile.  Excepciones  Preliminares,  Fondo,</w:t>
        <w:br/>
        <w:t>Reparaciones y Costas. Sentencia de 26 de septiembre de 2006.  Serie  C  No.</w:t>
        <w:br/>
        <w:t>154, párr. 148, y Caso de la Masacre de la Rochela,  supra  nota  34,  párr.</w:t>
        <w:br/>
        <w:t>147.</w:t>
        <w:br/>
        <w:br/>
        <w:t>[163] En lo pertinente, el artículo 17.1, señala que  “[l]a  familia  es  el</w:t>
        <w:br/>
        <w:t>elemento natural y fundamental de la sociedad y debe ser  protegida  por  la</w:t>
        <w:br/>
        <w:t>sociedad y el Estado.”</w:t>
        <w:br/>
        <w:br/>
        <w:t>[164] El artículo 18 establece  que  “[t]oda  persona  tiene  derecho  a  un</w:t>
        <w:br/>
        <w:t>nombre propio y a los apellidos de sus padres o a de uno de ellos.   La  ley</w:t>
        <w:br/>
        <w:t>reglamentará la forma de asegurar este derecho para todos, mediante  nombres</w:t>
        <w:br/>
        <w:t>supuestos, si fuere necesario.”</w:t>
        <w:br/>
        <w:br/>
        <w:t>[165] El artículo 19 establece que “[t]odo niño tiene derecho a las  medidas</w:t>
        <w:br/>
        <w:t>de protección que su condición de menor requieren por parte de  su  familia,</w:t>
        <w:br/>
        <w:t>de la sociedad y del Estado.”</w:t>
        <w:br/>
        <w:br/>
        <w:t>[166] Cfr. Artículo 1.1, supra nota 41.</w:t>
        <w:br/>
        <w:br/>
        <w:t>[167] Al respecto, cabe señalar que la Comisión concluyó en  el  Informe  de</w:t>
        <w:br/>
        <w:t>Fondo 22/08 en el  presente  caso,  que  “[e]l  Estado  de  Guatemala  e[ra]</w:t>
        <w:br/>
        <w:t>responsable de la violación de los derechos humanos […] a la  protección  de</w:t>
        <w:br/>
        <w:t>la familia y del niño, […] de conformidad con los artículos […]  17  [y]  19</w:t>
        <w:br/>
        <w:t>de la Convención Americana,  en  relación  con  el  artículo  1.1  de  dicho</w:t>
        <w:br/>
        <w:t>instrumento” (supra nota 5). Igualmente, el Tribunal tiene en cuenta que  en</w:t>
        <w:br/>
        <w:t>el Acuerdo de Solución Amistosa de 1 de abril de 2000  el  Estado  reconoció</w:t>
        <w:br/>
        <w:t>su responsabilidad internacional por la violación de varios derechos,  entre</w:t>
        <w:br/>
        <w:t>ellos, el derecho a la familia y del niño (supra nota 3).</w:t>
        <w:br/>
        <w:br/>
        <w:t>[168] Cfr. Caso Cinco Pensionistas Vs. Perú. Fondo, Reparaciones  y  Costas.</w:t>
        <w:br/>
        <w:t>Sentencia de 28 de febrero de 2003. Serie C No. 98, párr. 155; Caso  Acevedo</w:t>
        <w:br/>
        <w:t>Buendía y otros (“Cesantes y Jubilados de la Contraloría”) Vs.  Perú,  supra</w:t>
        <w:br/>
        <w:t>nota 30, párr. 97, y Caso Escher y otros Vs. Brasil, supra  nota  33,  párr.</w:t>
        <w:br/>
        <w:t>191.</w:t>
        <w:br/>
        <w:br/>
        <w:t>[169] Declaración de “Ramiro Fernando López García” como  prueba  anticipada</w:t>
        <w:br/>
        <w:t>rendida el 11 de febrero de 1999 ante el Juzgado de Primera Instancia  Penal</w:t>
        <w:br/>
        <w:t>de Petén (Anexos a la demanda, expediente judicial, pieza VI a  XIII,  anexo</w:t>
        <w:br/>
        <w:t>29, fs. 3827 a 3828).</w:t>
        <w:br/>
        <w:br/>
        <w:t>[170] Cfr. Caso de la "Masacre de Mapiripán" Vs. Colombia,  supra  nota  19,</w:t>
        <w:br/>
        <w:t>párr. 58; Caso Perozo y otros Vs. Venezuela, supra  nota  31,  párr.  32,  y</w:t>
        <w:br/>
        <w:t>Caso Reverón Trujillo Vs. Venezuela, supra nota 29, párr. 135.</w:t>
        <w:br/>
        <w:br/>
        <w:t>[171] Cfr. CEH, Guatemala: Memoria del  Silencio,  supra  nota  6,  Tomo  V,</w:t>
        <w:br/>
        <w:t>Conclusiones  y  Recomendaciones  (Anexos  al  escrito  de   solicitudes   y</w:t>
        <w:br/>
        <w:t>argumentos, anexo 33, f. 10933) y Tomo III, Volumen 3, “Violencia contra  la</w:t>
        <w:br/>
        <w:t>Niñez”, págs. 71 y 72;  Oficina  de  Derechos  Humanos  del  Arzobispado  de</w:t>
        <w:br/>
        <w:t>Guatemala  (ODHAG),  Guatemala  Nunca  Más,  Informe  del  Proyecto   REMHI,</w:t>
        <w:br/>
        <w:t>publicado en 1998 (Anexos al escrito de solicitudes y argumentos, anexo  32,</w:t>
        <w:br/>
        <w:t>Tomo 1, fs. 10019 y 10020); ODHAG,  Hasta  Encontrarte:  Niñez  Desaparecida</w:t>
        <w:br/>
        <w:t>por el Conflicto Armado Interno en Guatemala, 2000  (Anexos  al  escrito  de</w:t>
        <w:br/>
        <w:t>solicitudes y argumentos,  anexo  36,  fs.  10995  a  11156);  CIDH,  Quinto</w:t>
        <w:br/>
        <w:t>Informe  Sobre  la  Situación  de  los  Derechos   Humanos   en   Guatemala,</w:t>
        <w:br/>
        <w:t>OEA/Ser.L/V/II.111, Capítulo XII,  “Los  Derechos  del  Niño”.  Apartado  C,</w:t>
        <w:br/>
        <w:t>aprobado  el  6  de  abril  de  2001,  párrs.  27  y   28.   Disponible   en</w:t>
        <w:br/>
        <w:t>http://www.cidh.oas.org/countryrep/Guatemala01sp/indice.htm; CIDH,  Justicia</w:t>
        <w:br/>
        <w:t>e  Inclusión  Social:  Los  Desafíos  de   la   Democracia   en   Guatemala,</w:t>
        <w:br/>
        <w:t>OEA/Ser.L/V/II.118, Doc. 5 rev. 1, 29 de diciembre  de  2003,  párr.  377  y</w:t>
        <w:br/>
        <w:t>378.                             Disponible                              en:</w:t>
        <w:br/>
        <w:t>http://www.cidh.org/countryrep/Guatemala2003sp/indice.htm,    y     dictamen</w:t>
        <w:br/>
        <w:t>pericial de Marco Antonio Garavito Fernández rendido el 8 de junio  de  2009</w:t>
        <w:br/>
        <w:t>ante  fedatario  público  (expediente   de   excepciones   preliminares,   y</w:t>
        <w:br/>
        <w:t>eventuales fondo, reparaciones y costas, Tomo IV, f. 604).</w:t>
        <w:br/>
        <w:br/>
        <w:t>[172] Cfr. Dictamen pericial del perito Marco  Antonio  Garavito  Fernández,</w:t>
        <w:br/>
        <w:t>supra nota 171, f. 604; ODHAG, REMHI, Guatemala Nunca Más, supra  nota  171,</w:t>
        <w:br/>
        <w:t>fs. 10019 y 10020; ODHAG, Hasta Encontrarte, supra nota 171, f. 11063).</w:t>
        <w:br/>
        <w:br/>
        <w:t>[173] CEH, Guatemala: Memoria del  Silencio,  supra  nota  6,  Volumen  III,</w:t>
        <w:br/>
        <w:t>Violencia contra la niñez, pág. 71 y 72.</w:t>
        <w:br/>
        <w:br/>
        <w:t>[174] REMHI, Guatemala Nunca Más, supra nota 171, f. 10020.</w:t>
        <w:br/>
        <w:br/>
        <w:t>[175] El General Héctor  Gramajo  se  desempeñó  como  Ministro  de  Defensa</w:t>
        <w:br/>
        <w:t>durante el Gobierno de Vinicio Cerezo Arévalo de 1985 a 1990.</w:t>
        <w:br/>
        <w:br/>
        <w:t>[176] REMHI, Guatemala Nunca Más, supra nota 171, f. 10020.</w:t>
        <w:br/>
        <w:br/>
        <w:t>[177] ODHAG, Hasta Encontrarte, supra nota 171, fs. 10042 y 10995.</w:t>
        <w:br/>
        <w:br/>
        <w:t>[178] ODHAG, Hasta Encontrarte, supra nota 171, fs. 11042 y 11043.</w:t>
        <w:br/>
        <w:br/>
        <w:t>[179] ODHAG, Hasta Encontrarte, supra nota 171, f. 11051.</w:t>
        <w:br/>
        <w:br/>
        <w:t>[180] ODHAG, Hasta Encontrarte, supra nota 171, f. 11120.</w:t>
        <w:br/>
        <w:br/>
        <w:t>[181] ODHAG, Hasta Encontrarte, supra nota 171, f. 11063.</w:t>
        <w:br/>
        <w:br/>
        <w:t>[182] Declaración de Ramiro Osorio Cristales rendida el 14 de julio de  2009</w:t>
        <w:br/>
        <w:t>en la audiencia pública celebrada ante  la  Corte  en  La  Paz,  Bolivia,  y</w:t>
        <w:br/>
        <w:t>declaración de “Ramiro Fernando López García” como prueba anticipada,  supra</w:t>
        <w:br/>
        <w:t>nota 169.</w:t>
        <w:br/>
        <w:br/>
        <w:t>[183] Declaración de Ramiro Osorio Cristales, supra nota 182, y  Declaración</w:t>
        <w:br/>
        <w:t>de “Ramiro Fernando López García” como prueba anticipada, supra nota 169.</w:t>
        <w:br/>
        <w:br/>
        <w:t>[184] Declaración testimonial de Flavio Pinzón Jerez de 17 de marzo de  2000</w:t>
        <w:br/>
        <w:t>ante el Juzgado  de  Primera  Instancia  de  Petén  (Anexos  a  la  demanda,</w:t>
        <w:br/>
        <w:t>expediente judicial, pieza VI a XIII, anexos 22 a 29, f. 3906).</w:t>
        <w:br/>
        <w:br/>
        <w:t>[185] Dos Kaibiles que participaron en la masacre declararon que  dos  niños</w:t>
        <w:br/>
        <w:t>sobrevivientes estuvieron con la  patrulla  durante  8  días.  Según  Flavio</w:t>
        <w:br/>
        <w:t>Pinzón Jerez “los dos niños que quedaron uno lo había agarrado  el  Teniente</w:t>
        <w:br/>
        <w:t>Ramírez Ramos y el otro  lo  agarró  el  Especialista  Santos  López  Alonzo</w:t>
        <w:br/>
        <w:t>[luego] llegó el helicóptero [y] al mismo tiempo ahí metieron  a  los  niños</w:t>
        <w:br/>
        <w:t>al helicóptero”. Cfr. Declaración testimonial de Flavio Pinzón Jerez,  supra</w:t>
        <w:br/>
        <w:t>nota 184, fs. 3906 y 3907, y declaración testimonial de César Franco  Ibáñez</w:t>
        <w:br/>
        <w:t>rendida el 17 de marzo de 2000 ante Juzgado de Primera  Instancia  de  Petén</w:t>
        <w:br/>
        <w:t>(Anexos a la demanda, expediente judicial, pieza VI a XIII, anexos 22 a  29,</w:t>
        <w:br/>
        <w:t>f. 3903), y declaración de Ramiro Osorio Cristales, supra nota 182.</w:t>
        <w:br/>
        <w:br/>
        <w:t>[186] Declaración de Ramiro Osorio Cristales, supra nota 182.</w:t>
        <w:br/>
        <w:br/>
        <w:t>[187] Declaración de “Ramiro Fernando López García” como prueba  anticipada,</w:t>
        <w:br/>
        <w:t>supra nota 169, fs. 3827 a 3831, y declaración de Ramiro  Osorio  Cristales,</w:t>
        <w:br/>
        <w:t>supra nota 182.</w:t>
        <w:br/>
        <w:br/>
        <w:t>[188] Ramiro Osorio Cristales manifestó que “[después  de  la  masacre]  nos</w:t>
        <w:br/>
        <w:t>llevaron entre las montañas y un helicóptero de la fuerza elite, nos  fue  a</w:t>
        <w:br/>
        <w:t>traer, recuerdo el color azul y blanco, nos llevó a la  escuela  de  Kalure,</w:t>
        <w:br/>
        <w:t>supuestamente para sacar información si  la  aldea  tenía  vínculos  con  la</w:t>
        <w:br/>
        <w:t>guerrilla.  Estuvimos en la escuela de Kalure mes y medio a  dos  meses.  Yo</w:t>
        <w:br/>
        <w:t>era el último niño que ya quedaba, porque  todos  los  oficiales  se  habían</w:t>
        <w:br/>
        <w:t>llevado a un niño, había un  oficial  Teniente  Rivera,  y  me  acuerdo  del</w:t>
        <w:br/>
        <w:t>apellido, el me dijo que me iba a llevar para su casa. Entonces  este  señor</w:t>
        <w:br/>
        <w:t>Santos López Alonso, era sub-instructor de Kaibiles  y  planificador  de  la</w:t>
        <w:br/>
        <w:t>escuela de Kaibiles, él me llegó a ganar con, dándome pan y me dijo  que  si</w:t>
        <w:br/>
        <w:t>yo me iba con este teniente me iban a matar.  Entonces yo el día que a  este</w:t>
        <w:br/>
        <w:t>teniente le tocaba salir de vacaciones o de licencia me fui a  esconder,  me</w:t>
        <w:br/>
        <w:t>fui a subir a un árbol de naranja y esperé hasta que él se  fuera.   El  fin</w:t>
        <w:br/>
        <w:t>de semana que venía  este  señor  que  iba  a  salir  de  licencia  también.</w:t>
        <w:br/>
        <w:t>Entonces me llevó para su casa y fue como él me adoptó como  su  hijo.  Pero</w:t>
        <w:br/>
        <w:t>realmente no fue así. […] viví con él diecinueve años  […].  Pensé  en  huir</w:t>
        <w:br/>
        <w:t>pero realmente no tenía a dónde” y que “[d]espués que este señor [lo]  llevó</w:t>
        <w:br/>
        <w:t>a su casa, [lo] registró  como  su  hijo  Ramiro  Fernández  López  García”.</w:t>
        <w:br/>
        <w:t>Declaración de Ramiro Osorio Cristales, supra nota 182.</w:t>
        <w:br/>
        <w:br/>
        <w:t>[189] Cfr. Declaración testimonial de Flavio Pinzón Jerez, supra  nota  184,</w:t>
        <w:br/>
        <w:t>f. 3906.</w:t>
        <w:br/>
        <w:br/>
        <w:t>[190] Certificado de nacimiento de Ramiro López García de 15 agosto de  1983</w:t>
        <w:br/>
        <w:t>(Anexos a la demanda, expediente judicial, pieza VI a  XIII,  anexo  29,  f.</w:t>
        <w:br/>
        <w:t>3846); declaración de Ramiro Osorio  Cristales,  supra  nota  182;  acta  de</w:t>
        <w:br/>
        <w:t>declaración testimonial de Lidia García Pérez, supra  nota  67,  y  memorial</w:t>
        <w:br/>
        <w:t>para la orden de aprehensión en contra del señor Santos López Alonso  de  20</w:t>
        <w:br/>
        <w:t>de septiembre de 1999 (Anexos a la demanda, expediente judicial,  piezas  VI</w:t>
        <w:br/>
        <w:t>a XIII, anexo 29, fs. 3833 a 3835).</w:t>
        <w:br/>
        <w:br/>
        <w:t>[191] Certificado de nacimiento de Ramiro  López  García  de  15  agosto  de</w:t>
        <w:br/>
        <w:t>1983, supra nota 190, f. 3846.</w:t>
        <w:br/>
        <w:br/>
        <w:t>[192] En este sentido, la señora  Lidia  García  Pérez,  esposa  del  Kaibil</w:t>
        <w:br/>
        <w:t>Santos López Alonso, manifestó que Ramiro Osorio Cristales no  era  su  hijo</w:t>
        <w:br/>
        <w:t>de sangre “porque mi esposo lo trajo cuando estaba chiquito  […]  Cuando  lo</w:t>
        <w:br/>
        <w:t>trajo me dijo que se lo habían regalado a él en la escuela de  Kaibiles  […]</w:t>
        <w:br/>
        <w:t>en el mes de mayo de 1983.” Señaló además que recién  cuando  Ramiro  Osorio</w:t>
        <w:br/>
        <w:t>Cristales cumplió la mayoría de  edad  se  enteró  de  su  verdadero  origen</w:t>
        <w:br/>
        <w:t>cuando su esposo le dijo que le “había sido sacado de las Dos  Erres.”  Acta</w:t>
        <w:br/>
        <w:t>de declaración testimonial de Lidia García Pérez, supra nota  66,  f.  3870.</w:t>
        <w:br/>
        <w:t>Cfr. declaración de Ramiro Osorio Cristales, supra nota 182.</w:t>
        <w:br/>
        <w:br/>
        <w:t>[193] Declaración de Ramiro Osorio Cristales, supra nota 182.</w:t>
        <w:br/>
        <w:br/>
        <w:t>[194] Declaración de Ramiro Osorio Cristales, supra nota 182.</w:t>
        <w:br/>
        <w:br/>
        <w:t>[195] Declaración de Ramiro Osorio Cristales, supra nota  182,  y  solicitud</w:t>
        <w:br/>
        <w:t>del Ministerio Público al Juzgado de Primera Instancia Penal de  Petén  para</w:t>
        <w:br/>
        <w:t>que se reciba la declaración testimonial en calidad de  anticipo  de  prueba</w:t>
        <w:br/>
        <w:t>al señor “Ramiro Fernando López García” (Anexos  a  la  demanda,  expediente</w:t>
        <w:br/>
        <w:t>judicial, pieza VI a XIII, anexos 22 a 29, f. 3816).</w:t>
        <w:br/>
        <w:br/>
        <w:t>[196] En este sentido, Ramiro  Osorio  Cristales  declaró  en  la  audiencia</w:t>
        <w:br/>
        <w:t>pública lo siguiente: “fue ahí como yo supe que  tenía  familia,  […]  tengo</w:t>
        <w:br/>
        <w:t>abuelos, hermano, tíos, tías.  Eso fue el veinte […] no estoy bien si el  21</w:t>
        <w:br/>
        <w:t>o 22 de febrero [de 1999], porque yo salí de  Guatemala  el  23  de  febrero</w:t>
        <w:br/>
        <w:t>para Canadá.  Y el conocer a mi familia fue algo muy bonito, a saber que  no</w:t>
        <w:br/>
        <w:t>estaba solo.  Porque yo pensaba  que  había  quedado  solo  en  este  mundo.</w:t>
        <w:br/>
        <w:t>Habían matado a mis padres, a mis hermanos y destruir a todo. Pensé  que  no</w:t>
        <w:br/>
        <w:t>había más familia, pero no gracias a Dios tengo familia, y fue muy bonito  y</w:t>
        <w:br/>
        <w:t>triste a la vez porque los tuve que dejar”.  Declaración  de  Ramiro  Osorio</w:t>
        <w:br/>
        <w:t>Cristales, supra nota 182.  Cfr.  Declaración  de  Miguel  Ángel  Cristales,</w:t>
        <w:br/>
        <w:t>abuelo materno y de  Reina  Montepeque,  abuela  materna  de  Ramiro  Osorio</w:t>
        <w:br/>
        <w:t>Cristales rendidas el 23 febrero de  1999  ante  Ministerio  Público,  supra</w:t>
        <w:br/>
        <w:t>nota 67, fs. 3862 a 3866).</w:t>
        <w:br/>
        <w:br/>
        <w:t>[197] Expediente de 24  junio  1999  que  contiene  los  resultados  de  las</w:t>
        <w:br/>
        <w:t>pruebas de afinidad de ADN  realizadas  (Anexos  a  la  demanda,  expediente</w:t>
        <w:br/>
        <w:t>judicial, pieza VI a XIII, anexo 29,  f.  3854),  y  declaración  de  Ramiro</w:t>
        <w:br/>
        <w:t>Osorio Cristales, supra nota 182.</w:t>
        <w:br/>
        <w:br/>
        <w:t>[198] Declaración de Ramiro Osorio Cristales, supra nota 182, y  certificado</w:t>
        <w:br/>
        <w:t>del gobierno de Manitoba, Canadá, que  certifica  el  cambio  de  nombre  de</w:t>
        <w:br/>
        <w:t>Ramiro Fernando López a Ramiro Osorio  Cristales  el  15  de  mayo  de  2002</w:t>
        <w:br/>
        <w:t>(expediente excepción preliminar, eventuales fondo, reparaciones  y  costas,</w:t>
        <w:br/>
        <w:t>prueba para mejor resolver  presentada  por  los  representantes  el  11  de</w:t>
        <w:br/>
        <w:t>septiembre 2009, Tomo VI, f. 1163).</w:t>
        <w:br/>
        <w:br/>
        <w:t>[199] El ex Kaibil Flavio  Pinzón  Jerez,  quién  participó  en  la  masacre</w:t>
        <w:br/>
        <w:t>señaló en su declaración en el marco  del  proceso  interno  que  “[e]n  los</w:t>
        <w:br/>
        <w:t>primeros días de diciembre nos reunieron a  todos  los  de  la  patrulla  de</w:t>
        <w:br/>
        <w:t>Kaibiles, y nos indicaron que era lo que teníamos  que  hacer  en  “Las  Dos</w:t>
        <w:br/>
        <w:t>Erres” [...]. En la reunión ellos nos explicaron que tenían órdenes para  ir</w:t>
        <w:br/>
        <w:t>al caserío de “Las Dos Erres”, que era un área conflictiva, y  que  teníamos</w:t>
        <w:br/>
        <w:t>que ir a destruir a la aldea, todo lo que  se  mirara  mover  se  tenía  que</w:t>
        <w:br/>
        <w:t>matar”. Declaración de Favio Pinzón Jerez rendida el 22 de  agosto  de  1996</w:t>
        <w:br/>
        <w:t>ante fedatario público (anexos a la demanda, anexos 1 a 16, f. 2873), y  ver</w:t>
        <w:br/>
        <w:t>también, declaración testimonial de César Franco  Ibáñez,  supra  nota  185,</w:t>
        <w:br/>
        <w:t>fs. 3895 a 3911.</w:t>
        <w:br/>
        <w:br/>
        <w:t>[200] Declaración testimonial de Flavio Pinzón Jerez, supra  nota  184,  fs.</w:t>
        <w:br/>
        <w:t>3906 y 3907.</w:t>
        <w:br/>
        <w:br/>
        <w:t>[201] Declaración de Ramiro Osorio Cristales, supra nota 182.</w:t>
        <w:br/>
        <w:br/>
        <w:t>[202] Declaración de Ramiro Osorio Cristales, supra nota 182.</w:t>
        <w:br/>
        <w:br/>
        <w:t>[203] Declaración de Ramiro Osorio Cristales, supra nota 182, y  declaración</w:t>
        <w:br/>
        <w:t>testimonial de César Franco Ibáñez, supra nota 185, f. 3903.</w:t>
        <w:br/>
        <w:br/>
        <w:t>[204]  Cfr.  Condición  Jurídica  y  Derechos  Humanos  del  Niño.   Opinión</w:t>
        <w:br/>
        <w:t>Consultiva OC-17/02 del 28 de agosto de 2002. Serie A No. 27, párrs. 53,  54</w:t>
        <w:br/>
        <w:t>y 60; Caso de las Niñas Yean y Bosico Vs. República Dominicana.  Excepciones</w:t>
        <w:br/>
        <w:t>Preliminares, Fondo, Reparaciones y Costas. Sentencia de 8 de septiembre  de</w:t>
        <w:br/>
        <w:t>2005, Serie C No. 130, párr. 133,  y  Caso  Servellón  García  y  otros  Vs.</w:t>
        <w:br/>
        <w:t>Honduras. Fondo, Reparaciones y Costas. Sentencia de  21  de  septiembre  de</w:t>
        <w:br/>
        <w:t>2006. Serie C No. 152, párr. 113.</w:t>
        <w:br/>
        <w:br/>
        <w:t>[205]  Cfr.  Condición  Jurídica  y  Derechos  Humanos  del  Niño.   Opinión</w:t>
        <w:br/>
        <w:t>Consultiva OC-17/02, supra nota 204, párrs. 56, 57  y  60,  y  Caso  de  las</w:t>
        <w:br/>
        <w:t>Niñas Yean y Bosico Vs. República Dominicana, supra nota 204, párr. 134.</w:t>
        <w:br/>
        <w:br/>
        <w:t>[206] Cfr. Caso Velásquez Rodríguez. Fondo, supra  nota  30,  párrs.  165  a</w:t>
        <w:br/>
        <w:t>167; Caso Ximenes Lopes vs. Brasil. Fondo, Reparaciones y Costas.  Sentencia</w:t>
        <w:br/>
        <w:t>de 4 de julio de 2006. Serie C No. 149, párr. 97, y Caso Comunidad  Indígena</w:t>
        <w:br/>
        <w:t>Sawhoyamaxa Vs. Paraguay. Fondo, Reparaciones y Costas. Sentencia de  29  de</w:t>
        <w:br/>
        <w:t>marzo de 2006. Serie C No. 146, párr. 142.</w:t>
        <w:br/>
        <w:br/>
        <w:t>[207] Cfr. Caso Velásquez Rodríguez. Fondo, supra nota 30, párr.  164;  Caso</w:t>
        <w:br/>
        <w:t>Zambrano Vélez y otros Vs. Ecuador, supra nota 109, párr. 80, y Caso  Vargas</w:t>
        <w:br/>
        <w:t>Areco Vs. Paraguay.  Fondo,  Reparaciones  y  Costas.  Sentencia  de  26  de</w:t>
        <w:br/>
        <w:t>septiembre de 2006. Serie C No. 155, párr. 75.</w:t>
        <w:br/>
        <w:br/>
        <w:t>[208] La Corte hace notar que a momento de la aceptación de  la  competencia</w:t>
        <w:br/>
        <w:t>de  la  Corte  por  el  Estado,  en   1987,   Ramiro   y   Armando   tenían,</w:t>
        <w:br/>
        <w:t>respectivamente, 11 y 16 años de edad, por lo que la  Corte  se  referirá  a</w:t>
        <w:br/>
        <w:t>las presuntas víctimas  como  niños.  Cfr.  Condición  Jurídica  y  Derechos</w:t>
        <w:br/>
        <w:t>Humanos del Niño. Opinión Consultiva OC-17/02 supra nota 203, párr. 42.</w:t>
        <w:br/>
        <w:br/>
        <w:t>[209] Condición Jurídica y Derechos Humanos del Niño. Opinión Consultiva OC-</w:t>
        <w:br/>
        <w:t>17/02, supra nota 204, párr. 71.</w:t>
        <w:br/>
        <w:br/>
        <w:t>[210] El artículo 12.1 establece que “[n]adie  será  objeto  de  injerencias</w:t>
        <w:br/>
        <w:t>arbitrarias  en  su  vida  privada,  su   familia,   su   domicilio   o   su</w:t>
        <w:br/>
        <w:t>correspondencia, ni de ataques a su honra o a su  reputación.  Toda  persona</w:t>
        <w:br/>
        <w:t>tiene derecho  a  la  protección  de  la  ley  contra  tales  injerencias  o</w:t>
        <w:br/>
        <w:t>ataques.”</w:t>
        <w:br/>
        <w:br/>
        <w:t>[211] El  artículo  v  dispone  que  “[t]oda  persona  tiene  derecho  a  la</w:t>
        <w:br/>
        <w:t>protección de  la  Ley  contra  los  ataques  abusivos  a  su  honra,  a  su</w:t>
        <w:br/>
        <w:t>reputación y a su vida privada y familiar.”</w:t>
        <w:br/>
        <w:br/>
        <w:t>[212] El artículo 17 establece  que  “[n]adie  será  objeto  de  injerencias</w:t>
        <w:br/>
        <w:t>arbitrarias o ilegales en su vida privada, su familia,  su  domicilio  o  su</w:t>
        <w:br/>
        <w:t>correspondencia, ni de ataques ilegales a su honra y reputación.”</w:t>
        <w:br/>
        <w:br/>
        <w:t>[213]  El  artículo  11.2  establece  que  “[n]adie  puede  ser  objeto   de</w:t>
        <w:br/>
        <w:t>injerencias arbitrarias o abusivas en su vida privada, en la de su  familia,</w:t>
        <w:br/>
        <w:t>en su domicilio o en su correspondencia, ni de ataques ilegales a  su  honra</w:t>
        <w:br/>
        <w:t>o reputación.  El artículo 11.3 dispone que “[t]oda persona tiene derecho  a</w:t>
        <w:br/>
        <w:t>la protección de la ley contra esas injerencias o esos ataques.”</w:t>
        <w:br/>
        <w:br/>
        <w:t>[214] En este sentido, el artículo 8.1 del Convenio para  la  Protección  de</w:t>
        <w:br/>
        <w:t>los Derechos Humanos  y  de  las  Libertades  Fundamentales  establece  que:</w:t>
        <w:br/>
        <w:t>“[t]oda persona tiene derecho a respeto de su vida privada  y  familiar,  de</w:t>
        <w:br/>
        <w:t>su domicilio y de su correspondencia.” Asimismo,  el  artículo  8.2  dispone</w:t>
        <w:br/>
        <w:t>que “[n]o puede haber injerencia de la autoridad pública en el ejercicio  de</w:t>
        <w:br/>
        <w:t>este derecho sino en tanto en cuanto esta interferencia  esté  prevista  por</w:t>
        <w:br/>
        <w:t>la Ley y constituya  una  medida  que,  en  una  sociedad  democrática,  sea</w:t>
        <w:br/>
        <w:t>necesaria para la seguridad nacional, la  seguridad  pública,  el  bienestar</w:t>
        <w:br/>
        <w:t>económico  del  país,  la  defensa  del  orden  y  la  prevención   de   las</w:t>
        <w:br/>
        <w:t>infracciones penales, la  protección  de  la  salud  o  de  la  moral  o  la</w:t>
        <w:br/>
        <w:t>protección de los derechos y las libertades de los demás.”</w:t>
        <w:br/>
        <w:br/>
        <w:t>[215]  Cfr.  Condición  Jurídica  y  Derechos  Humanos  del  Niño.   Opinión</w:t>
        <w:br/>
        <w:t>Consultiva OC-17/02, supra nota 204, párr. 71.</w:t>
        <w:br/>
        <w:br/>
        <w:t>[216] Eur. Court H.R.,  Case  of  Buchberger  v.  Austria,  Judgment  of  20</w:t>
        <w:br/>
        <w:t>December 2001, para. 35, Eur. Court H.R.,  Case  of  T  and  K  v.  Finland,</w:t>
        <w:br/>
        <w:t>Judgment of 12 July 2001, para. 151, Eur. Court H.R.,  Case  of  Elsholz  v.</w:t>
        <w:br/>
        <w:t>Germany, Judgment of 13 July 2000,  para.  43,  Eur.  Court  H.R.,  Case  of</w:t>
        <w:br/>
        <w:t>Bronda v. Italy, Judgment of 9 June 1998, Reports 1998 a  IV,  para.  51,  y</w:t>
        <w:br/>
        <w:t>Eur. Court H.R., Case of Johansen v. Norway,  Judgment  of  7  August  1996,</w:t>
        <w:br/>
        <w:t>Reports 1996 a IV, para. 52, y Condición Jurídica  y  Derechos  Humanos  del</w:t>
        <w:br/>
        <w:t>Niño, OC-17/02, supra nota 204, párr. 72.</w:t>
        <w:br/>
        <w:br/>
        <w:t>[217] Eur. Court H.R., Case of Olsson  v.  Sweden,  judgment  of  March  24,</w:t>
        <w:br/>
        <w:t>1988, serie A, n. 130, para. 81.  En este caso la Corte  Europea  dedujo  de</w:t>
        <w:br/>
        <w:t>la obligación positiva a cargo del Estado la obligación de tomar  todas  las</w:t>
        <w:br/>
        <w:t>medidas necesarias para terminar la separación cuando esta no  es  necesaria</w:t>
        <w:br/>
        <w:t>y, de esa manera facilitar la reunión de  la  familia.  “The  care  decision</w:t>
        <w:br/>
        <w:t>should  therefore  have  been  regarded  as  a  temporary  measure,  to   be</w:t>
        <w:br/>
        <w:t>discontinued as  soon  as  circumstances  permitted,  and  any  measures  of</w:t>
        <w:br/>
        <w:t>implementation  should  have  been  consistent  with  the  ultimate  aim  of</w:t>
        <w:br/>
        <w:t>reuniting the Olsson family.”</w:t>
        <w:br/>
        <w:br/>
        <w:t>[218]  Cfr.  Condición  Jurídica  y  Derechos  Humanos  del  Niño.   Opinión</w:t>
        <w:br/>
        <w:t>Consultiva OC-17/02, supra nota 204, párr. 88.</w:t>
        <w:br/>
        <w:br/>
        <w:t>[219] Comentario del Protocolo adicional II a los Convenios  de  Ginebra  de</w:t>
        <w:br/>
        <w:t>1949 relativo a la protección de las víctimas de los conflictos armados  sin</w:t>
        <w:br/>
        <w:t>carácter  internacional.  Apartado  B.  Reunión  de  Familias,  párr.  4553,</w:t>
        <w:br/>
        <w:t>Disponible en http/www.icrc.org.</w:t>
        <w:br/>
        <w:br/>
        <w:t>[220] Caso de las Niñas Yean y Bosico Vs.  República  Dominica,  supra  nota</w:t>
        <w:br/>
        <w:t>204, párr. 182.</w:t>
        <w:br/>
        <w:br/>
        <w:t>[221] Caso de las Niñas Yean y Bosico Vs.  República  Dominica,  supra  nota</w:t>
        <w:br/>
        <w:t>204, párr. 184.</w:t>
        <w:br/>
        <w:br/>
        <w:t>[222] Eur. Court. H.R., Burghartz v. Switzerland, judgment  of  22  February</w:t>
        <w:br/>
        <w:t>1994, Serie A no. 280 – 3, p. 28 para. 24 “[…] Article 8  (art.  8)  of  the</w:t>
        <w:br/>
        <w:t>Convention does not contain any explicit provisions on names. As a means  of</w:t>
        <w:br/>
        <w:t>personal identification and of linking to a family,  a  person’s  name  none</w:t>
        <w:br/>
        <w:t>the less concerns his or her private and family life”.</w:t>
        <w:br/>
        <w:br/>
        <w:t>[223] Cfr. Caso Velásquez Rodríguez Vs.  Honduras.  Fondo,  supra  nota  30,</w:t>
        <w:br/>
        <w:t>párr. 164; Caso Perozo y otros Vs. Venezuela, supra nota 31,  párr.  120,  y</w:t>
        <w:br/>
        <w:t>Caso Anzualdo Castro Vs. Perú, supra nota 28, párr. 37.</w:t>
        <w:br/>
        <w:br/>
        <w:t>[224] Cfr. Caso Velásquez Rodríguez Vs.  Honduras.  Fondo,  supra  nota  30,</w:t>
        <w:br/>
        <w:t>párr. 173; Caso Perozo y otros Vs. Venezuela, supra nota 31,  párr.  128,  y</w:t>
        <w:br/>
        <w:t>Caso Kawas Fernández Vs. Honduras, supra nota 21, párr. 73.</w:t>
        <w:br/>
        <w:br/>
        <w:t>[225] Cfr. Caso Velásquez Rodríguez Vs.  Honduras.  Fondo,  supra  nota  30,</w:t>
        <w:br/>
        <w:t>párrs. 134 y 172; Caso Zambrano Vélez y otros Vs. Ecuador, supra  nota  109,</w:t>
        <w:br/>
        <w:t>párr. 104, y Caso Kawas Fernández Vs. Honduras, supra nota 21, párr. 73.</w:t>
        <w:br/>
        <w:br/>
        <w:t>[226]  La  supuesta  actividad  del  Estado  para  ubicar  a  Ramiro  Osorio</w:t>
        <w:br/>
        <w:t>Cristales en 1999 fue cuestionada  por  éste  en  sus  declaraciones  en  la</w:t>
        <w:br/>
        <w:t>audiencia privada. Según estas  declaraciones,  la  iniciativa  y  principal</w:t>
        <w:br/>
        <w:t>actividad que llevó a su ubicación en el 1999, había partido de FAMDEGUA,  y</w:t>
        <w:br/>
        <w:t>no  del  Estado.  En  este  sentido,  varios  informes  señalaron  que   las</w:t>
        <w:br/>
        <w:t>autoridades nacionales no tomaron providencias para establecer la  identidad</w:t>
        <w:br/>
        <w:t>y el paradero de los niños “adoptados”, los cuales  permanecieron  separados</w:t>
        <w:br/>
        <w:t>de sus familias biológicas y registrados con los  nombres  de  sus  familias</w:t>
        <w:br/>
        <w:t>“adoptivas”, hasta que sus familiares, y en muchos casos FAMDEGUA,  lograron</w:t>
        <w:br/>
        <w:t>encontrarlos después de años de búsqueda.</w:t>
        <w:br/>
        <w:br/>
        <w:t>[227] Cfr.  Caso  de  los  “Niños  de  la  Calle”  (Villagrán  Morales)  vs.</w:t>
        <w:br/>
        <w:t>Guatemala. Fondo. Sentencia de 19 de noviembre de 1999.  Serie  C.  No.  63,</w:t>
        <w:br/>
        <w:t>párr. 191, y  Condición  Jurídica  y  Derechos  Humanos  del  Niño.  Opinión</w:t>
        <w:br/>
        <w:t>Consultiva OC-17/02, supra nota 204, párr. 24.</w:t>
        <w:br/>
        <w:br/>
        <w:t>[228] En lo pertinente, el artículo 5.1 señala  que  “[t]oda  persona  tiene</w:t>
        <w:br/>
        <w:t>derecho a que se respete su integridad física, psíquica y moral.”</w:t>
        <w:br/>
        <w:br/>
        <w:t>[229] Cfr. artículo 1.1, supra nota 41.</w:t>
        <w:br/>
        <w:br/>
        <w:t>[230] Cfr. artículo 19, supra nota 165.</w:t>
        <w:br/>
        <w:br/>
        <w:t>[231] Cfr. Caso de la Masacre de Mapiripán  Vs.  Colombia,  supra  nota  19,</w:t>
        <w:br/>
        <w:t>párr. 146; Caso de la Masacre de la Rochela Vs.  Colombia,  supra  nota  34,</w:t>
        <w:br/>
        <w:t>párr. 137, y Caso del Penal Miguel Castro Castro Vs. Perú,  supra  nota  27,</w:t>
        <w:br/>
        <w:t>párr. 335.</w:t>
        <w:br/>
        <w:br/>
        <w:t>[232] Cfr. Caso de la Masacre de Mapiripán  Vs.  Colombia,  supra  nota  19,</w:t>
        <w:br/>
        <w:t>párr. 146, y Caso de las Masacres de Ituango Vs. Colombia,  supra  nota  17,</w:t>
        <w:br/>
        <w:t>párr. 262.</w:t>
        <w:br/>
        <w:br/>
        <w:t>[233] Cfr. Caso Blake Vs. Guatemala. Fondo. Sentencia  de  24  de  enero  de</w:t>
        <w:br/>
        <w:t>1998. Serie C No. 36, párrs. 114 a 116;  Caso  Albán  Cornejo  y  otros  Vs.</w:t>
        <w:br/>
        <w:t>Ecuador, supra nota 18, párr. 46, y  Caso  Heliodoro  Portugal  Vs.  Panamá,</w:t>
        <w:br/>
        <w:t>supra nota 23, párr. 163.</w:t>
        <w:br/>
        <w:br/>
        <w:t>[234] Cfr. Caso de las Hermanas Serrano Cruz Vs.  El  Salvador,  supra  nota</w:t>
        <w:br/>
        <w:t>36, párrs. 113 a 115; Caso  La  Cantuta  Vs.  Perú.  Fondo,  Reparaciones  y</w:t>
        <w:br/>
        <w:t>Costas. Sentencia de 29 de noviembre de 2006. Serie C No. 162, párr. 125,  y</w:t>
        <w:br/>
        <w:t>Caso Anzualdo Castro Vs. Perú, supra nota 28, párr. 133.</w:t>
        <w:br/>
        <w:br/>
        <w:t>[235] Caso de la Masacre de Pueblo Bello Vs. Colombia.  Fondo,  Reparaciones</w:t>
        <w:br/>
        <w:t>y Costas. Sentencia de 31 de enero de 2006. Serie  C  No.  140,  párr.  145;</w:t>
        <w:br/>
        <w:t>Caso La Cantuta Vs. Perú, supra  nota  234,  párr.  110,  y  Caso  Heliodoro</w:t>
        <w:br/>
        <w:t>Portugal Vs. Panamá, supra nota 23, párr. 115.</w:t>
        <w:br/>
        <w:br/>
        <w:t>[236] En este sentido, en la audiencia pública el 14 de julio de  2009  ante</w:t>
        <w:br/>
        <w:t>esta Corte, Ramiro Osorio Cristales declaró que “después de ahí  fue  cuando</w:t>
        <w:br/>
        <w:t>empezó la masacre el día 8 en la mañana. Yo solamente no vi  cuando  mataron</w:t>
        <w:br/>
        <w:t>a mi padre, ni a mi hermano. Pero se escuchaba los  gritos  de  piedad,  que</w:t>
        <w:br/>
        <w:t>por favor no los mataran.   Entonces  ya  le  tocaba  a  mi  madre.   Cuando</w:t>
        <w:br/>
        <w:t>sacaron a mi madre, nosotros nos colgamos de nuestra madre diciendo que  por</w:t>
        <w:br/>
        <w:t>favor no la mataran. Y había un señor que estaba en la  puerta,  un  militar</w:t>
        <w:br/>
        <w:t>me agarro y dijo que, que no me fuera porque me iban a  matar.  Entonces  yo</w:t>
        <w:br/>
        <w:t>me fui a ver cómo, por las hendiduras  de  lo  que  es  las  paredes  de  la</w:t>
        <w:br/>
        <w:t>iglesia, me fui a ver cómo mataron a mi madre y a  mi  hermanita  que  tenía</w:t>
        <w:br/>
        <w:t>nueve meses a un año de nacida.  A mi hermanita la agarraron de los  pies  y</w:t>
        <w:br/>
        <w:t>la estrellaron contra un árbol y la tiraron a pozo. A mi madre  le  cortaron</w:t>
        <w:br/>
        <w:t>el cuello y cayó también al pozo.  Mis hermanos fueron degollados y  tirados</w:t>
        <w:br/>
        <w:t>al pozo. Y yo de tanto llorar me quede dormido debajo de unas bancas  de  la</w:t>
        <w:br/>
        <w:t>iglesia, cuando desperté ya había terminado la masacre”.</w:t>
        <w:br/>
        <w:br/>
        <w:t>[237] Cfr.  Declaración  de  “Ramiro  Fernando  López  García”  como  prueba</w:t>
        <w:br/>
        <w:t>anticipada, supra nota 169, fs. 3827 a 3831.</w:t>
        <w:br/>
        <w:br/>
        <w:t>[238]  Cfr.  Condición  Jurídica  y  Derechos  Humanos  del  Niño.   Opinión</w:t>
        <w:br/>
        <w:t>Consultiva OC-17/02, supra nota 204, párr. 54.</w:t>
        <w:br/>
        <w:br/>
        <w:t>[239]  Cfr.  Condición  Jurídica  y  Derechos  Humanos  del  Niño.   Opinión</w:t>
        <w:br/>
        <w:t>Consultiva OC-17/02, supra nota 204, párr. 91.</w:t>
        <w:br/>
        <w:br/>
        <w:t>[240] En lo pertinente, el artículo 21 dispone que “[n]inguna persona  puede</w:t>
        <w:br/>
        <w:t>ser privada de sus bienes, excepto mediante el pago de indemnización  justa,</w:t>
        <w:br/>
        <w:t>por razones de utilidad pública o de interés social y en los casos  y  según</w:t>
        <w:br/>
        <w:t>las formas establecidas por la ley.”</w:t>
        <w:br/>
        <w:br/>
        <w:t>[241] Cfr. artículo 1.1, supra nota 41.</w:t>
        <w:br/>
        <w:br/>
        <w:t>[242] Cfr. Caso Velásquez Rodríguez Vs.  Honduras.  Reparaciones  y  Costas.</w:t>
        <w:br/>
        <w:t>Sentencia de 21 de julio de 1989. Serie C No. 7, párr.  25;  Caso  Garibaldi</w:t>
        <w:br/>
        <w:t>Vs. Brasil, supra nota 23, párr. 150, y Caso Dacosta Cadogan  Vs.  Barbados,</w:t>
        <w:br/>
        <w:t>supra nota 28, párr. 94.</w:t>
        <w:br/>
        <w:br/>
        <w:t>[243] Cfr. Caso Aloeboetoe y otros Vs. Surinam. Fondo.  Sentencia  de  4  de</w:t>
        <w:br/>
        <w:t>diciembre de 1991. Serie C No. 11, párr.  44;  Caso  Garibaldi  Vs.  Brasil,</w:t>
        <w:br/>
        <w:t>supra nota 23, párr. 150, y Caso Dacosta Cadogan Vs.  Barbados,  supra  nota</w:t>
        <w:br/>
        <w:t>28, párr. 94.</w:t>
        <w:br/>
        <w:br/>
        <w:t>[244] Acuerdo de solución amistosa suscrito el 1 de  abril  de  2000.  Entre</w:t>
        <w:br/>
        <w:t>las acciones y/o medidas se encuentran: a) hacer público  a  través  de  una</w:t>
        <w:br/>
        <w:t>conferencia de prensa, el reconocimiento de la  responsabilidad  estatal  en</w:t>
        <w:br/>
        <w:t>los hechos relativos a la masacre y el Presidente  de  la  República  pedirá</w:t>
        <w:br/>
        <w:t>perdón a los sobrevivientes y los familiares de las víctimas y a  pueblo  de</w:t>
        <w:br/>
        <w:t>guatemalteco; b) realizar una investigación que individualice  y  condene  a</w:t>
        <w:br/>
        <w:t>los responsables materiales e intelectuales de la masacre, así  como  a  los</w:t>
        <w:br/>
        <w:t>responsables por el retardo  de  la  justicia,  y  c)  reparar  conforme  lo</w:t>
        <w:br/>
        <w:t>acuerden las partes tomando en cuenta  los  principio  establecidos  por  la</w:t>
        <w:br/>
        <w:t>Corte Interamericana a las víctimas sobrevivientes y a  los  familiares  las</w:t>
        <w:br/>
        <w:t>víctimas, mediante reparaciones colectivas, como: restaurar  y  concluir  el</w:t>
        <w:br/>
        <w:t>monumento que  se  encuentra  en  el  Cementerio  Municipal  de  las  Cruces</w:t>
        <w:br/>
        <w:t>conforme al diseño presentado por  FAMDEGUA,  así  como  la  construcción  e</w:t>
        <w:br/>
        <w:t>instalación de una cruz de tres metros con su placa  correspondiente  en  el</w:t>
        <w:br/>
        <w:t>pozo y elaborar un documental para  televisión  de  carácter  testimonial  y</w:t>
        <w:br/>
        <w:t>educativo, consensuado por las partes involucradas  que  contenga  narración</w:t>
        <w:br/>
        <w:t>de la masacre del  Parcelamiento  de  Las  Dos  Erres,  descripción  de  los</w:t>
        <w:br/>
        <w:t>hechos, mención de las  víctimas  y  el  reconocimiento  de  responsabilidad</w:t>
        <w:br/>
        <w:t>institucional  del  Estado  en  las  violaciones  a  los  derechos  humanos.</w:t>
        <w:br/>
        <w:t>Asimismo, el Estado se comprometió a brindar atención  médica  especializada</w:t>
        <w:br/>
        <w:t>pública  o  privada,   para   tratar   psicológicamente   a   las   víctimas</w:t>
        <w:br/>
        <w:t>sobrevivientes y a los familiares de las víctimas que  lo  requieran,  crear</w:t>
        <w:br/>
        <w:t>una Comisión de identificación y Localización de Víctimas  y  Familiares  de</w:t>
        <w:br/>
        <w:t>la masacre de Las Dos Erres y compensar económicamente, según corresponda  a</w:t>
        <w:br/>
        <w:t>las víctimas y a los familiares  ya  identificados.  La  compensación  sería</w:t>
        <w:br/>
        <w:t>definida en consenso con las partes  y  la  definición  de  la  compensación</w:t>
        <w:br/>
        <w:t>económica formará parte integral del acuerdo.</w:t>
        <w:br/>
        <w:br/>
        <w:t>[245] Cfr. Caso de la Masacre de Pueblo Bello Vs. Colombia, supra nota  235,</w:t>
        <w:br/>
        <w:t>párr. 256, y Caso de las Masacres de Ituango Vs. Colombia,  supra  nota  17,</w:t>
        <w:br/>
        <w:t>párr. 396.</w:t>
        <w:br/>
        <w:br/>
        <w:t>[246] Cfr. Caso de la Masacre de Pueblo Bello Vs. Colombia, supra nota  235,</w:t>
        <w:br/>
        <w:t>párr. 256, y Caso de las Masacres de Ituango Vs. Colombia,  supra  nota  17,</w:t>
        <w:br/>
        <w:t>párr. 385.</w:t>
        <w:br/>
        <w:br/>
        <w:t>[247] Cfr. Caso de la Masacre de Pueblo Bello Vs. Colombia, supra nota  235,</w:t>
        <w:br/>
        <w:t>párr. 256, y Caso de las Masacres de Ituango Vs. Colombia,  supra  nota  17,</w:t>
        <w:br/>
        <w:t>párrs. 385 y 387.</w:t>
        <w:br/>
        <w:br/>
        <w:t>[248] Cfr. Caso de la Masacre de Mapiripán  Vs.  Colombia,  supra  nota  19,</w:t>
        <w:br/>
        <w:t>párr. 294; Caso de la Masacre de Pueblo Bello Vs. Colombia, supra nota  235,</w:t>
        <w:br/>
        <w:t>párr. 256, y Caso de las Masacres de Ituango Vs. Colombia,  supra  nota  17,</w:t>
        <w:br/>
        <w:t>párr. 396.</w:t>
        <w:br/>
        <w:br/>
        <w:t>[249] Cfr. Caso Ticona Estrada y otros Vs. Bolivia, supra  nota  134,  párr.</w:t>
        <w:br/>
        <w:t>110, y Caso Garibaldi Vs. Brasil, supra nota 23, párr. 186.</w:t>
        <w:br/>
        <w:br/>
        <w:t>[250] Cfr. Caso Velásquez Rodríguez, Reparaciones, supra  nota  242,  párrs.</w:t>
        <w:br/>
        <w:t>25 a 27; Caso Garibaldi Vs.  Brasil,  supra  nota  23,  párr.  151,  y  Caso</w:t>
        <w:br/>
        <w:t>Dacosta Cadogan Vs. Barbados, supra nota 28, párr. 95.</w:t>
        <w:br/>
        <w:br/>
        <w:t>[251] Cfr. Caso La Cantuta Vs. Perú, supra nota 234, párrs.  223  y  224,  y</w:t>
        <w:br/>
        <w:t>Caso Anzualdo Castro Vs. Perú, supra nota 28, párr. 180.</w:t>
        <w:br/>
        <w:br/>
        <w:t>[252] Cfr. Caso Almonacid Arellano y otros Vs. Chile, supra nota 161,  párr.</w:t>
        <w:br/>
        <w:t>150; Caso Zambrano Vélez y otros Vs. Ecuador, supra nota 109, párr.  128,  y</w:t>
        <w:br/>
        <w:t>Caso Anzualdo Castro Vs. Perú, supra nota 28, párr. 180.</w:t>
        <w:br/>
        <w:br/>
        <w:t>[253] Cfr. Caso Barrios Altos Vs. Perú. Fondo, supra nota 133, párrs.  41  a</w:t>
        <w:br/>
        <w:t>44; Caso Ticona Estrada y otros Vs. Bolivia, supra nota 135,  párr.  147,  y</w:t>
        <w:br/>
        <w:t>Caso Anzualdo Castro Vs. Perú, supra nota 28, párr. 182.</w:t>
        <w:br/>
        <w:br/>
        <w:t>[254] El Comité para la Eliminación de la Discriminación contra la Mujer  en</w:t>
        <w:br/>
        <w:t>su  Recomendación  General  No.  19  “La  violencia  contra  la  mujer”,  ha</w:t>
        <w:br/>
        <w:t>establecido que en el marco  de  conflictos  armados  se  requiere  que  los</w:t>
        <w:br/>
        <w:t>Estados adopten medidas protectoras  y  punitivas,  asimismo  recomendó  que</w:t>
        <w:br/>
        <w:t>velen por que  las  leyes  contra  los  ataques  respeten  la  integridad  y</w:t>
        <w:br/>
        <w:t>dignidad  de  todas  las  mujeres,  y  que  proporcionen  protección  a  las</w:t>
        <w:br/>
        <w:t>victimas, así como realizar una investigación de las causas  y  los  efectos</w:t>
        <w:br/>
        <w:t>de la violencia y la eficacia de las medidas para responder  a  ella  y  que</w:t>
        <w:br/>
        <w:t>prevean procedimientos eficaces de reparación, incluyendo la indemnización.</w:t>
        <w:br/>
        <w:br/>
        <w:t>[255] Cfr. Caso  de  la  “Panel  Blanca”  (Paniagua  Morales  y  otros)  Vs.</w:t>
        <w:br/>
        <w:t>Guatemala. Fondo, supra nota 29, párr. 173; Caso Anzualdo Castro  Vs.  Perú,</w:t>
        <w:br/>
        <w:t>supra nota 28, párr. 179, y Caso Garibaldi Vs. Brasil, supra nota 23,  párr.</w:t>
        <w:br/>
        <w:t>141.</w:t>
        <w:br/>
        <w:br/>
        <w:t>[256] Cfr. Caso Velásquez Rodríguez Vs.  Honduras.  Fondo,  supra  nota  30,</w:t>
        <w:br/>
        <w:t>párr. 166; Caso Kawas Fernández Vs. Honduras, supra nota 21,  párr.  190,  y</w:t>
        <w:br/>
        <w:t>Caso Anzualdo Castro Vs. Perú, supra nota 28, párr. 62.</w:t>
        <w:br/>
        <w:br/>
        <w:t>[257] Cfr. Caso La Cantuta Vs. Perú, supra nota 235, párr. 226;  Caso  Kawas</w:t>
        <w:br/>
        <w:t>Fernández Vs. Honduras, supra nota 21, párr. 192,  y  Caso  Anzualdo  Castro</w:t>
        <w:br/>
        <w:t>Vs. Perú, supra nota 28, párrs. 125 y 182.</w:t>
        <w:br/>
        <w:br/>
        <w:t>[258] Comisión Internacional  Contra  la  Impunidad  en  Guatemala  (CICIG),</w:t>
        <w:br/>
        <w:t>Recomendación de Reformas Legales y  Reglamentarias  de  la  CICIG,  “Primer</w:t>
        <w:br/>
        <w:t>Conjunto de Reformas Propuestas por  la  CICIG”  (expediente  de  anexos  al</w:t>
        <w:br/>
        <w:t>escrito de solicitudes y argumentos, anexo 7, fs. 9309 y 9310).</w:t>
        <w:br/>
        <w:br/>
        <w:t>[259] Tales como las establecidas en el Manual de Naciones Unidas  sobre  la</w:t>
        <w:br/>
        <w:t>Prevención  e  Investigación  Efectiva   de   Ejecuciones   Extrajudiciales,</w:t>
        <w:br/>
        <w:t>Arbitrarias y Sumarias. Caso de la Masacre de Mapiripán Vs. Colombia,  supra</w:t>
        <w:br/>
        <w:t>nota 19, párr. 305.</w:t>
        <w:br/>
        <w:br/>
        <w:t>[260] Cfr. Caso Bámaca  Velásquez  Vs.  Guatemala.  Reparaciones  y  Costas.</w:t>
        <w:br/>
        <w:t>Sentencia de 22 de febrero de 2002. Serie C No. 91, párrs. 81 y 82; Caso  La</w:t>
        <w:br/>
        <w:t>Cantuta Vs. Perú, supra nota 235, párr. 232,  y  Caso  Anzualdo  Castro  Vs.</w:t>
        <w:br/>
        <w:t>Perú, supra nota 28, párr. 185.</w:t>
        <w:br/>
        <w:br/>
        <w:t>[261] Cfr. Caso de la "Masacre de Mapiripán" Vs. Colombia,  supra  nota  19,</w:t>
        <w:br/>
        <w:t>párr. 317; Caso de las Masacres de Ituango  Vs.  Colombia,  supra  nota  17,</w:t>
        <w:br/>
        <w:t>párr. 409, y Caso Masacre de la Rochela Vs. Colombia, supra nota  34,  párr.</w:t>
        <w:br/>
        <w:t>303.</w:t>
        <w:br/>
        <w:br/>
        <w:t>[262] Cfr. Caso Goiburú y otros Vs. Paraguay. Resolución de la Corte  de  19</w:t>
        <w:br/>
        <w:t>de noviembre de 2009, párr. 49.</w:t>
        <w:br/>
        <w:br/>
        <w:t>[263] Cfr. Caso de los “Niños de la Calle” (Villagrán Morales y  otros)  Vs.</w:t>
        <w:br/>
        <w:t>Guatemala. Reparaciones y Costas. Sentencia de 26 de mayo de 2001.  Serie  C</w:t>
        <w:br/>
        <w:t>No. 77, párr. 84; Caso Garibaldi Vs. Brasil, supra nota  23,  párr.  153,  y</w:t>
        <w:br/>
        <w:t>Caso Dacosta Cadogan Vs. Barbados, supra nota 28, párr. 99.</w:t>
        <w:br/>
        <w:br/>
        <w:t>[264]  Cfr.  Caso  de  los  Hermanos  Gómez  Paquiyauri  Vs.  Perú.   Fondo,</w:t>
        <w:br/>
        <w:t>Reparaciones y Costas. Sentencia de 8 de julio de 2004.  Serie  C  No.  110,</w:t>
        <w:br/>
        <w:t>párr. 235; Caso Anzualdo Castro Vs. Perú, supra nota 28, párr. 194,  y  Caso</w:t>
        <w:br/>
        <w:t>Garibaldi Vs. Brasil, supra nota 23, párr. 157.</w:t>
        <w:br/>
        <w:br/>
        <w:t>[265] Cfr. Caso de las Hermanas Serrano Cruz Vs.  El  Salvador,  supra  nota</w:t>
        <w:br/>
        <w:t>36, párr. 195; Caso Escher y otros Vs. Brasil, supra nota 33, párr.  230,  y</w:t>
        <w:br/>
        <w:t>Caso Garibaldi Vs. Brasil, supra nota 23, párr. 157.</w:t>
        <w:br/>
        <w:br/>
        <w:t>[266] Peritaje de Nieves Gómez Dupuis rendido el 8 de  junio  de  2009  ante</w:t>
        <w:br/>
        <w:t>fedatario público (affidávit) (expediente de excepción preliminar,  fondo  y</w:t>
        <w:br/>
        <w:t>eventuales reparaciones, Tomo IV, f. 633) y peritaje de Nieves Gómez  Dupuis</w:t>
        <w:br/>
        <w:t>efectuado en agosto de 2005, supra nota 148, f. 2811.</w:t>
        <w:br/>
        <w:br/>
        <w:t>[267] Peritaje de Nieves Gómez Dupuis, supra nota 266, f. 628.</w:t>
        <w:br/>
        <w:br/>
        <w:t>[268] Cfr. Caso de las Masacres de Ituango  Vs.  Colombia,  supra  nota  17,</w:t>
        <w:br/>
        <w:t>párr. 406; Caso Cantoral Humaní y García  Santa  Cruz  Vs.  Perú.  Excepción</w:t>
        <w:br/>
        <w:t>Preliminar, Fondo, Reparaciones y Costas. Sentencia de 10 de julio de  2007.</w:t>
        <w:br/>
        <w:t>Serie C No. 167, párr. 193, y Caso Kawas Fernández Vs. Honduras, supra  nota</w:t>
        <w:br/>
        <w:t>21, párr. 202.</w:t>
        <w:br/>
        <w:br/>
        <w:t>[269] Cfr. Caso Barrios Altos Vs. Perú. Reparaciones y Costas. Sentencia  de</w:t>
        <w:br/>
        <w:t>30 de noviembre de 2001. Serie C No. 87, párr. 45; Caso Kawas Fernández  Vs.</w:t>
        <w:br/>
        <w:t>Honduras, supra nota 21, párr. 209, y Caso Anzualdo Castro Vs.  Perú,  supra</w:t>
        <w:br/>
        <w:t>nota 28, párr. 203.</w:t>
        <w:br/>
        <w:br/>
        <w:t>[270] Cfr. Caso Barrios Altos Vs. Perú. Reparaciones y  Costas,  supra  nota</w:t>
        <w:br/>
        <w:t>269, párrs. 42 a 45; Caso Kawas  Fernández  Vs.  Honduras,  supra  nota  21,</w:t>
        <w:br/>
        <w:t>párr. 209, y Caso Anzualdo Castro Vs. Perú, supra nota 28, párr. 203.</w:t>
        <w:br/>
        <w:br/>
        <w:t>[271] Cfr. Caso 19 Comerciantes Vs. Colombia. Fondo, Reparaciones y  Costas.</w:t>
        <w:br/>
        <w:t>Sentencia de 5 de julio de 2004. Serie C No.  109,  párr.  278;  Caso  Valle</w:t>
        <w:br/>
        <w:t>Jaramillo y otros Vs. Colombia, supra nota  21,  párr.  238,  y  Caso  Kawas</w:t>
        <w:br/>
        <w:t>Fernández Vs. Honduras, supra nota 21, párr. 209.</w:t>
        <w:br/>
        <w:br/>
        <w:t>[272] Cfr. Caso de las Hermanas Serrano Cruz Vs.  El  Salvador,  supra  nota</w:t>
        <w:br/>
        <w:t>36, párr. 189.</w:t>
        <w:br/>
        <w:br/>
        <w:t>[273] Cfr. Caso de las Hermanas Serrano Cruz Vs.  El  Salvador,  supra  nota</w:t>
        <w:br/>
        <w:t>36, párr. 190; Caso Escher y otros Vs. Brasil, supra nota 33, párr.  239,  y</w:t>
        <w:br/>
        <w:t>Caso Garibaldi Vs. Brasil, supra nota 23, párr. 157.</w:t>
        <w:br/>
        <w:br/>
        <w:t>[274] Al respecto, se encuentran en funcionamiento páginas  web  que  tienen</w:t>
        <w:br/>
        <w:t>el objetivo de buscar a personas desaparecidas,  tal  como  la  desarrollada</w:t>
        <w:br/>
        <w:t>por el proyecto coordinado y financiado por “Save the  Children”  de  Suecia</w:t>
        <w:br/>
        <w:t>en el marco del Programa Regional  para  América  Latina  y  el  Caribe.  La</w:t>
        <w:br/>
        <w:t>página   web   de   ese   proyecto    tiene    la    siguiente    dirección:</w:t>
        <w:br/>
        <w:t>www.latinoamericanosdesaparecidos.org.</w:t>
        <w:br/>
        <w:br/>
        <w:t>[275] Este Tribunal ha establecido que el daño material supone  “la  pérdida</w:t>
        <w:br/>
        <w:t>o detrimento de los ingresos de las  víctimas,  los  gastos  efectuados  con</w:t>
        <w:br/>
        <w:t>motivo de los hechos y las consecuencias de carácter pecuniario  que  tengan</w:t>
        <w:br/>
        <w:t>un nexo  causal  con  los  hechos  del  caso”.  Caso  Bámaca  Velásquez  Vs.</w:t>
        <w:br/>
        <w:t>Guatemala. Reparaciones y Costas, supra nota 260, párr. 43;  Caso  Garibaldi</w:t>
        <w:br/>
        <w:t>Vs. Brasil, supra nota 23, párr. 182, y Caso Dacosta Cadogan  Vs.  Barbados,</w:t>
        <w:br/>
        <w:t>supra nota 28, párr. 111.</w:t>
        <w:br/>
        <w:br/>
        <w:t>[276] Este Tribunal ha establecido que el daño inmaterial “puede  comprender</w:t>
        <w:br/>
        <w:t>tanto los sufrimientos y las aflicciones causados a la víctima directa  y  a</w:t>
        <w:br/>
        <w:t>sus  allegados,  el  menoscabo  de  valores  muy  significativos  para   las</w:t>
        <w:br/>
        <w:t>personas, así como las alteraciones,  de  carácter  no  pecuniario,  en  las</w:t>
        <w:br/>
        <w:t>condiciones de existencia de la víctima o su familia”.  Caso de  los  “Niños</w:t>
        <w:br/>
        <w:t>de la Calle” (Villagrán Morales  y  otros)  Vs.  Guatemala.  Reparaciones  y</w:t>
        <w:br/>
        <w:t>Costas, supra nota 263, párr. 84; Caso Garibaldi Vs. Brasil, supra nota  23,</w:t>
        <w:br/>
        <w:t>párr. 189, y Caso Dacosta Cadogan Vs. Barbados, supra nota 28, párr. 111.</w:t>
        <w:br/>
        <w:br/>
        <w:t>[277] Las cantidades oscilaron entre los US$3,354.92 (tres  mil  trescientos</w:t>
        <w:br/>
        <w:t>cincuenta y cuatro dólares de los Estados Unidos de América  con  noventa  y</w:t>
        <w:br/>
        <w:t>dos centavos) y US$60,681.11 (sesenta mil seiscientos ochenta y  un  dólares</w:t>
        <w:br/>
        <w:t>de Estados Unidos de América con once centavos). Asimismo, la Corte  observa</w:t>
        <w:br/>
        <w:t>que algunas indemnizaciones fueron  pagadas  de  forma  individual  y  otras</w:t>
        <w:br/>
        <w:t>entregadas a un representante del grupo familiar.</w:t>
        <w:br/>
        <w:br/>
        <w:t>[278] Cfr. Tabla sobre “cheques pagados y su estatus” de 30 de noviembre  de</w:t>
        <w:br/>
        <w:t>2001 (expediente de anexos a la contestación de la demanda,  anexo  10,  fs.</w:t>
        <w:br/>
        <w:t>12374 a 12379).</w:t>
        <w:br/>
        <w:br/>
        <w:t>[279] Cfr. Comprobantes de pago (expediente de anexos a la  contestación  de</w:t>
        <w:br/>
        <w:t>la demanda, anexo 11, Tomo 2, fs. 12846, 12851, 12860, 12861 y 12881).</w:t>
        <w:br/>
        <w:br/>
        <w:t>[280] Cfr. Peritaje de Nieves Gómez Dupuis rendido el 8 de  junio  de  2009,</w:t>
        <w:br/>
        <w:t>supra nota 266, fs. 618 a 636, y peritaje de Nieves Gómez  Dupuis  efectuado</w:t>
        <w:br/>
        <w:t>en agosto de 2005, supra nota 148, fs. 2801 a 2824.</w:t>
        <w:br/>
        <w:br/>
        <w:t>[281] Cfr. Peritaje de Nieves Gómez Dupuis rendido el 8 de  junio  de  2009,</w:t>
        <w:br/>
        <w:t>supra nota 266, f. 633 y  peritaje  de  Nieves  Gómez  Dupuis  efectuado  en</w:t>
        <w:br/>
        <w:t>agosto de 2005, supra nota 148, f. 2811.</w:t>
        <w:br/>
        <w:br/>
        <w:t>[282] Cfr. Caso Neira Alegría y  otros  Vs.  Perú.  Reparaciones  y  Costas.</w:t>
        <w:br/>
        <w:t>Sentencia de 19 de septiembre de 1996.  Serie  C  No.  29,  párr.  56;  Caso</w:t>
        <w:br/>
        <w:t>Anzualdo Castro Vs. Perú, supra nota 28, párr. 219, y  Dacosta  Cadogan  Vs.</w:t>
        <w:br/>
        <w:t>Barbados, supra nota 28, párr. 100.</w:t>
        <w:br/>
        <w:br/>
        <w:t>[283] Al respecto, en el caso del sobreviviente Ramiro Osorio  Cristales  el</w:t>
        <w:br/>
        <w:t>sufrimiento por la sustracción y  retención  ilegal  por  el  Kaibil  Santos</w:t>
        <w:br/>
        <w:t>López y separación de sus familiares (supra párrs.  179  y  180)  derivó  en</w:t>
        <w:br/>
        <w:t>afectaciones no sólo psicológicas sino también a su proyecto de vida  dentro</w:t>
        <w:br/>
        <w:t>de un entorno familiar, inclusive en su destierro. En función  de  la  falta</w:t>
        <w:br/>
        <w:t>de elementos para ordenar una medida adecuada para recobrar o reorientar  su</w:t>
        <w:br/>
        <w:t>proyecto de vida, procede una indemnización adicional por dichos daños.</w:t>
        <w:br/>
        <w:br/>
        <w:t>[284] Cfr. Caso Garrido y Baigorria vs. Argentina.  Reparaciones  y  Costas.</w:t>
        <w:br/>
        <w:t>Sentencia de 27 de agosto de 1998. Serie C. No. 39, párr. 79; Caso  Anzualdo</w:t>
        <w:br/>
        <w:t>Castro Vs. Perú, supra nota 28,  párr.  223,  y  Caso  Dacosta  Cadogan  Vs.</w:t>
        <w:br/>
        <w:t>Barbados, supra nota 28, párr. 115.</w:t>
        <w:br/>
        <w:br/>
        <w:t>[285] A saber: i) gastos de movilización de personas que participaron en  la</w:t>
        <w:br/>
        <w:t>caminata hacia la Corte Suprema de Justicia, organizada  por  FAMDEGUA;  ii)</w:t>
        <w:br/>
        <w:t>compra de teléfono celular y cargas al mismo en La Paz,  Bolivia,  adquirido</w:t>
        <w:br/>
        <w:t>por CEJIL;  iii)  Seguro  Médico  del  abogado  Carlos  Pelayo  Moller;  iv)</w:t>
        <w:br/>
        <w:t>sobrepeso de equipaje en la línea aérea;  v)  traslados  del  aeropuerto  de</w:t>
        <w:br/>
        <w:t>Bolivia al hotel, por  considerar  “que  no  equivale  a  costo  real  [del]</w:t>
        <w:br/>
        <w:t>servicio de taxi en ese país; vi) peritaje elaborado el 7 de abril  de  2009</w:t>
        <w:br/>
        <w:t>por Nieves Gómez, en razón de que “fue propuesto por los  representantes”  y</w:t>
        <w:br/>
        <w:t>“por  considerar  que  el  costo  es  demasiado  elevado”,  y  vii)   gastos</w:t>
        <w:br/>
        <w:t>imprevistos “que no se detallan [por] los representantes”. Agregó el  Estado</w:t>
        <w:br/>
        <w:t>que se “present[aron] dos veces […] los boletos aéreos pagados por  traslado</w:t>
        <w:br/>
        <w:t>de los representantes, testigos y peritos en el presente caso”.</w:t>
        <w:br/>
        <w:br/>
        <w:t>[286] Cfr. Caso Garrido y Baigorria Vs. Argentina.  Reparaciones  y  Costas,</w:t>
        <w:br/>
        <w:t>supra nota 284,  párr.  82;  Caso  Acevedo  Buendía  y  otros  (“Cesantes  y</w:t>
        <w:br/>
        <w:t>Jubilados de la Contraloría”) Vs. Perú, supra nota 30,  párr.  145,  y  Caso</w:t>
        <w:br/>
        <w:t>Dacosta Cadogan Vs. Barbados, supra nota 28, párr. 119.</w:t>
        <w:br/>
        <w:br/>
        <w:t>[287]  Caso  Chaparro  Álvarez  y  Lapo  Íñiguez  Vs.  Ecuador.  Excepciones</w:t>
        <w:br/>
        <w:t>Preliminares, Fondo, Reparaciones y Costas. Sentencia de 21 de noviembre  de</w:t>
        <w:br/>
        <w:t>2007. Serie C No. 170, párr. 277, y Caso  Reverón  Trujillo  Vs.  Venezuela,</w:t>
        <w:br/>
        <w:t>supra nota 29, párr. 201.</w:t>
        <w:br/>
        <w:br/>
        <w:t>[288] Caso Chaparro Álvarez y Lapo Iñiguez  vs.  Ecuador,  supra  nota  287,</w:t>
        <w:br/>
        <w:t>párr. 275; Caso Escher y otros Vs. Brasil, supra nota 33, párr. 259, y  Caso</w:t>
        <w:br/>
        <w:t>Anzualdo Castro Vs. Perú, supra nota 28, párr. 228.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