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br/>
        <w:br/>
        <w:br/>
        <w:br/>
        <w:t xml:space="preserve">                  Corte Interamericana de Derechos Humanos</w:t>
        <w:br/>
        <w:br/>
        <w:br/>
        <w:br/>
        <w:br/>
        <w:br/>
        <w:t xml:space="preserve">              Caso COMUNIDAD INDÍGENA XÁkMOK KÁSEK vs. PARAGUAY</w:t>
        <w:br/>
        <w:br/>
        <w:br/>
        <w:br/>
        <w:br/>
        <w:br/>
        <w:t xml:space="preserve">                      SENTENCIA DE 24 DE AGOSTO DE 2010</w:t>
        <w:br/>
        <w:br/>
        <w:br/>
        <w:t xml:space="preserve">                       (FONDO, REPARACIONES Y COSTAS)</w:t>
        <w:br/>
        <w:br/>
        <w:br/>
        <w:br/>
        <w:br/>
        <w:br/>
        <w:t>En el caso Comunidad Indígena Xákmok Kásek,</w:t>
        <w:br/>
        <w:br/>
        <w:br/>
        <w:t>la  Corte  Interamericana  de  Derechos  Humanos  (en  adelante  “la   Corte</w:t>
        <w:br/>
        <w:t>Interamericana”, “la Corte” o “el Tribunal”), integrada por  los  siguientes</w:t>
        <w:br/>
        <w:t>jueces:</w:t>
        <w:br/>
        <w:br/>
        <w:t xml:space="preserve">      Diego García-Sayán, Presidente;</w:t>
        <w:br/>
        <w:t xml:space="preserve">      Leonardo A. Franco, Vicepresidente;</w:t>
        <w:br/>
        <w:t xml:space="preserve">      Manuel E. Ventura Robles, Juez;</w:t>
        <w:br/>
        <w:t xml:space="preserve">      Margarette May Macaulay, Jueza;</w:t>
        <w:br/>
        <w:t xml:space="preserve">      Rhadys Abreu Blondet, Jueza;</w:t>
        <w:br/>
        <w:t xml:space="preserve">      Alberto Pérez Pérez, Juez;</w:t>
        <w:br/>
        <w:t xml:space="preserve">      Eduardo Vio Grossi, Juez, y</w:t>
        <w:br/>
        <w:t xml:space="preserve">      Augusto Fogel Pedrozo, Juez ad hoc;</w:t>
        <w:br/>
        <w:br/>
        <w:t>presentes, además,</w:t>
        <w:br/>
        <w:br/>
        <w:br/>
        <w:t xml:space="preserve">      Pablo Saavedra Alessandri, Secretario, y</w:t>
        <w:br/>
        <w:t xml:space="preserve">      Emilia Segares Rodríguez, Secretaria Adjunta,</w:t>
        <w:br/>
        <w:br/>
        <w:t>de conformidad con los artículos 62.3 y  63.1  de  la  Convención  Americana</w:t>
        <w:br/>
        <w:t>sobre Derechos  Humanos  (en  adelante  “la  Convención”  o  “la  Convención</w:t>
        <w:br/>
        <w:t>Americana”) y con los artículos 30,  32,  59  y  60  del  Reglamento  de  la</w:t>
        <w:br/>
        <w:t>Corte[1] (en adelante “el Reglamento”), dicta la presente Sentencia.</w:t>
        <w:br/>
        <w:br/>
        <w:br/>
        <w:br/>
        <w:br/>
        <w:br/>
        <w:t xml:space="preserve">                                      I</w:t>
        <w:br/>
        <w:br/>
        <w:t xml:space="preserve">            INTRODUCCIÓN DE LA CAUSA Y OBJETO DE LA CONTROVERSIA</w:t>
        <w:br/>
        <w:br/>
        <w:br/>
        <w:t>1. El 3 de julio de 2009 la Comisión Interamericana de Derechos Humanos  (en</w:t>
        <w:br/>
        <w:t xml:space="preserve">   adelante “la Comisión”  o  “la  Comisión  Interamericana”)  presentó,  de</w:t>
        <w:br/>
        <w:t xml:space="preserve">   conformidad con los artículos 51 y  61  de  la  Convención,  una  demanda</w:t>
        <w:br/>
        <w:t xml:space="preserve">   contra la República del Paraguay (en adelante “el Estado” o  “Paraguay”),</w:t>
        <w:br/>
        <w:t xml:space="preserve">   a partir de la cual se inició el presente caso. La petición  inicial  fue</w:t>
        <w:br/>
        <w:t xml:space="preserve">   presentada ante la Comisión el 15 de mayo de 2001. El 20  de  febrero  de</w:t>
        <w:br/>
        <w:t xml:space="preserve">   2003 la Comisión aprobó el Informe No. 11/03[2], mediante el cual declaró</w:t>
        <w:br/>
        <w:t xml:space="preserve">   admisible dicha petición. Posteriormente, el 17 de julio de 2008,  aprobó</w:t>
        <w:br/>
        <w:t xml:space="preserve">   el Informe de Fondo No. 30/08[3], en los términos del artículo 50  de  la</w:t>
        <w:br/>
        <w:t xml:space="preserve">   Convención, el cual contenía determinadas recomendaciones para el Estado.</w:t>
        <w:br/>
        <w:t xml:space="preserve">   Este informe fue notificado al Estado el 5 de agosto de  2008.  El  2  de</w:t>
        <w:br/>
        <w:t xml:space="preserve">   julio de 2009 la Comisión, después de analizar varios informes  remitidos</w:t>
        <w:br/>
        <w:t xml:space="preserve">   por el Estado y las  observaciones  al  respecto  de  los  peticionarios,</w:t>
        <w:br/>
        <w:t xml:space="preserve">   decidió someter el presente caso a  la  jurisdicción  de  la  Corte,  “en</w:t>
        <w:br/>
        <w:t xml:space="preserve">   virtud de que no consideró que  hubiera  un  cumplimiento  estatal  a  lo</w:t>
        <w:br/>
        <w:t xml:space="preserve">   establecido en el Informe de Fondo”. La Comisión designó como delegados a</w:t>
        <w:br/>
        <w:t xml:space="preserve">   los señores Paolo Carozza, entonces Comisionado, y  Santiago  A.  Canton,</w:t>
        <w:br/>
        <w:t xml:space="preserve">   Secretario Ejecutivo, y como asesores legales  a  Elizabeth  Abi-Mershed,</w:t>
        <w:br/>
        <w:t xml:space="preserve">   Secretaria Ejecutiva  Adjunta,  y  a  Karla  I.  Quintana  Osuna,  Isabel</w:t>
        <w:br/>
        <w:t xml:space="preserve">   Madariaga  y  María  Claudia  Pulido,  especialistas  de  la   Secretaría</w:t>
        <w:br/>
        <w:t xml:space="preserve">   Ejecutiva. Posteriormente, la Comisión designó  a  la  Comisionada  María</w:t>
        <w:br/>
        <w:t xml:space="preserve">   Silvia Guillén, en virtud de que el mandato del Comisionado Carozza había</w:t>
        <w:br/>
        <w:t xml:space="preserve">   concluido.</w:t>
        <w:br/>
        <w:br/>
        <w:br/>
        <w:t>2. La demanda se relaciona con la alegada responsabilidad internacional  del</w:t>
        <w:br/>
        <w:t xml:space="preserve">   Estado por la  supuesta  falta  de  garantía  del  derecho  de  propiedad</w:t>
        <w:br/>
        <w:t xml:space="preserve">   ancestral  de  la  Comunidad  Indígena  Xákmok  Kásek  (en  adelante   la</w:t>
        <w:br/>
        <w:t xml:space="preserve">   “Comunidad Indígena  Xákmok  Kásek”,  la  “Comunidad  Xákmok  Kásek”,  la</w:t>
        <w:br/>
        <w:t xml:space="preserve">   “Comunidad indígena” o la “Comunidad”) y sus miembros (en  adelante  “los</w:t>
        <w:br/>
        <w:t xml:space="preserve">   miembros de la Comunidad”), ya que desde 1990 se encontraría tramitándose</w:t>
        <w:br/>
        <w:t xml:space="preserve">   la solicitud de reivindicación territorial  de  la  Comunidad,  “sin  que</w:t>
        <w:br/>
        <w:t xml:space="preserve">   hasta la  fecha  se  h[ubiera]  resuelto  satisfactoriamente”.  Según  la</w:t>
        <w:br/>
        <w:t xml:space="preserve">   Comisión “[l]o anterior ha significado no sólo  la  imposibilidad  de  la</w:t>
        <w:br/>
        <w:t xml:space="preserve">   Comunidad de acceder a la propiedad y posesión  de  su  territorio,  sino</w:t>
        <w:br/>
        <w:t xml:space="preserve">   que, por las propias características de la misma, ha implicado mantenerla</w:t>
        <w:br/>
        <w:t xml:space="preserve">   en un estado de  vulnerabilidad  alimenticia,  médica  y  sanitaria,  que</w:t>
        <w:br/>
        <w:t xml:space="preserve">   amenazan en forma  continua  la  supervivencia  de  los  miembros  de  la</w:t>
        <w:br/>
        <w:t xml:space="preserve">   Comunidad y la integridad de la misma”.</w:t>
        <w:br/>
        <w:br/>
        <w:br/>
        <w:t>3. La Comisión solicitó a la Corte que declare al Estado responsable por  la</w:t>
        <w:br/>
        <w:t xml:space="preserve">   violación de los derechos consagrados en  los  artículos  3  (Derecho  al</w:t>
        <w:br/>
        <w:t xml:space="preserve">   Reconocimiento de la Personalidad Jurídica), 4 (Derecho a la  Vida),  8.1</w:t>
        <w:br/>
        <w:t xml:space="preserve">   (Garantías  Judiciales),  19  (Derechos  del  Niño),  21  (Derecho  a  la</w:t>
        <w:br/>
        <w:t xml:space="preserve">   Propiedad Privada) y  25  (Protección  Judicial)  de  la  Convención,  en</w:t>
        <w:br/>
        <w:t xml:space="preserve">   relación  con  las  obligaciones  establecidas  en  los   artículos   1.1</w:t>
        <w:br/>
        <w:t xml:space="preserve">   (Obligación de Respetar los Derechos) y 2 (Deber de Adoptar Disposiciones</w:t>
        <w:br/>
        <w:t xml:space="preserve">   de Derecho Interno) de la misma. La Comisión  solicitó  a  la  Corte  que</w:t>
        <w:br/>
        <w:t xml:space="preserve">   ordene al Estado determinadas  medidas  de  reparación.  La  demanda  fue</w:t>
        <w:br/>
        <w:t xml:space="preserve">   notificada al Estado y a los representantes de las presuntas víctimas  el</w:t>
        <w:br/>
        <w:t xml:space="preserve">   17 de agosto de 2009.</w:t>
        <w:br/>
        <w:br/>
        <w:br/>
        <w:t>4. El 17 de octubre de 2009 Oscar Ayala Amarilla  y  Julia  Cabello  Alonso,</w:t>
        <w:br/>
        <w:t xml:space="preserve">   integrantes de la organización Tierraviva a  los  Pueblos  Indígenas  del</w:t>
        <w:br/>
        <w:t xml:space="preserve">   Chaco, en nombre y representación de los miembros  de  la  Comunidad  (en</w:t>
        <w:br/>
        <w:t xml:space="preserve">   adelante “los representantes”), presentaron su  escrito  de  solicitudes,</w:t>
        <w:br/>
        <w:t xml:space="preserve">   argumentos y pruebas (en adelante “escrito de solicitudes y argumentos”).</w:t>
        <w:br/>
        <w:t xml:space="preserve">   Los representantes se adhirieron in totum a la demanda de la Comisión  y,</w:t>
        <w:br/>
        <w:t xml:space="preserve">   adicionalmente a los artículos  de  la  Convención  invocados  por  ésta,</w:t>
        <w:br/>
        <w:t xml:space="preserve">   solicitaron a la Corte que declare que el Estado también  es  responsable</w:t>
        <w:br/>
        <w:t xml:space="preserve">   por la violación del derecho consagrado en el artículo 5  (Derecho  a  la</w:t>
        <w:br/>
        <w:t xml:space="preserve">   Integridad  Personal)   de   la   Convención.   Finalmente,   solicitaron</w:t>
        <w:br/>
        <w:t xml:space="preserve">   determinadas medidas de reparación.</w:t>
        <w:br/>
        <w:br/>
        <w:br/>
        <w:t>5. El 31 de diciembre de 2009 el Estado presentó su escrito de  contestación</w:t>
        <w:br/>
        <w:t xml:space="preserve">   de la demanda y observaciones al escrito de solicitudes y argumentos  (en</w:t>
        <w:br/>
        <w:t xml:space="preserve">   adelante “contestación de la demanda”). El Estado controvirtió los hechos</w:t>
        <w:br/>
        <w:t xml:space="preserve">   alegados y las pretensiones de derecho expuestas por la  Comisión  y  los</w:t>
        <w:br/>
        <w:t xml:space="preserve">   representantes. El Estado designó  al  señor  José  Enrique  García  como</w:t>
        <w:br/>
        <w:t xml:space="preserve">   Agente y a la señora Inés Martínez Valinotti como Agente Alterna[4].</w:t>
        <w:br/>
        <w:br/>
        <w:t xml:space="preserve">                                     II</w:t>
        <w:br/>
        <w:br/>
        <w:t xml:space="preserve">                         PROCEDIMIENTO ANTE LA CORTE</w:t>
        <w:br/>
        <w:br/>
        <w:br/>
        <w:t>6. A solicitud de la Comisión y los representantes,  el  29  de  octubre  de</w:t>
        <w:br/>
        <w:t xml:space="preserve">   2009, se incorporaron al expediente los informes periciales rendidos  por</w:t>
        <w:br/>
        <w:t xml:space="preserve">   los señores José Alberto Braunstein, Bartemeu Melia i  Lliteres,  Enrique</w:t>
        <w:br/>
        <w:t xml:space="preserve">   Castillo y José Aylwin en  el  caso  Comunidad  Indígena  Yakye  Axa  Vs.</w:t>
        <w:br/>
        <w:t xml:space="preserve">   Paraguay[5]. Ese mismo día se transmitieron al Estado tales  pericias,  a</w:t>
        <w:br/>
        <w:t xml:space="preserve">   efectos de que presentara las observaciones que estimara pertinentes.</w:t>
        <w:br/>
        <w:br/>
        <w:br/>
        <w:t>7. Mediante Resolución de 8 de marzo de 2010[6] el Presidente  de  la  Corte</w:t>
        <w:br/>
        <w:t xml:space="preserve">   (en adelante “el Presidente”) dispuso la recepción de declaraciones  ante</w:t>
        <w:br/>
        <w:t xml:space="preserve">   fedatario público (affidávit)  de  las  presuntas  víctimas,  testigos  y</w:t>
        <w:br/>
        <w:t xml:space="preserve">   peritos  ofrecidos  oportunamente  por  las  partes.  Adicionalmente,  se</w:t>
        <w:br/>
        <w:t xml:space="preserve">   convocó  a  las  partes  a  una  audiencia  pública  para  escuchar   las</w:t>
        <w:br/>
        <w:t xml:space="preserve">   declaraciones propuestas por la Comisión, el Estado y los representantes,</w:t>
        <w:br/>
        <w:t xml:space="preserve">   así como sus alegatos finales orales sobre  el  fondo  y  las  eventuales</w:t>
        <w:br/>
        <w:t xml:space="preserve">   reparaciones y costas. Finalmente, el Presidente fijó plazo hasta  el  24</w:t>
        <w:br/>
        <w:t xml:space="preserve">   de mayo de 2010 para que las partes presentaran sus respectivos  escritos</w:t>
        <w:br/>
        <w:t xml:space="preserve">   de alegatos finales.</w:t>
        <w:br/>
        <w:br/>
        <w:br/>
        <w:t>8. Los días 29 y 30 de marzo de 2010 los representantes, la  Comisión  y  el</w:t>
        <w:br/>
        <w:t xml:space="preserve">   Estado remitieron  las  declaraciones  rendidas  ante  fedatario  público</w:t>
        <w:br/>
        <w:t xml:space="preserve">   (affidávit).</w:t>
        <w:br/>
        <w:br/>
        <w:br/>
        <w:t>9. El 29 de marzo de 2010 el señor Amancio Ruiz y la señora  Eduvigis  Ruiz,</w:t>
        <w:br/>
        <w:t xml:space="preserve">   presuntas víctimas llamadas por el Presidente a rendir  declaración  ante</w:t>
        <w:br/>
        <w:t xml:space="preserve">   fedatario público (supra párr. 7), remitieron una comunicación en la  que</w:t>
        <w:br/>
        <w:t xml:space="preserve">   indicaron que el señor Roberto  Carlos  Eaton  Kent,  propietario  de  la</w:t>
        <w:br/>
        <w:t xml:space="preserve">   estancia, dentro de la cual se encuentran parte de las tierras reclamadas</w:t>
        <w:br/>
        <w:t xml:space="preserve">   por los miembros de la Comunidad y  empleador  del  señor  Amancio  Ruiz,</w:t>
        <w:br/>
        <w:t xml:space="preserve">   estaría “organizando las testificales por parte  del  Estado  paraguayo”.</w:t>
        <w:br/>
        <w:t xml:space="preserve">   Según las mencionadas presuntas víctimas, el señor Eaton “es  la  persona</w:t>
        <w:br/>
        <w:t xml:space="preserve">   quien más se ha opuesto a  la  reivindicación  de  [su]  [C]omunidad;  la</w:t>
        <w:br/>
        <w:t xml:space="preserve">   persona que [l]os persiguió y siempre mostró un  profundo  irrespeto  por</w:t>
        <w:br/>
        <w:t xml:space="preserve">   [su] justa reivindicación.  La  persona  cuyos  derechos  siempre  fueron</w:t>
        <w:br/>
        <w:t xml:space="preserve">   antepuestos  a  los  [suyos]  por  parte  del  Estado  paraguayo;  es  un</w:t>
        <w:br/>
        <w:t xml:space="preserve">   permanente aliado del  Estado  en  detrimento  de  [su]   vida,  de  [su]</w:t>
        <w:br/>
        <w:t xml:space="preserve">   cultura, de [su] pueblo”.</w:t>
        <w:br/>
        <w:br/>
        <w:br/>
        <w:t>10. El 5 de abril  de  2010  el  Estado,  por  requerimiento  del  Tribunal,</w:t>
        <w:br/>
        <w:t xml:space="preserve">   presentó sus observaciones a lo expuesto por los señores Amancio  Ruiz  y</w:t>
        <w:br/>
        <w:t xml:space="preserve">   Eduvigis  Ruiz.  Indicó  que  “los  representantes  del  Estado  [habían]</w:t>
        <w:br/>
        <w:t xml:space="preserve">   acepta[do] la propuesta del Sr. Roberto Carlos Eaton, […]  de  buena  fe,</w:t>
        <w:br/>
        <w:t xml:space="preserve">   […] de asumir los gastos de movilidad y  hospedaje  de  los  [declarantes</w:t>
        <w:br/>
        <w:t xml:space="preserve">   referidos], para que estas personas pudieran brindar sus versiones  sobre</w:t>
        <w:br/>
        <w:t xml:space="preserve">   los temas expuestos, en presencia de un fedatario  público,  quien  daría</w:t>
        <w:br/>
        <w:t xml:space="preserve">   las garantías de una declaración espontánea y  libre”.  Sostuvo,  además,</w:t>
        <w:br/>
        <w:t xml:space="preserve">   que “no se procedió a comunicar tal hecho a la  organización  Tierraviva,</w:t>
        <w:br/>
        <w:t xml:space="preserve">   ya  que  las  [presuntas]  víctimas  propuestas  procederían  a   brindar</w:t>
        <w:br/>
        <w:t xml:space="preserve">   declaraciones sobre documentaciones firmadas o actos realizados por ellos</w:t>
        <w:br/>
        <w:t xml:space="preserve">   mismos”. Concluyó indicando que “[a] lo sumo,  el  problema  fue  de  una</w:t>
        <w:br/>
        <w:t xml:space="preserve">   comunicación deficiente, que por tener de intermediario  al  Señor  Eaton</w:t>
        <w:br/>
        <w:t xml:space="preserve">   generó en los indígenas cierta desconfianza, la cual [era] infundada”. El</w:t>
        <w:br/>
        <w:t xml:space="preserve">   Estado aclaró que no había “intimidado a las [presuntas] víctimas”  y  no</w:t>
        <w:br/>
        <w:t xml:space="preserve">   “ha[bía] realizado alianzas con ninguna  de  las  partes  en  conflicto”.</w:t>
        <w:br/>
        <w:t xml:space="preserve">   Finalmente, indicó que desistía de dichas las declaraciones ofrecidas.</w:t>
        <w:br/>
        <w:br/>
        <w:br/>
        <w:t>11. La audiencia pública fue llevada a cabo el 14 de abril de 2010,  durante</w:t>
        <w:br/>
        <w:t xml:space="preserve">   el XLI Período Extraordinario de Sesiones celebrado en la ciudad de Lima,</w:t>
        <w:br/>
        <w:t xml:space="preserve">   República del Perú[7].</w:t>
        <w:br/>
        <w:br/>
        <w:br/>
        <w:t>12. El 4 de  mayo  de  2010,  siguiendo  instrucciones  del  Presidente,  se</w:t>
        <w:br/>
        <w:t xml:space="preserve">   requirió al Estado, a la Comisión  y  a  los  representantes  determinada</w:t>
        <w:br/>
        <w:t xml:space="preserve">   prueba documental.</w:t>
        <w:br/>
        <w:br/>
        <w:br/>
        <w:t>13. El día 24 de mayo de 2010 la Comisión y los representantes, y el  25  de</w:t>
        <w:br/>
        <w:t xml:space="preserve">   mayo de 2010 el Estado,  remitieron,  respectivamente,  sus  escritos  de</w:t>
        <w:br/>
        <w:t xml:space="preserve">   alegatos finales. La Comisión, los representantes y el Estado presentaron</w:t>
        <w:br/>
        <w:t xml:space="preserve">   parte de la prueba documental  requerida.  Asimismo,  los  representantes</w:t>
        <w:br/>
        <w:t xml:space="preserve">   adjuntaron al escrito de alegatos finales algunos documentos.</w:t>
        <w:br/>
        <w:br/>
        <w:t xml:space="preserve">                                     III</w:t>
        <w:br/>
        <w:br/>
        <w:t xml:space="preserve">                                 COMPETENCIA</w:t>
        <w:br/>
        <w:br/>
        <w:br/>
        <w:t>14. La Corte es competente para conocer del presente caso, en  los  términos</w:t>
        <w:br/>
        <w:t xml:space="preserve">   del artículo 62.3 de la Convención  Americana,  ya  que  el  Paraguay  es</w:t>
        <w:br/>
        <w:t xml:space="preserve">   Estado Parte de la Convención desde el 24 de agosto de 1989  y  reconoció</w:t>
        <w:br/>
        <w:t xml:space="preserve">   la competencia contenciosa de Tribunal el 11 de marzo de 1993.</w:t>
        <w:br/>
        <w:br/>
        <w:t xml:space="preserve">                                     IV</w:t>
        <w:br/>
        <w:br/>
        <w:t xml:space="preserve">                                   PRUEBA</w:t>
        <w:br/>
        <w:br/>
        <w:br/>
        <w:t>15. Con base en lo establecido en los  artículos  46  y  47  del  Reglamento</w:t>
        <w:br/>
        <w:t xml:space="preserve">   aplicable a este caso, así como  en  su  jurisprudencia  respecto  de  la</w:t>
        <w:br/>
        <w:t xml:space="preserve">   prueba y su apreciación[8], la Corte examinará y valorará  los  elementos</w:t>
        <w:br/>
        <w:t xml:space="preserve">   probatorios  documentales  remitidos   por   las   partes   en   diversas</w:t>
        <w:br/>
        <w:t xml:space="preserve">   oportunidades procesales, así como las  declaraciones  rendidas  mediante</w:t>
        <w:br/>
        <w:t xml:space="preserve">   affidávit y en audiencia pública. Para ello, el Tribunal se atendrá a los</w:t>
        <w:br/>
        <w:t xml:space="preserve">   principios de la sana crítica, dentro del marco legal correspondiente[9].</w:t>
        <w:br/>
        <w:br/>
        <w:br/>
        <w:t>1.    Declaraciones recibidas</w:t>
        <w:br/>
        <w:br/>
        <w:br/>
        <w:t>16. Fueron recibidas las declaraciones escritas de las siguientes  presuntas</w:t>
        <w:br/>
        <w:t xml:space="preserve">   víctimas, testigos y peritos[10]:</w:t>
        <w:br/>
        <w:br/>
        <w:br/>
        <w:t xml:space="preserve">   1) Clemente Dermott, líder de la Comunidad, presunta víctima ofrecida por</w:t>
        <w:br/>
        <w:t xml:space="preserve">      la Comisión. Declaró, inter alia, sobre los “procesos legales seguidos</w:t>
        <w:br/>
        <w:t xml:space="preserve">      ante la jurisdicción interna para la restitución de su territorio a la</w:t>
        <w:br/>
        <w:t xml:space="preserve">      Comunidad Xákmok Kásek”;</w:t>
        <w:br/>
        <w:br/>
        <w:br/>
        <w:t xml:space="preserve">   2) Marcelino López, líder de la Comunidad, presunta víctima ofrecida  por</w:t>
        <w:br/>
        <w:t xml:space="preserve">      los representantes. Declaró,  inter  alia,  sobre:  i)  “los  procesos</w:t>
        <w:br/>
        <w:t xml:space="preserve">      legales seguidos ante la jurisdicción interna para la  restitución  de</w:t>
        <w:br/>
        <w:t xml:space="preserve">      su territorio”, y ii) “las migraciones y separaciones de personas  que</w:t>
        <w:br/>
        <w:t xml:space="preserve">      conformaban a la Comunidad”;</w:t>
        <w:br/>
        <w:br/>
        <w:br/>
        <w:t xml:space="preserve">   3) Gerardo Larrosa, miembro de la Comunidad y promotor de salud, presunta</w:t>
        <w:br/>
        <w:t xml:space="preserve">      víctima ofrecida por los representantes. Declaró,  inter  alia,  sobre</w:t>
        <w:br/>
        <w:t xml:space="preserve">      “las condiciones de salud de la [C]omunidad, tanto presentes, como del</w:t>
        <w:br/>
        <w:t xml:space="preserve">      pasado”;</w:t>
        <w:br/>
        <w:br/>
        <w:br/>
        <w:t xml:space="preserve">   4) Tomás Dermott, miembro de la Comunidad, presunta víctima ofrecida  por</w:t>
        <w:br/>
        <w:t xml:space="preserve">      los representantes. Declaró, inter alia, sobre  “las  poblaciones  del</w:t>
        <w:br/>
        <w:t xml:space="preserve">      territorio ancestral y la historia de despojo de  las  tierras  de  la</w:t>
        <w:br/>
        <w:t xml:space="preserve">      Comunidad Xákmok Kásek”;</w:t>
        <w:br/>
        <w:br/>
        <w:br/>
        <w:t xml:space="preserve">   5) Roberto Carlos Eaton  Kent,  “propietario  de  la  Estancia  Salazar”,</w:t>
        <w:br/>
        <w:t xml:space="preserve">      testigo propuesto por el  Estado.  Declaró,  inter  alia,  sobre  “las</w:t>
        <w:br/>
        <w:t xml:space="preserve">      situaciones fácticas y jurídicas de  las  tierras  reclamadas  por  la</w:t>
        <w:br/>
        <w:t xml:space="preserve">      Comunidad”;</w:t>
        <w:br/>
        <w:br/>
        <w:br/>
        <w:t xml:space="preserve">   6) Rodolfo Stavenhagen, antropólogo y sociólogo, ex Relator Especial para</w:t>
        <w:br/>
        <w:t xml:space="preserve">      los Derechos Humanos y  Libertades  Fundamentales  de  los  Indígenas,</w:t>
        <w:br/>
        <w:t xml:space="preserve">      Organización de las Naciones Unidas, perito propuesto por la Comisión.</w:t>
        <w:br/>
        <w:t xml:space="preserve">      Declaró, inter alia, sobre: i) “la situación de los pueblos  indígenas</w:t>
        <w:br/>
        <w:t xml:space="preserve">      del Chaco paraguayo”; ii) “la importancia que reviste para los pueblos</w:t>
        <w:br/>
        <w:t xml:space="preserve">      indígenas el reconocimiento y protección de sus tierras y  territorios</w:t>
        <w:br/>
        <w:t xml:space="preserve">      ancestrales”, y iii) “las consecuencias de la falta de  reconocimiento</w:t>
        <w:br/>
        <w:t xml:space="preserve">      por parte del Estado”;</w:t>
        <w:br/>
        <w:br/>
        <w:br/>
        <w:t xml:space="preserve">   7) Antonio Spiridonoff Reyes, ingeniero forestal,  perito  propuesto  por</w:t>
        <w:br/>
        <w:t xml:space="preserve">      los representantes. Declaró, inter alia, sobre: i)  “la  determinación</w:t>
        <w:br/>
        <w:t xml:space="preserve">      del área reivindicada por la [C]omunidad [I]ndígena Xákmok Kásek  como</w:t>
        <w:br/>
        <w:t xml:space="preserve">      apto para un asentamiento humano como a su expansión  demográfica”,  y</w:t>
        <w:br/>
        <w:t xml:space="preserve">      ii) la “forma de aprovechamiento[s] económicos posibles en la misma  y</w:t>
        <w:br/>
        <w:t xml:space="preserve">      en todo el territorio tradicional”, y</w:t>
        <w:br/>
        <w:br/>
        <w:br/>
        <w:t xml:space="preserve">   8) Sergio Iván Braticevic,  geógrafo,  con  una  maestría  en  sociología</w:t>
        <w:br/>
        <w:t xml:space="preserve">      económica y doctor en Filosofía y  Letras,  Sección  de  Antropología,</w:t>
        <w:br/>
        <w:t xml:space="preserve">      perito propuesto por el Estado. Elaboró, inter alia,  un  informe  que</w:t>
        <w:br/>
        <w:t xml:space="preserve">      denominó “Breve estudio territorial sobre la  Comunidad  Xákmok  Kásek</w:t>
        <w:br/>
        <w:t xml:space="preserve">      del Chaco Paraguayo”.</w:t>
        <w:br/>
        <w:br/>
        <w:br/>
        <w:t>17. En cuanto a la prueba rendida en audiencia  pública,  la  Corte  escuchó</w:t>
        <w:br/>
        <w:t xml:space="preserve">   las declaraciones de las siguientes personas:</w:t>
        <w:br/>
        <w:br/>
        <w:br/>
        <w:t xml:space="preserve">   1) Maximiliano Ruíz, maestro y miembro de la Comunidad, presunta  víctima</w:t>
        <w:br/>
        <w:t xml:space="preserve">      propuesta por la Comisión y los representantes. Declaró,  inter  alia,</w:t>
        <w:br/>
        <w:t xml:space="preserve">      sobre: i) la situación social de la Comunidad  ante  la  falta  de  su</w:t>
        <w:br/>
        <w:t xml:space="preserve">      territorio  ancestral;  ii)  las  condiciones  sociales  y  educativas</w:t>
        <w:br/>
        <w:t xml:space="preserve">      actuales en la Comunidad; iii) la situación de los niños y niñas de la</w:t>
        <w:br/>
        <w:t xml:space="preserve">      Comunidad, y iv) las  condiciones  vividas  en  la  Estancia  Salazar,</w:t>
        <w:br/>
        <w:t xml:space="preserve">      durante la permanencia de los miembros de  dicha  Comunidad  en  dicho</w:t>
        <w:br/>
        <w:t xml:space="preserve">      lugar;</w:t>
        <w:br/>
        <w:br/>
        <w:br/>
        <w:t xml:space="preserve">   2) Antonia Ramírez, miembro de la Comunidad, presunta  víctima  propuesta</w:t>
        <w:br/>
        <w:t xml:space="preserve">      por la Comisión y los representantes. Declaró, inter alia,  sobre:  i)</w:t>
        <w:br/>
        <w:t xml:space="preserve">      la situación actual de la Comunidad, en especial en  relación  con  la</w:t>
        <w:br/>
        <w:t xml:space="preserve">      situación general de las mujeres, niños y niñas de la  Comunidad  ante</w:t>
        <w:br/>
        <w:t xml:space="preserve">      la falta de su hábitat tradicional, y ii) las condiciones  vividas  en</w:t>
        <w:br/>
        <w:t xml:space="preserve">      la Estancia Salazar durante la  permanencia  de  sus  miembros  en  el</w:t>
        <w:br/>
        <w:t xml:space="preserve">      lugar;</w:t>
        <w:br/>
        <w:br/>
        <w:br/>
        <w:t xml:space="preserve">   3) Rodrigo  Villagra  Carron,  doctor  en  antropología  social,  testigo</w:t>
        <w:br/>
        <w:t xml:space="preserve">      propuesto por la Comisión y los representantes. Declaró,  inter  alia,</w:t>
        <w:br/>
        <w:t xml:space="preserve">      sobre: i) la colonización y  pérdida  del  territorio  Enxet;  ii)  el</w:t>
        <w:br/>
        <w:t xml:space="preserve">      proceso inicial de recuperación del dicho territorio por las distintas</w:t>
        <w:br/>
        <w:t xml:space="preserve">      comunidades  de  ese  Pueblo;  iii)  la  situación  específica  de  la</w:t>
        <w:br/>
        <w:t xml:space="preserve">      reivindicación de la tierra del pueblo Xákmok Kásek y  la  legislación</w:t>
        <w:br/>
        <w:t xml:space="preserve">      nacional aplicable en relación con la reivindicación  de  los  pueblos</w:t>
        <w:br/>
        <w:t xml:space="preserve">      indígenas del Paraguay a la  tierra,  y  iv)  la  relación  entre  los</w:t>
        <w:br/>
        <w:t xml:space="preserve">      reclamos territoriales actuales, incluyendo el de Xákmok Kásek,  y  el</w:t>
        <w:br/>
        <w:t xml:space="preserve">      proceso socio-adaptativo ante el Estado-Nación;</w:t>
        <w:br/>
        <w:br/>
        <w:br/>
        <w:t xml:space="preserve">   4) Lidia Acuña, actual Presidenta del  INDI,  testigo  propuesta  por  el</w:t>
        <w:br/>
        <w:t xml:space="preserve">      Estado. Declaró, inter alia, sobre “las gestiones realizadas a fin  de</w:t>
        <w:br/>
        <w:t xml:space="preserve">      dar una solución  al  problema  presentado  por  la  Comunidad  XáKmok</w:t>
        <w:br/>
        <w:t xml:space="preserve">      Kásek”, y</w:t>
        <w:br/>
        <w:br/>
        <w:br/>
        <w:t xml:space="preserve">   5) Fulgencio Pablo Balmaceda Rodríguez, médico, perito propuesto  por  la</w:t>
        <w:br/>
        <w:t xml:space="preserve">      Comisión y los representantes. Declaró, inter alia, sobre la situación</w:t>
        <w:br/>
        <w:t xml:space="preserve">      médico-sanitaria de los miembros de la Comunidad,  en  especial  sobre</w:t>
        <w:br/>
        <w:t xml:space="preserve">      las causas de defunción de las personas fallecidas.</w:t>
        <w:br/>
        <w:br/>
        <w:br/>
        <w:t>2.    Admisibilidad de la prueba</w:t>
        <w:br/>
        <w:br/>
        <w:br/>
        <w:t>18. En este caso, como en otros[11], el Tribunal admite el valor  probatorio</w:t>
        <w:br/>
        <w:t xml:space="preserve">   de aquellos documentos presentados oportunamente por las  partes  que  no</w:t>
        <w:br/>
        <w:t xml:space="preserve">   fueron controvertidos ni objetados, ni cuya autenticidad  fue  puesta  en</w:t>
        <w:br/>
        <w:t xml:space="preserve">   duda, y aquéllos que se refieren a hechos supervinientes.</w:t>
        <w:br/>
        <w:br/>
        <w:br/>
        <w:t>19.  Respecto  de  los  testimonios  y  peritajes,  la  Corte   los   estima</w:t>
        <w:br/>
        <w:t xml:space="preserve">   pertinentes en cuanto se ajusten al objeto definido por el Presidente  en</w:t>
        <w:br/>
        <w:t xml:space="preserve">   la Resolución que ordenó recibirlos (supra párr.  7),  los  cuales  serán</w:t>
        <w:br/>
        <w:t xml:space="preserve">   valorados en el capítulo que corresponda. En cuanto a  las  declaraciones</w:t>
        <w:br/>
        <w:t xml:space="preserve">   de las presuntas víctimas, por tener un interés en el presente  caso,  no</w:t>
        <w:br/>
        <w:t xml:space="preserve">   serán valoradas aisladamente sino dentro del conjunto de las pruebas  del</w:t>
        <w:br/>
        <w:t xml:space="preserve">   proceso[12].</w:t>
        <w:br/>
        <w:br/>
        <w:br/>
        <w:t>20. Respecto a la prueba pericial ofrecida por el  Estado  para  desarrollar</w:t>
        <w:br/>
        <w:t xml:space="preserve">   el “Estudio  Antropológico  de  Tierras  Tradicionales  de  la  Comunidad</w:t>
        <w:br/>
        <w:t xml:space="preserve">   Indígena Xákmok Kásek”, mediante escrito recibido de 6 de abril de  2010,</w:t>
        <w:br/>
        <w:t xml:space="preserve">   el Estado informó  la  designación  del  señor  Sergio  Iván  Braticevic.</w:t>
        <w:br/>
        <w:t xml:space="preserve">   Finalmente, el 17 de mayo de 2010 el Estado remitió el  informe  pericial</w:t>
        <w:br/>
        <w:t xml:space="preserve">   referido.</w:t>
        <w:br/>
        <w:br/>
        <w:br/>
        <w:t>21. La Comisión, mediante escritos de 19 de abril y  1  de  junio  de  2010,</w:t>
        <w:br/>
        <w:t xml:space="preserve">   presentó  observaciones  sobre  la  designación  del  señor  Sergio  Iván</w:t>
        <w:br/>
        <w:t xml:space="preserve">   Braticevic y sobre el peritaje rendido. Manifestó, inter alia,  que:  “el</w:t>
        <w:br/>
        <w:t xml:space="preserve">   escrito no se en[contraba] firmado por el señor Braticevi[c] y que en  el</w:t>
        <w:br/>
        <w:t xml:space="preserve">   documento notarial remitido por el Estado  en  el  que  supuestamente  se</w:t>
        <w:br/>
        <w:t xml:space="preserve">   transcribe dicho escrito, consta que un tercero, el señor José E.  García</w:t>
        <w:br/>
        <w:t xml:space="preserve">   Ávalos, aparentemente funcionario del Estado, es quién solicitó  ante  el</w:t>
        <w:br/>
        <w:t xml:space="preserve">   notario la ‘transcripción del documento”; el perito no  era  especialista</w:t>
        <w:br/>
        <w:t xml:space="preserve">   en antropología sino que es geógrafo; solo tenía publicaciones  sobre  el</w:t>
        <w:br/>
        <w:t xml:space="preserve">   Chaco Argentino; no era especialista en pueblos indígenas; su  producción</w:t>
        <w:br/>
        <w:t xml:space="preserve">   literaria se enfocaba  sobre  proyectos  de  desarrollo  y  la  expansión</w:t>
        <w:br/>
        <w:t xml:space="preserve">   productiva; para el desarrollo del peritaje solo se  reunió  con  agentes</w:t>
        <w:br/>
        <w:t xml:space="preserve">   estatales, y no tiene la experiencia necesaria para rendir este  tipo  de</w:t>
        <w:br/>
        <w:t xml:space="preserve">   dictámenes. En razón de lo anterior, la Comisión alegó que su peritaje no</w:t>
        <w:br/>
        <w:t xml:space="preserve">   cumple con el objeto por el cual fue propuesto y no era relevante recibir</w:t>
        <w:br/>
        <w:t xml:space="preserve">   su declaración pericial, ya que no  ayudaba  al  esclarecimiento  de  los</w:t>
        <w:br/>
        <w:t xml:space="preserve">   hechos.</w:t>
        <w:br/>
        <w:br/>
        <w:br/>
        <w:t>22. Los representantes, mediante escrito recibido el 1  de  junio  de  2010,</w:t>
        <w:br/>
        <w:t xml:space="preserve">   presentaron observaciones respecto del peritaje  del  señor  Sergio  Iván</w:t>
        <w:br/>
        <w:t xml:space="preserve">   Braticevic. Consideraron errado el hecho de que  el  estudio  se  hubiera</w:t>
        <w:br/>
        <w:t xml:space="preserve">   basado en la documentación del caso y en  entrevistas  con  funcionarios,</w:t>
        <w:br/>
        <w:t xml:space="preserve">   sin tener en cuenta a la Comunidad y expresaron su  sospecha  de  que  el</w:t>
        <w:br/>
        <w:t xml:space="preserve">   estudio  pretendía  “dar  una  apariencia  o  cobertura  técnica  a   las</w:t>
        <w:br/>
        <w:t xml:space="preserve">   pretensiones del Estado respecto a [eximirse] de su responsabilidad en la</w:t>
        <w:br/>
        <w:t xml:space="preserve">   restitución del reclamo territorial de 10.700 hectáreas”.</w:t>
        <w:br/>
        <w:br/>
        <w:br/>
        <w:t>23. Al respecto, la Corte observa que si bien en  el  peritaje  remitido  no</w:t>
        <w:br/>
        <w:t xml:space="preserve">   hay constancia de la firma del señor Braticevic, el  mismo  se  encuentra</w:t>
        <w:br/>
        <w:t xml:space="preserve">   protocolizado,  y  que  las  observaciones   de   la   Comisión   y   los</w:t>
        <w:br/>
        <w:t xml:space="preserve">   representantes se refieren al valor  probatorio  del  mismo  y  no  a  su</w:t>
        <w:br/>
        <w:t xml:space="preserve">   admisibilidad. En consecuencia, el Tribunal considera  útil  el  peritaje</w:t>
        <w:br/>
        <w:t xml:space="preserve">   del señor Braticevic para el caso, el cual valorará conjuntamente con  el</w:t>
        <w:br/>
        <w:t xml:space="preserve">   acervo probatorio y conforme a las reglas  de  la  sana  crítica,  y  las</w:t>
        <w:br/>
        <w:t xml:space="preserve">   observaciones serán consideradas en lo  pertinente  en  el  análisis  del</w:t>
        <w:br/>
        <w:t xml:space="preserve">   fondo de la controversia.</w:t>
        <w:br/>
        <w:br/>
        <w:br/>
        <w:t>24. El 16  de  abril  de  2010  el  Estado  entregó  prueba  documental  con</w:t>
        <w:br/>
        <w:t xml:space="preserve">   posterioridad a la celebración de la audiencia pública,  referida,  entre</w:t>
        <w:br/>
        <w:t xml:space="preserve">   otros, a la entrega de víveres y asistencia humanitaria. El 24 de mayo de</w:t>
        <w:br/>
        <w:t xml:space="preserve">   2010 los representantes indicaron que dicha prueba “no  t[enía]  relación</w:t>
        <w:br/>
        <w:t xml:space="preserve">   [con] las  cuestiones  litigiosas  del  caso,  por  lo  que  resulta[ban]</w:t>
        <w:br/>
        <w:t xml:space="preserve">   impertinentes” y además habían sido producidas en los últimos  meses.  Al</w:t>
        <w:br/>
        <w:t xml:space="preserve">   respecto, el Tribunal admite la prueba documental remitida por el  Estado</w:t>
        <w:br/>
        <w:t xml:space="preserve">   y la incorpora al  acervo  probatorio  debido  a  que  es  útil  para  la</w:t>
        <w:br/>
        <w:t xml:space="preserve">   resolución del caso. Para ello, el Tribunal se atendrá a  los  principios</w:t>
        <w:br/>
        <w:t xml:space="preserve">   de la sana crítica, dentro del marco normativo correspondiente[13].</w:t>
        <w:br/>
        <w:br/>
        <w:br/>
        <w:t>25. En cuanto a la documentación presentada por el perito Pablo Balmaceda  y</w:t>
        <w:br/>
        <w:t xml:space="preserve">   los testigos Rodrigo  Villagra  Carron  y  Lida  Acuña  al  finalizar  la</w:t>
        <w:br/>
        <w:t xml:space="preserve">   audiencia pública celebrada en el presente caso, así como  la  presentada</w:t>
        <w:br/>
        <w:t xml:space="preserve">   por los representantes junto con sus alegatos finales escritos, la  Corte</w:t>
        <w:br/>
        <w:t xml:space="preserve">   los admite en aplicación del artículo  47.1  del  Reglamento,  en  cuanto</w:t>
        <w:br/>
        <w:t xml:space="preserve">   resultan útiles para la presente causa, los cuales no fueron objetados ni</w:t>
        <w:br/>
        <w:t xml:space="preserve">   su autenticidad o veracidad puestas en duda.</w:t>
        <w:br/>
        <w:br/>
        <w:br/>
        <w:t>26. En cuanto a la documentación requerida por este Tribunal el  4  de  mayo</w:t>
        <w:br/>
        <w:t xml:space="preserve">   de 2010 (supra párr. 12) que fue remitida por las partes,  este  Tribunal</w:t>
        <w:br/>
        <w:t xml:space="preserve">   decide admitirla por considerarla útil, de conformidad  con  el  artículo</w:t>
        <w:br/>
        <w:t xml:space="preserve">   47.1 del Reglamento.</w:t>
        <w:br/>
        <w:br/>
        <w:br/>
        <w:t xml:space="preserve">                                      V</w:t>
        <w:br/>
        <w:t xml:space="preserve">              OFRECIMIENTO DE SOLUCIÓN AMISTOSA, ALLANAMIENTO Y</w:t>
        <w:br/>
        <w:t xml:space="preserve">                  SOLICITUD DE SUSPENSIÓN DEL PROCEDIMIENTO</w:t>
        <w:br/>
        <w:br/>
        <w:t xml:space="preserve">      1.    Sobre el ofrecimiento de solución amistosa y el allanamiento del</w:t>
        <w:br/>
        <w:t xml:space="preserve">      Estado</w:t>
        <w:br/>
        <w:br/>
        <w:br/>
        <w:t>27. El Estado, al contestar  la  demanda,  indicó  que  “no  ha  violado  el</w:t>
        <w:br/>
        <w:t xml:space="preserve">   derecho a la propiedad comunitaria de los Xákmok Kásek consagrado  en  la</w:t>
        <w:br/>
        <w:t xml:space="preserve">   legislación interna, pero reconoce que por circunstancias de hecho que no</w:t>
        <w:br/>
        <w:t xml:space="preserve">   le son imputables, no ha podido satisfacer el derecho  hasta  la  fecha”.</w:t>
        <w:br/>
        <w:t xml:space="preserve">   Además, el Estado solicitó a  la  Corte  “desestim[ar]  las  pretensiones</w:t>
        <w:br/>
        <w:t xml:space="preserve">   formuladas” por la Comisión y los representantes, y ofreció una “solución</w:t>
        <w:br/>
        <w:t xml:space="preserve">   amistosa”, ofrecimiento que reiteró durante la audiencia pública. Además,</w:t>
        <w:br/>
        <w:t xml:space="preserve">   el Estado señaló que “se allana[ba] al pedido de reparación”.</w:t>
        <w:br/>
        <w:br/>
        <w:br/>
        <w:t>28. Los representantes indicaron que ratificaban su voluntad de  no  aceptar</w:t>
        <w:br/>
        <w:t xml:space="preserve">   la solución  amistosa  en  razón  de  que  estaría  destinada  “según  la</w:t>
        <w:br/>
        <w:t xml:space="preserve">   experiencia de la Comunidad a dilatar innecesariamente un pronunciamiento</w:t>
        <w:br/>
        <w:t xml:space="preserve">   de la Corte sobre el fondo del presente  caso”.  Señalaron  que  en  años</w:t>
        <w:br/>
        <w:t xml:space="preserve">   anteriores la Comunidad estuvo “abierta  a  la  posibilidad  de  resolver</w:t>
        <w:br/>
        <w:t xml:space="preserve">   amistosamente el caso, en varias oportunidades, y en todas las  ocasiones</w:t>
        <w:br/>
        <w:t xml:space="preserve">   el Estado no ha cumplido mínimamente lo conversado”.</w:t>
        <w:br/>
        <w:br/>
        <w:br/>
        <w:t>29. La Comisión observó que en varias oportunidades el  Estado  ha  ofrecido</w:t>
        <w:br/>
        <w:t xml:space="preserve">   lo que ha denominado una “solución amistosa”. Notó que si bien durante el</w:t>
        <w:br/>
        <w:t xml:space="preserve">   trámite ante ella el  Estado  hizo  dichos  ofrecimientos,  tal  voluntad</w:t>
        <w:br/>
        <w:t xml:space="preserve">   conciliadora nunca habría sido traducida en la implementación de  medidas</w:t>
        <w:br/>
        <w:t xml:space="preserve">   concretas.</w:t>
        <w:br/>
        <w:br/>
        <w:br/>
        <w:t>30. De conformidad con  los  artículos  56.2  y  57  del  Reglamento,  y  en</w:t>
        <w:br/>
        <w:t xml:space="preserve">   ejercicio de sus poderes de tutela judicial internacional de los derechos</w:t>
        <w:br/>
        <w:t xml:space="preserve">   humanos,  la  Corte  puede  determinar  si  la  solución  amistosa  o  un</w:t>
        <w:br/>
        <w:t xml:space="preserve">   allanamiento efectuado por un Estado demandado ofrece base suficiente, en</w:t>
        <w:br/>
        <w:t xml:space="preserve">   los términos de la Convención, para continuar el conocimiento del fondo y</w:t>
        <w:br/>
        <w:t xml:space="preserve">   determinar las eventuales reparaciones y costas. Dado  que  los  procesos</w:t>
        <w:br/>
        <w:t xml:space="preserve">   ante esta Corte se refieren a la tutela de los derechos humanos, cuestión</w:t>
        <w:br/>
        <w:t xml:space="preserve">   de orden público internacional que trasciende la voluntad de las  partes,</w:t>
        <w:br/>
        <w:t xml:space="preserve">   la Corte debe velar porque tales actos resulten aceptables para los fines</w:t>
        <w:br/>
        <w:t xml:space="preserve">   que busca cumplir el Sistema Interamericano. En esta tarea el Tribunal no</w:t>
        <w:br/>
        <w:t xml:space="preserve">   se  limita  únicamente  a  verificar  las  condiciones  formales  de  los</w:t>
        <w:br/>
        <w:t xml:space="preserve">   mencionados actos, sino que los  debe  confrontar  con  la  naturaleza  y</w:t>
        <w:br/>
        <w:t xml:space="preserve">   gravedad de las violaciones alegadas, las  exigencias  e  interés  de  la</w:t>
        <w:br/>
        <w:t xml:space="preserve">   justicia, las circunstancias particulares del caso concreto y la  actitud</w:t>
        <w:br/>
        <w:t xml:space="preserve">   y posiciones de las partes[14].</w:t>
        <w:br/>
        <w:br/>
        <w:br/>
        <w:t>31. En  cuanto  al  ofrecimiento  de  “solución  amistosa”,  dicho  acto  se</w:t>
        <w:br/>
        <w:t xml:space="preserve">   concreta de conformidad con la voluntad de las partes. En este  caso  las</w:t>
        <w:br/>
        <w:t xml:space="preserve">   presuntas víctimas no han aceptado las condiciones estatales vertidas  en</w:t>
        <w:br/>
        <w:t xml:space="preserve">   tal ofrecimiento, por lo que corresponde al  Tribunal  continuar  con  el</w:t>
        <w:br/>
        <w:t xml:space="preserve">   análisis del caso.</w:t>
        <w:br/>
        <w:br/>
        <w:br/>
        <w:t>32. En lo que respecta  al  aludido  “allanamiento”  del  Estado,  la  Corte</w:t>
        <w:br/>
        <w:t xml:space="preserve">   observa que Paraguay simultáneamente niega los hechos y las violaciones a</w:t>
        <w:br/>
        <w:t xml:space="preserve">   la Convención que se le imputan. Por lo que no existe  un  reconocimiento</w:t>
        <w:br/>
        <w:t xml:space="preserve">   de responsabilidad  internacional  y  la  totalidad  de  la  controversia</w:t>
        <w:br/>
        <w:t xml:space="preserve">   respecto al fondo del  asunto  se  mantiene.  Únicamente  en  materia  de</w:t>
        <w:br/>
        <w:t xml:space="preserve">   reparaciones existe una aceptación del Estado a  varias  de  las  medidas</w:t>
        <w:br/>
        <w:t xml:space="preserve">   reparatorias solicitadas por la Comisión y los representantes.  En  razón</w:t>
        <w:br/>
        <w:t xml:space="preserve">   de lo anterior, esta Corte decide analizar la controversia en materia  de</w:t>
        <w:br/>
        <w:t xml:space="preserve">   hechos y de derecho. De resultar el Estado condenado por la violación  de</w:t>
        <w:br/>
        <w:t xml:space="preserve">   algún derecho humano, el Tribunal tomará en cuenta la aceptación  que  ha</w:t>
        <w:br/>
        <w:t xml:space="preserve">   realizado el Estado  de  las  medidas  de  reparación  solicitadas,  pero</w:t>
        <w:br/>
        <w:t xml:space="preserve">   definirá, conforme a la prueba que haya sido aportada y a las violaciones</w:t>
        <w:br/>
        <w:t xml:space="preserve">   declaradas, las medidas que mejor se adecúen a la reparación integral  de</w:t>
        <w:br/>
        <w:t xml:space="preserve">   las víctimas.</w:t>
        <w:br/>
        <w:br/>
        <w:br/>
        <w:t xml:space="preserve">      2.    Solicitud del Estado de suspensión del presente proceso</w:t>
        <w:br/>
        <w:br/>
        <w:br/>
        <w:t>33. El Estado solicitó “la suspensión del presente  proceso”  debido  a  que</w:t>
        <w:br/>
        <w:t xml:space="preserve">   las contradicciones encontradas en la denominación y  pertenencia  étnica</w:t>
        <w:br/>
        <w:t xml:space="preserve">   de la Comunidad, impedirían la titulación de tierras a su favor y  no  se</w:t>
        <w:br/>
        <w:t xml:space="preserve">   adecuaría “a las prescripciones del Estatuto Indígena y  a  la  normativa</w:t>
        <w:br/>
        <w:t xml:space="preserve">   internacional”.   Señaló   distintos   escritos   presentados   por   los</w:t>
        <w:br/>
        <w:t xml:space="preserve">   representantes,  documentos  legales  internos  y  declaraciones  de  los</w:t>
        <w:br/>
        <w:t xml:space="preserve">   miembros de la Comunidad que, a su  juicio,  producirían  confusiones  en</w:t>
        <w:br/>
        <w:t xml:space="preserve">   cuanto a la identificación o pertenencia étnica de la  Comunidad,  siendo</w:t>
        <w:br/>
        <w:t xml:space="preserve">   que en algunos casos aparece como perteneciente al pueblo Enxet, en otros</w:t>
        <w:br/>
        <w:t xml:space="preserve">   como Enxet-Lengua y en otras oportunidades como Sanapaná.  Explicó que la</w:t>
        <w:br/>
        <w:t xml:space="preserve">   pertenencia étnica o a un pueblo constituía un  “elemento  esencial  para</w:t>
        <w:br/>
        <w:t xml:space="preserve">   una transferencia de propiedad”. Además, indicó que debido a  confusiones</w:t>
        <w:br/>
        <w:t xml:space="preserve">   en cuanto al nombre de la Comunidad los líderes de ésta  se  encontrarían</w:t>
        <w:br/>
        <w:t xml:space="preserve">   registrados como líderes de la “Comunidad  Zalazar”[15],  lo  cual  haría</w:t>
        <w:br/>
        <w:t xml:space="preserve">   imposible la titulación de las tierras a favor de la misma hasta  que  se</w:t>
        <w:br/>
        <w:t xml:space="preserve">   regularizara dicha documentación.</w:t>
        <w:br/>
        <w:br/>
        <w:br/>
        <w:t>34.  Los  representantes  alegaron  que  la  Comunidad  es  de  conformación</w:t>
        <w:br/>
        <w:t xml:space="preserve">   multiétnica. Indicaron que desde el trámite del caso ante la Comisión han</w:t>
        <w:br/>
        <w:t xml:space="preserve">   manifestado que la Comunidad estaba conformada por Sanapanás  y  Lenguas,</w:t>
        <w:br/>
        <w:t xml:space="preserve">   siendo ésta la denominación aceptada por la Comunidad, así como  “por  la</w:t>
        <w:br/>
        <w:t xml:space="preserve">   comunidad científica  y  la  sociedad  en  general  que  caracterizaba  a</w:t>
        <w:br/>
        <w:t xml:space="preserve">   [dichas] etnias como pertenecientes a un pueblo común, el pueblo  Enxet”.</w:t>
        <w:br/>
        <w:t xml:space="preserve">   Explicaron que cuando los Lenguas comenzaron a ser conocidos  como  Enxet</w:t>
        <w:br/>
        <w:t xml:space="preserve">   sur surgieron algunas confusiones en quienes “no han  seguido  el  avance</w:t>
        <w:br/>
        <w:t xml:space="preserve">   científico sobre estas poblaciones”.</w:t>
        <w:br/>
        <w:br/>
        <w:br/>
        <w:t>35. La Comisión alegó que el hecho de que la Comunidad  esté  compuesta  por</w:t>
        <w:br/>
        <w:t xml:space="preserve">   familias pertenecientes  a  distintas  etnias  “no  constitu[ía]  […]  un</w:t>
        <w:br/>
        <w:t xml:space="preserve">   obstáculo para que esta comunidad indígena sea  titular  del  derecho  al</w:t>
        <w:br/>
        <w:t xml:space="preserve">   territorio ancestral”. Destacó que  la  “integración  multiétnica  de  la</w:t>
        <w:br/>
        <w:t xml:space="preserve">   [C]omunidad […] obedece a su propia historia” y que los pueblos indígenas</w:t>
        <w:br/>
        <w:t xml:space="preserve">   son  grupos  humanos   dinámicos,   cuya   configuración   cultural   “se</w:t>
        <w:br/>
        <w:t xml:space="preserve">   reestructura y reconfigura con el paso del tiempo, sin que  por  ello  se</w:t>
        <w:br/>
        <w:t xml:space="preserve">   pierda su condición indígena específica”. Sostuvo que  independientemente</w:t>
        <w:br/>
        <w:t xml:space="preserve">   de las diferentes etnias que conforman  la  Comunidad,  “está  claramente</w:t>
        <w:br/>
        <w:t xml:space="preserve">   identificada en cuanto a su ubicación y composición general”.</w:t>
        <w:br/>
        <w:br/>
        <w:br/>
        <w:t>36.  La  Corte  observa  que  las  alegadas  diferencias  en  cuanto  a   la</w:t>
        <w:br/>
        <w:t xml:space="preserve">   identificación de la Comunidad se refieren,  por  un  lado,  al  carácter</w:t>
        <w:br/>
        <w:t xml:space="preserve">   multiétnico de la Comunidad y, por otro, a su denominación.</w:t>
        <w:br/>
        <w:br/>
        <w:br/>
        <w:t xml:space="preserve">           2.1.  Carácter multiétnico de la Comunidad Xákmok Kásek</w:t>
        <w:br/>
        <w:br/>
        <w:br/>
        <w:t>37. En primer lugar, la Corte resalta que no corresponde a este Tribunal  ni</w:t>
        <w:br/>
        <w:t xml:space="preserve">   al Estado determinar la pertenencia étnica o el nombre de  la  Comunidad.</w:t>
        <w:br/>
        <w:t xml:space="preserve">   Como el mismo Estado reconoce, “no puede […] unilateralmente adjudicar  o</w:t>
        <w:br/>
        <w:t xml:space="preserve">   desmentir denominaciones de [las] Comunidades Indígenas, por corresponder</w:t>
        <w:br/>
        <w:t xml:space="preserve">   este acto  a  la  Comunidad  en  referencia”.  La  identificación  de  la</w:t>
        <w:br/>
        <w:t xml:space="preserve">   Comunidad, desde su nombre hasta su composición, es  un  hecho  histórico</w:t>
        <w:br/>
        <w:t xml:space="preserve">   social que hace parte de su autonomía.  Este  ha  sido  el  criterio  del</w:t>
        <w:br/>
        <w:t xml:space="preserve">   Tribunal en similares situaciones[16]. Por tanto, la Corte  y  el  Estado</w:t>
        <w:br/>
        <w:t xml:space="preserve">   deben limitarse a  respetar  las  determinaciones  que  en  este  sentido</w:t>
        <w:br/>
        <w:t xml:space="preserve">   presente la Comunidad, es decir, la forma cómo ésta se auto-identifique.</w:t>
        <w:br/>
        <w:br/>
        <w:br/>
        <w:t>38. Sin perjuicio de lo anterior, esta Corte  observa  que  en  el  Paraguay</w:t>
        <w:br/>
        <w:t xml:space="preserve">   existen 20 etnias indígenas pertenecientes a cinco familias lingüísticas,</w:t>
        <w:br/>
        <w:t xml:space="preserve">   a saber: Enlhet-Enenlhet, anteriormente  llamada  Lengua  Maskoy,  Mataco</w:t>
        <w:br/>
        <w:t xml:space="preserve">   Mataguayo, Zamuco, Guaicurú y Guaraní[17]. En la  región  del  Chaco  hay</w:t>
        <w:br/>
        <w:t xml:space="preserve">   presencia de hasta 17 etnias indígenas diferentes con  representación  de</w:t>
        <w:br/>
        <w:t xml:space="preserve">   las cinco familias lingüísticas[18].</w:t>
        <w:br/>
        <w:br/>
        <w:br/>
        <w:t>39. La familia  lingüística  Enlhet-Enenlhet[19]  está  compuesta  por  seis</w:t>
        <w:br/>
        <w:t xml:space="preserve">   pueblos: Enxet  (Lenguas  o  Enxet  –  Sur),  Enlhet  (Enlhet  –  Norte),</w:t>
        <w:br/>
        <w:t xml:space="preserve">   Sanapaná, Angaité, Toba Maskoy y Guaná. Los Enlhet-Enenlhet han  habitado</w:t>
        <w:br/>
        <w:t xml:space="preserve">   tradicionalmente el Chaco  paraguayo[20],  en  particular  en  la  región</w:t>
        <w:br/>
        <w:t xml:space="preserve">   centro  –este  del  mismo[21]  y  son  sujetos  históricos  que  se   han</w:t>
        <w:br/>
        <w:t xml:space="preserve">   reconfigurado social y lingüísticamente a partir de una base mayor y  más</w:t>
        <w:br/>
        <w:t xml:space="preserve">   heterogénea  de  grupos,  aldeas   y   bandas   distribuidas   en   aquel</w:t>
        <w:br/>
        <w:t xml:space="preserve">   territorio[22]. De acuerdo al peritaje presentado por el  propio  Estado,</w:t>
        <w:br/>
        <w:t xml:space="preserve">   los  Enlhet-Enenlhet  han  habitado  el  área  del  Chaco  desde  tiempos</w:t>
        <w:br/>
        <w:t xml:space="preserve">   inmemoriales y “por lo menos tres  o  cuatro  generaciones  de  indígenas</w:t>
        <w:br/>
        <w:t xml:space="preserve">   Sanapaná, Enxet y Angaité han habitado las  inmediaciones  de  las  zonas</w:t>
        <w:br/>
        <w:t xml:space="preserve">   conocidas como Pozo Colorado, Zalazar y Cora-í”[23].</w:t>
        <w:br/>
        <w:br/>
        <w:br/>
        <w:t>40. El proceso de colonización del Chaco y el establecimiento  de  estancias</w:t>
        <w:br/>
        <w:t xml:space="preserve">   obligó a muchas de las aldeas indígenas de los alrededores a concentrarse</w:t>
        <w:br/>
        <w:t xml:space="preserve">   en las estancias. La historia particular de la  Comunidad  Xákmok  Kásek,</w:t>
        <w:br/>
        <w:t xml:space="preserve">   derivada de la  prueba  aportada,  revela  que  miembros  de  las  aldeas</w:t>
        <w:br/>
        <w:t xml:space="preserve">   Sanapanás y Enxet, que tradicionalmente se encontraban en la  zona  donde</w:t>
        <w:br/>
        <w:t xml:space="preserve">   posteriormente se fundó la Estancia Salazar, fueron dejando  sus  lugares</w:t>
        <w:br/>
        <w:t xml:space="preserve">   originales y se fueron juntando cerca del casco de la Estancia,  y  “allí</w:t>
        <w:br/>
        <w:t xml:space="preserve">   poco a poco la gente se fue mezclando, casándose entre  sí”[24].  Explica</w:t>
        <w:br/>
        <w:t xml:space="preserve">   Rodrigo Villagra Carron que los Sanapaná y los Enxet, “son pueblos afines</w:t>
        <w:br/>
        <w:t xml:space="preserve">   y  relacionados  lingüística,  étnica   y   geográficamente”[25].   Dicha</w:t>
        <w:br/>
        <w:t xml:space="preserve">   continuidad geográfica también se evidencia de diversos mapas presentados</w:t>
        <w:br/>
        <w:t xml:space="preserve">   a esta Corte por los representantes,  los  cuales  no  fueron  negados  o</w:t>
        <w:br/>
        <w:t xml:space="preserve">   contradichos por el Estado en ninguna oportunidad[26].</w:t>
        <w:br/>
        <w:br/>
        <w:br/>
        <w:t>41. Adicionalmente, el Tribunal observa que aún cuando el Estado expuso  que</w:t>
        <w:br/>
        <w:t xml:space="preserve">   fue sólo en virtud del peritaje realizado por Sergio Iván Braticevic  que</w:t>
        <w:br/>
        <w:t xml:space="preserve">   pudo dilucidar la alegada confusión generada en relación a la pertenencia</w:t>
        <w:br/>
        <w:t xml:space="preserve">   étnica de la Comunidad, el Atlas de Comunidades Indígenas  del  Paraguay,</w:t>
        <w:br/>
        <w:t xml:space="preserve">   elaborado en 2002 por organismos estatales, establece  que  la  Comunidad</w:t>
        <w:br/>
        <w:t xml:space="preserve">   Xákmok Kásek está compuesta en un 73,7% por  Sanapaná,  18,0%  por  Enxet</w:t>
        <w:br/>
        <w:t xml:space="preserve">   Sur, 5,5% de Enlhet Norte, 2,4% de Angaité y 0,4% de Toba-Qom[27].</w:t>
        <w:br/>
        <w:br/>
        <w:br/>
        <w:t>42. Finalmente, los  miembros  de  la  Comunidad  en  el  presente  caso  se</w:t>
        <w:br/>
        <w:t xml:space="preserve">   identifican a sí mismos como pertenecientes a la Comunidad Xákmok  Kásek,</w:t>
        <w:br/>
        <w:t xml:space="preserve">   mayoritariamente compuesta por miembros del pueblo Sanapaná  y  Enxet-Sur</w:t>
        <w:br/>
        <w:t xml:space="preserve">   (anteriormente conocidos como Lenguas)[28].</w:t>
        <w:br/>
        <w:br/>
        <w:br/>
        <w:t>43. En consecuencia, esta Corte considera que la composición multiétnica  de</w:t>
        <w:br/>
        <w:t xml:space="preserve">   la Comunidad es un hecho acreditado  y  el  Estado  lo  conocía  o  debió</w:t>
        <w:br/>
        <w:t xml:space="preserve">   conocer previamente. Las distintas  referencias  como  pertenecientes  al</w:t>
        <w:br/>
        <w:t xml:space="preserve">   pueblo Enxet o como descendientes del pueblo Sanapaná obedecen a  razones</w:t>
        <w:br/>
        <w:t xml:space="preserve">   históricas o circunstanciales[29], por lo que el argumento del Estado  no</w:t>
        <w:br/>
        <w:t xml:space="preserve">   constituye razón suficiente para la suspensión del presente caso.</w:t>
        <w:br/>
        <w:br/>
        <w:br/>
        <w:t xml:space="preserve">           2.2.  Nombre de la Comunidad</w:t>
        <w:br/>
        <w:br/>
        <w:br/>
        <w:t>44. En cuanto al nombre de la Comunidad, de la prueba aportada se  desprende</w:t>
        <w:br/>
        <w:t xml:space="preserve">   que en noviembre de 1986 el Instituto Paraguayo del Indígena (en adelante</w:t>
        <w:br/>
        <w:t xml:space="preserve">   el “INDI”) reconoció a los “[l]íderes de la Comunidad Indígena  Sanapaná,</w:t>
        <w:br/>
        <w:t xml:space="preserve">   asentada  en  el  lugar  denominado  Zalazar”[30].   Posteriormente,   en</w:t>
        <w:br/>
        <w:t xml:space="preserve">   noviembre  de  1987  el  Presidente  del  Paraguay  reconoció  personería</w:t>
        <w:br/>
        <w:t xml:space="preserve">   jurídica a la Comunidad Zglamo Kacet, reconociéndole como  “perteneciente</w:t>
        <w:br/>
        <w:t xml:space="preserve">   a la etnia Maskoy”[31]. Dicha denominación  fue  una  interpretación  con</w:t>
        <w:br/>
        <w:t xml:space="preserve">   diferente grafía a la actualmente  utilizada  de  Xákmok  Kásek[32].  Por</w:t>
        <w:br/>
        <w:t xml:space="preserve">   último, en abril de 1994 el INDI reconoció a los actuales líderes  de  la</w:t>
        <w:br/>
        <w:t xml:space="preserve">   Comunidad como líderes de “la comunidad indígena ‘Zalazar’, perteneciente</w:t>
        <w:br/>
        <w:t xml:space="preserve">   a la  etnia  Sanapaná”,  y  expresamente  dejó  sin  efecto  el  anterior</w:t>
        <w:br/>
        <w:t xml:space="preserve">   reconocimiento de líderes[33].</w:t>
        <w:br/>
        <w:br/>
        <w:br/>
        <w:t>45. Al respecto, la Corte observa que, efectivamente, para la  formalización</w:t>
        <w:br/>
        <w:t xml:space="preserve">   de la escritura pública correspondiente  sobre  las  tierras  actualmente</w:t>
        <w:br/>
        <w:t xml:space="preserve">   ocupadas por los miembros de la Comunidad (infra párr. 77), la Escribanía</w:t>
        <w:br/>
        <w:t xml:space="preserve">   Mayor de Gobierno requirió  “[l]a  regularización  de  la  representación</w:t>
        <w:br/>
        <w:t xml:space="preserve">   legal de la  [C]omunidad”,  lo  cual  “deb[ía]  ser  gestionado  por  los</w:t>
        <w:br/>
        <w:t xml:space="preserve">   interesados”[34]. Ahora bien, advierte que contrario a lo alegado por  el</w:t>
        <w:br/>
        <w:t xml:space="preserve">   Estado, la regularización requerida por dicho  organismo  se  refiere  al</w:t>
        <w:br/>
        <w:t xml:space="preserve">   nombre de la Comunidad, debido a que en la resolución  de  reconocimiento</w:t>
        <w:br/>
        <w:t xml:space="preserve">   de líderes vigente (supra nota  30)  se  denomina  a  la  Comunidad  como</w:t>
        <w:br/>
        <w:t xml:space="preserve">   “Zalazar” y no como Xákmok Kásek. Por ello, en la nota de  la  Escribanía</w:t>
        <w:br/>
        <w:t xml:space="preserve">   Mayor de Gobierno dirigida al INDI, se indicó que  el  reconocimiento  de</w:t>
        <w:br/>
        <w:t xml:space="preserve">   líderes  “deb[ía]  corresponder  a  los  que  representan  a  la   actual</w:t>
        <w:br/>
        <w:t xml:space="preserve">   [C]omunidad, con la denominación vigente”,  por  lo  que  el  INDI  debía</w:t>
        <w:br/>
        <w:t xml:space="preserve">   remitir “la resolución que  correspond[iera]  al  reconocimiento  de  los</w:t>
        <w:br/>
        <w:t xml:space="preserve">   líderes [actuales] de la [C]omunidad [I]ndígena Xákmok Kásek”.  Asimismo,</w:t>
        <w:br/>
        <w:t xml:space="preserve">   debido a la distinta grafía en el decreto  que  reconocía  la  personería</w:t>
        <w:br/>
        <w:t xml:space="preserve">   jurídica a la Comunidad (supra nota 31), solicitó al  INDI  “realizar  la</w:t>
        <w:br/>
        <w:t xml:space="preserve">   aclaración de que dichos nombres correspond[ían] a la  misma  e  idéntica</w:t>
        <w:br/>
        <w:t xml:space="preserve">   comunidad”[35].</w:t>
        <w:br/>
        <w:br/>
        <w:br/>
        <w:t>46. Paralelamente, de la prueba  aportada  el  Tribunal  desprende  que  los</w:t>
        <w:br/>
        <w:t xml:space="preserve">   representantes de la Comunidad solicitaron al INDI, el 2 de noviembre  de</w:t>
        <w:br/>
        <w:t xml:space="preserve">   2009, el referido cambio del nombre de la Comunidad en la  resolución  de</w:t>
        <w:br/>
        <w:t xml:space="preserve">   reconocimiento de líderes, indicando que la  denominación  como  Salazar,</w:t>
        <w:br/>
        <w:t xml:space="preserve">   “se ref[ería] al antiguo asentamiento de la  [C]omunidad”[36].  Más  aún,</w:t>
        <w:br/>
        <w:t xml:space="preserve">   ante dicha solicitud de los representantes,  la  Dirección  Jurídica  del</w:t>
        <w:br/>
        <w:t xml:space="preserve">   INDI señaló que se debía proceder a  la  modificación  de  la  Resolución</w:t>
        <w:br/>
        <w:t xml:space="preserve">   pertinente “en relación únicamente al nombre correcto de la  [C]omunidad,</w:t>
        <w:br/>
        <w:t xml:space="preserve">   debiendo decir ‘Comunidad Indígena Xákmok Kásek’  de  la  Etnia  Sanapaná</w:t>
        <w:br/>
        <w:t xml:space="preserve">   […]”, dejando  inalterable  los  nombre  de  los  líderes  de  la  citada</w:t>
        <w:br/>
        <w:t xml:space="preserve">   Comunidad[37]. Sin embargo, hasta la presente fecha dicha  resolución  no</w:t>
        <w:br/>
        <w:t xml:space="preserve">   se ha modificado.</w:t>
        <w:br/>
        <w:br/>
        <w:br/>
        <w:t>47. Contrario a lo afirmado por la Presidenta del INDI durante la  audiencia</w:t>
        <w:br/>
        <w:t xml:space="preserve">   pública, ni la Escribanía Mayor de Gobierno ni la Dirección Jurídica  del</w:t>
        <w:br/>
        <w:t xml:space="preserve">   INDI solicitaron la rectificación  de  la  etnia  de  la  Comunidad  para</w:t>
        <w:br/>
        <w:t xml:space="preserve">   continuar con el proceso de titulación de tierras[38].  Ambos  organismos</w:t>
        <w:br/>
        <w:t xml:space="preserve">   estatales lo que sí solicitaron al INDI fue la rectificación  del  nombre</w:t>
        <w:br/>
        <w:t xml:space="preserve">   de la Comunidad, lo cual a pesar de la solicitud  correspondiente  de  la</w:t>
        <w:br/>
        <w:t xml:space="preserve">   Comunidad, por medio de sus representantes, aún no ha sido realizado  por</w:t>
        <w:br/>
        <w:t xml:space="preserve">   el Estado.</w:t>
        <w:br/>
        <w:br/>
        <w:br/>
        <w:t>48. La Corte constata que el Estado alegó que dicha  representatividad  está</w:t>
        <w:br/>
        <w:t xml:space="preserve">   en duda debido a las diferentes  etnias  atribuidas  a  la  Comunidad  en</w:t>
        <w:br/>
        <w:t xml:space="preserve">   diversos documentos, entre ellos,  la  resolución  de  reconocimiento  de</w:t>
        <w:br/>
        <w:t xml:space="preserve">   líderes y la comunicación en  la  que  los  representantes  solicitan  el</w:t>
        <w:br/>
        <w:t xml:space="preserve">   cambio de nombre de  la  Comunidad  en  dicha  resolución.  Sin  embargo,</w:t>
        <w:br/>
        <w:t xml:space="preserve">   tendiendo en cuenta la composición multiétnica  de  la  Comunidad  (supra</w:t>
        <w:br/>
        <w:t xml:space="preserve">   párr. 43), el Tribunal advierte que ello no es  un  argumento  suficiente</w:t>
        <w:br/>
        <w:t xml:space="preserve">   para desconocer la representación convencional de la  Comunidad  ejercida</w:t>
        <w:br/>
        <w:t xml:space="preserve">   por un período mayor a veinte años, en un  procedimiento  ante  el  mismo</w:t>
        <w:br/>
        <w:t xml:space="preserve">   Estado. Si existieren serias dudas en cuanto a la  representación  de  la</w:t>
        <w:br/>
        <w:t xml:space="preserve">   Comunidad, el Estado  ha  podido  tomar  las  acciones  pertinentes  para</w:t>
        <w:br/>
        <w:t xml:space="preserve">   confirmarla, de lo cual no existe evidencia ante este Tribunal.</w:t>
        <w:br/>
        <w:br/>
        <w:br/>
        <w:t>49.  Por  lo  tanto,  actualmente  depende  del  Estado,  a  través  de  los</w:t>
        <w:br/>
        <w:t xml:space="preserve">   organismos correspondientes, la rectificación de la resolución que  según</w:t>
        <w:br/>
        <w:t xml:space="preserve">   el Estado representa un obstáculo insalvable para el cumplimiento de  sus</w:t>
        <w:br/>
        <w:t xml:space="preserve">   obligaciones con respecto a los miembros de la  Comunidad  Xákmok  Kásek,</w:t>
        <w:br/>
        <w:t xml:space="preserve">   por lo cual no sería razonable la procedencia de la solicitud del  Estado</w:t>
        <w:br/>
        <w:t xml:space="preserve">   en relación a la suspensión del presente caso.</w:t>
        <w:br/>
        <w:br/>
        <w:br/>
        <w:t>50. En virtud de las consideraciones anteriores, la Corte  concluye  que  no</w:t>
        <w:br/>
        <w:t xml:space="preserve">   procede la solicitud de suspensión del  procedimiento  planteada  por  el</w:t>
        <w:br/>
        <w:t xml:space="preserve">   Estado, y por lo tanto proseguirá al examen del fondo del mismo.</w:t>
        <w:br/>
        <w:br/>
        <w:br/>
        <w:t xml:space="preserve">                                     VI</w:t>
        <w:br/>
        <w:t xml:space="preserve">    DERECHO A LA PROPIEDAD COMUNITARIA, GARANTÍAS JUDICIALES Y PROTECCIÓN</w:t>
        <w:br/>
        <w:t xml:space="preserve">                                  JUDICIAL</w:t>
        <w:br/>
        <w:t xml:space="preserve">           (ARTÍCULOS 21.1, 8.1 Y 25.1 DE LA CONVENCIÓN AMERICANA)</w:t>
        <w:br/>
        <w:br/>
        <w:t>51. La Comisión Interamericana alegó que  a  pesar  de  que  la  legislación</w:t>
        <w:br/>
        <w:t xml:space="preserve">   paraguaya reconoce y garantiza expresamente el derecho  de  propiedad  de</w:t>
        <w:br/>
        <w:t xml:space="preserve">   los pueblos indígenas, y aún cuando los miembros de la  Comunidad  en  el</w:t>
        <w:br/>
        <w:t xml:space="preserve">   presente caso iniciaron el trámite para la recuperación  de  sus  tierras</w:t>
        <w:br/>
        <w:t xml:space="preserve">   tradicionales en 1990,  todavía  “no  se  ha[bía]  logrado  una  solución</w:t>
        <w:br/>
        <w:t xml:space="preserve">   definitiva”. De acuerdo con  la  Comisión,  el  área  reclamada  por  las</w:t>
        <w:br/>
        <w:t xml:space="preserve">   víctimas es parte de su hábitat tradicional desde  tiempos  inmemoriales,</w:t>
        <w:br/>
        <w:t xml:space="preserve">   por lo que tienen derecho a recuperar estas tierras o a obtener otras  de</w:t>
        <w:br/>
        <w:t xml:space="preserve">   igual extensión y calidad, de forma tal que se  garantice  su  derecho  a</w:t>
        <w:br/>
        <w:t xml:space="preserve">   preservar y desarrollar su identidad cultural.</w:t>
        <w:br/>
        <w:br/>
        <w:br/>
        <w:t>52. Los representantes también insistieron en que el Estado hasta  la  fecha</w:t>
        <w:br/>
        <w:t xml:space="preserve">   no ha resuelto la petición de la Comunidad, pese al cumplimiento de todos</w:t>
        <w:br/>
        <w:t xml:space="preserve">   y cada uno de los  requisitos  exigidos  por  la  legislación  paraguaya.</w:t>
        <w:br/>
        <w:t xml:space="preserve">   Alegaron que el Estado ha  reconocido  la  violación  del  derecho  a  la</w:t>
        <w:br/>
        <w:t xml:space="preserve">   propiedad de la Comunidad, pero que las medidas que ha  adoptado  no  han</w:t>
        <w:br/>
        <w:t xml:space="preserve">   sido las adecuadas para restituir el territorio reclamado.</w:t>
        <w:br/>
        <w:br/>
        <w:br/>
        <w:t>53. El Estado sostuvo que ha garantizado a la Comunidad el  acceso  a  todos</w:t>
        <w:br/>
        <w:t xml:space="preserve">   los medios legales disponibles para ejercer su  derecho  a  la  propiedad</w:t>
        <w:br/>
        <w:t xml:space="preserve">   comunitaria, pero que tal derecho “no se ha podido satisfacer  plenamente</w:t>
        <w:br/>
        <w:t xml:space="preserve">   hasta la fecha [debido] a situaciones de hecho  que  no  han  podido  ser</w:t>
        <w:br/>
        <w:t xml:space="preserve">   resueltas en sede interna”. Resaltó que la legislación  nacional  protege</w:t>
        <w:br/>
        <w:t xml:space="preserve">   el derecho a la propiedad privada y que “los propietarios  de  la  tierra</w:t>
        <w:br/>
        <w:t xml:space="preserve">   alegada como ancestral por la  Comunidad,  poseen  títulos  de  propiedad</w:t>
        <w:br/>
        <w:t xml:space="preserve">   debidamente inscriptos”, por lo que el Estado  “se  encuentra  entre  dos</w:t>
        <w:br/>
        <w:t xml:space="preserve">   derechos humanos tutelados”.  Agregó  que  la  “[C]omunidad  reclama  [el</w:t>
        <w:br/>
        <w:t xml:space="preserve">   territorio] sin  detentar  la  posesión  ni  la  propiedad  del  inmueble</w:t>
        <w:br/>
        <w:t xml:space="preserve">   reivindicado”. Según  el  Estado,  “el  territorio  tradicional  [de  los</w:t>
        <w:br/>
        <w:t xml:space="preserve">   miembros de la Comunidad] abarca una extensión mayor a la reclamada y  no</w:t>
        <w:br/>
        <w:t xml:space="preserve">   se limita a la Estancia Salazar”, la cual es un “establecimiento en pleno</w:t>
        <w:br/>
        <w:t xml:space="preserve">   funcionamiento y explotación”, por lo cual debería buscarse una  solución</w:t>
        <w:br/>
        <w:t xml:space="preserve">   alternativa. Por último, Paraguay insistió en que “se  encuentra  tomando</w:t>
        <w:br/>
        <w:t xml:space="preserve">   [las] medidas pertinentes a fin de restablecer la propiedad comunitaria a</w:t>
        <w:br/>
        <w:t xml:space="preserve">   los Xákmok Kásek”, lo cual alega se evidencia de la intención del  Estado</w:t>
        <w:br/>
        <w:t xml:space="preserve">   de transferir 1.500 hectáreas a favor de la Comunidad.</w:t>
        <w:br/>
        <w:br/>
        <w:br/>
        <w:t>54. En el presente capítulo la Corte examinará si el Estado  ha  garantizado</w:t>
        <w:br/>
        <w:t xml:space="preserve">   y hecho efectivo el  derecho  a  la  propiedad  de  los  miembros  de  la</w:t>
        <w:br/>
        <w:t xml:space="preserve">   Comunidad  sobre  sus  tierras  tradicionales.  Para  ello,  el  Tribunal</w:t>
        <w:br/>
        <w:t xml:space="preserve">   determinará  los  hechos  que  se  encuentran   probados   y   hará   las</w:t>
        <w:br/>
        <w:t xml:space="preserve">   consideraciones de derecho pertinentes.</w:t>
        <w:br/>
        <w:br/>
        <w:br/>
        <w:t>55. La  Corte  analizará  los  hechos  relacionados  con  el  derecho  a  la</w:t>
        <w:br/>
        <w:t xml:space="preserve">   propiedad de los miembros de la Comunidad  y  su  reclamación  sobre  sus</w:t>
        <w:br/>
        <w:t xml:space="preserve">   tierras tradicionales ocurridos con posterioridad al 11 de marzo de 1993,</w:t>
        <w:br/>
        <w:t xml:space="preserve">   fecha en que el Estado reconoció la competencia contenciosa del Tribunal.</w:t>
        <w:br/>
        <w:t xml:space="preserve">   Sin embargo, como lo ha hecho en casos  anteriores[39],  señalará  hechos</w:t>
        <w:br/>
        <w:t xml:space="preserve">   que ocurrieron con anterioridad, únicamente para  ser  considerados  como</w:t>
        <w:br/>
        <w:t xml:space="preserve">   antecedentes del caso, pero no derivará ninguna consecuencia jurídica con</w:t>
        <w:br/>
        <w:t xml:space="preserve">   base en ellos.</w:t>
        <w:br/>
        <w:br/>
        <w:br/>
        <w:t xml:space="preserve">      1.    Hechos</w:t>
        <w:br/>
        <w:br/>
        <w:br/>
        <w:t xml:space="preserve">           1.1.  Sobre las comunidades indígenas en Paraguay</w:t>
        <w:br/>
        <w:br/>
        <w:br/>
        <w:t>56. Antes de la colonización del Chaco los indígenas vivían  en  comunidades</w:t>
        <w:br/>
        <w:t xml:space="preserve">   pequeñas y flexibles[40]. La economía de  los  miembros  de  los  pueblos</w:t>
        <w:br/>
        <w:t xml:space="preserve">   indígenas del Chaco se basaba principalmente en la  caza,  recolección  y</w:t>
        <w:br/>
        <w:t xml:space="preserve">   pesca. También cultivaban pequeñas huertas  y  poseían  algunos  animales</w:t>
        <w:br/>
        <w:t xml:space="preserve">   domésticos[41]. Recorrían sus tierras  utilizando  la  naturaleza  en  la</w:t>
        <w:br/>
        <w:t xml:space="preserve">   medida  que  las  estaciones  y  la  tecnología  cultural  les   permitía</w:t>
        <w:br/>
        <w:t xml:space="preserve">   aprovecharla, lo cual determinaba que se desplazaran y ocuparan  un  área</w:t>
        <w:br/>
        <w:t xml:space="preserve">   muy extensa de territorio[42].</w:t>
        <w:br/>
        <w:br/>
        <w:br/>
        <w:t>57. Los pueblos indígenas no  estuvieron  ligados  a  los  intereses  de  la</w:t>
        <w:br/>
        <w:t xml:space="preserve">   colonización española y permanecieron relativamente  fuera  del  contacto</w:t>
        <w:br/>
        <w:t xml:space="preserve">   con la cultura europea y criolla hasta finales del siglo XIX[43].</w:t>
        <w:br/>
        <w:br/>
        <w:br/>
        <w:t>58. Entre los años 1885 y 1887, el Estado vendió dos tercios  del  Chaco[44]</w:t>
        <w:br/>
        <w:t xml:space="preserve">   en la bolsa de valores de Londres para financiar la  deuda  del  Paraguay</w:t>
        <w:br/>
        <w:t xml:space="preserve">   tras la llamada guerra de la Triple Alianza. La división y venta de estos</w:t>
        <w:br/>
        <w:t xml:space="preserve">   territorios fue realizada con desconocimiento de  la  población  que  los</w:t>
        <w:br/>
        <w:t xml:space="preserve">   habitaba, que en ese entonces era exclusivamente indígena[45].</w:t>
        <w:br/>
        <w:br/>
        <w:br/>
        <w:t>59. Económicamente la  estructura  del  espacio  chaqueño  durante  los  dos</w:t>
        <w:br/>
        <w:t xml:space="preserve">   últimos siglos se organizó primordialmente a través de la expansión de la</w:t>
        <w:br/>
        <w:t xml:space="preserve">   frontera  agropecuaria,  a  partir  de  diversos  frentes   de   cultivo,</w:t>
        <w:br/>
        <w:t xml:space="preserve">   explotación maderera y ganadería[46]. El asentamiento en el Chaco  de  un</w:t>
        <w:br/>
        <w:t xml:space="preserve">   gran número de empresarios y ganaderos, en calidad de propietarios de los</w:t>
        <w:br/>
        <w:t xml:space="preserve">   latifundios, se  incrementó  considerablemente  a  principios  del  siglo</w:t>
        <w:br/>
        <w:t xml:space="preserve">   XX[47].  Paralelamente,  varias  misiones  religiosas  se  asentaron   en</w:t>
        <w:br/>
        <w:t xml:space="preserve">   distintas zonas de la región, con el fin de la “cristianización”  de  los</w:t>
        <w:br/>
        <w:t xml:space="preserve">   indígenas[48].</w:t>
        <w:br/>
        <w:br/>
        <w:br/>
        <w:t>60. El establecimiento de la  compañía  International  Products  Corporation</w:t>
        <w:br/>
        <w:t xml:space="preserve">   desde la ribera derecha del Río Paraguay y el Puerto Pinasco  como  base,</w:t>
        <w:br/>
        <w:t xml:space="preserve">   extendiéndose hacia el oeste, su división  progresiva  en  estancias,  su</w:t>
        <w:br/>
        <w:t xml:space="preserve">   alianza con los misioneros anglicanos para la “pacificación religiosa”  y</w:t>
        <w:br/>
        <w:t xml:space="preserve">   entrenamiento laboral de los indígenas,  y  su  apelación  a  métodos  de</w:t>
        <w:br/>
        <w:t xml:space="preserve">   control  de   la   población   indígena,   determinaron   la   progresiva</w:t>
        <w:br/>
        <w:t xml:space="preserve">   concentración de las aldeas de origen étnico diferenciado en  las  aldeas</w:t>
        <w:br/>
        <w:t xml:space="preserve">   en cuya vecindad se establecían misiones anglicanas  o  estancias  de  la</w:t>
        <w:br/>
        <w:t xml:space="preserve">   compañía u otros ganaderos[49]. Desde  entonces  las  tierras  del  Chaco</w:t>
        <w:br/>
        <w:t xml:space="preserve">   paraguayo han sido transferidas a propietarios  privados  y  fraccionadas</w:t>
        <w:br/>
        <w:t xml:space="preserve">   progresivamente.</w:t>
        <w:br/>
        <w:br/>
        <w:br/>
        <w:t>61.  El exterminio creciente de animales, la introducción a gran escala  del</w:t>
        <w:br/>
        <w:t xml:space="preserve">   ganado vacuno y el cercamiento que dejaba la caza sujeta  a  permisos  de</w:t>
        <w:br/>
        <w:t xml:space="preserve">   los propietarios, trajo como consecuencia que  los  indígenas  se  vieran</w:t>
        <w:br/>
        <w:t xml:space="preserve">   obligados a desempeñar cada vez más el rol de mano de  obra  barata  para</w:t>
        <w:br/>
        <w:t xml:space="preserve">   los nuevos  negocios  empresariales[50]  y  a  aprovechar  la  residencia</w:t>
        <w:br/>
        <w:t xml:space="preserve">   temporal en las distintas estancias de la zona  para  seguir  practicando</w:t>
        <w:br/>
        <w:t xml:space="preserve">   sus actividades de subsistencia, aunque con significativos cambios debido</w:t>
        <w:br/>
        <w:t xml:space="preserve">   a las restricciones impuestas por la propiedad privada[51].</w:t>
        <w:br/>
        <w:br/>
        <w:br/>
        <w:t>62. Si bien los indígenas continuaron ocupando  sus  tierras  tradicionales,</w:t>
        <w:br/>
        <w:t xml:space="preserve">   las actividades de economía de mercado  a  las  que  fueron  incorporados</w:t>
        <w:br/>
        <w:t xml:space="preserve">   tuvieron  el  efecto  de  restringir  su  movilidad,  concluyendo  en  su</w:t>
        <w:br/>
        <w:t xml:space="preserve">   sedentarización[52].</w:t>
        <w:br/>
        <w:br/>
        <w:br/>
        <w:t>63. De acuerdo al II Censo Nacional Indígena elaborado en 2002, 45%  de  las</w:t>
        <w:br/>
        <w:t xml:space="preserve">   412 comunidades censadas todavía no disponían de  aseguramiento  legal  y</w:t>
        <w:br/>
        <w:t xml:space="preserve">   definitivo[53].  Actualmente,  aún  cuando  las   comunidades   indígenas</w:t>
        <w:br/>
        <w:t xml:space="preserve">   registradas aumentaron a 525, todavía el 45% de ellas “no posee un acceso</w:t>
        <w:br/>
        <w:t xml:space="preserve">   a  tierra  propia  para  asentarse  y  desarrollar  condiciones  de  vida</w:t>
        <w:br/>
        <w:t xml:space="preserve">   favorable”[54].</w:t>
        <w:br/>
        <w:br/>
        <w:br/>
        <w:t xml:space="preserve">        2. La Comunidad Xákmok  Kásek  y  el  reclamo  territorial  de  sus</w:t>
        <w:br/>
        <w:t xml:space="preserve">           miembros</w:t>
        <w:br/>
        <w:br/>
        <w:br/>
        <w:t>64. El proceso de colonización en el Chaco paraguayo  también  afectó  a  la</w:t>
        <w:br/>
        <w:t xml:space="preserve">   Comunidad Xákmok Kásek. En 1930 la Iglesia Anglicana estableció la misión</w:t>
        <w:br/>
        <w:t xml:space="preserve">   de “Campo Flores” con el fin de continuar con la “cristianización” de los</w:t>
        <w:br/>
        <w:t xml:space="preserve">   Enxet y en 1939 fundó la sub-estación misionera de  Xákmok  Kásek  en  el</w:t>
        <w:br/>
        <w:t xml:space="preserve">   lugar donde se asentó la Comunidad hasta el  año  2008[55]  (infra  párr.</w:t>
        <w:br/>
        <w:t xml:space="preserve">   77). De acuerdo a la historia particular de la  Comunidad,  relatada  por</w:t>
        <w:br/>
        <w:t xml:space="preserve">   uno de sus actuales líderes, los Sanapaná estaban “desde mucho antes”  en</w:t>
        <w:br/>
        <w:t xml:space="preserve">   la zona donde después se fundó la Estancia Salazar[56],  inclusive  mucho</w:t>
        <w:br/>
        <w:t xml:space="preserve">   antes de la Guerra del Chaco (1932 – 1935) y  antes  de  la  llegada  del</w:t>
        <w:br/>
        <w:t xml:space="preserve">   primer ocupante extranjero “estaban los [e]nxet lengua y su  toldería  en</w:t>
        <w:br/>
        <w:t xml:space="preserve">   Xákmok Kásek”[57].</w:t>
        <w:br/>
        <w:br/>
        <w:br/>
        <w:t>65. De  acuerdo  a  la  prueba  aportada,  la  Comunidad  Xámok  Kásek  está</w:t>
        <w:br/>
        <w:t xml:space="preserve">   conformada por 66 familias y un total de  268  personas[58];  se  creó  a</w:t>
        <w:br/>
        <w:t xml:space="preserve">   partir de miembros de las aldeas Sanapaná que tradicionalmente  habitaban</w:t>
        <w:br/>
        <w:t xml:space="preserve">   y recorrían el espacio posteriormente ocupado por la Estancia Salazar,  y</w:t>
        <w:br/>
        <w:t xml:space="preserve">   miembros de la aldea Enxet asentada en el lugar que le dio su nombre a la</w:t>
        <w:br/>
        <w:t xml:space="preserve">   Comunidad, y que significa  “muchas  cotorritas”[59],  así  como  por  la</w:t>
        <w:br/>
        <w:t xml:space="preserve">   familia Dermott de ascendencia enxet que llegó a la zona en 1947[60].</w:t>
        <w:br/>
        <w:br/>
        <w:br/>
        <w:t>66. Cuando los indígenas de las  distintas  aldeas  se  concentraron  en  el</w:t>
        <w:br/>
        <w:t xml:space="preserve">   casco de la Estancia Salazar, que quedaba cerca del lugar llamado  Xákmok</w:t>
        <w:br/>
        <w:t xml:space="preserve">   Kásek, poco a poco se fueron mezclando (supra párr. 40). Entre 1953[61] y</w:t>
        <w:br/>
        <w:t xml:space="preserve">   marzo de 2008 el asentamiento principal de la Comunidad se encontraba  en</w:t>
        <w:br/>
        <w:t xml:space="preserve">   el mencionado casco de la Estancia Salazar, ubicado en el Km. 340  de  la</w:t>
        <w:br/>
        <w:t xml:space="preserve">   Ruta Transchaco,  en  el  distrito  de  Pozo  Colorado,  departamento  de</w:t>
        <w:br/>
        <w:t xml:space="preserve">   Presidente Hayes, Región occidental del Chaco[62].</w:t>
        <w:br/>
        <w:br/>
        <w:br/>
        <w:t>67. El 28 de diciembre de 1990[63] los líderes de la Comunidad iniciaron  un</w:t>
        <w:br/>
        <w:t xml:space="preserve">   procedimiento  administrativo  ante  el  Instituto  de  Bienestar   Rural</w:t>
        <w:br/>
        <w:t xml:space="preserve">   (actualmente Instituto de Desarrollo Rural y de la  Tierra,  en  adelante</w:t>
        <w:br/>
        <w:t xml:space="preserve">   “IBR” o “INDERT”), con el fin de recuperar sus tierras tradicionales,  de</w:t>
        <w:br/>
        <w:t xml:space="preserve">   acuerdo a lo dispuesto en la Ley No. 904/81 sobre  el  “Estatuto  de  las</w:t>
        <w:br/>
        <w:t xml:space="preserve">   Comunidades Indígenas”[64].</w:t>
        <w:br/>
        <w:br/>
        <w:br/>
        <w:t>68. La Comunidad reclama una  extensión  de  10.700  hectáreas,  que  forman</w:t>
        <w:br/>
        <w:t xml:space="preserve">   parte de su territorio tradicional, ubicadas al interior de  la  Estancia</w:t>
        <w:br/>
        <w:t xml:space="preserve">   Salazar, en los alrededores de una zona  denominada  “Retiro  Primero”  o</w:t>
        <w:br/>
        <w:t xml:space="preserve">   Mompey Sensap en la lengua de la Comunidad[65]. El asentamiento principal</w:t>
        <w:br/>
        <w:t xml:space="preserve">   de la Comunidad hasta principios del 2008 (supra párr.  66),  aún  cuando</w:t>
        <w:br/>
        <w:t xml:space="preserve">   forma parte del territorio ancestral de la Comunidad, no es parte  de  la</w:t>
        <w:br/>
        <w:t xml:space="preserve">   extensión de 10.700 hectáreas reclamadas.</w:t>
        <w:br/>
        <w:br/>
        <w:br/>
        <w:t>69.  Para  el  momento  de  la  solicitud  de  reivindicación,  las  tierras</w:t>
        <w:br/>
        <w:t xml:space="preserve">   reclamadas formaban parte de una finca propiedad de Eaton y Cía. S.A[66].</w:t>
        <w:br/>
        <w:t xml:space="preserve">   A  finales  del  2002  parte  del  territorio  en  reivindicación  (3.293</w:t>
        <w:br/>
        <w:t xml:space="preserve">   hectáreas)  fue  adquirido  por  la   Cooperativa   Menonita   Chortitzer</w:t>
        <w:br/>
        <w:t xml:space="preserve">   Komitee[67]. En consecuencia, el territorio reclamado  por  la  Comunidad</w:t>
        <w:br/>
        <w:t xml:space="preserve">   actualmente es propiedad de Eaton y Cía. S.A y  la  Cooperativa  Menonita</w:t>
        <w:br/>
        <w:t xml:space="preserve">   Chortitzer Komitee Ltda[68].</w:t>
        <w:br/>
        <w:br/>
        <w:br/>
        <w:t>70. Ante el fracaso de la vía administrativa, los líderes  de  la  Comunidad</w:t>
        <w:br/>
        <w:t xml:space="preserve">   acudieron directamente al Congreso de la República el 23 de junio de 1999</w:t>
        <w:br/>
        <w:t xml:space="preserve">   para solicitar la expropiación de las tierras en reivindicación[69].</w:t>
        <w:br/>
        <w:br/>
        <w:br/>
        <w:t>71. Frente a dicha solicitud, el propietario  privado  presentó  un  informe</w:t>
        <w:br/>
        <w:t xml:space="preserve">   ante el Congreso, en el que expuso que no  era  necesario  expropiar  las</w:t>
        <w:br/>
        <w:t xml:space="preserve">   tierras reclamadas, pues “[e]n esta fracción de tierras se as[entaba]  el</w:t>
        <w:br/>
        <w:t xml:space="preserve">   corazón  del  establecimiento  ganadero[,   y   que]   existían   tierras</w:t>
        <w:br/>
        <w:t xml:space="preserve">   disponibles y colindantes con la fracción pretendida”[70].</w:t>
        <w:br/>
        <w:br/>
        <w:br/>
        <w:t>72. El 16 de noviembre de 2000 la Cámara de Senadores  de  Paraguay  rechazó</w:t>
        <w:br/>
        <w:t xml:space="preserve">   el proyecto de ley de expropiación  de  las  tierras  reclamadas  por  la</w:t>
        <w:br/>
        <w:t xml:space="preserve">   Comunidad[71].</w:t>
        <w:br/>
        <w:br/>
        <w:br/>
        <w:t>73. De acuerdo a la Presidenta del INDI,  existe  “una  resistencia  [de  la</w:t>
        <w:br/>
        <w:t xml:space="preserve">   sociedad en general] de ceder  generalmente  en  ese  sentido  hacia  las</w:t>
        <w:br/>
        <w:t xml:space="preserve">   reivindicaciones de los pueblos indígenas”, así como  “históricamente  el</w:t>
        <w:br/>
        <w:t xml:space="preserve">   [C]ongreso [N]acional se ha opuesto a las expropiaciones”[72].</w:t>
        <w:br/>
        <w:br/>
        <w:br/>
        <w:t>74. La vida de los miembros de la  Comunidad  al  interior  de  la  Estancia</w:t>
        <w:br/>
        <w:t xml:space="preserve">   Salazar estaba condicionada por  restricciones  al  uso  del  territorio,</w:t>
        <w:br/>
        <w:t xml:space="preserve">   derivadas de la propiedad privada sobre  las  tierras  que  ocupaban.  En</w:t>
        <w:br/>
        <w:t xml:space="preserve">   particular los miembros de la Comunidad tenían prohibido cultivar o tener</w:t>
        <w:br/>
        <w:t xml:space="preserve">   ganado[73]. Sin embargo, a  pesar  de  estar  asentados  en  una  pequeña</w:t>
        <w:br/>
        <w:t xml:space="preserve">   porción  del  territorio  tradicional,  recorrían   sus   tierras[74]   y</w:t>
        <w:br/>
        <w:t xml:space="preserve">   practicaban  ciertas  actividades   como   la   cacería,   aunque   fuera</w:t>
        <w:br/>
        <w:t xml:space="preserve">   difícil[75]. Asimismo, muchos de los miembros de la Comunidad  trabajaban</w:t>
        <w:br/>
        <w:t xml:space="preserve">   en la Estancia Salazar[76].</w:t>
        <w:br/>
        <w:br/>
        <w:br/>
        <w:t>75. No obstante, consta de las declaraciones rendidas ante  esta  Corte  que</w:t>
        <w:br/>
        <w:t xml:space="preserve">   en los últimos años los miembros de la Comunidad se vieron cada  vez  más</w:t>
        <w:br/>
        <w:t xml:space="preserve">   restringidos para el desarrollo de su modo de vida, así como en cuanto  a</w:t>
        <w:br/>
        <w:t xml:space="preserve">   la movilidad dentro de la extensión de la Estancia Salazar. Varios de los</w:t>
        <w:br/>
        <w:t xml:space="preserve">   declarantes relataron como la cacería se prohibió  por  completo[77],  el</w:t>
        <w:br/>
        <w:t xml:space="preserve">   propietario privado contrató a guardias particulares que controlaban  sus</w:t>
        <w:br/>
        <w:t xml:space="preserve">   entradas, salidas y desplazamientos[78],  y  tampoco  pudieron  practicar</w:t>
        <w:br/>
        <w:t xml:space="preserve">   otras actividades como pesca o recolección de alimentos[79].</w:t>
        <w:br/>
        <w:br/>
        <w:br/>
        <w:t>76. Ante estas dificultades, los líderes de las Comunidades Nepoxen,  Saria,</w:t>
        <w:br/>
        <w:t xml:space="preserve">   Tajamar Kabayu y Kenaten, todas ellas de origen Angaité (en adelante “las</w:t>
        <w:br/>
        <w:t xml:space="preserve">   comunidades Angaité”), acordaron con los líderes de la  Comunidad  Xákmok</w:t>
        <w:br/>
        <w:t xml:space="preserve">   Kásek el 16 de abril de 2005 la cesión de 1.500 hectáreas a favor de  los</w:t>
        <w:br/>
        <w:t xml:space="preserve">   miembros de la Comunidad Xákmok Kásek[80]. A estas comunidades Angaité el</w:t>
        <w:br/>
        <w:t xml:space="preserve">   INDI había restituido 15.113 hectáreas en 1997[81]. En septiembre de 2005</w:t>
        <w:br/>
        <w:t xml:space="preserve">   los líderes de la Comunidad solicitaron al INDI la  titulación  de  dicha</w:t>
        <w:br/>
        <w:t xml:space="preserve">   extensión de tierras  a  su  favor[82].  Posteriormente,  al  aceptar  la</w:t>
        <w:br/>
        <w:t xml:space="preserve">   titulación de dicha extensión de tierra, los  miembros  de  la  Comunidad</w:t>
        <w:br/>
        <w:t xml:space="preserve">   “reafirma[ron  su]  firme  postura  de  seguir  en  la  lucha  [por]   la</w:t>
        <w:br/>
        <w:t xml:space="preserve">   reivindicación de  [su]  territorio  restante  que  es  en  total  10.700</w:t>
        <w:br/>
        <w:t xml:space="preserve">   hectáreas”[83].</w:t>
        <w:br/>
        <w:br/>
        <w:br/>
        <w:t>77. El 25 de febrero de 2008, debido al incremento de  las  dificultades  en</w:t>
        <w:br/>
        <w:t xml:space="preserve">   la Estancia Salazar, los  miembros  de  la  Comunidad  se  trasladaron  y</w:t>
        <w:br/>
        <w:t xml:space="preserve">   asentaron en las 1.500 hectáreas cedidas por las comunidades Angaité.  Se</w:t>
        <w:br/>
        <w:t xml:space="preserve">   denominó a este nuevo asentamiento como “25 de Febrero”[84], el  cual  se</w:t>
        <w:br/>
        <w:t xml:space="preserve">   encuentra fuera de las tierras reclamadas[85].</w:t>
        <w:br/>
        <w:br/>
        <w:br/>
        <w:t>78. Hasta la presente fecha no  se  han  titulado  las  tierras  de  “25  de</w:t>
        <w:br/>
        <w:t xml:space="preserve">   Febrero” a favor de los miembros de la Comunidad Xákmok Kásek,  donde  se</w:t>
        <w:br/>
        <w:t xml:space="preserve">   encuentra asentada actualmente.</w:t>
        <w:br/>
        <w:br/>
        <w:br/>
        <w:t>79. Al desplazarse  de  su  antiguo  asentamiento  algunos  miembros  de  la</w:t>
        <w:br/>
        <w:t xml:space="preserve">   Comunidad  se  separaron  de  la  misma  y   se   trasladaron   a   otras</w:t>
        <w:br/>
        <w:t xml:space="preserve">   comunidades[86].</w:t>
        <w:br/>
        <w:br/>
        <w:br/>
        <w:t xml:space="preserve">           1.3.  Declaración de reserva natural  privada  sobre  parte  del</w:t>
        <w:br/>
        <w:t xml:space="preserve">           territorio reclamado</w:t>
        <w:br/>
        <w:br/>
        <w:br/>
        <w:t>80. El 31 de enero de 2008 la Presidencia de  la  República  declaró  12.450</w:t>
        <w:br/>
        <w:t xml:space="preserve">   hectáreas de la Estancia Salazar como un área  silvestre  protegida  bajo</w:t>
        <w:br/>
        <w:t xml:space="preserve">   dominio privado, por un período de 5 años[87]. De las tierras  afectadas,</w:t>
        <w:br/>
        <w:t xml:space="preserve">   aproximadamente 4.175 hectáreas forman  parte  de  las  10.700  hectáreas</w:t>
        <w:br/>
        <w:t xml:space="preserve">   reclamadas por la Comunidad desde 1990[88].</w:t>
        <w:br/>
        <w:br/>
        <w:br/>
        <w:t>81. Dicha declaratoria de reserva natural se realizó  sin  consultar  a  los</w:t>
        <w:br/>
        <w:t xml:space="preserve">   miembros de la Comunidad ni tener en cuenta su  reclamo  territorial[89].</w:t>
        <w:br/>
        <w:t xml:space="preserve">   Ello fue confirmado  por  la  Asesoría  Jurídica  de  la  Secretaria  del</w:t>
        <w:br/>
        <w:t xml:space="preserve">   Ambiente, la cual concluyó que el proceso a través del  cual  se  declaró</w:t>
        <w:br/>
        <w:t xml:space="preserve">   como reserva natural a parte de la Estancia  Salazar  padecía  de  serias</w:t>
        <w:br/>
        <w:t xml:space="preserve">   irregularidades, entre las cuales se encontraba no haber tomado en cuenta</w:t>
        <w:br/>
        <w:t xml:space="preserve">   la existencia del reclamo de  la  Comunidad,  por  lo  cual  debería  ser</w:t>
        <w:br/>
        <w:t xml:space="preserve">   revocado[90].</w:t>
        <w:br/>
        <w:br/>
        <w:br/>
        <w:t>82. De acuerdo  a  la  Ley  No.  352/94,  que  establece  el  régimen  legal</w:t>
        <w:br/>
        <w:t xml:space="preserve">   aplicable a las Áreas Silvestres Protegidas, aquellas que  se  encuentren</w:t>
        <w:br/>
        <w:t xml:space="preserve">   bajo dominio privado serán inexpropiables durante el lapso de validez  de</w:t>
        <w:br/>
        <w:t xml:space="preserve">   la declaratoria[91]. Además, dicha Ley establece restricciones de  uso  y</w:t>
        <w:br/>
        <w:t xml:space="preserve">   dominio, entre las cuales se encuentra la prohibición de la ocupación  de</w:t>
        <w:br/>
        <w:t xml:space="preserve">   todo el terreno, así como actividades tradicionales de los miembros de la</w:t>
        <w:br/>
        <w:t xml:space="preserve">   Comunidad como la caza, pesca y recolección[92]. Esta regulación penaliza</w:t>
        <w:br/>
        <w:t xml:space="preserve">   las infracciones a tales prohibiciones[93]  y  asigna  un  guardaparques,</w:t>
        <w:br/>
        <w:t xml:space="preserve">   quien puede estar armado[94] y efectuar arrestos[95].</w:t>
        <w:br/>
        <w:br/>
        <w:br/>
        <w:t>83.  El  31  de  julio  de  2008  la  Comunidad  promovió  una   acción   de</w:t>
        <w:br/>
        <w:t xml:space="preserve">   inconstitucionalidad ante la Corte Suprema de Justicia, en contra  de  la</w:t>
        <w:br/>
        <w:t xml:space="preserve">   mencionada declaración de reserva natural[96].</w:t>
        <w:br/>
        <w:br/>
        <w:br/>
        <w:t>84. Como consecuencia de la interposición de dicha acción se notificó  a  la</w:t>
        <w:br/>
        <w:t xml:space="preserve">   Fiscalía General del Estado, la cual solicitó el 2 de octubre de 2008  la</w:t>
        <w:br/>
        <w:t xml:space="preserve">   interrupción del plazo  para  contestar  a  dicha  acción,  debido  a  la</w:t>
        <w:br/>
        <w:t xml:space="preserve">   necesidad  de  agregar  el  expediente  administrativo  relativo   a   la</w:t>
        <w:br/>
        <w:t xml:space="preserve">   reclamación de  tierras  por  parte  de  la  Comunidad[97].  Dicho  plazo</w:t>
        <w:br/>
        <w:t xml:space="preserve">   efectivamente se interrumpió el 24 de octubre de 2008 y, a pesar  de  que</w:t>
        <w:br/>
        <w:t xml:space="preserve">   los representantes de la Comunidad remitieron el 14 de diciembre de  2009</w:t>
        <w:br/>
        <w:t xml:space="preserve">   una  copia   autenticada   del   expediente   administrativo[98],   dicho</w:t>
        <w:br/>
        <w:t xml:space="preserve">   procedimiento todavía se encuentra suspendido[99].</w:t>
        <w:br/>
        <w:br/>
        <w:br/>
        <w:t xml:space="preserve">      2.    El derecho a la propiedad comunitaria</w:t>
        <w:br/>
        <w:br/>
        <w:br/>
        <w:t>85. Este Tribunal ha considerado que la estrecha vinculación de los  pueblos</w:t>
        <w:br/>
        <w:t xml:space="preserve">   indígenas con sus tierras tradicionales y los recursos naturales  ligados</w:t>
        <w:br/>
        <w:t xml:space="preserve">   a su cultura que ahí se encuentren, así como los  elementos  incorporales</w:t>
        <w:br/>
        <w:t xml:space="preserve">   que se desprendan de ellos, deben ser salvaguardados por el  artículo  21</w:t>
        <w:br/>
        <w:t xml:space="preserve">   de la Convención Americana[100].</w:t>
        <w:br/>
        <w:br/>
        <w:br/>
        <w:t>86. Además, la Corte ha tenido en cuenta que entre los indígenas</w:t>
        <w:br/>
        <w:br/>
        <w:br/>
        <w:t xml:space="preserve">      existe una  tradición  comunitaria  sobre  una  forma  comunal  de  la</w:t>
        <w:br/>
        <w:t xml:space="preserve">      propiedad colectiva de la tierra, en el sentido de que la  pertenencia</w:t>
        <w:br/>
        <w:t xml:space="preserve">      de ésta no se centra en un individuo sino en el grupo y su  comunidad.</w:t>
        <w:br/>
        <w:t xml:space="preserve">      Los indígenas por el hecho de su propia existencia  tienen  derecho  a</w:t>
        <w:br/>
        <w:t xml:space="preserve">      vivir libremente en sus propios territorios; la estrecha relación  que</w:t>
        <w:br/>
        <w:t xml:space="preserve">      los indígenas mantienen  con  la  tierra  debe  de  ser  reconocida  y</w:t>
        <w:br/>
        <w:t xml:space="preserve">      comprendida  como  la  base  fundamental  de  sus  culturas,  su  vida</w:t>
        <w:br/>
        <w:t xml:space="preserve">      espiritual, su integridad  y  su  supervivencia  económica.  Para  las</w:t>
        <w:br/>
        <w:t xml:space="preserve">      comunidades indígenas la relación con la tierra no  es  meramente  una</w:t>
        <w:br/>
        <w:t xml:space="preserve">      cuestión  de  posesión  y  producción  sino  un  elemento  material  y</w:t>
        <w:br/>
        <w:t xml:space="preserve">      espiritual del que deben gozar plenamente, inclusive para preservar su</w:t>
        <w:br/>
        <w:t xml:space="preserve">      legado cultural y transmitirlo a las generaciones futuras[101].</w:t>
        <w:br/>
        <w:br/>
        <w:br/>
        <w:t>87. Asimismo, la  Corte  ha  señalado  que  los  conceptos  de  propiedad  y</w:t>
        <w:br/>
        <w:t xml:space="preserve">   posesión en las comunidades  indígenas  pueden  tener  una  significación</w:t>
        <w:br/>
        <w:t xml:space="preserve">   colectiva, en el sentido de que la pertenencia de ésta “no se  centra  en</w:t>
        <w:br/>
        <w:t xml:space="preserve">   un individuo sino en el grupo  y  su  comunidad”[102].  Esta  noción  del</w:t>
        <w:br/>
        <w:t xml:space="preserve">   dominio y de la posesión sobre las tierras no necesariamente  corresponde</w:t>
        <w:br/>
        <w:t xml:space="preserve">   a la concepción clásica de propiedad, pero merece  igual  protección  del</w:t>
        <w:br/>
        <w:t xml:space="preserve">   artículo 21 de la Convención. Desconocer las  versiones  específicas  del</w:t>
        <w:br/>
        <w:t xml:space="preserve">   derecho al uso y  goce  de  los  bienes,  dadas  por  la  cultura,  usos,</w:t>
        <w:br/>
        <w:t xml:space="preserve">   costumbres y creencias de cada pueblo, equivaldría a  sostener  que  sólo</w:t>
        <w:br/>
        <w:t xml:space="preserve">   existe una forma de usar y disponer de  los  bienes,  lo  que  a  su  vez</w:t>
        <w:br/>
        <w:t xml:space="preserve">   significaría  hacer  ilusoria  la  protección  del  artículo  21  de   la</w:t>
        <w:br/>
        <w:t xml:space="preserve">   Convención para millones de personas[103].</w:t>
        <w:br/>
        <w:br/>
        <w:br/>
        <w:t>88. En el presente caso no está en discusión que  la  legislación  paraguaya</w:t>
        <w:br/>
        <w:t xml:space="preserve">   reconoce la existencia de los pueblos indígenas como grupos anteriores  a</w:t>
        <w:br/>
        <w:t xml:space="preserve">   la formación del Estado, así como la identidad cultural de estos pueblos,</w:t>
        <w:br/>
        <w:t xml:space="preserve">   la relación que tienen con su respectivo hábitat  y  las  características</w:t>
        <w:br/>
        <w:t xml:space="preserve">   comunitarias de su dominio sobre sus tierras, otorgándoles,  además,  una</w:t>
        <w:br/>
        <w:t xml:space="preserve">   serie de derechos específicos, que sirven de base para que este  Tribunal</w:t>
        <w:br/>
        <w:t xml:space="preserve">   defina el alcance y contenido del artículo 21 de la Convención.</w:t>
        <w:br/>
        <w:br/>
        <w:br/>
        <w:t>89. El Estado no niega que los miembros de la Comunidad Xákmok Kásek  tienen</w:t>
        <w:br/>
        <w:t xml:space="preserve">   el derecho a la propiedad comunitaria de su territorio tradicional, y que</w:t>
        <w:br/>
        <w:t xml:space="preserve">   la caza, pesca y recolección sean elementos esenciales de su cultura.  La</w:t>
        <w:br/>
        <w:t xml:space="preserve">   controversia en el presente caso se centra en la necesidad  de  restituir</w:t>
        <w:br/>
        <w:t xml:space="preserve">   específicamente las tierras reclamadas por los miembros de la Comunidad y</w:t>
        <w:br/>
        <w:t xml:space="preserve">   la realización efectiva del derecho a la propiedad, ambas cuestiones  que</w:t>
        <w:br/>
        <w:t xml:space="preserve">   el Tribunal pasará a analizar infra.</w:t>
        <w:br/>
        <w:br/>
        <w:br/>
        <w:t xml:space="preserve">           2.1.  Cuestiones relativas a las tierras reclamadas</w:t>
        <w:br/>
        <w:br/>
        <w:br/>
        <w:t xml:space="preserve">              2.1.1.   Carácter tradicional de las tierras reclamadas</w:t>
        <w:br/>
        <w:br/>
        <w:br/>
        <w:t>90. La Corte observa que el Estado, a pesar de señalar  que  “no  niega  sus</w:t>
        <w:br/>
        <w:t xml:space="preserve">   obligaciones  de  restituir  derechos  a  estos  pueblos”,  cuestiona  el</w:t>
        <w:br/>
        <w:t xml:space="preserve">   carácter ancestral de las tierras reclamadas por la  Comunidad.  Paraguay</w:t>
        <w:br/>
        <w:t xml:space="preserve">   alegó que los ancestros de las víctimas “habitaron un territorio  de  más</w:t>
        <w:br/>
        <w:t xml:space="preserve">   extensión que  los  reclamados  en  esta  demanda,  dentro  del  cual  se</w:t>
        <w:br/>
        <w:t xml:space="preserve">   movilizaban y mantenían en permanente migración interna”. Afirmó que  “la</w:t>
        <w:br/>
        <w:t xml:space="preserve">   Comunidad Xákmok Kásek estaba dispersa a lo largo de su vasto  territorio</w:t>
        <w:br/>
        <w:t xml:space="preserve">   ancestral, habiéndose asentado por cuestiones de voluntad en la  zona  de</w:t>
        <w:br/>
        <w:t xml:space="preserve">   la Estancia Salazar”, y que  “[l]o  cierto  y  lo  concreto  es  que  las</w:t>
        <w:br/>
        <w:t xml:space="preserve">   estancias que hoy reclaman como el asiento de sus  ancestros,  nunca  fue</w:t>
        <w:br/>
        <w:t xml:space="preserve">   asiento definitivo de la [C]omunidad”. Según  el  Estado,  debido  a  “su</w:t>
        <w:br/>
        <w:t xml:space="preserve">   condición de pueblos nómadas, alguna vez sí  han  pasado  accidentalmente</w:t>
        <w:br/>
        <w:t xml:space="preserve">   por tales fincas, lo cual no les habilita para reclamar unas estancias en</w:t>
        <w:br/>
        <w:t xml:space="preserve">   plena explotación como suyas”.</w:t>
        <w:br/>
        <w:br/>
        <w:br/>
        <w:t>91. La Comisión indicó que “mientras la [C]omunidad […] Xákmok  Kásek  alude</w:t>
        <w:br/>
        <w:t xml:space="preserve">   a su territorio ancestral comunitario y lo reivindica específicamente, el</w:t>
        <w:br/>
        <w:t xml:space="preserve">   Estado se refiere al territorio ancestral de  los  Enxet-Lengua  como  un</w:t>
        <w:br/>
        <w:t xml:space="preserve">   todo y, sobre esa base afirma que se puede otorgar un predio  alternativo</w:t>
        <w:br/>
        <w:t xml:space="preserve">   dentro de ese amplio territorio étnico”. Explicó que las 10.700 hectáreas</w:t>
        <w:br/>
        <w:t xml:space="preserve">   reclamadas por la  Comunidad  corresponden  a  su  “territorio  ancestral</w:t>
        <w:br/>
        <w:t xml:space="preserve">   específico”, lo cual se evidencia del criterio propio de la Comunidad, la</w:t>
        <w:br/>
        <w:t xml:space="preserve">   toponimia  del  territorio  y  la  realización  de  prácticas  culturales</w:t>
        <w:br/>
        <w:t xml:space="preserve">   tradicionales  en  el  territorio,  incluso  de  forma  clandestina;   de</w:t>
        <w:br/>
        <w:t xml:space="preserve">   documentos técnicos oficiales o elaborados por encargo del Estado y de la</w:t>
        <w:br/>
        <w:t xml:space="preserve">   ocupación histórica de dicho  territorio.  Resaltó  que  la  postura  del</w:t>
        <w:br/>
        <w:t xml:space="preserve">   Estado “pretende desconocer que los pueblos  indígenas  del  Chaco  están</w:t>
        <w:br/>
        <w:t xml:space="preserve">   conformados por múltiples comunidades, algunas de composición multiétnica</w:t>
        <w:br/>
        <w:t xml:space="preserve">   […], cada una de las cuales tiene su historia  específica  y  particular,</w:t>
        <w:br/>
        <w:t xml:space="preserve">   que ha producido lazos claros con una  porción  concreta  del  territorio</w:t>
        <w:br/>
        <w:t xml:space="preserve">   chaqueño”.  En  ese  sentido,  señaló  que  la  Comunidad  Xákmok   Kásek</w:t>
        <w:br/>
        <w:t xml:space="preserve">   “construyó  históricamente  su  afiliación  cultural  a   un   territorio</w:t>
        <w:br/>
        <w:t xml:space="preserve">   determinado – el del Retiro Primero de  la  Estancia  Salazar  que  están</w:t>
        <w:br/>
        <w:t xml:space="preserve">   reivindicando”.</w:t>
        <w:br/>
        <w:br/>
        <w:br/>
        <w:t>92. Los representantes indicaron que  la  Comunidad  “reclama  solamente  la</w:t>
        <w:br/>
        <w:t xml:space="preserve">   restitución de una pequeña parte de su  territorio  ancestral”,  la  cual</w:t>
        <w:br/>
        <w:t xml:space="preserve">   está claramente determinada y es conocida e identificada por miembros  de</w:t>
        <w:br/>
        <w:t xml:space="preserve">   la Comunidad como Mompey Sensap (hoy Retiro Primero) y Makha Mompena (hoy</w:t>
        <w:br/>
        <w:t xml:space="preserve">   Retiro  Kuñataí).  Resaltaron  que  las  tierras  reclamadas   han   sido</w:t>
        <w:br/>
        <w:t xml:space="preserve">   identificadas en “la memoria colectiva, aún viva en la [C]omunidad y  sus</w:t>
        <w:br/>
        <w:t xml:space="preserve">   miembros quienes asocian y vinculan  clara  y  sistemáticamente  eventos,</w:t>
        <w:br/>
        <w:t xml:space="preserve">   lugares, recuerdos y prácticas de  economía  tradicional  en  el  espacio</w:t>
        <w:br/>
        <w:t xml:space="preserve">   geográfico de referencia”.</w:t>
        <w:br/>
        <w:br/>
        <w:br/>
        <w:t>93. En relación al carácter tradicional de las tierras reclamadas, la  Corte</w:t>
        <w:br/>
        <w:t xml:space="preserve">   analizará:  a)  la  ocupación  y  recorrido  de  dichas  tierras  y   sus</w:t>
        <w:br/>
        <w:t xml:space="preserve">   alrededores por los miembros de la Comunidad; b) la toponimia de la zona;</w:t>
        <w:br/>
        <w:t xml:space="preserve">   c) estudios técnicos elaborados al respecto, y d) la alegada idoneidad de</w:t>
        <w:br/>
        <w:t xml:space="preserve">   las tierras reclamadas.</w:t>
        <w:br/>
        <w:br/>
        <w:br/>
        <w:t xml:space="preserve">      a)    Ocupación y recorrido del territorio tradicional</w:t>
        <w:br/>
        <w:br/>
        <w:br/>
        <w:t>94. El Tribunal considera que está probado el carácter originalmente  nómada</w:t>
        <w:br/>
        <w:t xml:space="preserve">   de los pueblos a los que pertenece la Comunidad y  el  hecho  de  que  el</w:t>
        <w:br/>
        <w:t xml:space="preserve">   territorio tradicional de la  misma  abarca  una  extensión  mayor  a  la</w:t>
        <w:br/>
        <w:t xml:space="preserve">   reclamada (supra párrs. 56 y 65), lo cual no ha  sido  controvertido  por</w:t>
        <w:br/>
        <w:t xml:space="preserve">   las partes. Ahora bien, el perito Braticevic explicó que el nomadismo  de</w:t>
        <w:br/>
        <w:t xml:space="preserve">   los pueblos del área implicaba que éstos se desplazaban por su territorio</w:t>
        <w:br/>
        <w:t xml:space="preserve">   de manera radial o circular siguiendo un ciclo o período  anual[104].  En</w:t>
        <w:br/>
        <w:t xml:space="preserve">   el mismo sentido se pronunció el perito Braunstein[105].</w:t>
        <w:br/>
        <w:br/>
        <w:br/>
        <w:t>95. Los lugares señalados por miembros de la Comunidad  como  aldeas,  zonas</w:t>
        <w:br/>
        <w:t xml:space="preserve">   de caza, pesca, lugares de entierro, fuentes  de  plantas  medicinales  y</w:t>
        <w:br/>
        <w:t xml:space="preserve">   puntos relevantes en su historia obedecen a este patrón  de  recorrido  y</w:t>
        <w:br/>
        <w:t xml:space="preserve">   apropiación de territorio expuesto por los peritos ante esta  Corte[106].</w:t>
        <w:br/>
        <w:t xml:space="preserve">   De esta forma y atendiendo a los criterios  científicos  presentados,  el</w:t>
        <w:br/>
        <w:t xml:space="preserve">   territorio  tradicional  específico  de  la  Comunidad  Xákmok  Kásek  es</w:t>
        <w:br/>
        <w:t xml:space="preserve">   determinable. Aún cuando la Corte desconoce la extensión precisa de dicho</w:t>
        <w:br/>
        <w:t xml:space="preserve">   territorio, ya que no fue probada en  el  expediente,  observa  que  ello</w:t>
        <w:br/>
        <w:t xml:space="preserve">   coincide con el territorio siempre  señalado  como  tradicional  por  los</w:t>
        <w:br/>
        <w:t xml:space="preserve">   miembros de la Comunidad, es decir la Estancia Salazar y  alrededores,  y</w:t>
        <w:br/>
        <w:t xml:space="preserve">   es menor al territorio ancestral de 175.000 hectáreas  correspondiente  a</w:t>
        <w:br/>
        <w:t xml:space="preserve">   los pueblos étnicos a los que pertenece la Comunidad[107]. Es de resaltar</w:t>
        <w:br/>
        <w:t xml:space="preserve">   que el territorio tradicional relevante, a efectos de la  protección  del</w:t>
        <w:br/>
        <w:t xml:space="preserve">   derecho a la propiedad comunitaria de los miembros de la Comunidad, no es</w:t>
        <w:br/>
        <w:t xml:space="preserve">   el de sus ascendientes sino el de la propia Comunidad.</w:t>
        <w:br/>
        <w:br/>
        <w:br/>
        <w:t>96. El perito Braticevic expresó  que  la  familia  Enlhet-Enenlhet  “habitó</w:t>
        <w:br/>
        <w:t xml:space="preserve">   esta área del Chaco desde tiempos inmemoriales” y que no había objeciones</w:t>
        <w:br/>
        <w:t xml:space="preserve">   en cuanto a la determinación del territorio  ancestral  de  la  Comunidad</w:t>
        <w:br/>
        <w:t xml:space="preserve">   Xákmok Kásek alrededor de la mencionada  estancia[108].   Esto  encuentra</w:t>
        <w:br/>
        <w:t xml:space="preserve">   apoyo adicional en el mapa de aldeas Enlhet-Enenlhet presentado  por  los</w:t>
        <w:br/>
        <w:t xml:space="preserve">   representantes, donde se identifica a la zona denominada Lha’acme-Caasec,</w:t>
        <w:br/>
        <w:t xml:space="preserve">   como una de sus aldeas[109].</w:t>
        <w:br/>
        <w:br/>
        <w:br/>
        <w:t>97. Asimismo, de conformidad con la historia de  las  comunidades  indígenas</w:t>
        <w:br/>
        <w:t xml:space="preserve">   en el Chaco paraguayo (supra párrs. 56 a 63),  muchas  aldeas  indígenas,</w:t>
        <w:br/>
        <w:t xml:space="preserve">   entre ellas los ascendientes de la Comunidad, se asentaron  alrededor  de</w:t>
        <w:br/>
        <w:t xml:space="preserve">   dichas  misiones  religiosas  y  en   los   cascos   de   las   estancias</w:t>
        <w:br/>
        <w:t xml:space="preserve">   ganaderas[110]. En el caso particular de la Comunidad Xákmok Kásek, en el</w:t>
        <w:br/>
        <w:t xml:space="preserve">   lugar que le dio el nombre a la Comunidad se fundó una  misión  religiosa</w:t>
        <w:br/>
        <w:t xml:space="preserve">   en 1939 (supra párr. 64). Tomás Dermott relató que ahí “estaban los Enxet</w:t>
        <w:br/>
        <w:t xml:space="preserve">   lengua y su toldería en Xakma Kásek”,  mucho  antes  de  que  llegara  el</w:t>
        <w:br/>
        <w:t xml:space="preserve">   primer ocupante extranjero (supra párr. 64)[111].  Asimismo,  el  testigo</w:t>
        <w:br/>
        <w:t xml:space="preserve">   Rodrigo Villagra Carron explicó que cuando se formó la Estancia  Salazar,</w:t>
        <w:br/>
        <w:t xml:space="preserve">   el propietario privado ordenó que las distintas aldeas  indígenas  de  la</w:t>
        <w:br/>
        <w:t xml:space="preserve">   zona se integraran y se fueran a vivir al casco de la Estancia para tener</w:t>
        <w:br/>
        <w:t xml:space="preserve">   un mayor control[112]. Entonces, como explica Tomás Dermott, los Sanapaná</w:t>
        <w:br/>
        <w:t xml:space="preserve">   que en esa zona “acampaban y  recorrían  a  gusto,  tenían  chacras,  [y]</w:t>
        <w:br/>
        <w:t xml:space="preserve">   cazaban”, “salieron de sus aldeas y fueron a buscar trabajo”,  juntándose</w:t>
        <w:br/>
        <w:t xml:space="preserve">   algunos cerca del casco de la Estancia[113] (supra párrs. 40, 65  y  66).</w:t>
        <w:br/>
        <w:t xml:space="preserve">   El peritaje presentado por  el  Estado  coincide  con  esta  relación  de</w:t>
        <w:br/>
        <w:t xml:space="preserve">   hechos[114].</w:t>
        <w:br/>
        <w:br/>
        <w:br/>
        <w:t>98. Desde su asentamiento en el casco de la Estancia  Salazar  hasta  fechas</w:t>
        <w:br/>
        <w:t xml:space="preserve">   recientes  (supra  párrs.  74  y  75),  los  miembros  de  la   Comunidad</w:t>
        <w:br/>
        <w:t xml:space="preserve">   continuaron recorriendo este territorio tradicional y haciendo uso de sus</w:t>
        <w:br/>
        <w:t xml:space="preserve">   recursos,  con  ciertas  limitaciones  impuestas  por  los   propietarios</w:t>
        <w:br/>
        <w:t xml:space="preserve">   privados.  Justamente  cuando  las  restricciones   de   movilización   y</w:t>
        <w:br/>
        <w:t xml:space="preserve">   desarrollo de  actividades  tradicionales  de  subsistencia  se  hicieron</w:t>
        <w:br/>
        <w:t xml:space="preserve">   demasiado difíciles, fue que los  miembros  de  la  Comunidad  decidieron</w:t>
        <w:br/>
        <w:t xml:space="preserve">   salir y ubicarse en el lugar denominado “25 de Febrero” (supra párrs.  75</w:t>
        <w:br/>
        <w:t xml:space="preserve">   a 78).</w:t>
        <w:br/>
        <w:br/>
        <w:br/>
        <w:t>99. Asimismo, el Tribunal observa que el área actualmente reclamada  por  la</w:t>
        <w:br/>
        <w:t xml:space="preserve">   Comunidad alrededor del Retiro Primero (supra párr.  68)  constituye  una</w:t>
        <w:br/>
        <w:t xml:space="preserve">   porción de ese mayor territorio  tradicionalmente  recorrido,  e  incluye</w:t>
        <w:br/>
        <w:t xml:space="preserve">   puntos  importantes  dentro  de  la  vida,  cultura  e  historia  de   la</w:t>
        <w:br/>
        <w:t xml:space="preserve">   Comunidad[115].</w:t>
        <w:br/>
        <w:br/>
        <w:br/>
        <w:t xml:space="preserve">      b)    Toponimia de la zona de acuerdo a la Comunidad</w:t>
        <w:br/>
        <w:br/>
        <w:br/>
        <w:t>100. Con respecto a la toponimia de  la  zona,  la  Corte  recuerda  que  la</w:t>
        <w:br/>
        <w:t xml:space="preserve">   ocupación tradicional del territorio de los pueblos indígenas  del  Chaco</w:t>
        <w:br/>
        <w:t xml:space="preserve">   se evidencia principalmente  en  los  nombres  otorgados  a  determinados</w:t>
        <w:br/>
        <w:t xml:space="preserve">   lugares dentro del mismo, tales como sitios  de  asentamiento  periódico,</w:t>
        <w:br/>
        <w:t xml:space="preserve">   pozos,  lagunas,   bosquecillos,   palmares,   espatillares,   zonas   de</w:t>
        <w:br/>
        <w:t xml:space="preserve">   recolección y de pesca, cementerios, etc.[116].</w:t>
        <w:br/>
        <w:br/>
        <w:br/>
        <w:t>101. En el presente caso la Comunidad, desde el  inicio  de  su  proceso  de</w:t>
        <w:br/>
        <w:t xml:space="preserve">   reivindicación de tierras, ha identificado los lugares que  utiliza  como</w:t>
        <w:br/>
        <w:t xml:space="preserve">   referencia de sus tierras tradicionales con nombres en su propia  lengua.</w:t>
        <w:br/>
        <w:t xml:space="preserve">   Es así como en la solicitud original ante el IBR (supra  párr.  67),  los</w:t>
        <w:br/>
        <w:t xml:space="preserve">   líderes de la Comunidad indicaron que  dichas  tierras  deb[í]an  abarcar</w:t>
        <w:br/>
        <w:t xml:space="preserve">   “los sitios Mopae Sensap, Yagkamet Wennaktee, Naktee Sagye y Mosgamala, y</w:t>
        <w:br/>
        <w:t xml:space="preserve">   debía alcanzar hasta Xakmaxapak en el Sur”[117]. Asimismo,  en  el  único</w:t>
        <w:br/>
        <w:t xml:space="preserve">   informe antropológico elaborado a nivel interno se concluyó  que  “dentro</w:t>
        <w:br/>
        <w:t xml:space="preserve">   del  territorio  [en]  reivindica[ción],  los   indígenas   t[enían]   un</w:t>
        <w:br/>
        <w:t xml:space="preserve">   conocimiento profundo de los lugares tradicionales y sus nombres”[118].</w:t>
        <w:br/>
        <w:br/>
        <w:br/>
        <w:t xml:space="preserve">      c)    Estudios técnicos</w:t>
        <w:br/>
        <w:br/>
        <w:br/>
        <w:t>102. Con  respecto  a  los  estudios  técnicos  elaborados  en  relación  al</w:t>
        <w:br/>
        <w:t xml:space="preserve">   carácter tradicional de las  tierras  reclamadas,  en  primer  lugar,  el</w:t>
        <w:br/>
        <w:t xml:space="preserve">   Tribunal observa que, aunque pocos, los documentos y estudios  realizados</w:t>
        <w:br/>
        <w:t xml:space="preserve">   durante el proceso de reivindicación  de  tierras  en  sede  interna  han</w:t>
        <w:br/>
        <w:t xml:space="preserve">   afirmado el  carácter  tradicional  de  las  tierras  reclamadas  por  la</w:t>
        <w:br/>
        <w:t xml:space="preserve">   Comunidad[119]. En segundo lugar, los peritajes de Antonio Spiridinoff  y</w:t>
        <w:br/>
        <w:t xml:space="preserve">   Sergio Iván Braticevic confirman el carácter tradicional de  las  tierras</w:t>
        <w:br/>
        <w:t xml:space="preserve">   reclamadas[120].</w:t>
        <w:br/>
        <w:br/>
        <w:br/>
        <w:t xml:space="preserve">      d)    Idoneidad de las tierras reclamadas</w:t>
        <w:br/>
        <w:br/>
        <w:br/>
        <w:t>103. Por último, en relación a la idoneidad de las  tierras  reclamadas,  el</w:t>
        <w:br/>
        <w:t xml:space="preserve">   informe antropológico elaborado por el Centro de Estudios  Antropológicos</w:t>
        <w:br/>
        <w:t xml:space="preserve">   de la Universidad Católica Nuestra Señora de  la  Asunción  (en  adelante</w:t>
        <w:br/>
        <w:t xml:space="preserve">   “CEADUC”), concluye específicamente que las tierras reclamadas son  aptas</w:t>
        <w:br/>
        <w:t xml:space="preserve">   e idóneas para el desarrollo de la Comunidad[121].</w:t>
        <w:br/>
        <w:br/>
        <w:br/>
        <w:t>104.  Asimismo,  en  su  peritaje,  Antonio  Spiridinoff  observa   que   la</w:t>
        <w:br/>
        <w:t xml:space="preserve">   justificación técnica utilizada  de  base  para  la  declaratoria  de  la</w:t>
        <w:br/>
        <w:t xml:space="preserve">   Reserva Natural privada en la Estancia Salazar, más  allá  de  obviar  la</w:t>
        <w:br/>
        <w:t xml:space="preserve">   reclamación indígena, justifica el potencial de uso  para  una  comunidad</w:t>
        <w:br/>
        <w:t xml:space="preserve">   indígena[122]. A su  vez,  Sergio  Iván  Braticevic  no  niega  la  mayor</w:t>
        <w:br/>
        <w:t xml:space="preserve">   idoneidad de las tierras reivindicadas en comparación con otras posibles.</w:t>
        <w:br/>
        <w:t xml:space="preserve">   De hecho, el perito expresamente sostiene que se  debía  “priorizar  [la]</w:t>
        <w:br/>
        <w:t xml:space="preserve">   porción  de  tierra  [reclamada]”,  y  que  en  caso  de  la  acción   de</w:t>
        <w:br/>
        <w:t xml:space="preserve">   inconstitucionalidad en contra de  la  declaratoria  de  reserva  natural</w:t>
        <w:br/>
        <w:t xml:space="preserve">   privada  no  fuere  favorable  y  “se  agotasen  todas  las  alternativas</w:t>
        <w:br/>
        <w:t xml:space="preserve">   jurídicas”, entonces se debía  recurrir  a  tierras  alternativas  a  las</w:t>
        <w:br/>
        <w:t xml:space="preserve">   reclamadas[123].</w:t>
        <w:br/>
        <w:br/>
        <w:br/>
        <w:t>105.  Igualmente,  el  testigo  Villagra  Carron  explicó  que  las  tierras</w:t>
        <w:br/>
        <w:t xml:space="preserve">   reclamadas fueron las reivindicadas porque “hay un vínculo específico con</w:t>
        <w:br/>
        <w:t xml:space="preserve">   cementerios en esas tierras, porque los  ascendientes  Sanapaná  tuvieron</w:t>
        <w:br/>
        <w:t xml:space="preserve">   varias aldeas en esa zona, y porque esas tierras son las más  aptas  para</w:t>
        <w:br/>
        <w:t xml:space="preserve">   vivir[, ya que] […] entre Xámok Kásek y Mompey  Sensap  existe  la  mayor</w:t>
        <w:br/>
        <w:t xml:space="preserve">   diversidad biológica que permite el sustento para la familia”[124].</w:t>
        <w:br/>
        <w:br/>
        <w:br/>
        <w:t>106. Aunado a lo  anterior,  el  Tribunal  advierte  que  el  Estado  no  ha</w:t>
        <w:br/>
        <w:t xml:space="preserve">   controvertido la alegada idoneidad de las tierras reclamadas. La  defensa</w:t>
        <w:br/>
        <w:t xml:space="preserve">   del Estado se ha limitado a indicar su imposibilidad  de  otorgar  dichas</w:t>
        <w:br/>
        <w:t xml:space="preserve">   tierras a los miembros de la Comunidad –cuestión que se examinará  infra-</w:t>
        <w:br/>
        <w:t xml:space="preserve">   sin negar lo anterior. Igualmente, el Estado se limita a insistir  en  el</w:t>
        <w:br/>
        <w:t xml:space="preserve">   otorgamiento de tierras alternativas sin controvertir lo afirmado por  la</w:t>
        <w:br/>
        <w:t xml:space="preserve">   Comunidad, sus representantes y la Comisión.</w:t>
        <w:br/>
        <w:br/>
        <w:t xml:space="preserve">                                      *</w:t>
        <w:br/>
        <w:t xml:space="preserve">                                   *     *</w:t>
        <w:br/>
        <w:br/>
        <w:t>107. Por lo tanto, la Corte considera  que  en  virtud  de  la  historia  de</w:t>
        <w:br/>
        <w:t xml:space="preserve">   ocupación y  recorrido  del  territorio  por  parte  de  los  miembros  y</w:t>
        <w:br/>
        <w:t xml:space="preserve">   ascendientes de la Comunidad, la toponimia de la zona  otorgada  por  sus</w:t>
        <w:br/>
        <w:t xml:space="preserve">   miembros,  las  conclusiones  de  los  estudios  técnicos  realizados  al</w:t>
        <w:br/>
        <w:t xml:space="preserve">   respecto, así como las consideraciones relativas a la idoneidad de dichas</w:t>
        <w:br/>
        <w:t xml:space="preserve">   tierras dentro del territorio tradicional, la porción de 10.700 hectáreas</w:t>
        <w:br/>
        <w:t xml:space="preserve">   en los alrededores del Retiro  Primero  o  Mompey  Sensap  y  del  Retiro</w:t>
        <w:br/>
        <w:t xml:space="preserve">   Kuñataí o Makha Mompena, reclamadas por la  Comunidad,  son  sus  tierras</w:t>
        <w:br/>
        <w:t xml:space="preserve">   tradicionales y, conforme a esos estudios técnicos, se desprende que  son</w:t>
        <w:br/>
        <w:t xml:space="preserve">   las más aptas para el asentamiento de la misma.</w:t>
        <w:br/>
        <w:br/>
        <w:br/>
        <w:t xml:space="preserve">              2.1.2.   Posesión de las tierras reclamadas  y  su  exigencia</w:t>
        <w:br/>
        <w:t xml:space="preserve">              para el reconocimiento de la propiedad comunitaria</w:t>
        <w:br/>
        <w:br/>
        <w:br/>
        <w:t>108. En relación a la  posesión  de  las  tierras  reclamadas,  la  Comisión</w:t>
        <w:br/>
        <w:t xml:space="preserve">   consideró que el Estado está obligado a reconocer y responder el  reclamo</w:t>
        <w:br/>
        <w:t xml:space="preserve">   de la Comunidad “aún cuando no tengan plena posesión de las mismas  y  se</w:t>
        <w:br/>
        <w:t xml:space="preserve">   encuentren  en  manos  privadas”.  Los  representantes  alegaron  que  la</w:t>
        <w:br/>
        <w:t xml:space="preserve">   Comunidad “ha mantenido una forma de posesión parcial sobre  las  tierras</w:t>
        <w:br/>
        <w:t xml:space="preserve">   que reclaman y los  alrededores  en  cuanto  al  acceso  a  los  recursos</w:t>
        <w:br/>
        <w:t xml:space="preserve">   naturales”. Agregaron que los miembros de la Comunidad  han  desarrollado</w:t>
        <w:br/>
        <w:t xml:space="preserve">   sus actividades tradicionales en  las  tierras  bajo  reclamación  “desde</w:t>
        <w:br/>
        <w:t xml:space="preserve">   antes de la transferencia de las tierras a la empresa Eaton y Cía., hasta</w:t>
        <w:br/>
        <w:t xml:space="preserve">   el comienzo del 2008[,] cuando aquellas actividades les fueron prohibidas</w:t>
        <w:br/>
        <w:t xml:space="preserve">   con el establecimiento  de  la  reserva  [natural]  privada”.  El  Estado</w:t>
        <w:br/>
        <w:t xml:space="preserve">   sostuvo  que  “los  peticionarios  no  tienen  la  propiedad  debidamente</w:t>
        <w:br/>
        <w:t xml:space="preserve">   inscri[ta] en el Registro de  Inmuebles,  ni  la  posesión  del  inmueble</w:t>
        <w:br/>
        <w:t xml:space="preserve">   pretendido”.</w:t>
        <w:br/>
        <w:br/>
        <w:br/>
        <w:t>109.  El  Tribunal  recuerda  su  jurisprudencia  respecto  a  la  propiedad</w:t>
        <w:br/>
        <w:t xml:space="preserve">   comunitaria de las tierras indígenas[125], según la cual: 1) la  posesión</w:t>
        <w:br/>
        <w:t xml:space="preserve">   tradicional de los indígenas sobre sus tierras tiene efectos equivalentes</w:t>
        <w:br/>
        <w:t xml:space="preserve">   al título de pleno dominio que otorga  el  Estado[126];  2)  la  posesión</w:t>
        <w:br/>
        <w:t xml:space="preserve">   tradicional otorga a los indígenas el derecho a exigir el  reconocimiento</w:t>
        <w:br/>
        <w:t xml:space="preserve">   oficial de propiedad y su registro[127]; 3)  el  Estado  debe  delimitar,</w:t>
        <w:br/>
        <w:t xml:space="preserve">   demarcar y otorgar título colectivo de las tierras a los miembros de  las</w:t>
        <w:br/>
        <w:t xml:space="preserve">   comunidades indígenas[128];  4) los miembros de los pueblos indígenas que</w:t>
        <w:br/>
        <w:t xml:space="preserve">   por causas ajenas a su voluntad han salido o perdido la posesión  de  sus</w:t>
        <w:br/>
        <w:t xml:space="preserve">   tierras tradicionales mantienen el derecho de propiedad sobre las mismas,</w:t>
        <w:br/>
        <w:t xml:space="preserve">   aún a falta  de  título  legal,  salvo  cuando  las  tierras  hayan  sido</w:t>
        <w:br/>
        <w:t xml:space="preserve">   legítimamente trasladadas a terceros de buena fe[129], y 5) los  miembros</w:t>
        <w:br/>
        <w:t xml:space="preserve">   de los pueblos indígenas que involuntariamente han perdido la posesión de</w:t>
        <w:br/>
        <w:t xml:space="preserve">   sus tierras, y  éstas  han  sido  trasladadas  legítimamente  a  terceros</w:t>
        <w:br/>
        <w:t xml:space="preserve">   inocentes, tienen el derecho de recuperarlas o a obtener otras tierras de</w:t>
        <w:br/>
        <w:t xml:space="preserve">   igual extensión y calidad[130].</w:t>
        <w:br/>
        <w:br/>
        <w:br/>
        <w:t>110. Adicionalmente, tal como se estableció en los casos de las  comunidades</w:t>
        <w:br/>
        <w:t xml:space="preserve">   indígenas de Yakye Axa y Sawhomaxa, Paraguay reconoce el derecho  de  los</w:t>
        <w:br/>
        <w:t xml:space="preserve">   pueblos indígenas a solicitar la devolución de sus tierras  tradicionales</w:t>
        <w:br/>
        <w:t xml:space="preserve">   perdidas[131], inclusive cuando se encuentren bajo dominio privado  y  no</w:t>
        <w:br/>
        <w:t xml:space="preserve">   tengan plena posesión de las  mismas[132].  En  efecto,  el  Estatuto  de</w:t>
        <w:br/>
        <w:t xml:space="preserve">   Comunidades Indígenas paraguayo consagra el procedimiento a seguirse para</w:t>
        <w:br/>
        <w:t xml:space="preserve">   la reivindicación de  tierras  bajo  dominio  privado[133],  el  cual  es</w:t>
        <w:br/>
        <w:t xml:space="preserve">   precisamente el supuesto del presente caso.</w:t>
        <w:br/>
        <w:br/>
        <w:br/>
        <w:t>111. En este caso, si bien  los  miembros  de  la  Comunidad  no  tienen  la</w:t>
        <w:br/>
        <w:t xml:space="preserve">   posesión de las tierras reclamadas, conforme a la jurisprudencia de  esta</w:t>
        <w:br/>
        <w:t xml:space="preserve">   Corte y al derecho interno paraguayo tienen el derecho de recuperarlas.</w:t>
        <w:br/>
        <w:br/>
        <w:br/>
        <w:t xml:space="preserve">              2.1.3.    Vigencia  del  derecho  a  reclamar   las   tierras</w:t>
        <w:br/>
        <w:t xml:space="preserve">              tradicionales</w:t>
        <w:br/>
        <w:br/>
        <w:br/>
        <w:t>112. Con respecto a la posibilidad de recuperar las  tierras  tradicionales,</w:t>
        <w:br/>
        <w:t xml:space="preserve">   en anteriores oportunidades[134] la Corte  ha  establecido  que  la  base</w:t>
        <w:br/>
        <w:t xml:space="preserve">   espiritual y material  de  la  identidad  de  los  pueblos  indígenas  se</w:t>
        <w:br/>
        <w:t xml:space="preserve">   sustenta  principalmente  en  su   relación   única   con   sus   tierras</w:t>
        <w:br/>
        <w:t xml:space="preserve">   tradicionales, por lo que mientras esa relación exista, el derecho  a  la</w:t>
        <w:br/>
        <w:t xml:space="preserve">   reivindicación de dichas tierras permanecerá vigente.  Si  esta  relación</w:t>
        <w:br/>
        <w:t xml:space="preserve">   hubiera dejado de existir, también se extinguiría ese derecho.</w:t>
        <w:br/>
        <w:br/>
        <w:br/>
        <w:t>113. Para determinar la existencia de la relación de los indígenas  con  sus</w:t>
        <w:br/>
        <w:t xml:space="preserve">   tierras tradicionales,  la  Corte  ha  establecido  que:  i)  ella  puede</w:t>
        <w:br/>
        <w:t xml:space="preserve">   expresarse de distintas maneras según el pueblo indígena del que se trate</w:t>
        <w:br/>
        <w:t xml:space="preserve">   y las circunstancias concretas en que se encuentre, y ii) la relación con</w:t>
        <w:br/>
        <w:t xml:space="preserve">   las tierras debe  ser  posible.  Algunas  formas  de  expresión  de  esta</w:t>
        <w:br/>
        <w:t xml:space="preserve">   relación podrían incluir el uso o  presencia  tradicional,  a  través  de</w:t>
        <w:br/>
        <w:t xml:space="preserve">   lazos espirituales o ceremoniales; asentamientos o cultivos  esporádicos;</w:t>
        <w:br/>
        <w:t xml:space="preserve">   caza, pesca o recolección estacional o nómada; uso de recursos  naturales</w:t>
        <w:br/>
        <w:t xml:space="preserve">   ligados a sus costumbres, y cualquier otro elemento característico de  su</w:t>
        <w:br/>
        <w:t xml:space="preserve">   cultura[135].  El  segundo  elemento  implica  que  los  miembros  de  la</w:t>
        <w:br/>
        <w:t xml:space="preserve">   Comunidad no se vean impedidos,  por  causas  ajenas  a  su  voluntad,  a</w:t>
        <w:br/>
        <w:t xml:space="preserve">   realizar aquellas actividades que revelan la persistencia de la  relación</w:t>
        <w:br/>
        <w:t xml:space="preserve">   con sus tierras tradicionales[136].</w:t>
        <w:br/>
        <w:br/>
        <w:br/>
        <w:t>114. En el presente caso, la Corte observa que la relación de  los  miembros</w:t>
        <w:br/>
        <w:t xml:space="preserve">   de la Comunidad con su territorio tradicional se manifiesta, inter  alia,</w:t>
        <w:br/>
        <w:t xml:space="preserve">   en el desarrollo  de  sus  actividades  tradicionales  dentro  de  dichas</w:t>
        <w:br/>
        <w:t xml:space="preserve">   tierras (supra párrs. 65, 66, 74 y 75). Al respecto, el antropólogo Chase</w:t>
        <w:br/>
        <w:t xml:space="preserve">   Sardi expresó en su informe  elaborado  en  1995,  que  la  misma  seguía</w:t>
        <w:br/>
        <w:t xml:space="preserve">   “ocupando  su  territorio  y  practicando  su  economía  tradicional,  no</w:t>
        <w:br/>
        <w:t xml:space="preserve">   obstante los condicionamientos [que imponía] la propiedad  privada”[137].</w:t>
        <w:br/>
        <w:t xml:space="preserve">   De particular relevancia resulta que  inclusive  ante  las  restricciones</w:t>
        <w:br/>
        <w:t xml:space="preserve">   impuestas a los miembros de la Comunidad, “igual  entrab[an]  a  cazar  a</w:t>
        <w:br/>
        <w:t xml:space="preserve">   escondidas”[138]. Asimismo, algunos miembros de  la  Comunidad  indicaron</w:t>
        <w:br/>
        <w:t xml:space="preserve">   que cuando vivían en la Estancia Salazar, aunque con serias limitaciones,</w:t>
        <w:br/>
        <w:t xml:space="preserve">   todavía se  practicaba  algo  de  medicina  tradicional  y  los  chamanes</w:t>
        <w:br/>
        <w:t xml:space="preserve">   buscaban plantas medicinales en el monte[139], así como enterraban a  sus</w:t>
        <w:br/>
        <w:t xml:space="preserve">   muertos de acuerdo a sus costumbres[140].</w:t>
        <w:br/>
        <w:br/>
        <w:br/>
        <w:t>115. Aunado a lo anterior,  los  miembros  de  la  Comunidad  se  han  visto</w:t>
        <w:br/>
        <w:t xml:space="preserve">   totalmente impedidos, por razones  ajenas  a  su  voluntad,  de  realizar</w:t>
        <w:br/>
        <w:t xml:space="preserve">   actividades tradicionales en las tierras reclamadas desde  principios  de</w:t>
        <w:br/>
        <w:t xml:space="preserve">   2008, debido a la creación de la Reserva Natural  Privada  en  parte  del</w:t>
        <w:br/>
        <w:t xml:space="preserve">   territorio reivindicado (supra párrs. 80 y 82).</w:t>
        <w:br/>
        <w:br/>
        <w:br/>
        <w:t>116. En virtud de las consideraciones anteriores, la  Corte  estima  que  el</w:t>
        <w:br/>
        <w:t xml:space="preserve">   derecho que asiste a  los  miembros  de  la  Comunidad  Xákmok  Kásek  de</w:t>
        <w:br/>
        <w:t xml:space="preserve">   recuperar sus tierras perdidas permanece vigente.</w:t>
        <w:br/>
        <w:br/>
        <w:br/>
        <w:t xml:space="preserve">              2.1.4.   Alegada satisfacción del derecho de los miembros  de</w:t>
        <w:br/>
        <w:t xml:space="preserve">              la  Comunidad  a  su  territorio  tradicional   con   tierras</w:t>
        <w:br/>
        <w:t xml:space="preserve">              alternativas</w:t>
        <w:br/>
        <w:br/>
        <w:br/>
        <w:t>117. El Estado sostuvo que el derecho de los miembros  de  la  Comunidad  se</w:t>
        <w:br/>
        <w:t xml:space="preserve">   podría satisfacer con tierras alternativas a las reclamadas, ya  que  las</w:t>
        <w:br/>
        <w:t xml:space="preserve">   tierras  tradicionales  no  se  limitan  a  las  tierras  reclamadas.  No</w:t>
        <w:br/>
        <w:t xml:space="preserve">   obstante,  el  Estado  no  ha  indicado  cuáles  serían   estas   tierras</w:t>
        <w:br/>
        <w:t xml:space="preserve">   alternativas, de igual extensión y calidad, que  pudieran  satisfacer  el</w:t>
        <w:br/>
        <w:t xml:space="preserve">   reclamo de  la  Comunidad.  Si  bien  aportó  una  lista  de  propiedades</w:t>
        <w:br/>
        <w:t xml:space="preserve">   disponibles en las zonas cercanas al actual asentamiento de la Comunidad,</w:t>
        <w:br/>
        <w:t xml:space="preserve">   no indicó las características o cualidades de  las  mismas  que  pudieran</w:t>
        <w:br/>
        <w:t xml:space="preserve">   satisfacer los requisitos de calidad necesarios para  la  sustentabilidad</w:t>
        <w:br/>
        <w:t xml:space="preserve">   de los Xákmok Kásek[141].</w:t>
        <w:br/>
        <w:br/>
        <w:br/>
        <w:t>118. No basta con  que  existan  otras  propiedades  disponibles.  Tal  como</w:t>
        <w:br/>
        <w:t xml:space="preserve">   indicó el perito presentado  por  el  Estado,  para  el  otorgamiento  de</w:t>
        <w:br/>
        <w:t xml:space="preserve">   tierras alternativas a las reclamadas, éstas deben al menos tener ciertas</w:t>
        <w:br/>
        <w:t xml:space="preserve">   “aptitudes agroecológicas” y ser sometidas a un estudio que determine  su</w:t>
        <w:br/>
        <w:t xml:space="preserve">   potencial de desarrollo por parte de la Comunidad[142].</w:t>
        <w:br/>
        <w:br/>
        <w:br/>
        <w:t>119. En este mismo  sentido,  la  Corte  observa  que  los  miembros  de  la</w:t>
        <w:br/>
        <w:t xml:space="preserve">   Comunidad han rechazado las extensiones de tierras alternativas ofrecidas</w:t>
        <w:br/>
        <w:t xml:space="preserve">   en distintas oportunidades durante el procedimiento interno, precisamente</w:t>
        <w:br/>
        <w:t xml:space="preserve">   porque no cumplían los requisitos  de  calidad  necesarios,  sin  que  el</w:t>
        <w:br/>
        <w:t xml:space="preserve">   Estado en ningún momento refutara este alegato  o  tomara  medida  alguna</w:t>
        <w:br/>
        <w:t xml:space="preserve">   para comprobarlo o negarlo (infra nota 148).</w:t>
        <w:br/>
        <w:br/>
        <w:br/>
        <w:t>120.  Asimismo,  respecto  a  las  1.500  hectáreas  donde  actualmente   se</w:t>
        <w:br/>
        <w:t xml:space="preserve">   encuentra  asentada  la  Comunidad,  el  Tribunal  considera  que   dicha</w:t>
        <w:br/>
        <w:t xml:space="preserve">   extensión de tierra difícilmente puede  considerarse  suficiente  y,  por</w:t>
        <w:br/>
        <w:t xml:space="preserve">   ende, satisfactoria  del  derecho  a  la  propiedad  comunitaria  de  los</w:t>
        <w:br/>
        <w:t xml:space="preserve">   miembros  de  la  misma,  cuando  ni  siquiera  cumple  el  mínimo  legal</w:t>
        <w:br/>
        <w:t xml:space="preserve">   establecido en el Paraguay.  En  efecto,  de  acuerdo  a  la  legislación</w:t>
        <w:br/>
        <w:t xml:space="preserve">   paraguaya, a los miembros de la Comunidad les correspondería un mínimo de</w:t>
        <w:br/>
        <w:t xml:space="preserve">   100 hectáreas por familia[143]. Siendo que la Comunidad  está  conformada</w:t>
        <w:br/>
        <w:t xml:space="preserve">   por 66 familias actualmente (supra párr. 65),  una  superficie  de  1.500</w:t>
        <w:br/>
        <w:t xml:space="preserve">   hectáreas no constituye una extensión suficiente, particularmente  cuando</w:t>
        <w:br/>
        <w:t xml:space="preserve">   existen informes periciales que consideran  que  ni  siquiera  el  mínimo</w:t>
        <w:br/>
        <w:t xml:space="preserve">   legal establecido es suficiente para el desarrollo de las  actividades  y</w:t>
        <w:br/>
        <w:t xml:space="preserve">   formas tradicionales de vida de una comunidad como Xákmok Kásek[144].</w:t>
        <w:br/>
        <w:br/>
        <w:br/>
        <w:t>121. En segundo lugar, aún cuando reconoce que el territorio tradicional  de</w:t>
        <w:br/>
        <w:t xml:space="preserve">   la Comunidad no se limita a las tierras reclamadas, la Corte recuerda que</w:t>
        <w:br/>
        <w:t xml:space="preserve">   dicho territorio tradicional  tampoco  se  extiende  por  todo  el  Chaco</w:t>
        <w:br/>
        <w:t xml:space="preserve">   Central  y  Bajo  Chaco.   Al   respecto,   el   Tribunal   reitera   sus</w:t>
        <w:br/>
        <w:t xml:space="preserve">   consideraciones anteriores (supra párrs. 94 a 107), según las  cuales  la</w:t>
        <w:br/>
        <w:t xml:space="preserve">   extensión reclamada por la Comunidad son sus  tierras  tradicionales  más</w:t>
        <w:br/>
        <w:t xml:space="preserve">   óptimas para el asentamiento y desarrollo de la misma. Por lo  tanto,  el</w:t>
        <w:br/>
        <w:t xml:space="preserve">   Estado debía y debe aún dirigir sus acciones a efectivizar el  derecho  a</w:t>
        <w:br/>
        <w:t xml:space="preserve">   la propiedad de los miembros de la Comunidad sobre dichas tierras.</w:t>
        <w:br/>
        <w:br/>
        <w:br/>
        <w:t xml:space="preserve">           2.2.  Acciones del Estado llevadas a  cabo  para  recuperar  las</w:t>
        <w:br/>
        <w:t xml:space="preserve">           tierras tradicionales</w:t>
        <w:br/>
        <w:br/>
        <w:br/>
        <w:t>122. En virtud de que se ha concluido que las  tierras  reclamadas  son  las</w:t>
        <w:br/>
        <w:t xml:space="preserve">   tierras tradicionales óptimas para el asentamiento de la  Comunidad,  que</w:t>
        <w:br/>
        <w:t xml:space="preserve">   la  posesión  de  las  mismas  no  es  necesaria  y  que  el  derecho  de</w:t>
        <w:br/>
        <w:t xml:space="preserve">   recuperación de dichas tierras tradicionales  se  encuentra  vigente,  el</w:t>
        <w:br/>
        <w:t xml:space="preserve">   Tribunal pasará a examinar las acciones llevadas a  cabo  por  el  Estado</w:t>
        <w:br/>
        <w:t xml:space="preserve">   para garantizar a los miembros de la Comunidad la recuperación  de  estas</w:t>
        <w:br/>
        <w:t xml:space="preserve">   tierras.</w:t>
        <w:br/>
        <w:br/>
        <w:br/>
        <w:t>123.  La  Comisión  alegó  que  “[l]a  ineficacia  de   los   procedimientos</w:t>
        <w:br/>
        <w:t xml:space="preserve">   establecidos en la legislación paraguaya para hacer efectivo  el  derecho</w:t>
        <w:br/>
        <w:t xml:space="preserve">   de propiedad de los pueblos indígenas ha significado concretamente que no</w:t>
        <w:br/>
        <w:t xml:space="preserve">   se garantice por parte del Estado el derecho de propiedad de la Comunidad</w:t>
        <w:br/>
        <w:t xml:space="preserve">   […] a su territorio ancestral”. Asimismo, consideró que  la  inexistencia</w:t>
        <w:br/>
        <w:t xml:space="preserve">   de un recurso efectivo contra las violaciones a los derechos  reconocidos</w:t>
        <w:br/>
        <w:t xml:space="preserve">   por  la  Convención  constituye  en  sí  misma  una  violación   de   las</w:t>
        <w:br/>
        <w:t xml:space="preserve">   obligaciones  contraídas  por  el  Paraguay  en  virtud  de   la   misma.</w:t>
        <w:br/>
        <w:t xml:space="preserve">   Adicionalmente,  señaló   que   “el   retraso   en   el   proce[dimiento]</w:t>
        <w:br/>
        <w:t xml:space="preserve">   administrativo […] se ha producido por las  actuaciones  sistemáticamente</w:t>
        <w:br/>
        <w:t xml:space="preserve">   demoradas y deficientes de las autoridades estatales”. Insistió en que el</w:t>
        <w:br/>
        <w:t xml:space="preserve">   marco jurídico paraguayo, desde el punto de vista procesal y  sustantivo,</w:t>
        <w:br/>
        <w:t xml:space="preserve">   no ha permitido ni permite el debido reconocimiento de los derechos de la</w:t>
        <w:br/>
        <w:t xml:space="preserve">   Comunidad.</w:t>
        <w:br/>
        <w:br/>
        <w:br/>
        <w:t>124. Los representantes sostuvieron que  “el  Estado  no  ha  modificado  el</w:t>
        <w:br/>
        <w:t xml:space="preserve">   mecanismo para la restitución territorial indígena”, a pesar del  mandato</w:t>
        <w:br/>
        <w:t xml:space="preserve">   expreso de la Corte en los casos de las comunidades  indígenas  de  Yakye</w:t>
        <w:br/>
        <w:t xml:space="preserve">   Axa y Sawhoyamaxa, por lo que  “en  este  caso  se  alega  […]  la  misma</w:t>
        <w:br/>
        <w:t xml:space="preserve">   situación jurídica [en contra de] una comunidad indígena distinta”, donde</w:t>
        <w:br/>
        <w:t xml:space="preserve">   la ineficacia del procedimiento establecido en la  legislación  paraguaya</w:t>
        <w:br/>
        <w:t xml:space="preserve">   ha impedido la efectividad del derecho a la propiedad. Resaltaron que “el</w:t>
        <w:br/>
        <w:t xml:space="preserve">   plazo de 20 años que ha operado en el caso sub judice difícilmente  puede</w:t>
        <w:br/>
        <w:t xml:space="preserve">   ser calificado como razonable”.</w:t>
        <w:br/>
        <w:br/>
        <w:br/>
        <w:t>125. El Estado explicó que, a través de sus instancias  administrativas,  ha</w:t>
        <w:br/>
        <w:t xml:space="preserve">   realizado todo lo que está a su alcance para que  la  Comunidad  esté  en</w:t>
        <w:br/>
        <w:t xml:space="preserve">   condiciones de reclamar sus derechos, por lo  que  “[s]ería  injusto  […]</w:t>
        <w:br/>
        <w:t xml:space="preserve">   concluir que el Paraguay ha  violado  los  derechos  a  la  protección  o</w:t>
        <w:br/>
        <w:t xml:space="preserve">   garantías  judiciales,  desde  una  perspectiva  interpretativa  amplia”.</w:t>
        <w:br/>
        <w:t xml:space="preserve">   Manifestó que ha llevado a cabo acciones concretas como  otorgar  títulos</w:t>
        <w:br/>
        <w:t xml:space="preserve">   de propiedad a una diversidad de comunidades indígenas.  Según  Paraguay,</w:t>
        <w:br/>
        <w:t xml:space="preserve">   esto demuestra que “el sistema de protección de  los  derechos  indígenas</w:t>
        <w:br/>
        <w:t xml:space="preserve">   tal como está establecido en  la  legislación  vigente  es  perfectamente</w:t>
        <w:br/>
        <w:t xml:space="preserve">   compatible con la Convención[; ya que] siempre que  haya  consenso  entre</w:t>
        <w:br/>
        <w:t xml:space="preserve">   indígenas, propietarios y Estado, es perfectamente posible la solución de</w:t>
        <w:br/>
        <w:t xml:space="preserve">   los problemas de falta  de  acceso  a  la  propiedad  comunitaria  de  la</w:t>
        <w:br/>
        <w:t xml:space="preserve">   tierra”.</w:t>
        <w:br/>
        <w:br/>
        <w:br/>
        <w:t>126. En razón de los alegatos expuestos, la Corte procederá  a  analizar  la</w:t>
        <w:br/>
        <w:t xml:space="preserve">   debida diligencia, el  plazo  razonable  y  la  efectividad  del  trámite</w:t>
        <w:br/>
        <w:t xml:space="preserve">   administrativo de reivindicación de tierras tradicionales indígenas.</w:t>
        <w:br/>
        <w:br/>
        <w:br/>
        <w:t xml:space="preserve">              2.2.1.   Debida diligencia en el trámite administrativo</w:t>
        <w:br/>
        <w:br/>
        <w:br/>
        <w:t>127. La Corte observa que a  lo  largo  de  la  duración  del  procedimiento</w:t>
        <w:br/>
        <w:t xml:space="preserve">   administrativo iniciado en 1990 no se realizaron mayores diligencias.  En</w:t>
        <w:br/>
        <w:t xml:space="preserve">   el curso de más de 17 años que ha durado dicho  procedimiento,  desde  el</w:t>
        <w:br/>
        <w:t xml:space="preserve">   reconocimiento de la competencia de la  Corte,  se  solicitó  un  estudio</w:t>
        <w:br/>
        <w:t xml:space="preserve">   antropológico[145], se realizaron algunas reuniones para intentar  llegar</w:t>
        <w:br/>
        <w:t xml:space="preserve">   a un acuerdo entre las partes  y  se  intercambiaron  ofertas  entre  los</w:t>
        <w:br/>
        <w:t xml:space="preserve">   propietarios privados y los miembros de la Comunidad en  al  menos  cinco</w:t>
        <w:br/>
        <w:t xml:space="preserve">   oportunidades[146]. Antes del reconocimiento  de  la  competencia  de  la</w:t>
        <w:br/>
        <w:t xml:space="preserve">   Corte se realizaron dos inspecciones oculares[147].</w:t>
        <w:br/>
        <w:br/>
        <w:br/>
        <w:t>128.  Las  pocas  diligencias  realizadas  por  el  Estado  se  iniciaron  a</w:t>
        <w:br/>
        <w:t xml:space="preserve">   instancia  de  los  miembros  de  la  Comunidad  o  por  proposición  del</w:t>
        <w:br/>
        <w:t xml:space="preserve">   propietario privado. Sin embargo, ninguna de ellas fue determinante en la</w:t>
        <w:br/>
        <w:t xml:space="preserve">   obtención de una solución definitiva a la reclamación  planteada  por  la</w:t>
        <w:br/>
        <w:t xml:space="preserve">   Comunidad. Además, ante el reclamo de la Comunidad  de  que  las  tierras</w:t>
        <w:br/>
        <w:t xml:space="preserve">   ofrecidas en forma alternativa a sus tierras tradicionales no eran  aptas</w:t>
        <w:br/>
        <w:t xml:space="preserve">   para  su  asentamiento[148],  ni  el  IBR  ni  el  INDI  solicitaron   la</w:t>
        <w:br/>
        <w:t xml:space="preserve">   realización de estudios técnicos que comprobaran o negaran  lo  anterior;</w:t>
        <w:br/>
        <w:t xml:space="preserve">   más aún cuando dichas instituciones estatales están legalmente  obligadas</w:t>
        <w:br/>
        <w:t xml:space="preserve">   a proveer “tierras aptas y por lo menos  de  igual  calidad”  a  las  que</w:t>
        <w:br/>
        <w:t xml:space="preserve">   ocupaban los miembros de la Comunidad[149].</w:t>
        <w:br/>
        <w:br/>
        <w:br/>
        <w:t>129.  Adicionalmente,  el  Tribunal  toma  nota  de   largos   períodos   de</w:t>
        <w:br/>
        <w:t xml:space="preserve">   inactividad en el expediente. Desde que fue transmitido al INDI en  junio</w:t>
        <w:br/>
        <w:t xml:space="preserve">   de 1994, no consta en el mismo ninguna actuación de  dicho  organismo  en</w:t>
        <w:br/>
        <w:t xml:space="preserve">   pro de la solución del proceso sino  hasta  julio  de  1995,  cuando  los</w:t>
        <w:br/>
        <w:t xml:space="preserve">   representantes de la Comunidad solicitaron  información  respecto  a  las</w:t>
        <w:br/>
        <w:t xml:space="preserve">   gestiones realizadas[150]. Igualmente, después de una reunión  entre  las</w:t>
        <w:br/>
        <w:t xml:space="preserve">   partes en febrero de 1996, convocada por iniciativa de los miembros de la</w:t>
        <w:br/>
        <w:t xml:space="preserve">   Comunidad,  no  hubo  nuevas  actuaciones  sino  hasta  1998  cuando   el</w:t>
        <w:br/>
        <w:t xml:space="preserve">   propietario privado ofreció las tierras reclamadas[151], pero ello no fue</w:t>
        <w:br/>
        <w:t xml:space="preserve">   aceptado por el Estado. Luego en un espacio de 6 años, entre el 2000 y el</w:t>
        <w:br/>
        <w:t xml:space="preserve">   2006, las únicas actuaciones  que  constan  son  ofertas  realizadas  por</w:t>
        <w:br/>
        <w:t xml:space="preserve">   propietarios privados a las autoridades  estatales[152].  Más  grave  aún</w:t>
        <w:br/>
        <w:t xml:space="preserve">   resulta que el  expediente  administrativo  tuvo  que  ser  reconstituido</w:t>
        <w:br/>
        <w:t xml:space="preserve">   porque se habían extraviado los documentos[153].</w:t>
        <w:br/>
        <w:br/>
        <w:br/>
        <w:t>130. Por último, el Tribunal observa que en junio de 1994  el  IBR  solicitó</w:t>
        <w:br/>
        <w:t xml:space="preserve">   al INDI que se pronunciare sobre la solicitud de  expropiación  planteada</w:t>
        <w:br/>
        <w:t xml:space="preserve">   por  la  Comunidad,  por  considerar  que  se  había   agotado   la   vía</w:t>
        <w:br/>
        <w:t xml:space="preserve">   administrativa. Sin embargo, no consta en el expediente que el INDI  haya</w:t>
        <w:br/>
        <w:t xml:space="preserve">   dado respuesta a dicha solicitud. Por el contrario,  las  actuaciones  de</w:t>
        <w:br/>
        <w:t xml:space="preserve">   este organismo revelan que se buscó continuar por la vía  administrativa,</w:t>
        <w:br/>
        <w:t xml:space="preserve">   lo cual fue  confirmado  por  el  entonces  Presidente  del  INDI,  quien</w:t>
        <w:br/>
        <w:t xml:space="preserve">   manifestó que “[l]as gestiones de [esa] Presidencia se ha[bían]  dirigido</w:t>
        <w:br/>
        <w:t xml:space="preserve">   a intentar una vez más […] concluir la presente causa administrativa  por</w:t>
        <w:br/>
        <w:t xml:space="preserve">   vía de la negociación”[154].</w:t>
        <w:br/>
        <w:br/>
        <w:br/>
        <w:t>131. En virtud de todas las consideraciones precedentes, la Corte  considera</w:t>
        <w:br/>
        <w:t xml:space="preserve">   que el  procedimiento  de  reivindicación  de  tierras  iniciado  por  la</w:t>
        <w:br/>
        <w:t xml:space="preserve">   Comunidad no se llevó a cabo con la diligencia debida.  En  consecuencia,</w:t>
        <w:br/>
        <w:t xml:space="preserve">   el Tribunal concluye que la actuación de las autoridades estatales no  ha</w:t>
        <w:br/>
        <w:t xml:space="preserve">   sido compatible con estándares de diligencia consagrados en los artículos</w:t>
        <w:br/>
        <w:t xml:space="preserve">   8.1 y 25.1 de la Convención Americana.</w:t>
        <w:br/>
        <w:br/>
        <w:br/>
        <w:t xml:space="preserve">              2.2.2.   Principio de plazo  razonable  en  el  procedimiento</w:t>
        <w:br/>
        <w:t xml:space="preserve">              administrativo</w:t>
        <w:br/>
        <w:br/>
        <w:br/>
        <w:t>132. Tanto la Comisión como los representantes alegaron que la duración  del</w:t>
        <w:br/>
        <w:t xml:space="preserve">   procedimiento de reivindicación de tierras violaba el principio del plazo</w:t>
        <w:br/>
        <w:t xml:space="preserve">   razonable. El Estado no se refirió a este alegato.</w:t>
        <w:br/>
        <w:br/>
        <w:br/>
        <w:t>133. El artículo 8.1 de la Convención establece como uno  de  los  elementos</w:t>
        <w:br/>
        <w:t xml:space="preserve">   del debido proceso que aquellos procedimientos que se desarrollen para la</w:t>
        <w:br/>
        <w:t xml:space="preserve">   determinación de los derechos de las personas en el orden civil, laboral,</w:t>
        <w:br/>
        <w:t xml:space="preserve">   fiscal o  de  cualquier  carácter,  deben  hacerlo  dentro  de  un  plazo</w:t>
        <w:br/>
        <w:t xml:space="preserve">   razonable. La Corte ha considerado cuatro elementos  para  determinar  la</w:t>
        <w:br/>
        <w:t xml:space="preserve">   razonabilidad del plazo: i) complejidad del asunto, ii) conducta  de  las</w:t>
        <w:br/>
        <w:t xml:space="preserve">   autoridades, iii) actividad procesal del interesado[155] y iv) afectación</w:t>
        <w:br/>
        <w:t xml:space="preserve">   generada en la  situación  jurídica  de  la  persona  involucrada  en  el</w:t>
        <w:br/>
        <w:t xml:space="preserve">   proceso[156].</w:t>
        <w:br/>
        <w:br/>
        <w:br/>
        <w:t>134. Con respecto al primer elemento, la Corte reconoce, como  lo  ha  hecho</w:t>
        <w:br/>
        <w:t xml:space="preserve">   en anteriores oportunidades en relación con  este  recurso[157],  que  el</w:t>
        <w:br/>
        <w:t xml:space="preserve">   asunto en este caso es complejo. Sin embargo, advierte que las demoras en</w:t>
        <w:br/>
        <w:t xml:space="preserve">   el proceso administrativo no se produjeron por la complejidad  del  caso,</w:t>
        <w:br/>
        <w:t xml:space="preserve">   sino por la actuación deficiente y demorada de las autoridades  estatales</w:t>
        <w:br/>
        <w:t xml:space="preserve">   (segundo elemento). Como se expuso anteriormente,  la  actuación  de  los</w:t>
        <w:br/>
        <w:t xml:space="preserve">   órganos del Estado encargados  de  la  resolución  de  la  reivindicación</w:t>
        <w:br/>
        <w:t xml:space="preserve">   territorial de la Comunidad se caracterizó durante todo el  procedimiento</w:t>
        <w:br/>
        <w:t xml:space="preserve">   administrativo por la pasividad, inactividad, poca diligencia y falta  de</w:t>
        <w:br/>
        <w:t xml:space="preserve">   respuesta de las autoridades estatales.</w:t>
        <w:br/>
        <w:br/>
        <w:br/>
        <w:t>135.  En  relación  con  el  tercer  elemento,  la  actividad  procesal  del</w:t>
        <w:br/>
        <w:t xml:space="preserve">   interesado, la Corte observa que lejos de entorpecer la  tramitación  del</w:t>
        <w:br/>
        <w:t xml:space="preserve">   recurso, muchas de las actuaciones en el proceso se iniciaron a instancia</w:t>
        <w:br/>
        <w:t xml:space="preserve">   de la Comunidad.</w:t>
        <w:br/>
        <w:br/>
        <w:br/>
        <w:t>136. En cuanto al cuarto elemento,  para  determinar  la  razonabilidad  del</w:t>
        <w:br/>
        <w:t xml:space="preserve">   plazo se debe tomar en cuenta la afectación generada por la duración  del</w:t>
        <w:br/>
        <w:t xml:space="preserve">   procedimiento en la situación jurídica de la persona  involucrada  en  el</w:t>
        <w:br/>
        <w:t xml:space="preserve">   mismo,  considerando,  entre  otros  elementos,  la  materia  objeto   de</w:t>
        <w:br/>
        <w:t xml:space="preserve">   controversia. El Tribunal ha establecido que si el paso del tiempo incide</w:t>
        <w:br/>
        <w:t xml:space="preserve">   de manera relevante en la situación  jurídica  del  individuo,  resultará</w:t>
        <w:br/>
        <w:t xml:space="preserve">   necesario que el procedimiento avance con mayor diligencia a fin  de  que</w:t>
        <w:br/>
        <w:t xml:space="preserve">   el caso se resuelva en un tiempo  breve[158].  En  el  presente  caso  la</w:t>
        <w:br/>
        <w:t xml:space="preserve">   demora en la obtención de una  solución  definitiva  al  problema  de  la</w:t>
        <w:br/>
        <w:t xml:space="preserve">   tierra de los miembros de la Comunidad ha  incidido  directamente  en  su</w:t>
        <w:br/>
        <w:t xml:space="preserve">   estado de vida. Esta situación es analizada en profundidad en el Capítulo</w:t>
        <w:br/>
        <w:t xml:space="preserve">   VII infra.</w:t>
        <w:br/>
        <w:br/>
        <w:br/>
        <w:t>137. Adicionalmente, la Corte recuerda que en los casos de  las  comunidades</w:t>
        <w:br/>
        <w:t xml:space="preserve">   indígenas de Yakye Axa y Sawhoyamaxa,  ambos  contra  el  Paraguay,  este</w:t>
        <w:br/>
        <w:t xml:space="preserve">   Tribunal consideró que los plazos de más  de  11  años  y  13  años  que,</w:t>
        <w:br/>
        <w:t xml:space="preserve">   respectivamente, duraron los procedimientos de reivindicación de tierras,</w:t>
        <w:br/>
        <w:t xml:space="preserve">   no eran compatibles con el principio del  plazo  razonable[159].  Por  lo</w:t>
        <w:br/>
        <w:t xml:space="preserve">   tanto, el plazo de más de 17 años que ha  operado  en  el  presente  caso</w:t>
        <w:br/>
        <w:t xml:space="preserve">   (supra párr. 127) no puede sino llevar a semejante conclusión.</w:t>
        <w:br/>
        <w:br/>
        <w:br/>
        <w:t>138.  Consecuentemente,  el  Tribunal   concluye   que   la   duración   del</w:t>
        <w:br/>
        <w:t xml:space="preserve">   procedimiento administrativo no es compatible con el principio del  plazo</w:t>
        <w:br/>
        <w:t xml:space="preserve">   razonable establecido en el artículo 8.1 de la Convención Americana.</w:t>
        <w:br/>
        <w:br/>
        <w:br/>
        <w:t xml:space="preserve">              2.2.3.     Efectividad   del   recurso   administrativo    de</w:t>
        <w:br/>
        <w:t xml:space="preserve">              reivindicación de tierras indígenas</w:t>
        <w:br/>
        <w:br/>
        <w:br/>
        <w:t>139. El artículo 25.1 de  la  Convención  contempla  la  obligación  de  los</w:t>
        <w:br/>
        <w:t xml:space="preserve">   Estados Partes de garantizar, a todas las personas bajo su  jurisdicción,</w:t>
        <w:br/>
        <w:t xml:space="preserve">   un recurso judicial efectivo contra actos  violatorios  de  sus  derechos</w:t>
        <w:br/>
        <w:t xml:space="preserve">   fundamentales[160]. La existencia de esta garantía “constituye uno de los</w:t>
        <w:br/>
        <w:t xml:space="preserve">   pilares básicos, no sólo de la  Convención  Americana,  sino  del  propio</w:t>
        <w:br/>
        <w:t xml:space="preserve">   Estado de Derecho en una sociedad  democrática”[161].  Lo  contrario,  es</w:t>
        <w:br/>
        <w:t xml:space="preserve">   decir, la inexistencia de tales recursos efectivos, coloca a una  persona</w:t>
        <w:br/>
        <w:t xml:space="preserve">   en estado de indefensión[162].</w:t>
        <w:br/>
        <w:br/>
        <w:br/>
        <w:t>140.  Para que el Estado cumpla  lo  dispuesto  en  el  artículo  25  de  la</w:t>
        <w:br/>
        <w:t xml:space="preserve">   Convención no basta con que los recursos existan formalmente, sino que es</w:t>
        <w:br/>
        <w:t xml:space="preserve">   preciso que tengan efectividad en los términos  de  aquel  precepto[163].</w:t>
        <w:br/>
        <w:t xml:space="preserve">   Dicha efectividad supone que, además  de  la  existencia  formal  de  los</w:t>
        <w:br/>
        <w:t xml:space="preserve">   recursos, éstos den resultados o respuestas a las violaciones de derechos</w:t>
        <w:br/>
        <w:t xml:space="preserve">   reconocidos, ya sea en la Convención, la Constitución o la  ley[164].  El</w:t>
        <w:br/>
        <w:t xml:space="preserve">   Tribunal ha reiterado que dicha obligación implica  que  el  recurso  sea</w:t>
        <w:br/>
        <w:t xml:space="preserve">   idóneo para combatir la violación y que sea efectiva su aplicación por la</w:t>
        <w:br/>
        <w:t xml:space="preserve">   autoridad  competente[165].  En  ese  sentido,  no  pueden   considerarse</w:t>
        <w:br/>
        <w:t xml:space="preserve">   efectivos aquellos recursos que, por las condiciones generales del país o</w:t>
        <w:br/>
        <w:t xml:space="preserve">   incluso por las circunstancias particulares de  un  caso  dado,  resulten</w:t>
        <w:br/>
        <w:t xml:space="preserve">   ilusorios[166].</w:t>
        <w:br/>
        <w:br/>
        <w:br/>
        <w:t>141.   Adicionalmente,  el  artículo  25  de  la  Convención  se   encuentra</w:t>
        <w:br/>
        <w:t xml:space="preserve">   íntimamente ligado con  las  obligaciones  generales  contenidas  en  los</w:t>
        <w:br/>
        <w:t xml:space="preserve">   artículos 1.1 y  2  de  la  misma,  las  cuales  atribuyen  funciones  de</w:t>
        <w:br/>
        <w:t xml:space="preserve">   protección al derecho interno de  los  Estados  Partes,  de  lo  cual  se</w:t>
        <w:br/>
        <w:t xml:space="preserve">   desprende que el Estado tiene la responsabilidad de diseñar  y  consagrar</w:t>
        <w:br/>
        <w:t xml:space="preserve">   normativamente un recurso eficaz, así  como  la  de  asegurar  la  debida</w:t>
        <w:br/>
        <w:t xml:space="preserve">   aplicación de dicho recurso por parte de sus autoridades judiciales[167].</w:t>
        <w:br/>
        <w:t xml:space="preserve">   En ese sentido, en los términos del artículo  25  de  la  Convención,  la</w:t>
        <w:br/>
        <w:t xml:space="preserve">   normativa  interna  debe  asegurar  la  debida  aplicación  de   recursos</w:t>
        <w:br/>
        <w:t xml:space="preserve">   efectivos ante las autoridades competentes con el propósito de amparar  a</w:t>
        <w:br/>
        <w:t xml:space="preserve">   todas las personas bajo su  jurisdicción  contra  actos  que  violen  sus</w:t>
        <w:br/>
        <w:t xml:space="preserve">   derechos fundamentales o que conlleven a la determinación de los derechos</w:t>
        <w:br/>
        <w:t xml:space="preserve">   y obligaciones de éstas[168].</w:t>
        <w:br/>
        <w:br/>
        <w:br/>
        <w:t>142.  En lo que respecta a pueblos indígenas, el Tribunal ha  sostenido  que</w:t>
        <w:br/>
        <w:t xml:space="preserve">   para garantizar el derecho de sus miembros a la propiedad comunitaria los</w:t>
        <w:br/>
        <w:t xml:space="preserve">   Estados deben establecer “un recurso efectivo con las garantías de debido</w:t>
        <w:br/>
        <w:t xml:space="preserve">   proceso […] que les permita reivindicar sus tierras tradicionales”[169].</w:t>
        <w:br/>
        <w:br/>
        <w:br/>
        <w:t>143.   La  Corte  observa  que  el  derecho  de  reivindicación  de  tierras</w:t>
        <w:br/>
        <w:t xml:space="preserve">   comunitarias indígenas en Paraguay está garantizado normativamente por la</w:t>
        <w:br/>
        <w:t xml:space="preserve">   Constitución  de  la  República[170].  El  recurso  específico  para   la</w:t>
        <w:br/>
        <w:t xml:space="preserve">   reivindicación de dichas tierras se encuentra regulado principalmente por</w:t>
        <w:br/>
        <w:t xml:space="preserve">   la Ley No. 904/81 que establece el Estatuto de las Comunidades Indígenas.</w:t>
        <w:br/>
        <w:t xml:space="preserve">   En el caso concreto de la Comunidad Xákmok Kásek, las  normas  aplicables</w:t>
        <w:br/>
        <w:t xml:space="preserve">   son aquellas  relativas  al  asentamiento  de  comunidades  indígenas  en</w:t>
        <w:br/>
        <w:t xml:space="preserve">   tierras de dominio privado[171].</w:t>
        <w:br/>
        <w:br/>
        <w:br/>
        <w:t>144.  La Corte recuerda que, en los casos de las  comunidades  indígenas  de</w:t>
        <w:br/>
        <w:t xml:space="preserve">   Yakye Axa y Sawhoyamaxa, consideró que  el  procedimiento  administrativo</w:t>
        <w:br/>
        <w:t xml:space="preserve">   interno   para   la   reivindicación   de   tierras   tradicionales   era</w:t>
        <w:br/>
        <w:t xml:space="preserve">   inefectivo[172], por cuanto no ofrecía la posibilidad  real  de  que  los</w:t>
        <w:br/>
        <w:t xml:space="preserve">   miembros  de  las   comunidades   indígenas   recuperaran   sus   tierras</w:t>
        <w:br/>
        <w:t xml:space="preserve">   tradicionales si éstas se encontraban bajo dominio privado.</w:t>
        <w:br/>
        <w:br/>
        <w:br/>
        <w:t>145.   En virtud de que en el presente caso se trata del mismo  recurso,  ya</w:t>
        <w:br/>
        <w:t xml:space="preserve">   que el  Estado  no  ha  modificado  su  legislación  ni  su  práctica  al</w:t>
        <w:br/>
        <w:t xml:space="preserve">   respecto[173], el Tribunal reitera su jurisprudencia en relación a que el</w:t>
        <w:br/>
        <w:t xml:space="preserve">   procedimiento  administrativo  bajo  estudio  presenta   los   siguientes</w:t>
        <w:br/>
        <w:t xml:space="preserve">   problemas estructurales,  que  impiden  que  el  mismo  pueda  convidarse</w:t>
        <w:br/>
        <w:t xml:space="preserve">   efectivo:  a)  restricción  en  las  facultades   de   expropiación;   b)</w:t>
        <w:br/>
        <w:t xml:space="preserve">   sometimiento del procedimiento  administrativo  a  la  existencia  de  un</w:t>
        <w:br/>
        <w:t xml:space="preserve">   acuerdo de voluntad entre  las  partes,  y  c)  ausencia  de  diligencias</w:t>
        <w:br/>
        <w:t xml:space="preserve">   técnico-científicas tendientes a encontrar una  solución  definitiva  del</w:t>
        <w:br/>
        <w:t xml:space="preserve">   problema.</w:t>
        <w:br/>
        <w:br/>
        <w:br/>
        <w:t xml:space="preserve">      a)    Restricción en las facultades de expropiación</w:t>
        <w:br/>
        <w:br/>
        <w:br/>
        <w:t>146.   En  primer  lugar,  la  remisión  al  Estatuto  Agrario  limita   las</w:t>
        <w:br/>
        <w:t xml:space="preserve">   posibilidades de que se expropien tierras reivindicadas  por  comunidades</w:t>
        <w:br/>
        <w:t xml:space="preserve">   indígenas a aquellos casos de tierras no  explotadas  racionalmente[174],</w:t>
        <w:br/>
        <w:t xml:space="preserve">   sin entrar a considerar aspectos propios de los pueblos  indígenas,  como</w:t>
        <w:br/>
        <w:t xml:space="preserve">   la significación especial que las tierras tienen  para  éstos[175].  Como</w:t>
        <w:br/>
        <w:t xml:space="preserve">   bien señaló el testigo Rodrigo Villagra Carron “después de  100  años  de</w:t>
        <w:br/>
        <w:t xml:space="preserve">   colonización, esas tierras de algún modo  van  a  estar  explotadas”.  El</w:t>
        <w:br/>
        <w:t xml:space="preserve">   Tribunal recuerda que el argumento bajo el cual los indígenas no  pueden,</w:t>
        <w:br/>
        <w:t xml:space="preserve">   bajo ninguna circunstancia, reclamar  sus  tierras  tradicionales  cuando</w:t>
        <w:br/>
        <w:t xml:space="preserve">   éstas se encuentren explotadas y en plena productividad, mira la cuestión</w:t>
        <w:br/>
        <w:t xml:space="preserve">   indígena exclusivamente a través de la productividad de la tierra  y  del</w:t>
        <w:br/>
        <w:t xml:space="preserve">   régimen agrario, lo que resulta insuficiente a las peculiaridades propias</w:t>
        <w:br/>
        <w:t xml:space="preserve">   de dichos pueblos[176].</w:t>
        <w:br/>
        <w:br/>
        <w:br/>
        <w:t>147. Pese a que lo expuesto en el párrafo anterior  ya  fue  establecido  en</w:t>
        <w:br/>
        <w:t xml:space="preserve">   casos anteriores contra el Paraguay, en este caso  el  Estado  nuevamente</w:t>
        <w:br/>
        <w:t xml:space="preserve">   argumentó que “no ha  podido  satisfacer  plenamente”  el  derecho  a  la</w:t>
        <w:br/>
        <w:t xml:space="preserve">   propiedad  comunitaria  porque  las  tierras  reclamadas   pertenecen   a</w:t>
        <w:br/>
        <w:t xml:space="preserve">   propietarios privados, y se encuentran racionalmente explotadas,  por  lo</w:t>
        <w:br/>
        <w:t xml:space="preserve">   que se ve impedido de hacer efectivo el derecho a  la  propiedad  de  los</w:t>
        <w:br/>
        <w:t xml:space="preserve">   miembros de la Comunidad.</w:t>
        <w:br/>
        <w:br/>
        <w:br/>
        <w:t>148.  Al  respecto,  la  Comisión  Interamericana  alegó  que   la   aludida</w:t>
        <w:br/>
        <w:t xml:space="preserve">   imposibilidad fáctica y jurídica que el Estado invoca en su defensa no es</w:t>
        <w:br/>
        <w:t xml:space="preserve">   un  argumento  que   le   permita   liberarse   de   su   responsabilidad</w:t>
        <w:br/>
        <w:t xml:space="preserve">   internacional.   Los   representantes   agregaron   que   “[l]a    visión</w:t>
        <w:br/>
        <w:t xml:space="preserve">   mercantilista del valor de las tierras, que es entendida únicamente  como</w:t>
        <w:br/>
        <w:t xml:space="preserve">   medio de producción para generar ‘riquezas’, es inadmisible e inaplicable</w:t>
        <w:br/>
        <w:t xml:space="preserve">   cuando se aborda la cuestión indígena, pues supone una visión limitada de</w:t>
        <w:br/>
        <w:t xml:space="preserve">   la realidad, al no contemplar [la] posibilidad de una concepción distinta</w:t>
        <w:br/>
        <w:t xml:space="preserve">   a nuestra manera ‘occidental’ de ver  las  cosas  del  derecho  indígena;</w:t>
        <w:br/>
        <w:t xml:space="preserve">   sostener que sólo existe una forma de usar  y  disponer  de  los  bienes,</w:t>
        <w:br/>
        <w:t xml:space="preserve">   significaría hacer ilusoria la definición de que el Paraguay es un Estado</w:t>
        <w:br/>
        <w:t xml:space="preserve">   pluricultural y multiétnico, echando por tierra los derechos de miles  de</w:t>
        <w:br/>
        <w:t xml:space="preserve">   personas que habitan el Paraguay y l[o] enriquecen con su diversidad”.</w:t>
        <w:br/>
        <w:br/>
        <w:br/>
        <w:t>149. La Corte reitera nuevamente que ante tierras explotadas  y  productivas</w:t>
        <w:br/>
        <w:t xml:space="preserve">   es responsabilidad  del  Estado,  a  través  de  los  órganos  nacionales</w:t>
        <w:br/>
        <w:t xml:space="preserve">   competentes, determinar y tener en cuenta la  especial  relación  de  los</w:t>
        <w:br/>
        <w:t xml:space="preserve">   miembros de la comunidad indígena reclamante con dicha tierra, al momento</w:t>
        <w:br/>
        <w:t xml:space="preserve">   de  decidir  entre  ambos  derechos.  De  lo  contrario,  el  derecho  de</w:t>
        <w:br/>
        <w:t xml:space="preserve">   reivindicación carecería de sentido y no ofrecería una  posibilidad  real</w:t>
        <w:br/>
        <w:t xml:space="preserve">   de  recuperar  las  tierras  tradicionales.  Limitar  de  esta  forma  la</w:t>
        <w:br/>
        <w:t xml:space="preserve">   realización efectiva del derecho a la propiedad de los  miembros  de  las</w:t>
        <w:br/>
        <w:t xml:space="preserve">   comunidades indígenas no sólo viola las obligaciones del Estado derivadas</w:t>
        <w:br/>
        <w:t xml:space="preserve">   de  las  disposiciones  de  la  Convención  relativas  al  derecho  a  la</w:t>
        <w:br/>
        <w:t xml:space="preserve">   propiedad, sino que también compromete la responsabilidad del  Estado  en</w:t>
        <w:br/>
        <w:t xml:space="preserve">   relación a la garantía de un  recurso  efectivo  y  constituye  un  trato</w:t>
        <w:br/>
        <w:t xml:space="preserve">   discriminatorio que produce exclusión social.</w:t>
        <w:br/>
        <w:br/>
        <w:br/>
        <w:t>150. Adicionalmente, llama la atención a este Tribunal que  la  expropiación</w:t>
        <w:br/>
        <w:t xml:space="preserve">   de  las  tierras  reivindicadas  hubiese  sido  denegada  arguyéndose  la</w:t>
        <w:br/>
        <w:t xml:space="preserve">   explotación racional de las mismas  y  la  supuesta  afectación  para  la</w:t>
        <w:br/>
        <w:t xml:space="preserve">   unidad productiva de la empresa (supra párrs. 71 y 72), cuando de  10.700</w:t>
        <w:br/>
        <w:t xml:space="preserve">   hectáreas reclamadas, aproximadamente un total de 7.468 hectáreas  fueron</w:t>
        <w:br/>
        <w:t xml:space="preserve">   extraídas de la mencionada unidad productiva, ya sea porque se  vendieron</w:t>
        <w:br/>
        <w:t xml:space="preserve">   a otro propietario (supra párr. 69) o porque  se  encuentran  dentro  del</w:t>
        <w:br/>
        <w:t xml:space="preserve">   área declarada reserva natural privada que establece serias restricciones</w:t>
        <w:br/>
        <w:t xml:space="preserve">   a su explotación (supra párrs. 80 y 82).</w:t>
        <w:br/>
        <w:br/>
        <w:br/>
        <w:t xml:space="preserve">      b)    Sometimiento del procedimiento administrativo a la existencia de</w:t>
        <w:br/>
        <w:t xml:space="preserve">      un acuerdo entre las partes</w:t>
        <w:br/>
        <w:br/>
        <w:br/>
        <w:t>151. Por otro lado, en lugar  de  preverse  la  emisión  de  una  valoración</w:t>
        <w:br/>
        <w:t xml:space="preserve">   judicial o administrativa que dirima la controversia, que  siempre  va  a</w:t>
        <w:br/>
        <w:t xml:space="preserve">   existir  tratándose  de  tierras  tradicionales  indígenas  bajo  dominio</w:t>
        <w:br/>
        <w:t xml:space="preserve">   privado, se condiciona la solución a un acuerdo de voluntades  entre  las</w:t>
        <w:br/>
        <w:t xml:space="preserve">   partes. El INDI únicamente está facultado para negociar la compra directa</w:t>
        <w:br/>
        <w:t xml:space="preserve">   de  las  tierras  con  el  propietario  privado  o   para   negociar   el</w:t>
        <w:br/>
        <w:t xml:space="preserve">   reasentamiento  de  los  miembros  de  las  comunidades  indígenas.  Como</w:t>
        <w:br/>
        <w:t xml:space="preserve">   expresamente  explicó  el  Estado,  “siempre  que  haya  consenso   entre</w:t>
        <w:br/>
        <w:t xml:space="preserve">   indígenas, propietarios y Estado, es perfectamente posible la solución de</w:t>
        <w:br/>
        <w:t xml:space="preserve">   los problemas de falta  de  acceso  a  la  propiedad  comunitaria  de  la</w:t>
        <w:br/>
        <w:t xml:space="preserve">   tierra”.</w:t>
        <w:br/>
        <w:br/>
        <w:br/>
        <w:t>152. En este sentido se pronunció el perito  Enrique  Castillo  en  el  caso</w:t>
        <w:br/>
        <w:t xml:space="preserve">   Comunidad  Indígena  Yakye  Axa,  quien  explicó  que  el   procedimiento</w:t>
        <w:br/>
        <w:t xml:space="preserve">   administrativo de reivindicación de tierras para comunidades indígenas ha</w:t>
        <w:br/>
        <w:t xml:space="preserve">   brindado resultados positivos en casos en que los  propietarios  privados</w:t>
        <w:br/>
        <w:t xml:space="preserve">   han accedido a negociar la transferencia de los inmuebles  reivindicados,</w:t>
        <w:br/>
        <w:t xml:space="preserve">   pero  ha  sido  abiertamente  ineficaz  frente  a  casos   en   que   las</w:t>
        <w:br/>
        <w:t xml:space="preserve">   negociaciones con los propietarios no han sido viables[177].</w:t>
        <w:br/>
        <w:br/>
        <w:br/>
        <w:t xml:space="preserve">      c)     Ausencia  de  diligencias  técnico-científicas   tendientes   a</w:t>
        <w:br/>
        <w:t xml:space="preserve">      encontrar una solución definitiva del problema</w:t>
        <w:br/>
        <w:br/>
        <w:br/>
        <w:t>153. El tercer problema que se observa en  el  procedimiento  administrativo</w:t>
        <w:br/>
        <w:t xml:space="preserve">   interno es la ausencia de diligencias técnico-científicas que contribuyan</w:t>
        <w:br/>
        <w:t xml:space="preserve">   en forma determinante a una solución definitiva del problema. A pesar  de</w:t>
        <w:br/>
        <w:t xml:space="preserve">   que la propia legislación paraguaya exige al INDERT y  al  INDI  entregar</w:t>
        <w:br/>
        <w:t xml:space="preserve">   soluciones definitivas a las solicitudes que se les planteen[178],  a  lo</w:t>
        <w:br/>
        <w:t xml:space="preserve">   largo de los más de veinte años que  ha  durado  este  procedimiento  las</w:t>
        <w:br/>
        <w:t xml:space="preserve">   únicas   diligencias   técnicas   practicadas   por    las    autoridades</w:t>
        <w:br/>
        <w:t xml:space="preserve">   administrativas  fueron  dos   inspecciones   oculares   y   un   informe</w:t>
        <w:br/>
        <w:t xml:space="preserve">   antropológico, que concluyó que las tierras reclamadas por  la  Comunidad</w:t>
        <w:br/>
        <w:t xml:space="preserve">   formaban parte  de  su  territorio  tradicional  y  eran  aptas  para  su</w:t>
        <w:br/>
        <w:t xml:space="preserve">   asentamiento (supra párr. 103). Sin embargo, dicho estudio  aparentemente</w:t>
        <w:br/>
        <w:t xml:space="preserve">   no fue suficiente, como se  desprende  del  simple  hecho  que  hasta  la</w:t>
        <w:br/>
        <w:t xml:space="preserve">   presente  fecha  persiste  la  controversia  en  cuanto  a  la  propiedad</w:t>
        <w:br/>
        <w:t xml:space="preserve">   comunitaria de los Xákmok Kásek. Además, nunca se  realizó  ninguna  otra</w:t>
        <w:br/>
        <w:t xml:space="preserve">   diligencia dirigida a verificar la aptitud o no de otras  tierras  dentro</w:t>
        <w:br/>
        <w:t xml:space="preserve">   del territorio tradicional.</w:t>
        <w:br/>
        <w:br/>
        <w:br/>
        <w:t xml:space="preserve">                                      *</w:t>
        <w:br/>
        <w:br/>
        <w:br/>
        <w:t xml:space="preserve">                                   *     *</w:t>
        <w:br/>
        <w:br/>
        <w:br/>
        <w:t>154. La Corte reitera que el procedimiento administrativo de  reivindicación</w:t>
        <w:br/>
        <w:t xml:space="preserve">   de tierras ha sido inefectivo y no ha mostrado una posibilidad real  para</w:t>
        <w:br/>
        <w:t xml:space="preserve">   que los miembros de la  Comunidad  Xákmok  Kásek  recuperen  sus  tierras</w:t>
        <w:br/>
        <w:t xml:space="preserve">   tradicionales.  Además,  esta  falta  de  un  recurso  efectivo  para  la</w:t>
        <w:br/>
        <w:t xml:space="preserve">   recuperación de tierras indígenas representa un incumplimiento del  deber</w:t>
        <w:br/>
        <w:t xml:space="preserve">   estatal, establecido en el artículo 2 de la  Convención,  de  adecuar  su</w:t>
        <w:br/>
        <w:t xml:space="preserve">   derecho interno para garantizar en la práctica el derecho a la  propiedad</w:t>
        <w:br/>
        <w:t xml:space="preserve">   comunitaria.</w:t>
        <w:br/>
        <w:br/>
        <w:br/>
        <w:t xml:space="preserve">           2.3.  Sobre el decreto que declara parte del área reclamada como</w:t>
        <w:br/>
        <w:t xml:space="preserve">           área silvestre protegida</w:t>
        <w:br/>
        <w:br/>
        <w:br/>
        <w:t>155. Los representantes alegaron que  de  haber  existido  un  mecanismo  de</w:t>
        <w:br/>
        <w:t xml:space="preserve">   consulta para la declaratoria de la reserva natural privada, “se hubieran</w:t>
        <w:br/>
        <w:t xml:space="preserve">   garantizado los derechos de la Comunidad Xákmok Kásek, [ya  que]  hubiese</w:t>
        <w:br/>
        <w:t xml:space="preserve">   permitido un debate frente al proyecto privado”. Además,  resaltaron  que</w:t>
        <w:br/>
        <w:t xml:space="preserve">   luego  de  casi  dos  años  de  la  interposición   de   la   acción   de</w:t>
        <w:br/>
        <w:t xml:space="preserve">   inconstitucionalidad contra el decreto que dispuso la creación de un área</w:t>
        <w:br/>
        <w:t xml:space="preserve">   silvestre protegida en tierras reclamadas por la Comunidad (supra  párrs.</w:t>
        <w:br/>
        <w:t xml:space="preserve">   83 y 84), el Estado “[no] ha  logrado  resultados  definitivos  sobre  el</w:t>
        <w:br/>
        <w:t xml:space="preserve">   tema”.</w:t>
        <w:br/>
        <w:br/>
        <w:br/>
        <w:t>156. El Estado indicó que ha iniciado  la  solicitud  de  revocación  de  la</w:t>
        <w:br/>
        <w:t xml:space="preserve">   declaración de la reserva natural, para lo cual presentó el  dictamen  de</w:t>
        <w:br/>
        <w:t xml:space="preserve">   la Secretaría del Ambiente que recomienda su revocación (supra párr.81).</w:t>
        <w:br/>
        <w:br/>
        <w:br/>
        <w:t>157. Al respecto, la Corte considera que a fin de garantizar  el  derecho  a</w:t>
        <w:br/>
        <w:t xml:space="preserve">   la propiedad de los pueblos indígenas, de conformidad con el artículo 1.1</w:t>
        <w:br/>
        <w:t xml:space="preserve">   de la Convención, el Estado debe asegurar la  participación  efectiva  de</w:t>
        <w:br/>
        <w:t xml:space="preserve">   los miembros de  la  Comunidad,  de  conformidad  con  sus  costumbres  y</w:t>
        <w:br/>
        <w:t xml:space="preserve">   tradiciones, en relación con todo plan o decisión que afecte sus  tierras</w:t>
        <w:br/>
        <w:t xml:space="preserve">   tradicionales y que pueda conllevar  restricciones  en  el  uso,  goce  y</w:t>
        <w:br/>
        <w:t xml:space="preserve">   disfrute de dichas  tierras,  para  así  evitar  que  ello  implique  una</w:t>
        <w:br/>
        <w:t xml:space="preserve">   denegación de su subsistencia como pueblo indígena[179]. Ello es  cónsono</w:t>
        <w:br/>
        <w:t xml:space="preserve">   con las disposiciones del Convenio No. 169 de la OIT, del  cual  Paraguay</w:t>
        <w:br/>
        <w:t xml:space="preserve">   es Estado parte.</w:t>
        <w:br/>
        <w:br/>
        <w:br/>
        <w:t>158. En el presente caso se encuentra debidamente probado que no se tomó  en</w:t>
        <w:br/>
        <w:t xml:space="preserve">   cuenta la reclamación indígena sobre las tierras declaradas como  reserva</w:t>
        <w:br/>
        <w:t xml:space="preserve">   natural al momento de emitirse el  Decreto  No.  11.804  y  aprobarse  la</w:t>
        <w:br/>
        <w:t xml:space="preserve">   justificación técnica que las declaraba como tal; que no se informó a los</w:t>
        <w:br/>
        <w:t xml:space="preserve">   miembros de la Comunidad sobre los  planes  para  declarar  parte  de  la</w:t>
        <w:br/>
        <w:t xml:space="preserve">   Estancia Salazar como reserva natural privada, y que  dicha  declaratoria</w:t>
        <w:br/>
        <w:t xml:space="preserve">   ocasionó perjuicios a la forma de vida de los miembros  de  la  Comunidad</w:t>
        <w:br/>
        <w:t xml:space="preserve">   (supra párrs. 80 a 82).</w:t>
        <w:br/>
        <w:br/>
        <w:br/>
        <w:t>159. Por otra parte, de acuerdo a la prueba aportada por el  propio  Estado,</w:t>
        <w:br/>
        <w:t xml:space="preserve">   la  acción  de  inconstitucionalidad  interpuesta  por  la  Comunidad  se</w:t>
        <w:br/>
        <w:t xml:space="preserve">   encuentra paralizada desde el 24 octubre de  2008,  cuando  se  suspendió</w:t>
        <w:br/>
        <w:t xml:space="preserve">   “[el] plazo que tenía el Fiscal General  del  Estado  para  contestar  el</w:t>
        <w:br/>
        <w:t xml:space="preserve">   traslado de la presente acción  […],  siendo  ésta  la  última  actuación</w:t>
        <w:br/>
        <w:t xml:space="preserve">   obrante en [los] autos”[180].</w:t>
        <w:br/>
        <w:br/>
        <w:br/>
        <w:t>160. Asimismo, el Tribunal advierte que dicho plazo se  suspendió  debido  a</w:t>
        <w:br/>
        <w:t xml:space="preserve">   la necesidad de  agregar  el  expediente  administrativo  relativo  a  la</w:t>
        <w:br/>
        <w:t xml:space="preserve">   reivindicación de tierras de la Comunidad, el  cual  fue  remitido  a  la</w:t>
        <w:br/>
        <w:t xml:space="preserve">   Corte Suprema por los representantes el  14  de  diciembre  de  2009[181]</w:t>
        <w:br/>
        <w:t xml:space="preserve">   (supra párr. 84). Sin embargo, a pesar de ello y del dictamen favorable a</w:t>
        <w:br/>
        <w:t xml:space="preserve">   la impugnación parcial del respectivo decreto de la Asesoría Jurídica  de</w:t>
        <w:br/>
        <w:t xml:space="preserve">   la Secretaria del Ambiente  (supra  párr.  81),  dicho  procedimiento  de</w:t>
        <w:br/>
        <w:t xml:space="preserve">   inconstitucionalidad aún se encuentra suspendido[182].</w:t>
        <w:br/>
        <w:br/>
        <w:br/>
        <w:t>161. La Corte considera que el transcurso de más de dos  años  luego  de  la</w:t>
        <w:br/>
        <w:t xml:space="preserve">   interposición del recurso de  inconstitucionalidad,  con  respecto  a  un</w:t>
        <w:br/>
        <w:t xml:space="preserve">   decreto  que  tiene  una  vigencia  de  cinco  años,  evidencia  que  las</w:t>
        <w:br/>
        <w:t xml:space="preserve">   autoridades  estatales  no  han  procedido  con  diligencia   suficiente,</w:t>
        <w:br/>
        <w:t xml:space="preserve">   teniendo en cuenta que,  además,  los  propios  organismos  técnicos  del</w:t>
        <w:br/>
        <w:t xml:space="preserve">   Estado se han pronunciado sobre la necesidad de anular dicha  declaración</w:t>
        <w:br/>
        <w:t xml:space="preserve">   de reserva natural porque “se obvió la existencia del reclamo indígena” y</w:t>
        <w:br/>
        <w:t xml:space="preserve">   “[a]tenta contra el derecho a  la  propiedad  comunitaria  y  su  hábitat</w:t>
        <w:br/>
        <w:t xml:space="preserve">   tradicional  reconocido  [en  la]  Constitución  de  la  República”[183].</w:t>
        <w:br/>
        <w:t xml:space="preserve">   Asimismo, la propia Presidenta del INDI declaró en cuanto a la emisión de</w:t>
        <w:br/>
        <w:t xml:space="preserve">   este decreto que “[l]amentablemente las  instituciones  siempre  actuaron</w:t>
        <w:br/>
        <w:t xml:space="preserve">   como compartimientos estancos”, y que “el INDI, que es la institución que</w:t>
        <w:br/>
        <w:t xml:space="preserve">   tiene que aplicar la  política  pública  indigenista[,]  debía  de  haber</w:t>
        <w:br/>
        <w:t xml:space="preserve">   enviado estos antecedentes de modo que todos los otros  ministerios  [del</w:t>
        <w:br/>
        <w:t xml:space="preserve">   gabinete social] est[uvieran] al tanto de  las  reivindicaciones  de  los</w:t>
        <w:br/>
        <w:t xml:space="preserve">   pueblos indígenas”[184].</w:t>
        <w:br/>
        <w:br/>
        <w:br/>
        <w:t>162. En virtud de las consideraciones anteriores, el Tribunal considera  que</w:t>
        <w:br/>
        <w:t xml:space="preserve">   la acción de inconstitucionalidad ejercida en  el  presente  caso  no  ha</w:t>
        <w:br/>
        <w:t xml:space="preserve">   proporcionado un recurso efectivo a los miembros de la Comunidad para  la</w:t>
        <w:br/>
        <w:t xml:space="preserve">   protección de su derecho a la propiedad sobre sus tierras comunitarias.</w:t>
        <w:br/>
        <w:br/>
        <w:br/>
        <w:t xml:space="preserve">           2.4.  Supuesta falta de interposición  de  recursos  en  la  vía</w:t>
        <w:br/>
        <w:t xml:space="preserve">           judicial</w:t>
        <w:br/>
        <w:br/>
        <w:br/>
        <w:t>163.   El Estado argumentó que los representantes no han hecho  uso  de  los</w:t>
        <w:br/>
        <w:t xml:space="preserve">   recursos adecuados dentro de la legislación interna, ya que en casos como</w:t>
        <w:br/>
        <w:t xml:space="preserve">   el presente es la justicia quien debe “determinar quien tiene [el]  mejor</w:t>
        <w:br/>
        <w:t xml:space="preserve">   derecho”, entre quienes invocan un derecho de propiedad ancestral  contra</w:t>
        <w:br/>
        <w:t xml:space="preserve">   quienes tienen título y  posesión  y  al  mismo  tiempo  dan  utilización</w:t>
        <w:br/>
        <w:t xml:space="preserve">   económica a la tierra.</w:t>
        <w:br/>
        <w:br/>
        <w:br/>
        <w:t>164.   Los representantes  señalaron  que  “los  métodos  descritos  por  el</w:t>
        <w:br/>
        <w:t xml:space="preserve">   Estado corresponden  a  trámites  de  adquisición  de  inmuebles,  no  de</w:t>
        <w:br/>
        <w:t xml:space="preserve">   restitución territorial indígena”. Asimismo, en cuanto a  la  posibilidad</w:t>
        <w:br/>
        <w:t xml:space="preserve">   de  recurrir  a   sede   judicial   para   impugnar   alguna   resolución</w:t>
        <w:br/>
        <w:t xml:space="preserve">   administrativa, indicaron que ello “ameritaría la  existencia  de  alguna</w:t>
        <w:br/>
        <w:t xml:space="preserve">   resolución administrativa que quiera impugnarse”, lo cual no era el  caso</w:t>
        <w:br/>
        <w:t xml:space="preserve">   de la Comunidad Xákmok Kásek,  porque  las  resoluciones  administrativas</w:t>
        <w:br/>
        <w:t xml:space="preserve">   eran favorables a la Comunidad. El problema era “su nula eficacia para la</w:t>
        <w:br/>
        <w:t xml:space="preserve">   obtención de las tierras”.</w:t>
        <w:br/>
        <w:br/>
        <w:br/>
        <w:t>165.   La Comisión resaltó que el Estado “no indic[ó] exactamente  cuál  vía</w:t>
        <w:br/>
        <w:t xml:space="preserve">   judicial era la apropiada para este caso” y que contrario  a  lo  alegado</w:t>
        <w:br/>
        <w:t xml:space="preserve">   por el Estado, la Comunidad “ha reivindicado su  tierra  por  los  medios</w:t>
        <w:br/>
        <w:t xml:space="preserve">   disponibles”.</w:t>
        <w:br/>
        <w:br/>
        <w:br/>
        <w:t>166.   El Tribunal observa que  Paraguay  no  ha  indicado  cuáles  son  los</w:t>
        <w:br/>
        <w:t xml:space="preserve">   recursos judiciales supuestamente disponibles y efectivos para garantizar</w:t>
        <w:br/>
        <w:t xml:space="preserve">   el derecho comunitario a la tierra  de  los  indígenas,  ni  ha  aportado</w:t>
        <w:br/>
        <w:t xml:space="preserve">   prueba de su existencia en la legislación interna.</w:t>
        <w:br/>
        <w:br/>
        <w:br/>
        <w:t>167.   Adicionalmente, la Corte advierte  que  el  perito  Enrique  Castillo</w:t>
        <w:br/>
        <w:t xml:space="preserve">   expuso que:</w:t>
        <w:br/>
        <w:br/>
        <w:br/>
        <w:t xml:space="preserve">      [La Ley 904/81] establece un procedimiento bajo la órbita del  Derecho</w:t>
        <w:br/>
        <w:t xml:space="preserve">      Administrativo para el reclamo de tierras  indígenas,  que  a  su  vez</w:t>
        <w:br/>
        <w:t xml:space="preserve">      sustrae la materia de la  Jurisdicción  Ordinaria,  es  decir  de  los</w:t>
        <w:br/>
        <w:t xml:space="preserve">      procesos civiles de  reivindicación  de  inmueble[s].  En  el  sentido</w:t>
        <w:br/>
        <w:t xml:space="preserve">      expuesto, las reivindicaciones de tierras indígenas ante el Estado son</w:t>
        <w:br/>
        <w:t xml:space="preserve">      planteadas y tramitadas ante órganos administrativos […]. No existe en</w:t>
        <w:br/>
        <w:t xml:space="preserve">      este marco legal ni en la práctica de  tribunales,  reivindicación  de</w:t>
        <w:br/>
        <w:t xml:space="preserve">      tierras indígenas que sea tramitada ante la Justicia Ordinaria”[185].</w:t>
        <w:br/>
        <w:br/>
        <w:br/>
        <w:t>168. Por lo tanto, la Corte concluye  que  Paraguay  no  ha  demostrado  que</w:t>
        <w:br/>
        <w:t xml:space="preserve">   existe algún otro procedimiento que sea efectivo para  dar  una  solución</w:t>
        <w:br/>
        <w:t xml:space="preserve">   definitiva a la reclamación planteada por los miembros  de  la  Comunidad</w:t>
        <w:br/>
        <w:t xml:space="preserve">   Xákmok Kásek.</w:t>
        <w:br/>
        <w:br/>
        <w:t xml:space="preserve">                                      *</w:t>
        <w:br/>
        <w:t xml:space="preserve">                                   *     *</w:t>
        <w:br/>
        <w:br/>
        <w:t>169. De todo lo expuesto, el Tribunal constata que  los  argumentos  que  el</w:t>
        <w:br/>
        <w:t xml:space="preserve">   Estado ha interpuesto para justificar la  falta  de  materialización  del</w:t>
        <w:br/>
        <w:t xml:space="preserve">   derecho a la propiedad de las presuntas víctimas no son suficientes  para</w:t>
        <w:br/>
        <w:t xml:space="preserve">   relevarlo de su responsabilidad internacional. De hecho, ciertas acciones</w:t>
        <w:br/>
        <w:t xml:space="preserve">   y omisiones del Estado, lejos de  contribuir  a  la  materialización  del</w:t>
        <w:br/>
        <w:t xml:space="preserve">   derecho a la propiedad de los miembros de la Comunidad, han obstaculizado</w:t>
        <w:br/>
        <w:t xml:space="preserve">   e impedido su concreción. Es así como la declaratoria de reserva  natural</w:t>
        <w:br/>
        <w:t xml:space="preserve">   privada de parte del territorio reclamado por la Comunidad  (supra  párr.</w:t>
        <w:br/>
        <w:t xml:space="preserve">   80) no sólo impide el desarrollo de sus actividades  tradicionales  sobre</w:t>
        <w:br/>
        <w:t xml:space="preserve">   las mismas, sino también  su  expropiación  y  ocupación  bajo  cualquier</w:t>
        <w:br/>
        <w:t xml:space="preserve">   supuesto (supra párr. 82). Resulta de  especial  preocupación  para  esta</w:t>
        <w:br/>
        <w:t xml:space="preserve">   Corte las consideraciones del perito Rodolfo Stavenhagen, no contradichas</w:t>
        <w:br/>
        <w:t xml:space="preserve">   por el Estado, según las cuales dicha declaratoria  como  área  silvestre</w:t>
        <w:br/>
        <w:t xml:space="preserve">   protegida podría  constituir  una  nueva  y  sofisticada  forma  que  han</w:t>
        <w:br/>
        <w:t xml:space="preserve">   adoptado  los  propietarios  privados  de  territorios   reclamados   por</w:t>
        <w:br/>
        <w:t xml:space="preserve">   comunidades indígenas para “obstaculizar  el  reclamo  de  territorio  de</w:t>
        <w:br/>
        <w:t xml:space="preserve">   pueblos originarios […] siempre arropad[o]s bajo formas legales  y  hasta</w:t>
        <w:br/>
        <w:t xml:space="preserve">   invocando fines tan puros como la conservación del medioambiente”[186].</w:t>
        <w:br/>
        <w:br/>
        <w:br/>
        <w:t>170.   Consecuentemente,   la   Corte   concluye   que   el    procedimiento</w:t>
        <w:br/>
        <w:t xml:space="preserve">   administrativo iniciado para la  recuperación  de  las  10.700  hectáreas</w:t>
        <w:br/>
        <w:t xml:space="preserve">   (supra párrs. 67 y 68) que corresponden a las tierras  tradicionales  más</w:t>
        <w:br/>
        <w:t xml:space="preserve">   aptas para el asentamiento de la Comunidad no se  llevó  a  cabo  con  la</w:t>
        <w:br/>
        <w:t xml:space="preserve">   diligencia debida, no fue tramitado en un plazo razonable, fue inefectivo</w:t>
        <w:br/>
        <w:t xml:space="preserve">   y no mostró una posibilidad real para que los miembros  de  la  Comunidad</w:t>
        <w:br/>
        <w:t xml:space="preserve">   recuperaran sus tierras tradicionales. Asimismo, las autoridades internas</w:t>
        <w:br/>
        <w:t xml:space="preserve">   paraguayas, en especial el Congreso de la República, han mirado  el  tema</w:t>
        <w:br/>
        <w:t xml:space="preserve">   territorial  indígena  exclusivamente  desde  la  productividad  de   las</w:t>
        <w:br/>
        <w:t xml:space="preserve">   tierras, desconociendo  las  particularidades  propias  de  la  Comunidad</w:t>
        <w:br/>
        <w:t xml:space="preserve">   Xákmok Kásek y la relación especial de sus  miembros  con  el  territorio</w:t>
        <w:br/>
        <w:t xml:space="preserve">   reclamado. Finalmente, el  Estado  ignoró  por  completo  la  reclamación</w:t>
        <w:br/>
        <w:t xml:space="preserve">   indígena al momento de declarar parte  de  dicho  territorio  tradicional</w:t>
        <w:br/>
        <w:t xml:space="preserve">   como  reserva  natural  privada  y  la  acción  de   inconstitucionalidad</w:t>
        <w:br/>
        <w:t xml:space="preserve">   interpuesta para remediar tal situación ha  sido  inefectiva.  Todo  ello</w:t>
        <w:br/>
        <w:t xml:space="preserve">   representa una violación del derecho a la propiedad  comunitaria,  a  las</w:t>
        <w:br/>
        <w:t xml:space="preserve">   garantías  judiciales   y   a   la   protección   judicial,   reconocidos</w:t>
        <w:br/>
        <w:t xml:space="preserve">   respectivamente en los artículos 21.1, 8.1 y 25.1 de  la  Convención,  en</w:t>
        <w:br/>
        <w:t xml:space="preserve">   relación con los artículos 1.1 y 2 de  la  misma,  en  perjuicio  de  los</w:t>
        <w:br/>
        <w:t xml:space="preserve">   miembros de la Comunidad Xákmok Kásek.</w:t>
        <w:br/>
        <w:br/>
        <w:br/>
        <w:t xml:space="preserve">      3.    Afectaciones a la identidad  cultural  de  los  miembros  de  la</w:t>
        <w:br/>
        <w:t xml:space="preserve">      Comunidad como consecuencia de la  no  restitución  de  su  territorio</w:t>
        <w:br/>
        <w:t xml:space="preserve">      tradicional</w:t>
        <w:br/>
        <w:br/>
        <w:br/>
        <w:t>171. La Comisión indicó que  cuando  “aumentaron  las  restricciones  de  la</w:t>
        <w:br/>
        <w:t xml:space="preserve">   población indígena al acceso a sus tierras tradicionales, [se produjeron]</w:t>
        <w:br/>
        <w:t xml:space="preserve">   cambios significativos en las prácticas de subsistencia de  la  población</w:t>
        <w:br/>
        <w:t xml:space="preserve">   indígena”. Señaló que “varias familias de la  [C]omunidad  Xákmok  Kásek,</w:t>
        <w:br/>
        <w:t xml:space="preserve">   han decidido separarse […] por las  difíciles  condiciones  de  vida,  en</w:t>
        <w:br/>
        <w:t xml:space="preserve">   búsqueda de soluciones a sus necesidades”.</w:t>
        <w:br/>
        <w:br/>
        <w:br/>
        <w:t>172. Los representantes alegaron la  existencia  de  un  “desgaste  cultural</w:t>
        <w:br/>
        <w:t xml:space="preserve">   colectivo” de los miembros de la Comunidad por la violación al derecho  a</w:t>
        <w:br/>
        <w:t xml:space="preserve">   la propiedad. Añadieron que la falta del territorio comunitario  priva  a</w:t>
        <w:br/>
        <w:t xml:space="preserve">   la Comunidad “de la base fundamental para desarrollar su cultura, su vida</w:t>
        <w:br/>
        <w:t xml:space="preserve">   espiritual, su  integridad  y  su  supervivencia  económica”.  Según  los</w:t>
        <w:br/>
        <w:t xml:space="preserve">   representantes,  habría  una  estrecha  relación  entre   las   prácticas</w:t>
        <w:br/>
        <w:t xml:space="preserve">   espirituales de la Comunidad vividas colectivamente y  la  vinculación  a</w:t>
        <w:br/>
        <w:t xml:space="preserve">   las tierras ancestrales. Adicionalmente, señalaron que la falta de tierra</w:t>
        <w:br/>
        <w:t xml:space="preserve">   ha afectado los ritos de iniciación de hombres, mujeres y chamanes.</w:t>
        <w:br/>
        <w:br/>
        <w:br/>
        <w:t>173. El Estado no se pronunció sobre lo expuesto.</w:t>
        <w:br/>
        <w:br/>
        <w:br/>
        <w:t>174. La cultura de los miembros de las comunidades indígenas  corresponde  a</w:t>
        <w:br/>
        <w:t xml:space="preserve">   una forma  de  vida  particular  de  ser,  ver  y  actuar  en  el  mundo,</w:t>
        <w:br/>
        <w:t xml:space="preserve">   constituido  a  partir  de  su  estrecha   relación   con   sus   tierras</w:t>
        <w:br/>
        <w:t xml:space="preserve">   tradicionales y recursos naturales, no sólo por ser  éstos  su  principal</w:t>
        <w:br/>
        <w:t xml:space="preserve">   medio  de  subsistencia,  sino  además  porque  constituyen  un  elemento</w:t>
        <w:br/>
        <w:t xml:space="preserve">   integrante de su cosmovisión, religiosidad y, por ende, de  su  identidad</w:t>
        <w:br/>
        <w:t xml:space="preserve">   cultural[187].</w:t>
        <w:br/>
        <w:br/>
        <w:br/>
        <w:t>175.  Cuando  se  trata  de  pueblos  indígenas  o  tribales,  la   posesión</w:t>
        <w:br/>
        <w:t xml:space="preserve">   tradicional de sus tierras y los patrones culturales que  surgen  de  esa</w:t>
        <w:br/>
        <w:t xml:space="preserve">   estrecha relación forman parte de su identidad. Tal identidad alcanza  un</w:t>
        <w:br/>
        <w:t xml:space="preserve">   contenido particular debido a la percepción colectiva que tienen en tanto</w:t>
        <w:br/>
        <w:t xml:space="preserve">   grupo, a sus cosmovisiones, sus imaginarios colectivos y la relación  con</w:t>
        <w:br/>
        <w:t xml:space="preserve">   la tierra donde desarrollan su vida[188].</w:t>
        <w:br/>
        <w:br/>
        <w:br/>
        <w:t>176. Para los miembros de la Comunidad Xákmok Kásek, rasgos culturales  como</w:t>
        <w:br/>
        <w:t xml:space="preserve">   las lenguas propias (Sanapaná y Enxet), los ritos de chamanismo y los  de</w:t>
        <w:br/>
        <w:t xml:space="preserve">   iniciación masculina y femenina, los saberes ancestrales  chamánicos,  la</w:t>
        <w:br/>
        <w:t xml:space="preserve">   forma de memorar a sus muertos y  la  relación  con  el  territorio,  son</w:t>
        <w:br/>
        <w:t xml:space="preserve">   esenciales para su cosmovisión y forma particular de existir.</w:t>
        <w:br/>
        <w:br/>
        <w:br/>
        <w:t>177. Todos estos rasgos  y  prácticas  culturales  de  los  miembros  de  la</w:t>
        <w:br/>
        <w:t xml:space="preserve">   Comunidad  se  han  visto  afectados  por  la  falta   de   sus   tierras</w:t>
        <w:br/>
        <w:t xml:space="preserve">   tradicionales. Conforme a la declaración  del  testigo  Rodrigo  Villagra</w:t>
        <w:br/>
        <w:t xml:space="preserve">   Carron  el  proceso  de  desplazamiento  del  territorio  tradicional  ha</w:t>
        <w:br/>
        <w:t xml:space="preserve">   incidido en  “el  hecho  de  que  la  gente  no  pueda  enterrar  [a  sus</w:t>
        <w:br/>
        <w:t xml:space="preserve">   familiares] en lugares elegidos, […]  que  no  pueda[n]  volver  [a  esos</w:t>
        <w:br/>
        <w:t xml:space="preserve">   lugares],  que  esos  lugares  también  hayan  sido  de  [alg]una  manera</w:t>
        <w:br/>
        <w:t xml:space="preserve">   desacralizados […]. [Este] proceso forzoso implica que toda esa  relación</w:t>
        <w:br/>
        <w:t xml:space="preserve">   afectiva no se pueda dar, ni esa relación simbólica, ni espiritual”[189].</w:t>
        <w:br/>
        <w:br/>
        <w:br/>
        <w:t>178. El señor Maximiliano Ruíz indicó que la religión y la cultura “casi  se</w:t>
        <w:br/>
        <w:t xml:space="preserve">   perdió  totalmente”.  El  testigo  Rodrigo  Villagra  Carron  expuso  las</w:t>
        <w:br/>
        <w:t xml:space="preserve">   dificultades que los miembros de la Comunidad tienen para  sus  ritos  de</w:t>
        <w:br/>
        <w:t xml:space="preserve">   iniciación masculina y femenina[190],  así  como  pérdida  paulatina  del</w:t>
        <w:br/>
        <w:t xml:space="preserve">   chamanismo[191].</w:t>
        <w:br/>
        <w:br/>
        <w:br/>
        <w:t>179. Otro rasgo de la integridad cultural de los miembros  de  la  Comunidad</w:t>
        <w:br/>
        <w:t xml:space="preserve">   son sus lenguas. En el  transcurso  de  la  audiencia  pública  el  señor</w:t>
        <w:br/>
        <w:t xml:space="preserve">   Maximiliano Ruíz manifestó que en la Estancia Salazar únicamente  se  les</w:t>
        <w:br/>
        <w:t xml:space="preserve">   enseñaba a hablar en español o en guaraní y no en sus lenguas propias. En</w:t>
        <w:br/>
        <w:t xml:space="preserve">   igual sentido, la señora  Antonia  Ramírez,  al  ser  preguntada  por  la</w:t>
        <w:br/>
        <w:t xml:space="preserve">   Comisión durante la audiencia en el  sentido  de  si  hablaba  la  lengua</w:t>
        <w:br/>
        <w:t xml:space="preserve">   sanapaná, indicó que sí, pero que  sus  hijos  y  sus  nietos  no  hablan</w:t>
        <w:br/>
        <w:t xml:space="preserve">   sanapaná sino guaraní.</w:t>
        <w:br/>
        <w:br/>
        <w:br/>
        <w:t>180. Igualmente, la falta de sus tierras tradicionales  y  las  limitaciones</w:t>
        <w:br/>
        <w:t xml:space="preserve">   impuestas por los propietarios  privados  repercutió  en  los  medios  de</w:t>
        <w:br/>
        <w:t xml:space="preserve">   subsistencia  de  los  miembros  de  la  Comunidad.  La  caza,  pesca   y</w:t>
        <w:br/>
        <w:t xml:space="preserve">   recolección cada vez fueron más difíciles, llevaron a que  los  indígenas</w:t>
        <w:br/>
        <w:t xml:space="preserve">   decidieran salir de la Estancia Salazar y reubicarse en “25 de Febrero” o</w:t>
        <w:br/>
        <w:t xml:space="preserve">   en otros lugares, disgregándose así parte de la Comunidad  (supra  párrs.</w:t>
        <w:br/>
        <w:t xml:space="preserve">   75 a 77, 79 y 98).</w:t>
        <w:br/>
        <w:br/>
        <w:br/>
        <w:t>181. Todas estas afectaciones se incrementan con el transcurso del tiempo  y</w:t>
        <w:br/>
        <w:t xml:space="preserve">   aumentan la percepción de  los  miembros  de  la  Comunidad  de  que  sus</w:t>
        <w:br/>
        <w:t xml:space="preserve">   reclamos no son atendidos.</w:t>
        <w:br/>
        <w:br/>
        <w:br/>
        <w:t>182. En suma, este Tribunal observa que los miembros de la Comunidad  Xákmok</w:t>
        <w:br/>
        <w:t xml:space="preserve">   Kásek han sufrido diversas afectaciones a su identidad  cultural  que  se</w:t>
        <w:br/>
        <w:t xml:space="preserve">   producen primordialmente por la falta  de  su  territorio  propio  y  los</w:t>
        <w:br/>
        <w:t xml:space="preserve">   recursos  naturales  que  ahí  se  encuentran,  lo  cual  representa  una</w:t>
        <w:br/>
        <w:t xml:space="preserve">   violación del artículo 21.1 de la Convención en relación con el  artículo</w:t>
        <w:br/>
        <w:t xml:space="preserve">   1.1  de  la  misma.  Estas  afectaciones  son  una  muestra  más  de   la</w:t>
        <w:br/>
        <w:t xml:space="preserve">   insuficiencia de la visión meramente “productiva” de  las  tierras  a  la</w:t>
        <w:br/>
        <w:t xml:space="preserve">   hora de ponderar los derechos en conflicto  entre  los  indígenas  y  los</w:t>
        <w:br/>
        <w:t xml:space="preserve">   propietarios particulares de las tierras reclamadas.</w:t>
        <w:br/>
        <w:br/>
        <w:t xml:space="preserve">                                     VII</w:t>
        <w:br/>
        <w:t xml:space="preserve">                              DERECHO A LA VIDA</w:t>
        <w:br/>
        <w:t xml:space="preserve">                  (Artículo 4.1 DE LA CONVENCIÓN AMERICANA)</w:t>
        <w:br/>
        <w:br/>
        <w:t>183. La Comisión indicó que el derecho a la vida “comprende […]  el  derecho</w:t>
        <w:br/>
        <w:t xml:space="preserve">   a […] las condiciones que garanticen una existencia  digna”.  Agregó  que</w:t>
        <w:br/>
        <w:t xml:space="preserve">   “el  incumplimiento  por  parte  del  Estado  […]  de  su  obligación  de</w:t>
        <w:br/>
        <w:t xml:space="preserve">   garantizar el derecho a la propiedad de la Comunidad” ha significado  “la</w:t>
        <w:br/>
        <w:t xml:space="preserve">   creación de una situación permanente de peligro  que  amenaza  además  la</w:t>
        <w:br/>
        <w:t xml:space="preserve">   propia supervivencia física de los miembros de la Comunidad”.</w:t>
        <w:br/>
        <w:br/>
        <w:br/>
        <w:t>184. Los representantes alegaron que “[e]l  Estado  no  […]  rev[irtió]  las</w:t>
        <w:br/>
        <w:t xml:space="preserve">   condiciones que agudizaron las dificultades de acceso a una vida digna de</w:t>
        <w:br/>
        <w:t xml:space="preserve">   los miembros de la [C]omunidad, en atención a la  situación  de  especial</w:t>
        <w:br/>
        <w:t xml:space="preserve">   vulnerabilidad”. Para los representantes, la  “no  restitu[ción  de]  las</w:t>
        <w:br/>
        <w:t xml:space="preserve">   tierras ancestrales y el hábitat  tradicional  de  la  Comunidad  […]  ha</w:t>
        <w:br/>
        <w:t xml:space="preserve">   imposibilitado a sus miembros la práctica de  la  caza,  la  pesca  y  la</w:t>
        <w:br/>
        <w:t xml:space="preserve">   recolección en las tierras y en el hábitat  reivindicados,  afectando  de</w:t>
        <w:br/>
        <w:t xml:space="preserve">   este modo su identidad cultural y religiosa, y colocándolos,  además,  en</w:t>
        <w:br/>
        <w:t xml:space="preserve">   una situación de extrema vulnerabilidad”. Solicitaron, finalmente, que se</w:t>
        <w:br/>
        <w:t xml:space="preserve">   atribuyera  la  responsabilidad   internacional   del   Estado   por   el</w:t>
        <w:br/>
        <w:t xml:space="preserve">   fallecimiento de varios miembros de la Comunidad.</w:t>
        <w:br/>
        <w:br/>
        <w:br/>
        <w:t>185. El Estado sostuvo que ha brindado asistencia alimenticia  y  sanitaria.</w:t>
        <w:br/>
        <w:t xml:space="preserve">   Además, indicó que “no existe relación entre la tierra y la supervivencia</w:t>
        <w:br/>
        <w:t xml:space="preserve">   física […] como causante de la supuesta falta de preservación del derecho</w:t>
        <w:br/>
        <w:t xml:space="preserve">   a la vida”. Agregó que “en ningún momento  los  agentes  del  Estado  han</w:t>
        <w:br/>
        <w:t xml:space="preserve">   obligado a los indígenas a salir de sus tierras,  por  el  contrario  han</w:t>
        <w:br/>
        <w:t xml:space="preserve">   realizado esfuerzos considerables para buscar otros  lugares  dentro  del</w:t>
        <w:br/>
        <w:t xml:space="preserve">   territorio  ancestral”.   Enfatizó   que   no   era   posible   imputarle</w:t>
        <w:br/>
        <w:t xml:space="preserve">   responsabilidad en relación con los fallecimientos aducidos.</w:t>
        <w:br/>
        <w:br/>
        <w:br/>
        <w:t>186. La Corte ha señalado que el derecho a la  vida  es  un  derecho  humano</w:t>
        <w:br/>
        <w:t xml:space="preserve">   fundamental, cuyo goce pleno es un  prerrequisito  para  el  disfrute  de</w:t>
        <w:br/>
        <w:t xml:space="preserve">   todos los demásderechos humanos[192]. De  no  ser  respetado,  todos  los</w:t>
        <w:br/>
        <w:t xml:space="preserve">   derechos  carecen  de  sentido.  En  razón  de  dicho  carácter,  no  son</w:t>
        <w:br/>
        <w:t xml:space="preserve">   admisibles enfoques restrictivos del mismo[193].</w:t>
        <w:br/>
        <w:br/>
        <w:br/>
        <w:t>187. Por tal razón, los  Estados  tienen  la  obligación  de  garantizar  la</w:t>
        <w:br/>
        <w:t xml:space="preserve">   creación de las condiciones que se requieran para  que  no  se  produzcan</w:t>
        <w:br/>
        <w:t xml:space="preserve">   violaciones de ese derecho y, en particular, el deber de impedir que  sus</w:t>
        <w:br/>
        <w:t xml:space="preserve">   agentes atenten contra él. La observancia del artículo 4, relacionado con</w:t>
        <w:br/>
        <w:t xml:space="preserve">   el artículo 1.1 de la Convención, no sólo presupone que  ninguna  persona</w:t>
        <w:br/>
        <w:t xml:space="preserve">   sea privada de su vida arbitrariamente (obligación  negativa),  sino  que</w:t>
        <w:br/>
        <w:t xml:space="preserve">   además requiere que los Estados adopten todas las medidas apropiadas para</w:t>
        <w:br/>
        <w:t xml:space="preserve">   proteger y preservar el derecho a  la  vida  (obligación  positiva)[194],</w:t>
        <w:br/>
        <w:t xml:space="preserve">   conforme  al  deber  de  garantizar  el  pleno  y  libre  ejercicio,  sin</w:t>
        <w:br/>
        <w:t xml:space="preserve">   discriminación,  de  los  derechos  de  todas  las   personas   bajo   su</w:t>
        <w:br/>
        <w:t xml:space="preserve">   jurisdicción[195].</w:t>
        <w:br/>
        <w:br/>
        <w:br/>
        <w:t>188. El Tribunal ha sido enfático en que un Estado no puede ser  responsable</w:t>
        <w:br/>
        <w:t xml:space="preserve">   por cualquier situación de riesgo al  derecho  a  la  vida.  Teniendo  en</w:t>
        <w:br/>
        <w:t xml:space="preserve">   cuenta las dificultades  que  implica  la  planificación  y  adopción  de</w:t>
        <w:br/>
        <w:t xml:space="preserve">   políticas públicas y las elecciones de carácter operativo que  deben  ser</w:t>
        <w:br/>
        <w:t xml:space="preserve">   tomadas en función de prioridades y recursos, las obligaciones  positivas</w:t>
        <w:br/>
        <w:t xml:space="preserve">   del Estado  deben  interpretarse  de  forma  que  no  se  imponga  a  las</w:t>
        <w:br/>
        <w:t xml:space="preserve">   autoridades una carga imposible o desproporcionada[196]. Para  que  surja</w:t>
        <w:br/>
        <w:t xml:space="preserve">   esta obligación positiva, debe establecerse que al momento de los  hechos</w:t>
        <w:br/>
        <w:t xml:space="preserve">   las autoridades sabían o debían saber de la existencia de  una  situación</w:t>
        <w:br/>
        <w:t xml:space="preserve">   de riesgo real e inmediato para la  vida  de  un  individuo  o  grupo  de</w:t>
        <w:br/>
        <w:t xml:space="preserve">   individuos determinados, y no tomaron las medidas necesarias  dentro  del</w:t>
        <w:br/>
        <w:t xml:space="preserve">   ámbito de sus atribuciones que, juzgadas razonablemente, podían esperarse</w:t>
        <w:br/>
        <w:t xml:space="preserve">   para prevenir o evitar ese riesgo[197].</w:t>
        <w:br/>
        <w:br/>
        <w:br/>
        <w:t>189. En el presente caso el 11 de junio de 1991[198] y el 22  de  septiembre</w:t>
        <w:br/>
        <w:t xml:space="preserve">   de 1992[199] funcionarios del INDI  constataron  el  estado  de  especial</w:t>
        <w:br/>
        <w:t xml:space="preserve">   vulnerabilidad en que se encontraban los miembros de la Comunidad, al  no</w:t>
        <w:br/>
        <w:t xml:space="preserve">   tener la titularidad de sus tierras. El  11  de  noviembre  de  1993  los</w:t>
        <w:br/>
        <w:t xml:space="preserve">   líderes indígenas reiteraron al IBR que su solicitud  de  reclamación  de</w:t>
        <w:br/>
        <w:t xml:space="preserve">   tierras era prioritaria debido a que “estab[an] viviendo  en  condiciones</w:t>
        <w:br/>
        <w:t xml:space="preserve">   sumamente difíciles y precarias  y  no  sab[ían]  hasta  cuando  pod[ían]</w:t>
        <w:br/>
        <w:t xml:space="preserve">   aguantar”[200].</w:t>
        <w:br/>
        <w:br/>
        <w:br/>
        <w:t>190. La Fiscalía de lo Laboral en Primer Turno  realizó  una  inspección  en</w:t>
        <w:br/>
        <w:t xml:space="preserve">   las Estancias Salazar,  Cora-í  y  Maroma.  Esta  Fiscalía  constató  “la</w:t>
        <w:br/>
        <w:t xml:space="preserve">   precaria situación en que vivía[n los miembros de la Comunidad]  […],  no</w:t>
        <w:br/>
        <w:t xml:space="preserve">   habiendo condiciones mínimas de higiene, abrigo  y  espacio  conforme  al</w:t>
        <w:br/>
        <w:t xml:space="preserve">   número de moradores, así como también [las] casas  […]  no  contaban  con</w:t>
        <w:br/>
        <w:t xml:space="preserve">   paredes compactas y techos con tejar y fueron construidas  de  forma  tal</w:t>
        <w:br/>
        <w:t xml:space="preserve">   que atentan contra la integridad física y la salud de los indígenas,  los</w:t>
        <w:br/>
        <w:t xml:space="preserve">   pisos [eran] de  tierr[a]”[201].  Asimismo,  dicho  informe  indicó  “que</w:t>
        <w:br/>
        <w:t xml:space="preserve">   reci[bieron] raciones […] en forma muy reducida”[202]. En dicha visita se</w:t>
        <w:br/>
        <w:t xml:space="preserve">   verificaron las irregularidades en materia  de  explotación  laboral  que</w:t>
        <w:br/>
        <w:t xml:space="preserve">   sufrían los miembros de la Comunidad.</w:t>
        <w:br/>
        <w:br/>
        <w:br/>
        <w:t>191. El 17 de abril de 2009 la Presidencia de la República y  el  Ministerio</w:t>
        <w:br/>
        <w:t xml:space="preserve">   de Educación y Cultura emitieron el Decreto No.  1830[203],  mediante  el</w:t>
        <w:br/>
        <w:t xml:space="preserve">   cual se declaró en estado de emergencia a dos comunidades indígenas[204],</w:t>
        <w:br/>
        <w:t xml:space="preserve">   una de ellas la Comunidad  Xákmok  Kásek.  El  Decreto  No.  1830  en  lo</w:t>
        <w:br/>
        <w:t xml:space="preserve">   pertinente señala que:</w:t>
        <w:br/>
        <w:br/>
        <w:br/>
        <w:t xml:space="preserve">      estas Comunidades se hallan  privadas  del  acceso  a  los  medios  de</w:t>
        <w:br/>
        <w:t xml:space="preserve">      subsistencia tradicionales ligados a su identidad colonial, dentro  de</w:t>
        <w:br/>
        <w:t xml:space="preserve">      los territorios reclamados como parte de sus territorios  ancestrales,</w:t>
        <w:br/>
        <w:t xml:space="preserve">      por situaciones ajenas a su voluntad […] [por lo que se] dificulta  el</w:t>
        <w:br/>
        <w:t xml:space="preserve">      normal desenvolvimiento de la vida de dichas comunidades […], en razón</w:t>
        <w:br/>
        <w:t xml:space="preserve">      de la falta de medios de alimentación y de asistencia médica –mínimo e</w:t>
        <w:br/>
        <w:t xml:space="preserve">      indispensables, lo cual es una preocupación del Gobierno que exige una</w:t>
        <w:br/>
        <w:t xml:space="preserve">      respuesta urgente a los mismos […].</w:t>
        <w:br/>
        <w:br/>
        <w:br/>
        <w:t xml:space="preserve">      [Consecuentemente, dispuso que]</w:t>
        <w:br/>
        <w:br/>
        <w:br/>
        <w:t xml:space="preserve">      el [INDI] conjuntamente con la Secretaría de Emergencia Nacional y  el</w:t>
        <w:br/>
        <w:t xml:space="preserve">      Ministerio de Salud  Pública  y  Bienestar  Social  [,]  ejecuten  las</w:t>
        <w:br/>
        <w:t xml:space="preserve">      acciones que correspondan para  la  inmediata  provisión  de  atención</w:t>
        <w:br/>
        <w:t xml:space="preserve">      médica y alimentaria a  las  familias  integrantes  de  [la  Comunidad</w:t>
        <w:br/>
        <w:t xml:space="preserve">      Xákmok Kásek], durante el tiempo que duren los trámites  judiciales  y</w:t>
        <w:br/>
        <w:t xml:space="preserve">      administrativos  referente[s]  a  la  legalización  de   las   tierras</w:t>
        <w:br/>
        <w:t xml:space="preserve">      reclamadas como parte del hábitat tradicional de [la misma][205].</w:t>
        <w:br/>
        <w:br/>
        <w:br/>
        <w:t>192. En suma, en el presente caso las autoridades internas  conocían  de  la</w:t>
        <w:br/>
        <w:t xml:space="preserve">   existencia de una situación de riesgo real e inmediato para  la  vida  de</w:t>
        <w:br/>
        <w:t xml:space="preserve">   los miembros de la Comunidad. Consecuentemente, surgieron para el  Estado</w:t>
        <w:br/>
        <w:t xml:space="preserve">   determinadas obligaciones de prevención que lo obligaban –conforme  a  la</w:t>
        <w:br/>
        <w:t xml:space="preserve">   Convención Americana (artículo 4, en relación con el artículo 1.1) y a su</w:t>
        <w:br/>
        <w:t xml:space="preserve">   propio derecho interno (Decreto No. 1830)- a la adopción de  las  medidas</w:t>
        <w:br/>
        <w:t xml:space="preserve">   necesarias que, juzgadas razonablemente, eran de esperarse para  prevenir</w:t>
        <w:br/>
        <w:t xml:space="preserve">   o evitar ese riesgo.</w:t>
        <w:br/>
        <w:br/>
        <w:br/>
        <w:t>193. De conformidad con lo anterior,  la  Corte  debe  valorar  las  medidas</w:t>
        <w:br/>
        <w:t xml:space="preserve">   adoptadas por el Estado para cumplir con su deber de garantía del derecho</w:t>
        <w:br/>
        <w:t xml:space="preserve">   a la vida de los miembros de la Comunidad Xákmok  Kásek.  Para  ello,  la</w:t>
        <w:br/>
        <w:t xml:space="preserve">   Corte analizará la presunta violación de dicho derecho en  dos  acápites:</w:t>
        <w:br/>
        <w:t xml:space="preserve">   1) el  derecho  a  la  vida  digna,  y  2)  la  presunta  responsabilidad</w:t>
        <w:br/>
        <w:t xml:space="preserve">   internacional del Estado por los alegados fallecimientos.</w:t>
        <w:br/>
        <w:br/>
        <w:br/>
        <w:t xml:space="preserve">      1.    El derecho a la vida digna</w:t>
        <w:br/>
        <w:br/>
        <w:br/>
        <w:t xml:space="preserve">           1.1.  Acceso y calidad del agua</w:t>
        <w:br/>
        <w:br/>
        <w:br/>
        <w:t>194. De acuerdo a lo manifestado por el señor Pablo Balmaceda desde  el  año</w:t>
        <w:br/>
        <w:t xml:space="preserve">   2003 los miembros de la Comunidad no tenían servicio de  distribución  de</w:t>
        <w:br/>
        <w:t xml:space="preserve">   agua[206]. De la evidencia aportada se desprende que a partir de abril de</w:t>
        <w:br/>
        <w:t xml:space="preserve">   2009[207], en virtud del Decreto No. 1830, el Estado  suministró  agua  a</w:t>
        <w:br/>
        <w:t xml:space="preserve">   los miembros de  la  Comunidad  asentados  en  “25  de  Febrero”  en  las</w:t>
        <w:br/>
        <w:t xml:space="preserve">   siguientes cantidades: 10.000 litros el 23 de abril de 2009[208],  20.000</w:t>
        <w:br/>
        <w:t xml:space="preserve">   litros el 3 de julio de 2009[209], 14.000  litros  el  14  de  agosto  de</w:t>
        <w:br/>
        <w:t xml:space="preserve">   2009[210] y 20.000 litros el 10 de agosto de 2009[211]. El Estado  indicó</w:t>
        <w:br/>
        <w:t xml:space="preserve">   que el 5 de febrero de 2010 había entregado cinco tajamares de 6000 m3  a</w:t>
        <w:br/>
        <w:t xml:space="preserve">   la Comunidad[212].</w:t>
        <w:br/>
        <w:br/>
        <w:br/>
        <w:t>195. La Corte observa que el agua suministrada por  el  Estado  durante  los</w:t>
        <w:br/>
        <w:t xml:space="preserve">   meses de mayo a agosto de 2009 no supera más de 2.17 litros  por  persona</w:t>
        <w:br/>
        <w:t xml:space="preserve">   al día[213]. Al respecto, de acuerdo a los estándares internacionales  la</w:t>
        <w:br/>
        <w:t xml:space="preserve">   mayoría de las personas requiere mínimo de 7.5 litros por persona por día</w:t>
        <w:br/>
        <w:t xml:space="preserve">   para satisfacer el conjunto  de  las  necesidades  básicas,  que  incluye</w:t>
        <w:br/>
        <w:t xml:space="preserve">   alimentación e higiene[214]. Además, según los estándares internacionales</w:t>
        <w:br/>
        <w:t xml:space="preserve">   el agua debe ser de una calidad que  represente  un  nivel  tolerable  de</w:t>
        <w:br/>
        <w:t xml:space="preserve">   riesgo. Bajo los estándares indicados, el Estado  no  ha  demostrado  que</w:t>
        <w:br/>
        <w:t xml:space="preserve">   esté  brindando  agua  en  cantidad   suficiente   para   garantizar   un</w:t>
        <w:br/>
        <w:t xml:space="preserve">   abastecimiento para los mínimos requerimientos. Es más, el Estado  no  ha</w:t>
        <w:br/>
        <w:t xml:space="preserve">   remitido prueba actualizada sobre el suministro de agua  durante  el  año</w:t>
        <w:br/>
        <w:t xml:space="preserve">   2010, ni tampoco ha demostrado que los miembros de  la  Comunidad  tengan</w:t>
        <w:br/>
        <w:t xml:space="preserve">   acceso a fuentes seguras de agua en el asentamiento “25 de Febrero” donde</w:t>
        <w:br/>
        <w:t xml:space="preserve">   se encuentran radicados actualmente. Por el contrario,  en  declaraciones</w:t>
        <w:br/>
        <w:t xml:space="preserve">   rendidas en la audiencia pública  miembros  de  la  Comunidad  indicaron,</w:t>
        <w:br/>
        <w:t xml:space="preserve">   respecto al suministro de agua, que “actualmente si es que  se  pide,  no</w:t>
        <w:br/>
        <w:t xml:space="preserve">   cumple, a veces se tarda mucho, a veces no hay más agua”, y que “sufr[en]</w:t>
        <w:br/>
        <w:t xml:space="preserve">   mucho por la sequía, porque donde [se] muda[ron, en “25 de  Febrero”]  no</w:t>
        <w:br/>
        <w:t xml:space="preserve">   hay tajamar, no hay lagunas, nada, solamente  hay  bosque  y  eso  es  lo</w:t>
        <w:br/>
        <w:t xml:space="preserve">   más”[215] e indicaron que durante los períodos  de  sequía  acuden  a  un</w:t>
        <w:br/>
        <w:t xml:space="preserve">   tajamar ubicado aproximadamente a 7 kilómetros de distancia[216].</w:t>
        <w:br/>
        <w:br/>
        <w:br/>
        <w:t>196. Por consiguiente, la Corte considera que las gestiones  que  el  Estado</w:t>
        <w:br/>
        <w:t xml:space="preserve">   ha realizado a partir del Decreto No. 1830 no han sido  suficientes  para</w:t>
        <w:br/>
        <w:t xml:space="preserve">   proveer a los miembros de la Comunidad de agua en cantidad  suficiente  y</w:t>
        <w:br/>
        <w:t xml:space="preserve">   calidad adecuada, lo cual los expone a riesgos y enfermedades.</w:t>
        <w:br/>
        <w:br/>
        <w:br/>
        <w:t xml:space="preserve">           1.2.  Alimentación</w:t>
        <w:br/>
        <w:br/>
        <w:br/>
        <w:t>197. En  cuanto  al  acceso  a  alimentos,  los  miembros  de  la  Comunidad</w:t>
        <w:br/>
        <w:t xml:space="preserve">   sufrieron “graves restricciones […] por parte de los titulares  de  [las]</w:t>
        <w:br/>
        <w:t xml:space="preserve">   tierras [reclamadas]. Una de ellas fue la de no poder contar con hacienda</w:t>
        <w:br/>
        <w:t xml:space="preserve">   propia (ganado vacuno o de otra índole) por prohibición del  patrón,  [y]</w:t>
        <w:br/>
        <w:t xml:space="preserve">   se les prohibió cultivar [y cazar]”[217] (supra  párrs.  74  y  75).  Por</w:t>
        <w:br/>
        <w:t xml:space="preserve">   ello, las fuentes de alimento disponibles eran limitadas[218]. A su  vez,</w:t>
        <w:br/>
        <w:t xml:space="preserve">   la dieta alimentaria era limitada y pobre[219].  De  otro  lado,  si  los</w:t>
        <w:br/>
        <w:t xml:space="preserve">   miembros de la Comunidad tenían dinero, podían comprar algunos  alimentos</w:t>
        <w:br/>
        <w:t xml:space="preserve">   en la Estancia o a los camiones de alimentos en la  ruta  Traschaco.  Sin</w:t>
        <w:br/>
        <w:t xml:space="preserve">   embargo,  estas  opciones   dependían   de   su   restringida   capacidad</w:t>
        <w:br/>
        <w:t xml:space="preserve">   adquisitiva[220].</w:t>
        <w:br/>
        <w:br/>
        <w:br/>
        <w:t>198. El Tribunal no desconoce que en cumplimiento del Decreto  No.  1830  el</w:t>
        <w:br/>
        <w:t xml:space="preserve">   Estado ha realizado al menos ocho entregas de  alimentos[221]  entre  los</w:t>
        <w:br/>
        <w:t xml:space="preserve">   meses de mayo y noviembre de 2009 y entre febrero y marzo de 2010, y  que</w:t>
        <w:br/>
        <w:t xml:space="preserve">   en cada una se suministraron a los miembros  de  la  Comunidad  kits  con</w:t>
        <w:br/>
        <w:t xml:space="preserve">   raciones de  alimentos[222].  Sin  embargo,  la  Corte  debe  valorar  la</w:t>
        <w:br/>
        <w:t xml:space="preserve">   accesibilidad, disponibilidad y sostenibilidad[223]  de  la  alimentación</w:t>
        <w:br/>
        <w:t xml:space="preserve">   otorgada a los miembros de la Comunidad y  determinar  si  la  asistencia</w:t>
        <w:br/>
        <w:t xml:space="preserve">   brindada  satisface  los  requerimientos  básicos  de  una   alimentación</w:t>
        <w:br/>
        <w:t xml:space="preserve">   adecuada[224].</w:t>
        <w:br/>
        <w:br/>
        <w:br/>
        <w:t>199. Al respecto, el Estado indicó  que  “se  ha  previsto  que  el  kit  de</w:t>
        <w:br/>
        <w:t xml:space="preserve">   alimentos  de  47  kilos  alcance  un  mes,  entregándose  un   kit   por</w:t>
        <w:br/>
        <w:t xml:space="preserve">   familia”[225]. No obstante, la entrega de los alimentos es inconsistente,</w:t>
        <w:br/>
        <w:t xml:space="preserve">   las   raciones    alimentarias    suministradas    tienen    deficiencias</w:t>
        <w:br/>
        <w:t xml:space="preserve">   nutricionales[226], la mayoría de los miembros de la  Comunidad  consumen</w:t>
        <w:br/>
        <w:t xml:space="preserve">   un sólo alimento al día, básicamente arroz o fideo, y sólo raras veces es</w:t>
        <w:br/>
        <w:t xml:space="preserve">   complementado “con  frutas,  batata,  pescado  o  carne  producto  de  la</w:t>
        <w:br/>
        <w:t xml:space="preserve">   caza”[227]. En este aspecto son concluyentes el  informe  referido  a  la</w:t>
        <w:br/>
        <w:t xml:space="preserve">   salubridad en la Comunidad, que reveló  en  2007  que  el  “17.9%  de  la</w:t>
        <w:br/>
        <w:t xml:space="preserve">   muestra (edades entre 2 a 10 años) presentaron cierto grado de  severidad</w:t>
        <w:br/>
        <w:t xml:space="preserve">   de bajo peso”[228], y lo declarado por el perito Pablo Balmaceda respecto</w:t>
        <w:br/>
        <w:t xml:space="preserve">   a que la mala nutrición se evidencia “por la baja estatura”[229].  En  el</w:t>
        <w:br/>
        <w:t xml:space="preserve">   mismo sentido, las presuntas víctimas declararon que si  bien  es  cierto</w:t>
        <w:br/>
        <w:t xml:space="preserve">   que el Estado ha brindado algunos alimentos, “no es a menudo que  reciben</w:t>
        <w:br/>
        <w:t xml:space="preserve">   los víveres”[230] e indicaron que “la alimentación no es adecuada” y  que</w:t>
        <w:br/>
        <w:t xml:space="preserve">   “hay poca alimentación”[231].</w:t>
        <w:br/>
        <w:br/>
        <w:br/>
        <w:t>200. La Corte nota que el total de  provisiones  alimentarias  suministradas</w:t>
        <w:br/>
        <w:t xml:space="preserve">   entre el período de 12 de mayo de 2009 y el 4 de marzo de  2010,  fue  de</w:t>
        <w:br/>
        <w:t xml:space="preserve">   23.554 kilos[232], con base en dicho dato se deduce que  la  cantidad  de</w:t>
        <w:br/>
        <w:t xml:space="preserve">   alimentos brindados por el Estado correspondería aproximadamente  a  0.29</w:t>
        <w:br/>
        <w:t xml:space="preserve">   kg. de alimentos por persona por  día,  teniendo  en  cuenta  los  censos</w:t>
        <w:br/>
        <w:t xml:space="preserve">   aportados[233]. En consecuencia, el Tribunal estima que  la  cantidad  de</w:t>
        <w:br/>
        <w:t xml:space="preserve">   provisiones alimentarias es insuficiente para satisfacer medianamente las</w:t>
        <w:br/>
        <w:t xml:space="preserve">   necesidades básicas diarias de alimentación de cualquier persona[234].</w:t>
        <w:br/>
        <w:br/>
        <w:br/>
        <w:t>201. La inadecuada nutrición de los miembros de la Comunidad ha  repercutido</w:t>
        <w:br/>
        <w:t xml:space="preserve">   en el crecimiento de los niños, pues “la prevalencia mínima de atrofia de</w:t>
        <w:br/>
        <w:t xml:space="preserve">   crecimiento fue de 32.2% […], más  del  doble  de  lo  esperado  para  la</w:t>
        <w:br/>
        <w:t xml:space="preserve">   población de referencia (15.9%)”[235]. Igualmente, el promotor  de  salud</w:t>
        <w:br/>
        <w:t xml:space="preserve">   de la Comunidad  indicó  que  al  menos  “el  90%  de  los  niños  tienen</w:t>
        <w:br/>
        <w:t xml:space="preserve">   desnutrición”[236].</w:t>
        <w:br/>
        <w:br/>
        <w:br/>
        <w:t>202. Consecuentemente, a pesar  de  lo  demostrado  por  el  Estado,  no  se</w:t>
        <w:br/>
        <w:t xml:space="preserve">   evidencia  que  con  la  asistencia  brindada  se  hayan   superado   las</w:t>
        <w:br/>
        <w:t xml:space="preserve">   necesidades nutricionales que,  con  anterioridad  al  Decreto  No.  1830</w:t>
        <w:br/>
        <w:t xml:space="preserve">   (supra párr. 191) existían.</w:t>
        <w:br/>
        <w:br/>
        <w:br/>
        <w:t xml:space="preserve">           1.3.  Salud</w:t>
        <w:br/>
        <w:br/>
        <w:br/>
        <w:t>203. En cuanto al acceso a servicios de salud, la  Comisión  alegó  que  los</w:t>
        <w:br/>
        <w:t xml:space="preserve">   niños “padecen de desnutrición” y los demás miembros en  general  padecen</w:t>
        <w:br/>
        <w:t xml:space="preserve">   de enfermedades como  tuberculosis,  diarreas,  mal  de  Chagas  y  otras</w:t>
        <w:br/>
        <w:t xml:space="preserve">   epidemias ocasionales. Asimismo, indicó que la Comunidad no ha tenido una</w:t>
        <w:br/>
        <w:t xml:space="preserve">   asistencia  médica  adecuada  y  los  niños  no   reciben   las   vacunas</w:t>
        <w:br/>
        <w:t xml:space="preserve">   correspondientes. Los representantes coincidieron con lo alegado  por  la</w:t>
        <w:br/>
        <w:t xml:space="preserve">   Comisión y aclararon que el nuevo asentamiento, aldea “25 de Febrero”, se</w:t>
        <w:br/>
        <w:t xml:space="preserve">   ubica a 75 kilómetros del centro de salud más cercano, el  cual  funciona</w:t>
        <w:br/>
        <w:t xml:space="preserve">   “de  manera  deficiente  y  sin  contar  con  un  vehículo   que   pueda,</w:t>
        <w:br/>
        <w:t xml:space="preserve">   eventualmente, llegar a la [C]omunidad”. Por ende, “los  enfermos  graves</w:t>
        <w:br/>
        <w:t xml:space="preserve">   deben ser atendidos en el Hospital de la ciudad de Limpio,  que  dista  a</w:t>
        <w:br/>
        <w:t xml:space="preserve">   más de 400 km. del asentamiento  de  la  [C]omunidad  y  cuyo  pasaje  en</w:t>
        <w:br/>
        <w:t xml:space="preserve">   colectivo está fuera del  alcance  económico”,  de  los  miembros  de  la</w:t>
        <w:br/>
        <w:t xml:space="preserve">   Comunidad.</w:t>
        <w:br/>
        <w:br/>
        <w:br/>
        <w:t>204. El Estado afirmó que los “líderes de Xákmok Kásek  han  sido  atendidos</w:t>
        <w:br/>
        <w:t xml:space="preserve">   en sus reclamos de medicamentos  y  atención  médica”  e  indicó  que  el</w:t>
        <w:br/>
        <w:t xml:space="preserve">   servicio público de salud en el Paraguay es gratuito. Informó  que  desde</w:t>
        <w:br/>
        <w:t xml:space="preserve">   octubre de 2009 el Estado contrató una Promotora de Salud  Indígena  para</w:t>
        <w:br/>
        <w:t xml:space="preserve">   que preste servicios a la Comunidad y fue asignada una Unidad de Salud de</w:t>
        <w:br/>
        <w:t xml:space="preserve">   la Familia[237]. Adicionalmente, indicó  que  había  dado  asistencia  en</w:t>
        <w:br/>
        <w:t xml:space="preserve">   materia de salud a la Comunidad en su hábitat y que la Dirección  General</w:t>
        <w:br/>
        <w:t xml:space="preserve">   de Vulnerables realizaba la asistencia médica y la política  de  salud  a</w:t>
        <w:br/>
        <w:t xml:space="preserve">   ser implementada.</w:t>
        <w:br/>
        <w:br/>
        <w:br/>
        <w:t>205. Del expediente se desprende que con anterioridad al Decreto  No.  1830,</w:t>
        <w:br/>
        <w:t xml:space="preserve">   los miembros de la Comunidad habían  “recib[ido]  […]  mínima  asistencia</w:t>
        <w:br/>
        <w:t xml:space="preserve">   médica”[238] y los puestos de  salud  eran  muy  distantes  y  limitados.</w:t>
        <w:br/>
        <w:t xml:space="preserve">   Además, por años “no se recib[ió asistencia] médica y vacunación  general</w:t>
        <w:br/>
        <w:t xml:space="preserve">   de los niños”[239]. En relación  con  el  acceso  a  servicios  de  salud</w:t>
        <w:br/>
        <w:t xml:space="preserve">   “[s]ólo  los  que  trabajan  en  las  estancias   [podían]   acceder   al</w:t>
        <w:br/>
        <w:t xml:space="preserve">   [Institución Prestadora de Salud], y  aún  [así]  el  usufructo  de  este</w:t>
        <w:br/>
        <w:t xml:space="preserve">   seguro no se puede efectivizar puesto que no se entregan las  tarjetas  o</w:t>
        <w:br/>
        <w:t xml:space="preserve">   no se disponen de recursos para llegar y permanecer  en  el  Hospital  de</w:t>
        <w:br/>
        <w:t xml:space="preserve">   Loma Plata, que es el más cercano”[240]. Además, “un censo sanitario  del</w:t>
        <w:br/>
        <w:t xml:space="preserve">   Servicio Nacional de Salud – SENASA (1993),  […]  comprobó  que  un  gran</w:t>
        <w:br/>
        <w:t xml:space="preserve">   porcentaje de la población presente de Xákmok Kásek,  era  portadora  del</w:t>
        <w:br/>
        <w:t xml:space="preserve">   virus de la enfermedad de Chagas”[241].</w:t>
        <w:br/>
        <w:br/>
        <w:br/>
        <w:t>206. En cuanto a las condiciones  actuales,  la  Corte  ha  constado  que  a</w:t>
        <w:br/>
        <w:t xml:space="preserve">   partir del 2 de noviembre de 2009 se contrató a una agente comunitaria de</w:t>
        <w:br/>
        <w:t xml:space="preserve">   salud indígena[242]. Además, con posterioridad a la emisión  del  Decreto</w:t>
        <w:br/>
        <w:t xml:space="preserve">   No. 1830 el 17 de abril de 2009, el Estado ha realizado  un  total  de  9</w:t>
        <w:br/>
        <w:t xml:space="preserve">   jornadas a la Comunidad[243],  en  las  cuales  han  sido  atendidas  474</w:t>
        <w:br/>
        <w:t xml:space="preserve">   consultas, brindándose tratamientos y medicamentos en algunos casos[244].</w:t>
        <w:br/>
        <w:t xml:space="preserve">   Asimismo, el Estado remitió documentación de un Proyecto de  construcción</w:t>
        <w:br/>
        <w:t xml:space="preserve">   de un Dispensario Médico para  la  Comunidad,  el  cual  tiene  un  costo</w:t>
        <w:br/>
        <w:t xml:space="preserve">   estimado de Gs. 120.000.000 (ciento veinte millones de guaraníes)[245].</w:t>
        <w:br/>
        <w:br/>
        <w:br/>
        <w:t>207. Sin embargo, según Marcelino Lopez, líder de la  Comunidad,  y  Gerardo</w:t>
        <w:br/>
        <w:t xml:space="preserve">   Larrosa, promotor de salud de la Comunidad, el tema de salud es  bastante</w:t>
        <w:br/>
        <w:t xml:space="preserve">   crítico. Indicaron que “hay indígenas que mueren por falta  de  medio  de</w:t>
        <w:br/>
        <w:t xml:space="preserve">   transporte [o] por falta de medicamentos”[246] y su percepción es que “la</w:t>
        <w:br/>
        <w:t xml:space="preserve">   mayoría de los indígenas afectados es por causa del […] gobierno”  [247].</w:t>
        <w:br/>
        <w:t xml:space="preserve">   Específicamente, Gerardo Larrosa señaló que “casi no llega la  asistencia</w:t>
        <w:br/>
        <w:t xml:space="preserve">   de las brigadas médicas,  excepto  en  algunas  ocasiones”,  y  “[n]o  se</w:t>
        <w:br/>
        <w:t xml:space="preserve">   dispone el stock de medicamentos básicos para las  atenciones  primarias,</w:t>
        <w:br/>
        <w:t xml:space="preserve">   ni tampoco un lugar adecuado para el almacenamiento”[248].</w:t>
        <w:br/>
        <w:br/>
        <w:br/>
        <w:t>208.  El  Tribunal  reconoce  los  avances  realizados  por  el  Estado.  No</w:t>
        <w:br/>
        <w:t xml:space="preserve">   obstante, las medidas adoptadas a partir del Decreto No. 1830 de 2009  se</w:t>
        <w:br/>
        <w:t xml:space="preserve">   caracterizan por ser temporales y transitorias. Además, el Estado  no  ha</w:t>
        <w:br/>
        <w:t xml:space="preserve">   garantizado la accesibilidad física ni geográfica a  establecimientos  de</w:t>
        <w:br/>
        <w:t xml:space="preserve">   salud para los miembros de la Comunidad, y, de la prueba aportada, no  se</w:t>
        <w:br/>
        <w:t xml:space="preserve">   evidencia acciones positivas para garantizar la aceptabilidad  de  dichos</w:t>
        <w:br/>
        <w:t xml:space="preserve">   bienes y servicios, ni que se hayan desarrollado  medidas  educativas  en</w:t>
        <w:br/>
        <w:t xml:space="preserve">   materia  de  salud  que  sean  respetuosas  de  los  usos  y   costumbres</w:t>
        <w:br/>
        <w:t xml:space="preserve">   tradicionales.</w:t>
        <w:br/>
        <w:br/>
        <w:br/>
        <w:t xml:space="preserve">           1.4.  Educación</w:t>
        <w:br/>
        <w:br/>
        <w:br/>
        <w:t>209. En cuanto al acceso a servicios de educación, la Comisión alegó que  el</w:t>
        <w:br/>
        <w:t xml:space="preserve">   Relator de los Pueblos Indígenas de la Comisión Interamericana  “constató</w:t>
        <w:br/>
        <w:t xml:space="preserve">   las precarias condiciones de la escuela donde  asisten  alrededor  de  60</w:t>
        <w:br/>
        <w:t xml:space="preserve">   niños y niñas  de  la  Comunidad”.  Indicó  que  la  “escuela  tiene  una</w:t>
        <w:br/>
        <w:t xml:space="preserve">   superficie aproximada de 25 [m2], sin un techo adecuado que proteja de la</w:t>
        <w:br/>
        <w:t xml:space="preserve">   lluvia y sin piso, no  cuenta  con  escritorios,  sillas,  ni  materiales</w:t>
        <w:br/>
        <w:t xml:space="preserve">   educativos”. Además, señaló que “los niños y las niñas se  ausentan  cada</w:t>
        <w:br/>
        <w:t xml:space="preserve">   vez  más  de  la  escuela  por  falta  de  alimentos  y  de  agua”.   Los</w:t>
        <w:br/>
        <w:t xml:space="preserve">   representantes coincidieron con los hechos alegados  por  la  Comisión  y</w:t>
        <w:br/>
        <w:t xml:space="preserve">   adicionaron que “la enseñanza se imparte en guaraní y en castellano y  no</w:t>
        <w:br/>
        <w:t xml:space="preserve">   en sanapaná o enxet, los idiomas de los miembros de la Comunidad”.</w:t>
        <w:br/>
        <w:br/>
        <w:br/>
        <w:t>210. El Estado indicó que había entregado “materiales didácticos y  merienda</w:t>
        <w:br/>
        <w:t xml:space="preserve">   escolar [a través del] Ministerio de Educación”, y que tiene un “plan  de</w:t>
        <w:br/>
        <w:t xml:space="preserve">   construcción de una escuela en  el  asiento  de  la  Comunidad,  una  vez</w:t>
        <w:br/>
        <w:t xml:space="preserve">   finalizados los  trámites  de  escrituración  de  tierras”.  Sostuvo  que</w:t>
        <w:br/>
        <w:t xml:space="preserve">   realizó un “refuerzo de mobiliarios” en la Escuela Básica  Dora  Kent  de</w:t>
        <w:br/>
        <w:t xml:space="preserve">   Eaton[249]. Asimismo, del acervo probatorio se desprende  que  el  26  de</w:t>
        <w:br/>
        <w:t xml:space="preserve">   octubre de 2009 se realizó  una  jornada  de  capacitación  docente  para</w:t>
        <w:br/>
        <w:t xml:space="preserve">   maestros  que  se  encuentran  trabajando  en  las  escuelas  de   varias</w:t>
        <w:br/>
        <w:t xml:space="preserve">   Comunidades,  entre  ellas  Xákmok  Kásek,  y  la  Dirección  General  de</w:t>
        <w:br/>
        <w:t xml:space="preserve">   Educación Escolar Indígena concluyó que “los  docentes  cuentan  la  gran</w:t>
        <w:br/>
        <w:t xml:space="preserve">   necesidad de seguir capacitándose, en trabajar en la recuperación  de  la</w:t>
        <w:br/>
        <w:t xml:space="preserve">   lengua y la revitalización de la cultura”[250].</w:t>
        <w:br/>
        <w:br/>
        <w:br/>
        <w:t>211. Conforme a los estándares internacionales, los Estados tienen el  deber</w:t>
        <w:br/>
        <w:t xml:space="preserve">   de  garantizar  la  accesibilidad  a  educación  básica  gratuita  y   la</w:t>
        <w:br/>
        <w:t xml:space="preserve">   sostenibilidad de la  misma[251].  En  particular,  cuando  se  trata  de</w:t>
        <w:br/>
        <w:t xml:space="preserve">   satisfacer el derecho a la educación básica en  el  seno  de  comunidades</w:t>
        <w:br/>
        <w:t xml:space="preserve">   indígenas, el Estado debe propiciar dicho  derecho  con  una  perspectiva</w:t>
        <w:br/>
        <w:t xml:space="preserve">   etno-educativa[252]. Lo anterior implica adoptar medidas  positivas  para</w:t>
        <w:br/>
        <w:t xml:space="preserve">   que la educación sea culturalmente aceptable desde una perspectiva étnica</w:t>
        <w:br/>
        <w:t xml:space="preserve">   diferenciada[253].</w:t>
        <w:br/>
        <w:br/>
        <w:br/>
        <w:t>212. En  el  presente  caso,  el  señor  Maximiliano  Ruíz,  docente  en  la</w:t>
        <w:br/>
        <w:t xml:space="preserve">   Comunidad, señaló que hay “85 alumnos […] mayor parte  [pertenecientes  a</w:t>
        <w:br/>
        <w:t xml:space="preserve">   la etnia]  Sanapaná,  pero  se  enseña  el  programa  del  Ministerio  de</w:t>
        <w:br/>
        <w:t xml:space="preserve">   Educación”. Indicó que existe deserción escolar por la situación  en  que</w:t>
        <w:br/>
        <w:t xml:space="preserve">   se encuentran. A pesar de que el señor Maximiliano Ruíz reconoció que  el</w:t>
        <w:br/>
        <w:t xml:space="preserve">   Estado da “meriendas escolares”, indicó que estas son  esporádicas  y  no</w:t>
        <w:br/>
        <w:t xml:space="preserve">   mensuales.</w:t>
        <w:br/>
        <w:br/>
        <w:br/>
        <w:t>213.  De  la  prueba  recaudada,  la  Corte  observa  que  si  bien  algunas</w:t>
        <w:br/>
        <w:t xml:space="preserve">   condiciones en cuanto a la prestación  de  la  educación  por  parte  del</w:t>
        <w:br/>
        <w:t xml:space="preserve">   Estado han mejorado, no existen instalaciones adecuadas para la educación</w:t>
        <w:br/>
        <w:t xml:space="preserve">   de los niños. El propio Estado  anexó  un  conjunto  de  fotos  donde  se</w:t>
        <w:br/>
        <w:t xml:space="preserve">   observa que las clases se desarrollan bajo un techo sin paredes y al aire</w:t>
        <w:br/>
        <w:t xml:space="preserve">   libre[254]. Igualmente no se asegura por parte del Estado ningún tipo  de</w:t>
        <w:br/>
        <w:t xml:space="preserve">   programa para evitar la deserción escolar.</w:t>
        <w:br/>
        <w:br/>
        <w:t xml:space="preserve">                                      *</w:t>
        <w:br/>
        <w:t xml:space="preserve">                                   *     *</w:t>
        <w:br/>
        <w:br/>
        <w:t>214. En suma, este Tribunal destaca que la  asistencia  estatal  brindada  a</w:t>
        <w:br/>
        <w:t xml:space="preserve">   raíz del Decreto No. 1830 de 17 de abril de 2009 no  ha  sido  suficiente</w:t>
        <w:br/>
        <w:t xml:space="preserve">   para superar las condiciones de especial vulnerabilidad que dicho Decreto</w:t>
        <w:br/>
        <w:t xml:space="preserve">   comprobó existían en la Comunidad Xákmok Kásek.</w:t>
        <w:br/>
        <w:br/>
        <w:br/>
        <w:t>215. Esta situación de los  miembros  de  la  Comunidad  está  estrechamente</w:t>
        <w:br/>
        <w:t xml:space="preserve">   vinculada  a  la  falta  de  sus  tierras.  En  efecto,  la  ausencia  de</w:t>
        <w:br/>
        <w:t xml:space="preserve">   posibilidades  de  autoabastecimiento  y   auto-sostenibilidad   de   sus</w:t>
        <w:br/>
        <w:t xml:space="preserve">   miembros, de acuerdo a sus tradiciones ancestrales, los lleva a  depender</w:t>
        <w:br/>
        <w:t xml:space="preserve">   casi exclusivamente de las acciones estatales y verse obligados  a  vivir</w:t>
        <w:br/>
        <w:t xml:space="preserve">   de una forma no solamente distinta a sus pautas culturales,  sino  en  la</w:t>
        <w:br/>
        <w:t xml:space="preserve">   miseria. Así lo indicó Marcelino López,  líder  de  la  Comunidad,  “[s]i</w:t>
        <w:br/>
        <w:t xml:space="preserve">   tenemos nuestra tierra también va a mejorar todo y  sobre  todo  vamos  a</w:t>
        <w:br/>
        <w:t xml:space="preserve">   poder vivir abiertamente como indígenas, de lo contrario será muy difícil</w:t>
        <w:br/>
        <w:t xml:space="preserve">   vivir”[255].</w:t>
        <w:br/>
        <w:br/>
        <w:br/>
        <w:t>216. Debe tenerse en cuenta en este punto que,  tal  y  como  lo  afirma  el</w:t>
        <w:br/>
        <w:t xml:space="preserve">   Comité de Derechos Económicos, Sociales y Culturales de  la  Organización</w:t>
        <w:br/>
        <w:t xml:space="preserve">   de Naciones Unidas, “la pobreza limita gravemente,  en  la  práctica,  la</w:t>
        <w:br/>
        <w:t xml:space="preserve">   capacidad de una persona o un grupo de personas de ejercer el derecho  de</w:t>
        <w:br/>
        <w:t xml:space="preserve">   participar en todos los ámbitos de la vida cultural y de tener  acceso  y</w:t>
        <w:br/>
        <w:t xml:space="preserve">   contribuir a ellos en pie de igualdad y, lo  que  es  más  grave,  afecta</w:t>
        <w:br/>
        <w:t xml:space="preserve">   seriamente su esperanza en el porvenir y su capacidad  para  el  disfrute</w:t>
        <w:br/>
        <w:t xml:space="preserve">   efectivo de su propia cultura”[256].</w:t>
        <w:br/>
        <w:br/>
        <w:br/>
        <w:t>217. En consecuencia, la Corte declara que el  Estado  no  ha  brindado  las</w:t>
        <w:br/>
        <w:t xml:space="preserve">   prestaciones básicas para proteger el derecho a una vida digna  en  estas</w:t>
        <w:br/>
        <w:t xml:space="preserve">   condiciones  de  riesgo  especial,  real  e  inmediato  para   un   grupo</w:t>
        <w:br/>
        <w:t xml:space="preserve">   determinado de personas, lo que constituye una violación del artículo 4.1</w:t>
        <w:br/>
        <w:t xml:space="preserve">   de la Convención, en relación con  el  artículo  1.1.  de  la  misma,  en</w:t>
        <w:br/>
        <w:t xml:space="preserve">   perjuicio de todos los miembros de la Comunidad Xákmok Kásek.</w:t>
        <w:br/>
        <w:br/>
        <w:br/>
        <w:t xml:space="preserve">       2.   Los fallecimientos ocurridos en la Comunidad</w:t>
        <w:br/>
        <w:br/>
        <w:br/>
        <w:t>218.   Los   representantes   solicitaron   que   se   declare   responsable</w:t>
        <w:br/>
        <w:t xml:space="preserve">   internacionalmente al Estado por el fallecimiento de varios  miembros  de</w:t>
        <w:br/>
        <w:t xml:space="preserve">   la Comunidad. En cambio, la Comisión indicó que “carec[ía]  de  elementos</w:t>
        <w:br/>
        <w:t xml:space="preserve">   para  determinar  si  cada  una  de  las  muertes   descritas   por   los</w:t>
        <w:br/>
        <w:t xml:space="preserve">   representantes esta[ba] indirectamente relacionada con la posibilidad  de</w:t>
        <w:br/>
        <w:t xml:space="preserve">   la Comunidad Xákmok Kásek de  acceder  a  su  territorio  ancestral”.  El</w:t>
        <w:br/>
        <w:t xml:space="preserve">   Estado objetó que no podía declararse su responsabilidad internacional  y</w:t>
        <w:br/>
        <w:t xml:space="preserve">   se opuso a lo alegado por los representantes.</w:t>
        <w:br/>
        <w:br/>
        <w:br/>
        <w:t>219. La Comisión presentó tres listados en  su  demanda  que  contienen  los</w:t>
        <w:br/>
        <w:t xml:space="preserve">   nombres de varias personas fallecidas en la Comunidad. De otra parte  los</w:t>
        <w:br/>
        <w:t xml:space="preserve">   representantes presentaron un  listado  que  contiene  el  nombre  de  44</w:t>
        <w:br/>
        <w:t xml:space="preserve">   personas, de las cuales 38 coinciden  con  el  listado  indicado  por  la</w:t>
        <w:br/>
        <w:t xml:space="preserve">   Comisión[257], y resaltaron que “podrían haber  más  fallecidos  que  los</w:t>
        <w:br/>
        <w:t xml:space="preserve">   presentados por la [Comisión]” o incluso que los presentados por ellos.</w:t>
        <w:br/>
        <w:br/>
        <w:br/>
        <w:t>220. En cuanto a la prueba que respalda la causa probable de  la  muerte  de</w:t>
        <w:br/>
        <w:t xml:space="preserve">   las personas fallecidas, la fecha de  la  misma  y  los  datos  sobre  la</w:t>
        <w:br/>
        <w:t xml:space="preserve">   atención médica previa, el Estado sostuvo que el testimonio pericial  del</w:t>
        <w:br/>
        <w:t xml:space="preserve">   señor Pablo Balmaceda “carece de la seriedad y la  fundamentación  propia</w:t>
        <w:br/>
        <w:t xml:space="preserve">   necesarias para un estudio de esa envergadura”, agregó que “no  contempla</w:t>
        <w:br/>
        <w:t xml:space="preserve">   el basamento documental requerido, siendo  que  no  se  acompañan  ni  se</w:t>
        <w:br/>
        <w:t xml:space="preserve">   refieren certificados de defunción, protocolos de  autopsia  o  cualquier</w:t>
        <w:br/>
        <w:t xml:space="preserve">   otra documentación pertinente que evidencia el fallecimiento y las causas</w:t>
        <w:br/>
        <w:t xml:space="preserve">   de muerte”.</w:t>
        <w:br/>
        <w:br/>
        <w:br/>
        <w:t>221. El señor Pablo Balmaceda, al rendir su declaración, aclaró que  le  fue</w:t>
        <w:br/>
        <w:t xml:space="preserve">   difícil “recoger los datos sobre las muertes, [puesto que] no hay lugares</w:t>
        <w:br/>
        <w:t xml:space="preserve">   en donde se puedan inscribir los nacidos  ni  mucho  menos  los  muertos,</w:t>
        <w:br/>
        <w:t xml:space="preserve">   entonces solamente estaba en la memoria  de  la  Comunidad,  el  recuerdo</w:t>
        <w:br/>
        <w:t xml:space="preserve">   sobre  estas  personas”.  El  experto  además  agregó  que  su   peritaje</w:t>
        <w:br/>
        <w:t xml:space="preserve">   corroboraba “los datos epidemiológicos que existen,  que  se  manejan  en</w:t>
        <w:br/>
        <w:t xml:space="preserve">   Paraguay, en que la  población  indígena  tiene  peores  coeficientes  de</w:t>
        <w:br/>
        <w:t xml:space="preserve">   salud”.  Finalmente,  los  representantes   remitieron   dos   actas   de</w:t>
        <w:br/>
        <w:t xml:space="preserve">   defunción[258], las cuales son consistentes con lo informado  previamente</w:t>
        <w:br/>
        <w:t xml:space="preserve">   por ellos.</w:t>
        <w:br/>
        <w:br/>
        <w:br/>
        <w:t>222. Ante la ausencia de prueba documental contraria a la  procurada  en  el</w:t>
        <w:br/>
        <w:t xml:space="preserve">   procedimiento ante la Corte –es decir el peritaje del señor Balmaceda, el</w:t>
        <w:br/>
        <w:t xml:space="preserve">   informe médico-sanitario sobre la Comunidad realizado en 2002 y 2003[259]</w:t>
        <w:br/>
        <w:t xml:space="preserve">   y las dos actas de defunción remitidas por los representantes- y teniendo</w:t>
        <w:br/>
        <w:t xml:space="preserve">   en cuenta la desatención estatal en materia de salud que ha sido  probada</w:t>
        <w:br/>
        <w:t xml:space="preserve">   (supra párrs. 205, 207 y 208), así  como  la  inexistencia  de  registros</w:t>
        <w:br/>
        <w:t xml:space="preserve">   estatales  sobre  dichos  datos  (infra   párrs.   252   y   253),   cuya</w:t>
        <w:br/>
        <w:t xml:space="preserve">   responsabilidad es del Estado, el Tribunal considerará ciertos los hechos</w:t>
        <w:br/>
        <w:t xml:space="preserve">   alegados por los representantes y sustentados en el informe elaborado por</w:t>
        <w:br/>
        <w:t xml:space="preserve">   el perito Pablo Balmaceda[260], resaltándose que tales hechos no han sido</w:t>
        <w:br/>
        <w:t xml:space="preserve">   controvertidos en estricto sentido por el Estado.</w:t>
        <w:br/>
        <w:br/>
        <w:br/>
        <w:t>223. La Corte observa que en los listados presentados por la Comisión y  los</w:t>
        <w:br/>
        <w:t xml:space="preserve">   representantes se hace mención a la muerte de miembros  de  la  Comunidad</w:t>
        <w:br/>
        <w:t xml:space="preserve">   que ocurrieron antes  de  que  el  Paraguay  reconociera  la  competencia</w:t>
        <w:br/>
        <w:t xml:space="preserve">   contenciosa de la Corte, es decir antes del 11  de  marzo  de  1993.  Por</w:t>
        <w:br/>
        <w:t xml:space="preserve">   consiguiente, la Corte no tiene competencia para analizar los  siguientes</w:t>
        <w:br/>
        <w:t xml:space="preserve">   casos: Eulalio Dermott Alberto (NN),  Avalos  (mellizo  1),  (NN)  Avalos</w:t>
        <w:br/>
        <w:t xml:space="preserve">   (mellizo 2), quienes murieron en 1981; Adolfino López Dermott  y  Lorenza</w:t>
        <w:br/>
        <w:t xml:space="preserve">   López Segundo, quienes murieron en 1983;  Narciso  Larrosa  Dermott  (m),</w:t>
        <w:br/>
        <w:t xml:space="preserve">   quien falleció en 1984; Nelly Gonzáles Torres (f), quien murió  en  1987;</w:t>
        <w:br/>
        <w:t xml:space="preserve">   Élida Dermott Ramírez (f), Benigno Corrientes Domínguez  (m)  y  Herminio</w:t>
        <w:br/>
        <w:t xml:space="preserve">   Corrientes Domínguez (m), quienes  fallecieron  en  1991;  (NN)  González</w:t>
        <w:br/>
        <w:t xml:space="preserve">   Dermott (m) y Betina Avalos (f) o Betina Rios Torres, quienes fallecieron</w:t>
        <w:br/>
        <w:t xml:space="preserve">   en 1992; Esteban López Dermott (m), quien falleció en  febrero  de  1993;</w:t>
        <w:br/>
        <w:t xml:space="preserve">   Luisa Ramírez (f) y Rufino Pérez (m), quienes murieron en 1993[261].</w:t>
        <w:br/>
        <w:br/>
        <w:br/>
        <w:t>224. Por otra parte, el Tribunal recuerda que  en  lo  que  respecta  a  los</w:t>
        <w:br/>
        <w:t xml:space="preserve">   hechos objeto del proceso, no es posible para los  representantes  alegar</w:t>
        <w:br/>
        <w:t xml:space="preserve">   nuevos hechos distintos de los planteados en la demanda, sin perjuicio de</w:t>
        <w:br/>
        <w:t xml:space="preserve">   exponer aquellos que permitan explicar, aclarar o desestimar los que  han</w:t>
        <w:br/>
        <w:t xml:space="preserve">   sido  mencionados  en  ésta.  Es  distinto  el   caso   de   los   hechos</w:t>
        <w:br/>
        <w:t xml:space="preserve">   supervinientes, que pueden presentarse por cualquiera de  las  partes  en</w:t>
        <w:br/>
        <w:t xml:space="preserve">   cualquier estado del proceso antes del dictado de la sentencia[262].</w:t>
        <w:br/>
        <w:br/>
        <w:br/>
        <w:t>225. Del listado de fallecimientos  indicados  por  los  representantes,  la</w:t>
        <w:br/>
        <w:t xml:space="preserve">   Corte constata que las muertes de Luisa Ramírez Larrosa,  quien  falleció</w:t>
        <w:br/>
        <w:t xml:space="preserve">   en enero de 2009 de 62 años de edad, sin  que  se  conozca  su  causa  de</w:t>
        <w:br/>
        <w:t xml:space="preserve">   defunción y desconociendo si  recibió  atención  médica,  así  como  Rosa</w:t>
        <w:br/>
        <w:t xml:space="preserve">   Larrosa Domínguez, quien falleció en octubre de 2009 de 100 años de edad,</w:t>
        <w:br/>
        <w:t xml:space="preserve">   por muerte natural y desconociendo si recibió atención médica, ocurrieron</w:t>
        <w:br/>
        <w:t xml:space="preserve">   con posterioridad a la  presentación  de  la  demanda  por  parte  de  la</w:t>
        <w:br/>
        <w:t xml:space="preserve">   Comisión, en vista de lo cual  serán  analizados  por  el  Tribunal,  por</w:t>
        <w:br/>
        <w:t xml:space="preserve">   constituir hechos supervinientes.</w:t>
        <w:br/>
        <w:br/>
        <w:br/>
        <w:t>226. De acuerdo a lo anteriormente indicado, el Tribunal  tiene  competencia</w:t>
        <w:br/>
        <w:t xml:space="preserve">   para analizar 28 fallecimientos que ocurrieron durante la competencia  de</w:t>
        <w:br/>
        <w:t xml:space="preserve">   la Corte, a saber, los siguientes casos:</w:t>
        <w:br/>
        <w:br/>
        <w:br/>
        <w:br/>
        <w:br/>
        <w:t>|No.|Nombre y Sexo      |Edad al  |Fecha     |Presunta    |Datos     |</w:t>
        <w:br/>
        <w:t>|   |f (femenino) m     |fallecer |Probable  |Causa de    |sobre     |</w:t>
        <w:br/>
        <w:t>|   |(masculino)        |         |de        |defunción   |atención  |</w:t>
        <w:br/>
        <w:t>|   |                   |         |defunción |            |médica    |</w:t>
        <w:br/>
        <w:t>|   |                   |         |          |            |(AMd)     |</w:t>
        <w:br/>
        <w:t>|1  |Luisa Ramírez      |62 años  |01-2009   |Sin datos   |Sin datos |</w:t>
        <w:br/>
        <w:t>|   |Larrosa (f)        |         |          |            |          |</w:t>
        <w:br/>
        <w:t>|2  |Rosa Larrosa       |100 años |10-2009   |Muerte      |Sin datos |</w:t>
        <w:br/>
        <w:t>|   |Domínguez (f)      |         |          |natural     |          |</w:t>
        <w:br/>
        <w:t>|3  |Sara Gonzáles López|1 año y 5|25-07-2008|Gastroenteri|No recibió|</w:t>
        <w:br/>
        <w:t>|   |(f)                |meses    |          |tis –       |AMd       |</w:t>
        <w:br/>
        <w:t>|   |                   |         |          |Deshidrataci|          |</w:t>
        <w:br/>
        <w:t>|   |                   |         |          |ón          |          |</w:t>
        <w:br/>
        <w:t>|4  |Felipa Quintana (f)|64 años  |13 – 05 - |Shock       |Sí recibió|</w:t>
        <w:br/>
        <w:t>|   |                   |         |2008      |Séptico     |AMd       |</w:t>
        <w:br/>
        <w:t>|5  |Gilberto Dermott   |46 años  |2007      |Tuberculosis|Sí recibió|</w:t>
        <w:br/>
        <w:t>|   |Quintana (m)       |         |          |            |AMd, de   |</w:t>
        <w:br/>
        <w:t>|   |                   |         |          |            |una       |</w:t>
        <w:br/>
        <w:t>|   |                   |         |          |            |enfermera |</w:t>
        <w:br/>
        <w:t>|   |                   |         |          |            |voluntaria|</w:t>
        <w:br/>
        <w:t>|6  |(NN) Jonás Avalos  |sin datos|2007      |Sin datos   |Sin datos |</w:t>
        <w:br/>
        <w:t>|   |(m) o Jonás Rios   |         |          |            |          |</w:t>
        <w:br/>
        <w:t>|   |Torres             |         |          |            |          |</w:t>
        <w:br/>
        <w:t>|7  |Rosa Dermott (f)   |80 años  |02-10-2007|Dejó de     |No recibió|</w:t>
        <w:br/>
        <w:t>|   |                   |         |          |ingerir     |AMd       |</w:t>
        <w:br/>
        <w:t>|   |                   |         |          |alimentos   |          |</w:t>
        <w:br/>
        <w:t>|8  |Remigia Ruiz (f)   |38 años  |14-05-2005|Complicacion|No recibió|</w:t>
        <w:br/>
        <w:t>|   |                   |         |          |es en el    |AMd       |</w:t>
        <w:br/>
        <w:t>|   |                   |         |          |parto.      |          |</w:t>
        <w:br/>
        <w:t>|9  |Yelsi Karina López |1 año    |2005      |Pertusis    |No recibió|</w:t>
        <w:br/>
        <w:t>|   |Cabañas (f)        |         |          |(tos        |AMd       |</w:t>
        <w:br/>
        <w:t>|   |                   |         |          |convulsa)   |          |</w:t>
        <w:br/>
        <w:t>|10 |Tito García (m)    |46 años  |2005      |Soplo       |Sí recibió|</w:t>
        <w:br/>
        <w:t>|   |                   |         |          |cardíaco    |AMd       |</w:t>
        <w:br/>
        <w:t>|11 |Aída Carolina      |8 meses  |04-06-2003|Anemia,     |No recibió|</w:t>
        <w:br/>
        <w:t>|   |González (f)       |         |          |posible     |AMd       |</w:t>
        <w:br/>
        <w:t>|   |                   |         |          |hipoalbumine|          |</w:t>
        <w:br/>
        <w:t>|   |                   |         |          |mia         |          |</w:t>
        <w:br/>
        <w:t>|12 |Abundio Inter.     |2 meses  |02-2003   |Neumonía    |No recibió|</w:t>
        <w:br/>
        <w:t>|   |Dermot (m)         |         |          |            |AMd       |</w:t>
        <w:br/>
        <w:t>|13 |(NN) Dermott       |al nacer |2003      |Posible     |Sí recibió|</w:t>
        <w:br/>
        <w:t>|   |Larrosa[263] (f)   |         |          |causa       |AMd en el |</w:t>
        <w:br/>
        <w:t>|   |                   |         |          |Diarrea y   |Hospital  |</w:t>
        <w:br/>
        <w:t>|   |                   |         |          |Vómito      |de        |</w:t>
        <w:br/>
        <w:t>|   |                   |         |          |            |Filadelfia|</w:t>
        <w:br/>
        <w:t>|14 |(NN) Corrientes    |no nato  |Sin datos |Sufrimiento |Sin datos |</w:t>
        <w:br/>
        <w:t>|   |Domínguez (m)      |         |          |fetal[264]  |          |</w:t>
        <w:br/>
        <w:t>|15 |(NN) Ávalos (m) o  |S/D      |1999/2002 |Hemorragia  |Sin datos |</w:t>
        <w:br/>
        <w:t>|   |Rios Torres        |         |          |            |          |</w:t>
        <w:br/>
        <w:t>|16 |(NN) Dermott       |8 meses  |31-12-2001|Enterocoliti|Sin datos |</w:t>
        <w:br/>
        <w:t>|   |Martínez (f)       |         |          |s           |          |</w:t>
        <w:br/>
        <w:t>|17 |(NN) Dermott       |5 días   |08-2001   |Anemia      |Sí recibió|</w:t>
        <w:br/>
        <w:t>|   |Larrosa (f)        |         |          |            |AMd en el |</w:t>
        <w:br/>
        <w:t>|   |                   |         |          |            |Hospital  |</w:t>
        <w:br/>
        <w:t>|   |                   |         |          |            |de        |</w:t>
        <w:br/>
        <w:t>|   |                   |         |          |            |Filadelfia|</w:t>
        <w:br/>
        <w:t>|18 |(NN) García Dermott|1 mes    |2000      |Pertusis    |No recibió|</w:t>
        <w:br/>
        <w:t>|   |(f)                |         |          |            |AMd       |</w:t>
        <w:br/>
        <w:t>|19 |Adalberto González |1 año y 2|2000      |Neumonía    |No recibió|</w:t>
        <w:br/>
        <w:t>|   |López (m)          |meses    |          |            |AMd       |</w:t>
        <w:br/>
        <w:t>|20 |Roberto Roa        |55 años  |2000      |Tuberculosis|No recibió|</w:t>
        <w:br/>
        <w:t>|   |Gonzáles           |         |          |            |AMd       |</w:t>
        <w:br/>
        <w:t>|21 |(NN) Ávalos (m) o  |3 días   |1999      |Hemorragia  |No recibió|</w:t>
        <w:br/>
        <w:t>|   |Rios Torres        |         |          |            |AMd       |</w:t>
        <w:br/>
        <w:t>|22 |(NN) Ávalos (m) o  |9 días   |1998      |Tétanos     |No recibió|</w:t>
        <w:br/>
        <w:t>|   |Rios Torres        |         |          |            |AMd       |</w:t>
        <w:br/>
        <w:t>|23 |(NN) Dermott Ruiz  |no nato  |1998      |Intedetermin|Sin datos |</w:t>
        <w:br/>
        <w:t>|   |(m)                |         |          |ada         |          |</w:t>
        <w:br/>
        <w:t>|24 |(NN) Dermott Ruiz  |1 día    |1996      |Sufrimiento |No recibió|</w:t>
        <w:br/>
        <w:t>|   |(m)                |         |          |Fetal       |AMd       |</w:t>
        <w:br/>
        <w:t>|25 |Mercedes Dermott   |2 años   |1996      |Enterocoliti|Sí recibió|</w:t>
        <w:br/>
        <w:t>|   |Larrosa (f)        |         |(Fecha    |s –         |AMd,      |</w:t>
        <w:br/>
        <w:t>|   |                   |         |ESAP      |deshidrataci|enfermera |</w:t>
        <w:br/>
        <w:t>|   |                   |         |f.247)    |ón          |voluntaria|</w:t>
        <w:br/>
        <w:t>|26 |Sargento Giménez   |Sin datos|1996      |Sin datos   |No recibió|</w:t>
        <w:br/>
        <w:t>|   |(m)                |         |          |            |AMd       |</w:t>
        <w:br/>
        <w:t>|27 |Rosana Corrientes  |10 meses |1996[265] |Pertusis    |Sí recibió|</w:t>
        <w:br/>
        <w:t>|   |Domínguez (f)      |         |          |            |AMd,      |</w:t>
        <w:br/>
        <w:t>|   |                   |         |          |            |Centro de |</w:t>
        <w:br/>
        <w:t>|   |                   |         |          |            |Salud de  |</w:t>
        <w:br/>
        <w:t>|   |                   |         |          |            |25 Leguas |</w:t>
        <w:br/>
        <w:t>|28 |(NN) Wilfrida Ojeda|8 meses  |01.05.1994|Enterocoliti|No recibió|</w:t>
        <w:br/>
        <w:t>|   |Chávez(f)          |         |          |s –         |AMd       |</w:t>
        <w:br/>
        <w:t>|   |                   |         |          |deshidrataci|          |</w:t>
        <w:br/>
        <w:t>|   |                   |         |          |ón          |          |</w:t>
        <w:br/>
        <w:br/>
        <w:br/>
        <w:br/>
        <w:t>227. El Tribunal aclara que el hecho de que en la actualidad  el  Estado  se</w:t>
        <w:br/>
        <w:t xml:space="preserve">   encuentre brindando asistencia de emergencia (supra párrs. 191  a  194  y</w:t>
        <w:br/>
        <w:t xml:space="preserve">   198), no exime al Estado de su responsabilidad internacional por no haber</w:t>
        <w:br/>
        <w:t xml:space="preserve">   adoptado medidas en el pasado para evitar que el riesgo de afectación del</w:t>
        <w:br/>
        <w:t xml:space="preserve">   derecho a la vida se  materializara.  Por  consiguiente,  la  Corte  debe</w:t>
        <w:br/>
        <w:t xml:space="preserve">   analizar cuáles de las muertes son imputables  al  Estado  por  falta  al</w:t>
        <w:br/>
        <w:t xml:space="preserve">   deber de prevención para evitarlas. Esto bajo una perspectiva de análisis</w:t>
        <w:br/>
        <w:t xml:space="preserve">   que permita relacionar la situación de extrema y especial vulnerabilidad,</w:t>
        <w:br/>
        <w:t xml:space="preserve">   la causa de muerte y el correspondiente nexo causal entre éstos, sin  que</w:t>
        <w:br/>
        <w:t xml:space="preserve">   se  imponga  al  Estado  una  carga  desmedida  de  superar   un   riesgo</w:t>
        <w:br/>
        <w:t xml:space="preserve">   indeterminado o desconocido.</w:t>
        <w:br/>
        <w:br/>
        <w:br/>
        <w:t>228. En cuanto a los casos específicos de muerte, los representantes  en  su</w:t>
        <w:br/>
        <w:t xml:space="preserve">   listado indicaron el nombre de (NN) Corrientes Domínguez, no nato,  quien</w:t>
        <w:br/>
        <w:t xml:space="preserve">   falleció por sufrimiento fetal, y  (NN)  Dermott  Ruiz,  no  nato,  quien</w:t>
        <w:br/>
        <w:t xml:space="preserve">   falleció en 1998 por causas indeterminadas. Al respecto,  la  Corte  nota</w:t>
        <w:br/>
        <w:t xml:space="preserve">   que los representantes y la Comisión  no  han  presentado  argumentos  en</w:t>
        <w:br/>
        <w:t xml:space="preserve">   relación con la presunta violación del derecho a la vida de  “no  natos”,</w:t>
        <w:br/>
        <w:t xml:space="preserve">   por lo que, ante la  falta  de  fundamentación,  el  Tribunal  carece  de</w:t>
        <w:br/>
        <w:t xml:space="preserve">   elementos  de  juicio  para  determinar  la  responsabilidad  del  Estado</w:t>
        <w:br/>
        <w:t xml:space="preserve">   respecto a dichos casos.</w:t>
        <w:br/>
        <w:br/>
        <w:br/>
        <w:t>229. En relación con Luisa Ramírez Larrosa,  Rosa  Larrosa  Domínguez,  (NN)</w:t>
        <w:br/>
        <w:t xml:space="preserve">   Jonás Avalos (m) o Jonás Rios Torres, Rosa Dermott (f), (NN) Ávalos (m) o</w:t>
        <w:br/>
        <w:t xml:space="preserve">   Rios Torres, y  Sargento Giménez (m), respecto de quienes o  bien  no  se</w:t>
        <w:br/>
        <w:t xml:space="preserve">   conoce las causas de muerte o murieron de causas naturales o  por  causas</w:t>
        <w:br/>
        <w:t xml:space="preserve">   accidentales, no pueden ser imputables al Estado,  dado  que  no  existen</w:t>
        <w:br/>
        <w:t xml:space="preserve">   elementos  para  determinar  la  responsabilidad  estatal  y  no  se   ha</w:t>
        <w:br/>
        <w:t xml:space="preserve">   demostrado un nexo  causal  entre  la  presunta  causa  de  muerte  y  la</w:t>
        <w:br/>
        <w:t xml:space="preserve">   situación de vulnerabilidad de los miembros de la Comunidad.</w:t>
        <w:br/>
        <w:br/>
        <w:br/>
        <w:t>230. En relación con los fallecimientos de Felipa Quintana,  quien  falleció</w:t>
        <w:br/>
        <w:t xml:space="preserve">   en mayo de 2008 a los 64 años de  edad,  debido  a  un  shock  séptico  y</w:t>
        <w:br/>
        <w:t xml:space="preserve">   recibió atención médica; Gilberto Dermott  Quintana,  quien  falleció  en</w:t>
        <w:br/>
        <w:t xml:space="preserve">   2007 de tuberculosis a los 46 años de edad y contó con asistencia  médica</w:t>
        <w:br/>
        <w:t xml:space="preserve">   de una enfermera voluntaria; Tito García, quien murió en el 2005 a los 46</w:t>
        <w:br/>
        <w:t xml:space="preserve">   años de edad a causa de un soplo cardíaco, lo cual  probablemente  podría</w:t>
        <w:br/>
        <w:t xml:space="preserve">   tener relación con el Mal de Chagas[266], y recibió atención  médica;  NN</w:t>
        <w:br/>
        <w:t xml:space="preserve">   Dermott Larrosa, quien falleció en 2003 al nacer, por  posible  causa  de</w:t>
        <w:br/>
        <w:t xml:space="preserve">   diarrea y vómito y recibió asistencia médica en el  Hospital  Filadelfia;</w:t>
        <w:br/>
        <w:t xml:space="preserve">   NN Dermott Larrosa, quien murió en 2001 a los  cinco  días  de  nacido  a</w:t>
        <w:br/>
        <w:t xml:space="preserve">   causa  de  anemia  y  recibió  asistencia  médica  en  el   Hospital   de</w:t>
        <w:br/>
        <w:t xml:space="preserve">   Filadelfia[267]; Mercedes Dermott Larrosa, quien murió en 1996  a  los  2</w:t>
        <w:br/>
        <w:t xml:space="preserve">   años de edad a causa de enterocolitis y deshidratación y recibió ayuda de</w:t>
        <w:br/>
        <w:t xml:space="preserve">   una enfermera voluntaria, y Rosana Corrientes Domínguez,  quien  falleció</w:t>
        <w:br/>
        <w:t xml:space="preserve">   en 1996 a los  10  meses  de  nacida,  a  causa  de  pertusis  y  recibió</w:t>
        <w:br/>
        <w:t xml:space="preserve">   asistencia médica en el Centro de Salud de 25 Leguas, la Corte estima que</w:t>
        <w:br/>
        <w:t xml:space="preserve">   no es posible imputar la responsabilidad al Estado puesto que  no  se  ha</w:t>
        <w:br/>
        <w:t xml:space="preserve">   demostrado que la atención médica dada fuera insuficiente o deficiente, o</w:t>
        <w:br/>
        <w:t xml:space="preserve">   que  exista  un  nexo  causal  entre  la  muerte  y   la   situación   de</w:t>
        <w:br/>
        <w:t xml:space="preserve">   vulnerabilidad de los miembros de la Comunidad.</w:t>
        <w:br/>
        <w:br/>
        <w:br/>
        <w:t>231. En cuanto a las demás personas, el  Tribunal  observa  que  muchas  han</w:t>
        <w:br/>
        <w:t xml:space="preserve">   fallecido por enfermedades que  eran  de  fácil  prevención  si  hubieran</w:t>
        <w:br/>
        <w:t xml:space="preserve">   recibido asistencia periódica y constante o mediante un control  adecuado</w:t>
        <w:br/>
        <w:t xml:space="preserve">   de salud[268]. Basta resaltar que las principales causas por  las  cuales</w:t>
        <w:br/>
        <w:t xml:space="preserve">   fallecieron la mayoría fueron tétanos,  neumonía,  tuberculosis,  anemia,</w:t>
        <w:br/>
        <w:t xml:space="preserve">   pertusis,  graves  cuadros  de  deshidratación,   enterocolitis   o   por</w:t>
        <w:br/>
        <w:t xml:space="preserve">   complicaciones en  trabajo  de  parto.  Además,  cabe  destacar  que  las</w:t>
        <w:br/>
        <w:t xml:space="preserve">   principales víctimas fueron niños y niñas en las primeras  etapas  de  su</w:t>
        <w:br/>
        <w:t xml:space="preserve">   vida,  respecto  a  quienes  el  Estado  tenía  deberes   superiores   de</w:t>
        <w:br/>
        <w:t xml:space="preserve">   protección, lo cual será analizado infra párr. 259.</w:t>
        <w:br/>
        <w:br/>
        <w:br/>
        <w:t>232. Respecto a la muerte de Remigia Ruiz, quien falleció en 2005 a  los  38</w:t>
        <w:br/>
        <w:t xml:space="preserve">   años de edad, y quien se encontraba  embarazada  y  no  recibió  atención</w:t>
        <w:br/>
        <w:t xml:space="preserve">   médica, muestra  varias  de  las  características  propias  de  casos  de</w:t>
        <w:br/>
        <w:t xml:space="preserve">   mortalidad materna,  a  saber:  muerte  durante  el  parto  sin  adecuada</w:t>
        <w:br/>
        <w:t xml:space="preserve">   atención médica, situación de  exclusión  o  pobreza  extrema,  falta  de</w:t>
        <w:br/>
        <w:t xml:space="preserve">   acceso a servicios de salud adecuados, falta de  documentación  sobre  la</w:t>
        <w:br/>
        <w:t xml:space="preserve">   causa de la muerte, entre otros.</w:t>
        <w:br/>
        <w:br/>
        <w:br/>
        <w:t>233. Al respecto, la Corte resalta que la extrema  pobreza  y  la  falta  de</w:t>
        <w:br/>
        <w:t xml:space="preserve">   adecuada atención médica a mujeres en estado de embarazo o  post-embarazo</w:t>
        <w:br/>
        <w:t xml:space="preserve">   son causas de alta mortalidad y morbilidad materna[269].  Por  ello,  los</w:t>
        <w:br/>
        <w:t xml:space="preserve">   Estados deben brindar políticas de salud adecuadas que  permitan  ofrecer</w:t>
        <w:br/>
        <w:t xml:space="preserve">   asistencia con personal entrenado adecuadamente para la atención  de  los</w:t>
        <w:br/>
        <w:t xml:space="preserve">   nacimientos, políticas de prevención de la mortalidad materna a través de</w:t>
        <w:br/>
        <w:t xml:space="preserve">   controles prenatales y post-parto adecuados,  e  instrumentos  legales  y</w:t>
        <w:br/>
        <w:t xml:space="preserve">   administrativos  en  políticas   de   salud   que   permitan   documentar</w:t>
        <w:br/>
        <w:t xml:space="preserve">   adecuadamente los casos de mortalidad materna. Lo anterior,  en  razón  a</w:t>
        <w:br/>
        <w:t xml:space="preserve">   que las mujeres en estado  de  embarazo  requieren  medidas  de  especial</w:t>
        <w:br/>
        <w:t xml:space="preserve">   protección.</w:t>
        <w:br/>
        <w:br/>
        <w:br/>
        <w:t>234. Teniendo en cuenta todo lo anterior, la Corte  declara  que  el  Estado</w:t>
        <w:br/>
        <w:t xml:space="preserve">   violó el  derecho  contemplado  en  el  artículo  4.1  de  la  Convención</w:t>
        <w:br/>
        <w:t xml:space="preserve">   Americana, en relación con el artículo 1.1 de la misma, en  perjuicio  de</w:t>
        <w:br/>
        <w:t xml:space="preserve">   las personas que se mencionan en  el  presente  párrafo,  por  cuanto  no</w:t>
        <w:br/>
        <w:t xml:space="preserve">   adoptó  las  medidas  positivas  necesarias  dentro  del  ámbito  de  sus</w:t>
        <w:br/>
        <w:t xml:space="preserve">   atribuciones, que razonablemente eran de esperarse para prevenir o evitar</w:t>
        <w:br/>
        <w:t xml:space="preserve">   el riesgo al derecho a la vida. En consecuencia, son imputables al Estado</w:t>
        <w:br/>
        <w:t xml:space="preserve">   las muertes de: Sara Gonzáles López,  quién  murió   en  julio  de  2008,</w:t>
        <w:br/>
        <w:t xml:space="preserve">   teniendo  un  año  y  cinco  meses  de   edad,   de   gastroenteritis   y</w:t>
        <w:br/>
        <w:t xml:space="preserve">   deshidratación  y  no  recibió  asistencia  médica;  Yelsi  Karina  López</w:t>
        <w:br/>
        <w:t xml:space="preserve">   Cabañas, quien murió en el año 2005 al año  de  edad  de  pertusis  y  no</w:t>
        <w:br/>
        <w:t xml:space="preserve">   recibió asistencia médica; Remigia Ruiz, quien falleció en el 2005 de  38</w:t>
        <w:br/>
        <w:t xml:space="preserve">   años de edad por complicaciones en  el  parto  y  no  recibió  asistencia</w:t>
        <w:br/>
        <w:t xml:space="preserve">   médica; Aida Carolina Gonzáles, quien falleció en junio  de  2003  a  los</w:t>
        <w:br/>
        <w:t xml:space="preserve">   ocho meses de edad, de anemia sin recibir asistencia médica; NN Avalos  o</w:t>
        <w:br/>
        <w:t xml:space="preserve">   Ríos Torres, quien murió en 1999 a los tres días de nacido a causa de una</w:t>
        <w:br/>
        <w:t xml:space="preserve">   hemorragia y no recibió atención médica; Abundio Inter  Dermot,  el  cual</w:t>
        <w:br/>
        <w:t xml:space="preserve">   falleció en el 2003 a los 2 meses de  nacido  por  neumonía  sin  recibir</w:t>
        <w:br/>
        <w:t xml:space="preserve">   asistencia médica; NN Dermott Martínez, quien falleció en el 2001  a  los</w:t>
        <w:br/>
        <w:t xml:space="preserve">   ocho meses de edad de enterocolitis y se desconoce  si  recibió  atención</w:t>
        <w:br/>
        <w:t xml:space="preserve">   médica; NN García Dermott, quien murió en el 2001,  teniendo  un  mes  de</w:t>
        <w:br/>
        <w:t xml:space="preserve">   edad por causa de pertusis y  no  recibió  asistencia  médica;  Adalberto</w:t>
        <w:br/>
        <w:t xml:space="preserve">   Gonzáles López, quien murió en el 2000 a los un año y dos  mese  de  edad</w:t>
        <w:br/>
        <w:t xml:space="preserve">   por causa de neumonía y no recibió atención médica; Roberto Roa Gonzáles,</w:t>
        <w:br/>
        <w:t xml:space="preserve">   quien murió en el 2000 a los 55 años de edad por  causa  de  tuberculosis</w:t>
        <w:br/>
        <w:t xml:space="preserve">   sin recibir asistencia médica; NN Ávalos o Ríos Torres,  quien  murió  en</w:t>
        <w:br/>
        <w:t xml:space="preserve">   1998 a los nueve días de  nacido  por  causa  de  tétanos  y  no  recibió</w:t>
        <w:br/>
        <w:t xml:space="preserve">   asistencia médica; NN Dermontt Ruiz, quien murió en  1996  al  nacer  por</w:t>
        <w:br/>
        <w:t xml:space="preserve">   sufrimiento fetal y no recibió  atención  médica,  y  NN  Wilfrida  Ojeda</w:t>
        <w:br/>
        <w:t xml:space="preserve">   Chávez, quien murió en el mes de mayo de 1994 a los ocho meses de  nacida</w:t>
        <w:br/>
        <w:t xml:space="preserve">   a causa de deshidratación y enterocolitis y no recibió asistencia médica.</w:t>
        <w:br/>
        <w:br/>
        <w:t xml:space="preserve">                                    VIII</w:t>
        <w:br/>
        <w:t xml:space="preserve">                      DERECHO A LA INTEGRIDAD PERSONAL</w:t>
        <w:br/>
        <w:t xml:space="preserve">                  (ARTÍCULO 5.1 DE LA CONVENCIÓN AMERICANA)</w:t>
        <w:br/>
        <w:br/>
        <w:t>235. Los representantes  alegaron  la  violación  del  artículo  5.1  de  la</w:t>
        <w:br/>
        <w:t xml:space="preserve">   Convención  en  perjuicio  de  los  miembros  de  la  Comunidad  por   el</w:t>
        <w:br/>
        <w:t xml:space="preserve">   “fallecimiento de sus familiares y también por la situación  precaria  en</w:t>
        <w:br/>
        <w:t xml:space="preserve">   que se encuentran por no acceder  a  sus  tierras,  por  lo  que  [se  ha</w:t>
        <w:br/>
        <w:t xml:space="preserve">   violado] la integridad  personal  cultural  y  a  la  vez  la  integridad</w:t>
        <w:br/>
        <w:t xml:space="preserve">   colectiva cultural”. Sostuvieron que el sufrimiento de los familiares que</w:t>
        <w:br/>
        <w:t xml:space="preserve">   han  perdido  a  sus  seres  queridos  ha   sido   agudo,   especialmente</w:t>
        <w:br/>
        <w:t xml:space="preserve">   considerando los rasgos culturales de su Comunidad.  Asimismo,  señalaron</w:t>
        <w:br/>
        <w:t xml:space="preserve">   que la muerte de los seres queridos afectó a la  Comunidad,  teniendo  en</w:t>
        <w:br/>
        <w:t xml:space="preserve">   cuenta los patrones culturales de la misma, relacionados con  la  memoria</w:t>
        <w:br/>
        <w:t xml:space="preserve">   de los muertos y la manera de enterrarlos. Resaltaron que “[l]os miembros</w:t>
        <w:br/>
        <w:t xml:space="preserve">   de la  Comunidad  Xákmok  Kásek  han  experimentado  sufrimiento  físico,</w:t>
        <w:br/>
        <w:t xml:space="preserve">   psíquico y moral, cuestión  que  ha  atentado  contra  su  derecho  a  la</w:t>
        <w:br/>
        <w:t xml:space="preserve">   integridad personal”.</w:t>
        <w:br/>
        <w:br/>
        <w:br/>
        <w:t>236. El Estado no se pronunció sobre lo expuesto.</w:t>
        <w:br/>
        <w:br/>
        <w:br/>
        <w:t>237. La Corte reitera  que  las  presuntas  víctimas  y  sus  representantes</w:t>
        <w:br/>
        <w:t xml:space="preserve">   pueden invocar  la  violación  de  otros  derechos  distintos  a  los  ya</w:t>
        <w:br/>
        <w:t xml:space="preserve">   comprendidos en la demanda, en tanto son ellos  titulares  de  todos  los</w:t>
        <w:br/>
        <w:t xml:space="preserve">   derechos consagrados en la Convención, mientras  ello  se  atenga  a  los</w:t>
        <w:br/>
        <w:t xml:space="preserve">   hechos ya contenidos en la demanda[270]. En efecto, la demanda constituye</w:t>
        <w:br/>
        <w:t xml:space="preserve">   el marco fáctico del proceso ante la Corte, por lo que  no  es  admisible</w:t>
        <w:br/>
        <w:t xml:space="preserve">   alegar nuevos hechos distintos de los planteados en  dicho  escrito,  sin</w:t>
        <w:br/>
        <w:t xml:space="preserve">   perjuicio de exponer aquellos que permitan explicar, aclarar o desestimar</w:t>
        <w:br/>
        <w:t xml:space="preserve">   los que han sido mencionados en la  demanda,  o  bien,  responder  a  las</w:t>
        <w:br/>
        <w:t xml:space="preserve">   pretensiones del demandante[271]. La excepción a este principio  son  los</w:t>
        <w:br/>
        <w:t xml:space="preserve">   hechos que se califican como supervinientes, que podrán ser remitidos  al</w:t>
        <w:br/>
        <w:t xml:space="preserve">   Tribunal en cualquier estado del  proceso  antes  de  la  emisión  de  la</w:t>
        <w:br/>
        <w:t xml:space="preserve">   sentencia[272]. Por  otra  parte,  el  momento  para  que  las  presuntas</w:t>
        <w:br/>
        <w:t xml:space="preserve">   víctimas o sus representantes ejerzan plenamente aquel derecho  de  locus</w:t>
        <w:br/>
        <w:t xml:space="preserve">   standi in  judicio  es  el  escrito  de  solicitudes  y  argumentos[273].</w:t>
        <w:br/>
        <w:t xml:space="preserve">   Finalmente, las presuntas víctimas deben estar señaladas en  la  demanda,</w:t>
        <w:br/>
        <w:t xml:space="preserve">   lo cual debe corresponder con el informe de la Comisión Interamericana al</w:t>
        <w:br/>
        <w:t xml:space="preserve">   que hace referencia el artículo 50 de la Convención[274].</w:t>
        <w:br/>
        <w:br/>
        <w:br/>
        <w:t>238. En el presente  caso  los  representantes  solicitaron  se  declare  la</w:t>
        <w:br/>
        <w:t xml:space="preserve">   violación  del  artículo  5.1  de  la  Convención  desde  su  escrito  de</w:t>
        <w:br/>
        <w:t xml:space="preserve">   solicitudes y argumentos,  es  decir,  presentaron  su  solicitud  en  el</w:t>
        <w:br/>
        <w:t xml:space="preserve">   momento procesal oportuno.</w:t>
        <w:br/>
        <w:br/>
        <w:br/>
        <w:t>239. En cuanto a la sujeción al marco fáctico presentado en la  demanda,  la</w:t>
        <w:br/>
        <w:t xml:space="preserve">   Corte observa que si bien la Comisión no alegó expresamente la  violación</w:t>
        <w:br/>
        <w:t xml:space="preserve">   del artículo 5.1 de la Convención, señaló en su demanda que “la falta  de</w:t>
        <w:br/>
        <w:t xml:space="preserve">   garantía efectiva del derecho de propiedad de la Comunidad ha significado</w:t>
        <w:br/>
        <w:t xml:space="preserve">   situar a sus miembros en una situación de desprotección y  vulnerabilidad</w:t>
        <w:br/>
        <w:t xml:space="preserve">   extrema, que ha traído como consecuencia la vulneración del derecho a  la</w:t>
        <w:br/>
        <w:t xml:space="preserve">   vida y a la  integridad  personal  de  los  miembros  de  la  Comunidad”.</w:t>
        <w:br/>
        <w:t xml:space="preserve">   Asimismo, la Comisión indicó que los miembros de la  Comunidad  han  sido</w:t>
        <w:br/>
        <w:t xml:space="preserve">   sometidos a “sufrimientos, angustias e indignidades […] durante los  años</w:t>
        <w:br/>
        <w:t xml:space="preserve">   en que han esperado una respuesta efectiva del Estado del Paraguay  a  su</w:t>
        <w:br/>
        <w:t xml:space="preserve">   reclamo territorial”. En razón de lo anterior, el Tribunal considera  que</w:t>
        <w:br/>
        <w:t xml:space="preserve">   los alegatos de los representantes guardan sustento en el  marco  fáctico</w:t>
        <w:br/>
        <w:t xml:space="preserve">   expuesto por la Comisión en su demanda.</w:t>
        <w:br/>
        <w:br/>
        <w:br/>
        <w:t>240. Por  último,  en  relación  con  la  identificación  de  las  presuntas</w:t>
        <w:br/>
        <w:t xml:space="preserve">   víctimas de la violación alegada  por  los  representantes,  el  Tribunal</w:t>
        <w:br/>
        <w:t xml:space="preserve">   observa  que  los  familiares  de  las  personas  fallecidas  no   fueron</w:t>
        <w:br/>
        <w:t xml:space="preserve">   identificados como víctimas por la Comisión en su informe de fondo ni  en</w:t>
        <w:br/>
        <w:t xml:space="preserve">   su  demanda.  Consecuentemente,  la  Corte  no  analizará  las  presuntas</w:t>
        <w:br/>
        <w:t xml:space="preserve">   afectaciones de los  familiares  de  las  personas  fallecidas.  Dado  lo</w:t>
        <w:br/>
        <w:t xml:space="preserve">   anterior,  corresponde a la  Corte  determinar  si  los  miembros  de  la</w:t>
        <w:br/>
        <w:t xml:space="preserve">   Comunidad son o no víctimas de la violación de su derecho a la integridad</w:t>
        <w:br/>
        <w:t xml:space="preserve">   personal.</w:t>
        <w:br/>
        <w:br/>
        <w:br/>
        <w:t>241. Cumplidos los requisitos formales en los términos expuestos,  la  Corte</w:t>
        <w:br/>
        <w:t xml:space="preserve">   pasa a estudiar el fondo de la cuestión.</w:t>
        <w:br/>
        <w:br/>
        <w:br/>
        <w:t>242. En  lo  que  respecta  a  la  supuesta  afectación  de  la  “integridad</w:t>
        <w:br/>
        <w:t xml:space="preserve">   cultural”, el Tribunal analizó en  los  párrafos  174  a  182  supra  las</w:t>
        <w:br/>
        <w:t xml:space="preserve">   consecuencias que produjo la no restitución del territorio tradicional  a</w:t>
        <w:br/>
        <w:t xml:space="preserve">   los miembros de la  Comunidad.  Asimismo,  en  el  capítulo  relativo  al</w:t>
        <w:br/>
        <w:t xml:space="preserve">   artículo 4 de la Convención, la Corte analizó las condiciones de vida  de</w:t>
        <w:br/>
        <w:t xml:space="preserve">   los miembros de la Comunidad. En tal sentido, considera  que  los  hechos</w:t>
        <w:br/>
        <w:t xml:space="preserve">   expuestos en este punto por los representantes no guardan relación con el</w:t>
        <w:br/>
        <w:t xml:space="preserve">   artículo 5 de la Convención, sino con los ya analizados artículos 4 y  21</w:t>
        <w:br/>
        <w:t xml:space="preserve">   de la misma y con las reparaciones que el  Tribunal  ordenará  infra  con</w:t>
        <w:br/>
        <w:t xml:space="preserve">   base en el artículo 63.1 de la Convención.</w:t>
        <w:br/>
        <w:br/>
        <w:br/>
        <w:t>243. En lo que respecta a la integridad psíquica y moral, la Corte  recuerda</w:t>
        <w:br/>
        <w:t xml:space="preserve">   que en el caso de la Comunidad  Moiwana  Vs.  Surinam  consideró  que  la</w:t>
        <w:br/>
        <w:t xml:space="preserve">   “separación  de  los  miembros  de  la   [C]omunidad   de   sus   tierras</w:t>
        <w:br/>
        <w:t xml:space="preserve">   tradicionales” era un hecho que junto con  la  impunidad  en  la  que  se</w:t>
        <w:br/>
        <w:t xml:space="preserve">   encontraban las muertes producidas en el seno de la Comunidad causaba  un</w:t>
        <w:br/>
        <w:t xml:space="preserve">   sufrimiento a las víctimas en forma tal que constituía una violación  por</w:t>
        <w:br/>
        <w:t xml:space="preserve">   parte del Estado del artículo  5.1  de  la  Convención  Americana  en  su</w:t>
        <w:br/>
        <w:t xml:space="preserve">   perjuicio[275].</w:t>
        <w:br/>
        <w:br/>
        <w:br/>
        <w:t>244. En el presente caso, varias de las presuntas  víctimas  que  declararon</w:t>
        <w:br/>
        <w:t xml:space="preserve">   ante la Corte expresaron  el  pesar  que  ellas  y  los  miembros  de  la</w:t>
        <w:br/>
        <w:t xml:space="preserve">   Comunidad  sienten  por  la  falta  de   restitución   de   sus   tierras</w:t>
        <w:br/>
        <w:t xml:space="preserve">   tradicionales, la pérdida paulatina de su cultura y la larga  espera  que</w:t>
        <w:br/>
        <w:t xml:space="preserve">   han debido  soportar  en  el  transcurso  del  ineficiente  procedimiento</w:t>
        <w:br/>
        <w:t xml:space="preserve">   administrativo. Adicionalmente, las condiciones de  vida  miserables  que</w:t>
        <w:br/>
        <w:t xml:space="preserve">   padecen los miembros de la Comunidad, la muerte de varios de sus miembros</w:t>
        <w:br/>
        <w:t xml:space="preserve">   y el  estado  general  de  abandono  en  la  que  se  encuentran  generan</w:t>
        <w:br/>
        <w:t xml:space="preserve">   sufrimientos que necesariamente afectan la integridad psíquica y moral de</w:t>
        <w:br/>
        <w:t xml:space="preserve">   todos los miembros de la Comunidad. Todo ello  constituye  una  violación</w:t>
        <w:br/>
        <w:t xml:space="preserve">   del artículo 5.1 de la Convención, en perjuicio de  los  miembros  de  la</w:t>
        <w:br/>
        <w:t xml:space="preserve">   Comunidad Xákmok Kásek.</w:t>
        <w:br/>
        <w:br/>
        <w:t xml:space="preserve">                                     IX</w:t>
        <w:br/>
        <w:t xml:space="preserve">            Derecho al Reconocimiento de la Personalidad Jurídica</w:t>
        <w:br/>
        <w:t xml:space="preserve">                   (Artículo 3 de la Convención Americana)</w:t>
        <w:br/>
        <w:br/>
        <w:t>245. La Comisión alegó que el  Estado  no  ha  implementado  mecanismos  que</w:t>
        <w:br/>
        <w:t xml:space="preserve">   faciliten  a  los  miembros  de   la   Comunidad   “los   documentos   de</w:t>
        <w:br/>
        <w:t xml:space="preserve">   identificación   necesarios   para   hacer   efectivo   su   derecho   al</w:t>
        <w:br/>
        <w:t xml:space="preserve">   reconocimiento de la personalidad jurídica”. Indicó que según el censo de</w:t>
        <w:br/>
        <w:t xml:space="preserve">   2006, 57 de las 212 personas entrevistadas  no  poseerían  documentos  de</w:t>
        <w:br/>
        <w:t xml:space="preserve">   identidad. Aproximadamente 48 de ellas son niños y niñas. Según el  censo</w:t>
        <w:br/>
        <w:t xml:space="preserve">   de 2008, al menos 43 de los 273 miembros de  la  Comunidad  no  poseerían</w:t>
        <w:br/>
        <w:t xml:space="preserve">   actas de nacimiento. De ellos, al menos  33  son  menores  de  edad[276].</w:t>
        <w:br/>
        <w:t xml:space="preserve">   Igualmente, los representantes indicaron que de acuerdo al  último  censo</w:t>
        <w:br/>
        <w:t xml:space="preserve">   comunitario de 16 de octubre de 2009,  el  35%  de  los  miembros  de  la</w:t>
        <w:br/>
        <w:t xml:space="preserve">   Comunidad no poseía documentos.</w:t>
        <w:br/>
        <w:br/>
        <w:br/>
        <w:t>246. Los representantes agregaron que el  “elevado  número  de  personas  de</w:t>
        <w:br/>
        <w:t xml:space="preserve">   Xákmok Kásek que carecen de documentos  […]  impide  que  estas  personas</w:t>
        <w:br/>
        <w:t xml:space="preserve">   puedan jurídicamente demostrar su existencia e identidad”. Indicaron  que</w:t>
        <w:br/>
        <w:t xml:space="preserve">   “los niños y  niñas  fallecidas  a  corta  edad  en  ningún  caso  fueron</w:t>
        <w:br/>
        <w:t xml:space="preserve">   registrados al nacer,  por  lo  que  al  momento  de  sus  fallecimientos</w:t>
        <w:br/>
        <w:t xml:space="preserve">   carecían de certificados de nacimiento, lo que,  a  su  vez,  impedía  el</w:t>
        <w:br/>
        <w:t xml:space="preserve">   otorgamiento de los certificados de defunción a sus familiares”.</w:t>
        <w:br/>
        <w:br/>
        <w:br/>
        <w:t>247. El Estado indicó que había realizado “actividades  de  documentación  y</w:t>
        <w:br/>
        <w:t xml:space="preserve">   registro […] en la Comunidad” y adjuntó  prueba  de  ello.  Al  respecto,</w:t>
        <w:br/>
        <w:t xml:space="preserve">   señaló que el 14 de diciembre de 2009 el INDI y la  Oficina  de  Registro</w:t>
        <w:br/>
        <w:t xml:space="preserve">   Civil realizaron jornadas de documentación en donde se encuentra asentada</w:t>
        <w:br/>
        <w:t xml:space="preserve">   la Comunidad y  “recepcion[ó]  35  solicitudes  de  cédula  de  identidad</w:t>
        <w:br/>
        <w:t xml:space="preserve">   (primera vez) y 10 solicitudes de renovación”  [277].  Asimismo,  informó</w:t>
        <w:br/>
        <w:t xml:space="preserve">   sobre “la expedición de 66 carnets de identidad indígena, de  los  cuales</w:t>
        <w:br/>
        <w:t xml:space="preserve">   26 corresponden a mayores de edad y 40 a  menores”[278].  Adicionalmente,</w:t>
        <w:br/>
        <w:t xml:space="preserve">   la Oficina de Registro Civil había expedido certificados de nacimiento  a</w:t>
        <w:br/>
        <w:t xml:space="preserve">   25 menores de edad y 43 copias de  certificados  de  nacimiento[279].  El</w:t>
        <w:br/>
        <w:t xml:space="preserve">   Estado señaló que “ha cumplido con su obligación de respetar  el  derecho</w:t>
        <w:br/>
        <w:t xml:space="preserve">   [a] la personalidad jurídica e igualmente ha respetado el  derecho  a  la</w:t>
        <w:br/>
        <w:t xml:space="preserve">   identidad  de  los  miembros  de  la  Comunidad,  al  haberles   otorgado</w:t>
        <w:br/>
        <w:t xml:space="preserve">   documentos  identificatorios  que  permiten  el  ejercicio  de  cualquier</w:t>
        <w:br/>
        <w:t xml:space="preserve">   derecho”.</w:t>
        <w:br/>
        <w:br/>
        <w:br/>
        <w:t>248. La Corte  ha  considerado  que  el  contenido  propio  del  derecho  al</w:t>
        <w:br/>
        <w:t xml:space="preserve">   reconocimiento de la personalidad jurídica  es  que  se  reconozca  a  la</w:t>
        <w:br/>
        <w:t xml:space="preserve">   persona</w:t>
        <w:br/>
        <w:br/>
        <w:br/>
        <w:t xml:space="preserve">      en cualquier parte como sujeto de derechos y obligaciones, y  a  gozar</w:t>
        <w:br/>
        <w:t xml:space="preserve">      de los derechos civiles fundamentales[, lo cual] implica la  capacidad</w:t>
        <w:br/>
        <w:t xml:space="preserve">      de ser titular de  derechos  (capacidad  y  goce)  y  de  deberes;  la</w:t>
        <w:br/>
        <w:t xml:space="preserve">      violación  de  aquel  reconocimiento  supone  desconocer  en  términos</w:t>
        <w:br/>
        <w:t xml:space="preserve">      absolutos la posibilidad de ser titular de [los]  derechos  y  deberes</w:t>
        <w:br/>
        <w:t xml:space="preserve">      [civiles y fundamentales][280].</w:t>
        <w:br/>
        <w:br/>
        <w:br/>
        <w:t>249. Este derecho representa un parámetro para determinar si una persona  es</w:t>
        <w:br/>
        <w:t xml:space="preserve">   titular o no de los derechos de que se trate, y si los puede ejercer, por</w:t>
        <w:br/>
        <w:t xml:space="preserve">   lo que desconocer  aquel  reconocimiento  hace  al  individuo  vulnerable</w:t>
        <w:br/>
        <w:t xml:space="preserve">   frente al Estado o particulares[281]. De  este  modo,  el  contenido  del</w:t>
        <w:br/>
        <w:t xml:space="preserve">   derecho  al  reconocimiento  de  la  personalidad  jurídica  refiere   al</w:t>
        <w:br/>
        <w:t xml:space="preserve">   correlativo deber general del Estado de procurar los medios y condiciones</w:t>
        <w:br/>
        <w:t xml:space="preserve">   jurídicas para que ese derecho pueda ser ejercido libre y plenamente  por</w:t>
        <w:br/>
        <w:t xml:space="preserve">   sus titulares[282].</w:t>
        <w:br/>
        <w:br/>
        <w:br/>
        <w:t>250. Sin embargo, en aplicación del  principio  de  efecto  útil  y  de  las</w:t>
        <w:br/>
        <w:t xml:space="preserve">   necesidades de protección en casos de personas y grupos en  situación  de</w:t>
        <w:br/>
        <w:t xml:space="preserve">   vulnerabilidad, este Tribunal ha  observado  el  contenido  jurídico  más</w:t>
        <w:br/>
        <w:t xml:space="preserve">   amplio  de  este  derecho,  al  estimar  que  el  Estado   se   encuentra</w:t>
        <w:br/>
        <w:t xml:space="preserve">   especialmente “obligado a garantizar a aquellas personas en situación  de</w:t>
        <w:br/>
        <w:t xml:space="preserve">   vulnerabilidad,  marginalización  y   discriminación,   las   condiciones</w:t>
        <w:br/>
        <w:t xml:space="preserve">   jurídicas y  administrativas  que  les  aseguren  el  ejercicio  de  este</w:t>
        <w:br/>
        <w:t xml:space="preserve">   derecho, en atención al principio de  igualdad  ante  la  ley”[283].  Por</w:t>
        <w:br/>
        <w:t xml:space="preserve">   ejemplo, en el  caso  de  la  Comunidad  Indígena  Sawhoyamaxa  la  Corte</w:t>
        <w:br/>
        <w:t xml:space="preserve">   consideró que sus miembros habían “permanecido en un limbo legal en  que,</w:t>
        <w:br/>
        <w:t xml:space="preserve">   si bien nacieron y  murieron  en  el  Paraguay,  su  existencia  misma  e</w:t>
        <w:br/>
        <w:t xml:space="preserve">   identidad nunca estuvo jurídicamente  reconocida,  es  decir,  no  tenían</w:t>
        <w:br/>
        <w:t xml:space="preserve">   personalidad jurídica”[284].</w:t>
        <w:br/>
        <w:br/>
        <w:br/>
        <w:t>251. En el presente caso se presentan las  mismas  falencias  que  la  Corte</w:t>
        <w:br/>
        <w:t xml:space="preserve">   determinó en el caso Sawhoyamaxa. Varias de las personas que  fallecieron</w:t>
        <w:br/>
        <w:t xml:space="preserve">   no tenían actas de nacimiento, o al menos no fueron aportadas, ni tampoco</w:t>
        <w:br/>
        <w:t xml:space="preserve">   se levantaron las respectivas actas de  defunción,  careciéndose  de  los</w:t>
        <w:br/>
        <w:t xml:space="preserve">   documentos de identidad esenciales  para  la  determinación  de  derechos</w:t>
        <w:br/>
        <w:t xml:space="preserve">   civiles.</w:t>
        <w:br/>
        <w:br/>
        <w:br/>
        <w:t>252. En consecuencia, la Corte concluye que si bien el Estado  ha  realizado</w:t>
        <w:br/>
        <w:t xml:space="preserve">   esfuerzos para superar la situación de sub-registro de los miembros de la</w:t>
        <w:br/>
        <w:t xml:space="preserve">   Comunidad, del acervo probatorio se desprende que no  ha  garantizado  el</w:t>
        <w:br/>
        <w:t xml:space="preserve">   acceso adecuado a los procedimientos de registro civil, atendiendo  a  la</w:t>
        <w:br/>
        <w:t xml:space="preserve">   particular situación de vida que enfrentan los miembros de la  Comunidad,</w:t>
        <w:br/>
        <w:t xml:space="preserve">   a fin de lograr la expedición de documentos de identificación idónea a su</w:t>
        <w:br/>
        <w:t xml:space="preserve">   favor.</w:t>
        <w:br/>
        <w:br/>
        <w:br/>
        <w:t>253. Ahora bien, no  fueron  identificadas  ante  esta  Corte  las  personas</w:t>
        <w:br/>
        <w:t xml:space="preserve">   integrantes de la Comunidad que carecen de documentos de  identidad.  Las</w:t>
        <w:br/>
        <w:t xml:space="preserve">   únicas personas identificadas por su nombre son aquellas que  fallecieron</w:t>
        <w:br/>
        <w:t xml:space="preserve">   y que se mencionan en el apartado 2  del  Capítulo  VII  de  la  presente</w:t>
        <w:br/>
        <w:t xml:space="preserve">   Sentencia, relativo al derecho a la vida.  Cabe señalar, que el  Tribunal</w:t>
        <w:br/>
        <w:t xml:space="preserve">   requirió al Estado  el  suministro  de  sus  documentos  de  identidad  y</w:t>
        <w:br/>
        <w:t xml:space="preserve">   partidas  de  defunción.  Al  respecto,  los  representantes  presentaron</w:t>
        <w:br/>
        <w:t xml:space="preserve">   algunos  documentos  de  identidad[285],  sin  embargo   el   Estado   no</w:t>
        <w:br/>
        <w:t xml:space="preserve">   proporcionó  ningún  documento,  lo  que  lleva  a  este  Tribunal  a  la</w:t>
        <w:br/>
        <w:t xml:space="preserve">   conclusión  que  los  documentos  de  las  demás   personas   no   fueron</w:t>
        <w:br/>
        <w:t xml:space="preserve">   proporcionados porque carecían de los mismos.</w:t>
        <w:br/>
        <w:br/>
        <w:br/>
        <w:t>254. Por todo lo anterior, la Corte declara que el Estado violó  el  derecho</w:t>
        <w:br/>
        <w:t xml:space="preserve">   consagrado en el artículo 3 de la Convención Americana, en  relación  con</w:t>
        <w:br/>
        <w:t xml:space="preserve">   el artículo 1.1 de la misma, en perjuicio de: (NN) Jonás Ávalos  o  Jonás</w:t>
        <w:br/>
        <w:t xml:space="preserve">   Ríos Torres; Rosa Dermott; Yelsi Karina López Cabañas; Tito García;  Aída</w:t>
        <w:br/>
        <w:t xml:space="preserve">   Carolina González; Abundio Inter.  Dermot;  (NN)  Dermott  Larrosa;  (NN)</w:t>
        <w:br/>
        <w:t xml:space="preserve">   Ávalos o Ríos Torres; (NN) Dermott Martínez; (NN) Dermott  Larrosa;  (NN)</w:t>
        <w:br/>
        <w:t xml:space="preserve">   García Dermott; Adalberto González  López;  Roberto  Roa  Gonzáles;  (NN)</w:t>
        <w:br/>
        <w:t xml:space="preserve">   Ávalos o Ríos Torres; (NN) Ávalos  o  Ríos  Torres;  (NN)  Dermott  Ruiz;</w:t>
        <w:br/>
        <w:t xml:space="preserve">   Mercedes Dermott Larrosa; Sargento Giménez y Rosana Corrientes Domínguez.</w:t>
        <w:br/>
        <w:br/>
        <w:t xml:space="preserve">                                      *</w:t>
        <w:br/>
        <w:t xml:space="preserve">                                   *     *</w:t>
        <w:br/>
        <w:br/>
        <w:t>255.  Los  representantes  señalaron,  adicionalmente,  que  “el  Estado  se</w:t>
        <w:br/>
        <w:t xml:space="preserve">   encuentra violando el derecho a la personalidad jurídica de la  Comunidad</w:t>
        <w:br/>
        <w:t xml:space="preserve">   al negar la composición étnica de la [misma]”. Al respecto,  el  Tribunal</w:t>
        <w:br/>
        <w:t xml:space="preserve">   ya analizó lo alegado por los representantes en los Capítulos V.2  y  VI.</w:t>
        <w:br/>
        <w:t xml:space="preserve">   Además, si bien dichos hechos constituyen obstáculos para  la  titulación</w:t>
        <w:br/>
        <w:t xml:space="preserve">   de las tierras, así  como  afectaciones  a  la  autodeterminación  de  la</w:t>
        <w:br/>
        <w:t xml:space="preserve">   Comunidad Xákmok Kásek,  no  se  ha  presentado  prueba  y  argumentación</w:t>
        <w:br/>
        <w:t xml:space="preserve">   suficiente que permita a la Corte  declarar  la  violación  autónoma  del</w:t>
        <w:br/>
        <w:t xml:space="preserve">   artículo 3 de la Convención, en perjuicio de la Comunidad.</w:t>
        <w:br/>
        <w:br/>
        <w:t xml:space="preserve">                                      X</w:t>
        <w:br/>
        <w:t xml:space="preserve">                        DERECHOS DE LOS NIÑOS Y NIÑAS</w:t>
        <w:br/>
        <w:t xml:space="preserve">                  (ARTÍCULO 19 DE LA CONVENCIÓN AMERICANA)</w:t>
        <w:br/>
        <w:br/>
        <w:t>256. La Comisión indicó que los niños y  niñas  “han  sufrido  con  especial</w:t>
        <w:br/>
        <w:t xml:space="preserve">   rigor las condiciones de vida infrahumanas a la que está sometida toda la</w:t>
        <w:br/>
        <w:t xml:space="preserve">   Comunidad”. Los representantes  sostuvieron  que  “[t]odos  los  derechos</w:t>
        <w:br/>
        <w:t xml:space="preserve">   alegados como violados por el Estado tienen entre sus víctimas a niños  y</w:t>
        <w:br/>
        <w:t xml:space="preserve">   niñas” y que éstos  “no  fueron  objeto  de  las  medidas  especiales  de</w:t>
        <w:br/>
        <w:t xml:space="preserve">   protección que su condición de  vulnerabilidad,  en  razón  de  su  edad,</w:t>
        <w:br/>
        <w:t xml:space="preserve">   requerían”. El Estado sostuvo que ha brindado “atención integral”  a  los</w:t>
        <w:br/>
        <w:t xml:space="preserve">   niños, por lo que no  sería  responsable  de  la  alegada  violación  del</w:t>
        <w:br/>
        <w:t xml:space="preserve">   artículo 19 de la Convención.</w:t>
        <w:br/>
        <w:br/>
        <w:br/>
        <w:t>257.  El  Tribunal  recuerda  que  los  niños  poseen   los   derechos   que</w:t>
        <w:br/>
        <w:t xml:space="preserve">   corresponden a  todos  los  seres  humanos  y  tienen,  además,  derechos</w:t>
        <w:br/>
        <w:t xml:space="preserve">   especiales derivados de su condición,  a  los  que  corresponden  deberes</w:t>
        <w:br/>
        <w:t xml:space="preserve">   específicos de la familia, la sociedad y el Estado[286].  La  prevalencia</w:t>
        <w:br/>
        <w:t xml:space="preserve">   del interés superior del niño debe ser entendida  como  la  necesidad  de</w:t>
        <w:br/>
        <w:t xml:space="preserve">   satisfacción de todos los derechos de los niños, que obliga al  Estado  e</w:t>
        <w:br/>
        <w:t xml:space="preserve">   irradia efectos en la interpretación de todos los demás  derechos  de  la</w:t>
        <w:br/>
        <w:t xml:space="preserve">   Convención cuando el caso se refiera a menores de edad[287]. Asimismo, el</w:t>
        <w:br/>
        <w:t xml:space="preserve">   Estado debe prestar especial atención a las necesidades y a los  derechos</w:t>
        <w:br/>
        <w:t xml:space="preserve">   de  los  niños,  en  consideración   a   su   condición   particular   de</w:t>
        <w:br/>
        <w:t xml:space="preserve">   vulnerabilidad[288].</w:t>
        <w:br/>
        <w:br/>
        <w:br/>
        <w:t>258. Esta Corte ha establecido que la educación y el cuidado de la salud  de</w:t>
        <w:br/>
        <w:t xml:space="preserve">   los niños suponen  diversas  medidas  de  protección  y  constituyen  los</w:t>
        <w:br/>
        <w:t xml:space="preserve">   pilares fundamentales para garantizar el disfrute de una vida  digna  por</w:t>
        <w:br/>
        <w:t xml:space="preserve">   parte de los niños, que en virtud de su  condición  se  hallan  a  menudo</w:t>
        <w:br/>
        <w:t xml:space="preserve">   desprovistos de los medios  adecuados  para  la  defensa  eficaz  de  sus</w:t>
        <w:br/>
        <w:t xml:space="preserve">   derechos[289].</w:t>
        <w:br/>
        <w:br/>
        <w:br/>
        <w:t>259.  En  el  presente  caso,  el  Tribunal  reitera   sus   consideraciones</w:t>
        <w:br/>
        <w:t xml:space="preserve">   anteriores con respecto al acceso  al  agua,  la  alimentación,  salud  y</w:t>
        <w:br/>
        <w:t xml:space="preserve">   acceso a la educación de los miembros de la Comunidad (supra párrs. 194 a</w:t>
        <w:br/>
        <w:t xml:space="preserve">   213).  Asimismo,  observa  que  las  probadas  condiciones   de   extrema</w:t>
        <w:br/>
        <w:t xml:space="preserve">   vulnerabilidad afectaron en forma particular a los niños y niñas. Como se</w:t>
        <w:br/>
        <w:t xml:space="preserve">   mencionó previamente, la falta de una alimentación adecuada  ha  afectado</w:t>
        <w:br/>
        <w:t xml:space="preserve">   el desarrollo y crecimiento  de  los  niños,  ha  aumentado  los  índices</w:t>
        <w:br/>
        <w:t xml:space="preserve">   normales de atrofia en su crecimiento y ha ocasionado  altos  índices  de</w:t>
        <w:br/>
        <w:t xml:space="preserve">   desnutrición entre ellos  (supra  párr.  201).  Asimismo,  de  la  prueba</w:t>
        <w:br/>
        <w:t xml:space="preserve">   aportada se desprende que para el 2007 los niños y niñas de la  Comunidad</w:t>
        <w:br/>
        <w:t xml:space="preserve">   “o no recibieron todas las  vacunas,  o  no  fueron  vacunados  según  el</w:t>
        <w:br/>
        <w:t xml:space="preserve">   estándar internacional, o no poseían certificación alguna  referent[e]  a</w:t>
        <w:br/>
        <w:t xml:space="preserve">   las vacunas recibidas”[290].</w:t>
        <w:br/>
        <w:br/>
        <w:br/>
        <w:t>260. Igualmente, resulta preocupante  que  11  de  los  13  miembros  de  la</w:t>
        <w:br/>
        <w:t xml:space="preserve">   Comunidad cuya muerte es imputable al  Estado  (supra  párr.  234),  eran</w:t>
        <w:br/>
        <w:t xml:space="preserve">   niños o  niñas.  Más  aún,  la  Corte  nota  que  las  causas  de  dichos</w:t>
        <w:br/>
        <w:t xml:space="preserve">   fallecimientos se hubieran podido  prevenir  con  una  adecuada  atención</w:t>
        <w:br/>
        <w:t xml:space="preserve">   médica o asistencia por parte  del  Estado.  Por  ello,  difícilmente  se</w:t>
        <w:br/>
        <w:t xml:space="preserve">   podría decir  que  el  Estado  ha  adoptado  las  medidas  especiales  de</w:t>
        <w:br/>
        <w:t xml:space="preserve">   protección que debía a los niños y niñas de la Comunidad.</w:t>
        <w:br/>
        <w:br/>
        <w:br/>
        <w:t>261. Con  respecto  a  la  identidad  cultural  de  los  niños  y  niñas  de</w:t>
        <w:br/>
        <w:t xml:space="preserve">   comunidades indígenas, el Tribunal advierte que  el  artículo  30  de  la</w:t>
        <w:br/>
        <w:t xml:space="preserve">   Convención sobre los Derechos  del  Niño[291]  establece  una  obligación</w:t>
        <w:br/>
        <w:t xml:space="preserve">   adicional y complementaria que dota de contenido al  artículo  19  de  la</w:t>
        <w:br/>
        <w:t xml:space="preserve">   Convención Americana, y que consiste  en  la  obligación  de  promover  y</w:t>
        <w:br/>
        <w:t xml:space="preserve">   proteger el derecho de los niños indígenas a  vivir  de  acuerdo  con  su</w:t>
        <w:br/>
        <w:t xml:space="preserve">   propia cultura, su propia religión y su propio idioma[292].</w:t>
        <w:br/>
        <w:br/>
        <w:br/>
        <w:t>262. Asimismo, este Tribunal estima que dentro de la obligación  general  de</w:t>
        <w:br/>
        <w:t xml:space="preserve">   los Estados de promover y proteger la diversidad cultural se desprende la</w:t>
        <w:br/>
        <w:t xml:space="preserve">   obligación especial de garantizar el derecho a la vida  cultural  de  los</w:t>
        <w:br/>
        <w:t xml:space="preserve">   niños indígenas[293].</w:t>
        <w:br/>
        <w:br/>
        <w:br/>
        <w:t>263. En ese  sentido,  la  Corte  considera  que  la  pérdida  de  prácticas</w:t>
        <w:br/>
        <w:t xml:space="preserve">   tradicionales, como los ritos de iniciación femenina o  masculina  y  las</w:t>
        <w:br/>
        <w:t xml:space="preserve">   lenguas de la Comunidad, y  los  perjuicios  derivados  de  la  falta  de</w:t>
        <w:br/>
        <w:t xml:space="preserve">   territorio,  afectan  en  forma  particular  el  desarrollo  e  identidad</w:t>
        <w:br/>
        <w:t xml:space="preserve">   cultural de los niños y niñas de la Comunidad, quienes no podrán siquiera</w:t>
        <w:br/>
        <w:t xml:space="preserve">   desarrollar esa especial relación con su  territorio  tradicional  y  esa</w:t>
        <w:br/>
        <w:t xml:space="preserve">   particular forma de vida propia de su cultura si no  se  implementan  las</w:t>
        <w:br/>
        <w:t xml:space="preserve">   medidas necesarias para garantizar el disfrute de estos derechos.</w:t>
        <w:br/>
        <w:br/>
        <w:br/>
        <w:t>264. En virtud de todas las consideraciones previas, el  Tribunal  considera</w:t>
        <w:br/>
        <w:t xml:space="preserve">   que el Estado no ha adoptado las medidas de protección necesarias a favor</w:t>
        <w:br/>
        <w:t xml:space="preserve">   de todos los niños y niñas de la  Comunidad,  en  violación  del  derecho</w:t>
        <w:br/>
        <w:t xml:space="preserve">   consagrado en el artículo 19 de la Convención Americana, en relación  con</w:t>
        <w:br/>
        <w:t xml:space="preserve">   el artículo 1.1 de la misma.</w:t>
        <w:br/>
        <w:br/>
        <w:br/>
        <w:t xml:space="preserve">                                     XI</w:t>
        <w:br/>
        <w:t xml:space="preserve">       DeBER DE RESPETAR Y GARANTIZAR LOS DERECHOS SIN DISCRIMINACIÓN</w:t>
        <w:br/>
        <w:t xml:space="preserve">                  (Artículo 1.1 de la convención AMERICANA)</w:t>
        <w:br/>
        <w:br/>
        <w:t>265. La Comisión alegó que “el presente  caso  ilustra  la  persistencia  de</w:t>
        <w:br/>
        <w:t xml:space="preserve">   factores de discriminación estructural en el  ordenamiento  jurídico  del</w:t>
        <w:br/>
        <w:t xml:space="preserve">   Paraguay, en lo relativo a la protección de su derecho a la propiedad del</w:t>
        <w:br/>
        <w:t xml:space="preserve">   territorio ancestral y los recursos que allí se hallan”. Agregó que “pese</w:t>
        <w:br/>
        <w:t xml:space="preserve">   a  que  el  Estado  paraguayo  presenta  los  avances  generales  de   su</w:t>
        <w:br/>
        <w:t xml:space="preserve">   ordenamiento jurídico en reconocer los derechos de los pueblos  indígenas</w:t>
        <w:br/>
        <w:t xml:space="preserve">   como prueba de cumplimiento de sus obligaciones bajo el artículo 2 de  la</w:t>
        <w:br/>
        <w:t xml:space="preserve">   Convención […], debe resaltarse que persisten disposiciones jurídicas  en</w:t>
        <w:br/>
        <w:t xml:space="preserve">   el ordenamiento civil, agrario y administrativo que se aplicaron en  este</w:t>
        <w:br/>
        <w:t xml:space="preserve">   caso, y que determinan el funcionamiento del  sistema  estatal  en  forma</w:t>
        <w:br/>
        <w:t xml:space="preserve">   discriminatoria, ya que  privilegian  la  protección  del  derecho  a  la</w:t>
        <w:br/>
        <w:t xml:space="preserve">   propiedad privada ‘racionalmente productiva’ sobre la protección  de  los</w:t>
        <w:br/>
        <w:t xml:space="preserve">   derechos territoriales de la población indígena”.</w:t>
        <w:br/>
        <w:br/>
        <w:br/>
        <w:t>266.  Los   representantes   indicaron   que   existe   “una   política   de</w:t>
        <w:br/>
        <w:t xml:space="preserve">   discriminación, que reporta un patrón sistemático fácilmente observable y</w:t>
        <w:br/>
        <w:t xml:space="preserve">   que, además, goza de un elevado consenso en el Paraguay, con lo  cual  se</w:t>
        <w:br/>
        <w:t xml:space="preserve">   está conduciendo aceleradamente al deterioro extremo de  las  condiciones</w:t>
        <w:br/>
        <w:t xml:space="preserve">   de  vida  de  las  comunidades  indígenas  en  general,  y  en  el   caso</w:t>
        <w:br/>
        <w:t xml:space="preserve">   [particular] […] para [la Comunidad] Xákmok  Kásek”.   “La  Comunidad  ha</w:t>
        <w:br/>
        <w:t xml:space="preserve">   debido sobrevivir en un  contexto  […]  donde  los  indígenas  se  vieron</w:t>
        <w:br/>
        <w:t xml:space="preserve">   tratados como objetos sin voz ni opinión”.  “El  Estado  no  ha  adoptado</w:t>
        <w:br/>
        <w:t xml:space="preserve">   medidas especificas […] tendientes a erradicar  la  discriminación  hacia</w:t>
        <w:br/>
        <w:t xml:space="preserve">   los pueblos indígenas, aún habiendo suscrito la Convención  Internacional</w:t>
        <w:br/>
        <w:t xml:space="preserve">   sobre la eliminación de todas las formas de  discriminación  racial  (Ley</w:t>
        <w:br/>
        <w:t xml:space="preserve">   nacional 2128/03)”. Agregaron que “la supuesta  imposibilidad  fáctica  y</w:t>
        <w:br/>
        <w:t xml:space="preserve">   jurídica[, acerca de la titulación de las tierras,] aludida por el Estado</w:t>
        <w:br/>
        <w:t xml:space="preserve">   de Paraguay, no es otra cosa que la aplicación deliberada de una política</w:t>
        <w:br/>
        <w:t xml:space="preserve">   racista y discriminatoria […], situación inveterada que no ha cambiado en</w:t>
        <w:br/>
        <w:t xml:space="preserve">   lo sustantivo tampoco en la actualidad, hecho que  se  evidencia  en  las</w:t>
        <w:br/>
        <w:t xml:space="preserve">   posiciones gubernamentales exhibidas en el presente caso”.</w:t>
        <w:br/>
        <w:br/>
        <w:br/>
        <w:t>267. El Estado no se refirió, en particular, respecto a estos alegatos.</w:t>
        <w:br/>
        <w:br/>
        <w:br/>
        <w:t>268. La Corte ha establecido que el artículo 1.1 de la  Convención,  es  una</w:t>
        <w:br/>
        <w:t xml:space="preserve">   norma de  carácter  general  cuyo  contenido  se  extiende  a  todas  las</w:t>
        <w:br/>
        <w:t xml:space="preserve">   disposiciones del tratado, dispone la obligación de los Estados Partes de</w:t>
        <w:br/>
        <w:t xml:space="preserve">   respetar y garantizar el pleno  y  libre  ejercicio  de  los  derechos  y</w:t>
        <w:br/>
        <w:t xml:space="preserve">   libertades  allí  reconocidos  “sin  discriminación  alguna”.  Es  decir,</w:t>
        <w:br/>
        <w:t xml:space="preserve">   cualquiera sea el origen o la forma que asuma, todo tratamiento que pueda</w:t>
        <w:br/>
        <w:t xml:space="preserve">   ser considerado discriminatorio respecto del ejercicio de  cualquiera  de</w:t>
        <w:br/>
        <w:t xml:space="preserve">   los derechos garantizados en la Convención es per se incompatible con  la</w:t>
        <w:br/>
        <w:t xml:space="preserve">   misma[294].  El  incumplimiento  por  el   Estado,   mediante   cualquier</w:t>
        <w:br/>
        <w:t xml:space="preserve">   tratamiento discriminatorio, de  la  obligación  general  de  respetar  y</w:t>
        <w:br/>
        <w:t xml:space="preserve">   garantizar   los   derechos   humanos,    le    genera    responsabilidad</w:t>
        <w:br/>
        <w:t xml:space="preserve">   internacional[295]. Es por ello que existe un vínculo  indisoluble  entre</w:t>
        <w:br/>
        <w:t xml:space="preserve">   la obligación  de  respetar  y  garantizar  los  derechos  humanos  y  el</w:t>
        <w:br/>
        <w:t xml:space="preserve">   principio de igualdad y no discriminación.</w:t>
        <w:br/>
        <w:br/>
        <w:br/>
        <w:t>269. El principio de la protección igualitaria y efectiva de la ley y de  la</w:t>
        <w:br/>
        <w:t xml:space="preserve">   no discriminación constituye un dato sobresaliente en el sistema  tutelar</w:t>
        <w:br/>
        <w:t xml:space="preserve">   de   los   derechos   humanos   consagrado   en    varios    instrumentos</w:t>
        <w:br/>
        <w:t xml:space="preserve">   internacionales[296] y desarrollado por la doctrina y jurisprudencia.  En</w:t>
        <w:br/>
        <w:t xml:space="preserve">   la actual etapa de la evolución del derecho internacional,  el  principio</w:t>
        <w:br/>
        <w:t xml:space="preserve">   fundamental de igualdad y no discriminación ha ingresado  en  el  dominio</w:t>
        <w:br/>
        <w:t xml:space="preserve">   del jus cogens. Sobre él descansa el andamiaje jurídico del orden público</w:t>
        <w:br/>
        <w:t xml:space="preserve">   nacional e internacional y permean todo el ordenamiento jurídico[297].</w:t>
        <w:br/>
        <w:br/>
        <w:br/>
        <w:t>270. En lo que respecta a pueblos indígenas, la Corte en  su  jurisprudencia</w:t>
        <w:br/>
        <w:t xml:space="preserve">   ha establecido específicamente que  “es  indispensable  que  los  Estados</w:t>
        <w:br/>
        <w:t xml:space="preserve">   otorguen una protección efectiva que tome en cuenta sus  particularidades</w:t>
        <w:br/>
        <w:t xml:space="preserve">   propias, sus características económicas y sociales, así como su situación</w:t>
        <w:br/>
        <w:t xml:space="preserve">   de especial vulnerabilidad, su derecho consuetudinario, valores,  usos  y</w:t>
        <w:br/>
        <w:t xml:space="preserve">   costumbres”[298].</w:t>
        <w:br/>
        <w:br/>
        <w:br/>
        <w:t>271. Además, el Tribunal ha señalado que “los Estados  deben  abstenerse  de</w:t>
        <w:br/>
        <w:t xml:space="preserve">   realizar acciones que de cualquier  manera  vayan  dirigidas,  directa  o</w:t>
        <w:br/>
        <w:t xml:space="preserve">   indirectamente, a crear  situaciones  de  discriminación  de  jure  o  de</w:t>
        <w:br/>
        <w:t xml:space="preserve">   facto”[299]. Los Estados están obligados  “a  adoptar  medidas  positivas</w:t>
        <w:br/>
        <w:t xml:space="preserve">   para revertir o cambiar situaciones discriminatorias  existentes  en  sus</w:t>
        <w:br/>
        <w:t xml:space="preserve">   sociedades, en perjuicio de determinado grupo de personas.  Esto  implica</w:t>
        <w:br/>
        <w:t xml:space="preserve">   el deber especial de protección que el Estado debe ejercer con respecto a</w:t>
        <w:br/>
        <w:t xml:space="preserve">   actuaciones  y  prácticas  de  terceros  que,  bajo   su   tolerancia   o</w:t>
        <w:br/>
        <w:t xml:space="preserve">   aquiescencia,   creen,   mantengan   o   favorezcan    las    situaciones</w:t>
        <w:br/>
        <w:t xml:space="preserve">   discriminatorias”[300].</w:t>
        <w:br/>
        <w:br/>
        <w:br/>
        <w:t>272. Ahora bien, refiriéndose a los artículos 1.1 y 24 de la  Convención  la</w:t>
        <w:br/>
        <w:t xml:space="preserve">   Corte ha indicado que “la diferencia entre los dos  artículos  radica  en</w:t>
        <w:br/>
        <w:t xml:space="preserve">   que la obligación general del artículo 1.1 se refiere al deber del Estado</w:t>
        <w:br/>
        <w:t xml:space="preserve">   de respetar y garantizar ‘sin discriminación’ los derechos contenidos  en</w:t>
        <w:br/>
        <w:t xml:space="preserve">   la Convención Americana[. E]n otras palabras, si un Estado discrimina  en</w:t>
        <w:br/>
        <w:t xml:space="preserve">   el respeto o garantía de un derecho convencional,  violaría  el  artículo</w:t>
        <w:br/>
        <w:t xml:space="preserve">   1.1 y  el  derecho  sustantivo  en  cuestión.  Si  por  el  contrario  la</w:t>
        <w:br/>
        <w:t xml:space="preserve">   discriminación se refiere a una protección desigual de  la  ley  interna,</w:t>
        <w:br/>
        <w:t xml:space="preserve">   violaría el artículo 24”[301].</w:t>
        <w:br/>
        <w:br/>
        <w:br/>
        <w:t>273. En el presente caso está establecido que  la  situación  de  extrema  y</w:t>
        <w:br/>
        <w:t xml:space="preserve">   especial vulnerabilidad de los miembros de la Comunidad  se  debe,  inter</w:t>
        <w:br/>
        <w:t xml:space="preserve">   alia, a la falta de recursos adecuados y  efectivos  que  en  los  hechos</w:t>
        <w:br/>
        <w:t xml:space="preserve">   proteja los derechos de los indígenas y no  sólo  de  manera  formal;  la</w:t>
        <w:br/>
        <w:t xml:space="preserve">   débil presencia de instituciones estatales obligadas a prestar  servicios</w:t>
        <w:br/>
        <w:t xml:space="preserve">   y bienes a los miembros de la Comunidad, en especial, alimentación, agua,</w:t>
        <w:br/>
        <w:t xml:space="preserve">   salud y educación; y a la prevalencia de una visión de la  propiedad  que</w:t>
        <w:br/>
        <w:t xml:space="preserve">   otorga mayor  protección  a  los  propietarios  privados  por  sobre  los</w:t>
        <w:br/>
        <w:t xml:space="preserve">   reclamos territoriales indígenas, desconociéndose, con ello, su identidad</w:t>
        <w:br/>
        <w:t xml:space="preserve">   cultural y amenazando su subsistencia física. Asimismo, quedó  demostrado</w:t>
        <w:br/>
        <w:t xml:space="preserve">   el hecho de que la declaratoria de reserva natural  privada  sobre  parte</w:t>
        <w:br/>
        <w:t xml:space="preserve">   del territorio reclamado por la Comunidad no tomó en  cuenta  su  reclamo</w:t>
        <w:br/>
        <w:t xml:space="preserve">   territorrial ni tampoco fue consultada sobre dicha declaratoria.</w:t>
        <w:br/>
        <w:br/>
        <w:br/>
        <w:t>274. Todo lo anterior evidencia una discriminación de  facto  en  contra  de</w:t>
        <w:br/>
        <w:t xml:space="preserve">   los miembros de la Comunidad Xákmok Kásek, marginalizados en el  goce  de</w:t>
        <w:br/>
        <w:t xml:space="preserve">   los  derechos  que  el  Tribunal  declara  violados  en  esta  Sentencia.</w:t>
        <w:br/>
        <w:t xml:space="preserve">   Asimismo, se evidencia que el Estado no ha adoptado las medidas positivas</w:t>
        <w:br/>
        <w:t xml:space="preserve">   necesarias para revertir tal exclusión.</w:t>
        <w:br/>
        <w:br/>
        <w:br/>
        <w:t>275. Por lo expuesto, y de conformidad con las violaciones de  los  derechos</w:t>
        <w:br/>
        <w:t xml:space="preserve">   previamente declaradas, la Corte considera que el Estado no  ha  adoptado</w:t>
        <w:br/>
        <w:t xml:space="preserve">   medidas suficientes y efectivas para garantizar  sin  discriminación  los</w:t>
        <w:br/>
        <w:t xml:space="preserve">   derechos de los miembros de la Comunidad Xákmok Kásek, de conformidad con</w:t>
        <w:br/>
        <w:t xml:space="preserve">   el  artículo  1.1  de  la  Convención,  en  relación  con  los   derechos</w:t>
        <w:br/>
        <w:t xml:space="preserve">   reconocidos en los artículos 21.1, 8.1, 25.1,  4.1,  3  y  19  del  mismo</w:t>
        <w:br/>
        <w:t xml:space="preserve">   instrumento.</w:t>
        <w:br/>
        <w:br/>
        <w:t xml:space="preserve">                                     XII</w:t>
        <w:br/>
        <w:t xml:space="preserve">                                REPARACIONES</w:t>
        <w:br/>
        <w:t xml:space="preserve">          (Aplicación del artículo 63.1 de la Convención Americana)</w:t>
        <w:br/>
        <w:br/>
        <w:t>276. Sobre la base de lo dispuesto en el artículo 63.1 de la Convención,  la</w:t>
        <w:br/>
        <w:t xml:space="preserve">   Corte ha indicado que toda violación de una obligación internacional  que</w:t>
        <w:br/>
        <w:t xml:space="preserve">   haya producido daño comporta el deber de repararlo  adecuadamente[302]  y</w:t>
        <w:br/>
        <w:t xml:space="preserve">   que esa disposición “recoge una norma consuetudinaria que constituye  uno</w:t>
        <w:br/>
        <w:t xml:space="preserve">   de los principios fundamentales del Derecho  Internacional  contemporáneo</w:t>
        <w:br/>
        <w:t xml:space="preserve">   sobre responsabilidad de un Estado”[303].</w:t>
        <w:br/>
        <w:br/>
        <w:br/>
        <w:t>277. Por lo tanto, la Corte procederá a analizar tanto las  pretensiones  de</w:t>
        <w:br/>
        <w:t xml:space="preserve">   la Comisión y los representantes,  como  los  argumentos  del  Estado  al</w:t>
        <w:br/>
        <w:t xml:space="preserve">   respecto, con el objeto de disponer las medidas tendientes a reparar  las</w:t>
        <w:br/>
        <w:t xml:space="preserve">   violaciones declaradas en esta Sentencia.</w:t>
        <w:br/>
        <w:br/>
        <w:br/>
        <w:t xml:space="preserve">      1.    Parte lesionada</w:t>
        <w:br/>
        <w:br/>
        <w:br/>
        <w:t>278. El Tribunal tomará como parte lesionada a los miembros de la  Comunidad</w:t>
        <w:br/>
        <w:t xml:space="preserve">   Xákmok Kásek que sufrieron las violaciones declaradas  en  los  Capítulos</w:t>
        <w:br/>
        <w:t xml:space="preserve">   VI, VII, VIII, IX, X y XI de esta Sentencia.</w:t>
        <w:br/>
        <w:br/>
        <w:br/>
        <w:t xml:space="preserve">      2.    Medidas de restitución</w:t>
        <w:br/>
        <w:br/>
        <w:br/>
        <w:t>279. La Comisión solicitó que se ordene al Estado que adopte a  la  brevedad</w:t>
        <w:br/>
        <w:t xml:space="preserve">   las medidas necesarias para hacer efectivo el derecho de propiedad  y  la</w:t>
        <w:br/>
        <w:t xml:space="preserve">   posesión de la  Comunidad  y  sus  miembros  respecto  de  su  territorio</w:t>
        <w:br/>
        <w:t xml:space="preserve">   ancestral, “en particular para delimitar, demarcar y titular sus tierras,</w:t>
        <w:br/>
        <w:t xml:space="preserve">   acorde con su derecho consuetudinario, valores, usos y  costumbres”,  así</w:t>
        <w:br/>
        <w:t xml:space="preserve">   como que se ordene “la adopción de medidas necesarias  para  cautelar  el</w:t>
        <w:br/>
        <w:t xml:space="preserve">   hábitat reclamado por la Comunidad Indígena, hasta tanto no  se  produzca</w:t>
        <w:br/>
        <w:t xml:space="preserve">   la delimitación, demarcación y titulación  del  territorio  ancestral  en</w:t>
        <w:br/>
        <w:t xml:space="preserve">   favor de la Comunidad[,] […] específicamente aquellas medidas  tendientes</w:t>
        <w:br/>
        <w:t xml:space="preserve">   a evitar daños inmediatos e irreparables resultantes de  las  actividades</w:t>
        <w:br/>
        <w:t xml:space="preserve">   de terceros”. Además, indicó que  sólo  “de  darse  motivos  objetivos  y</w:t>
        <w:br/>
        <w:t xml:space="preserve">   fundamentados que imposibiliten que el  Estado  adjudique  el  territorio</w:t>
        <w:br/>
        <w:t xml:space="preserve">   identificado como el  tradicional  de  la  Comunidad,  deberá  entregarle</w:t>
        <w:br/>
        <w:t xml:space="preserve">   tierras alternativas de extensión y calidad suficiente, que serán electas</w:t>
        <w:br/>
        <w:t xml:space="preserve">   de manera consensuada”. Asimismo, los representantes solicitaron  que  se</w:t>
        <w:br/>
        <w:t xml:space="preserve">   ordene al Estado la restitución de sus tierras, en  extensión  y  calidad</w:t>
        <w:br/>
        <w:t xml:space="preserve">   suficiente, acorde a lo que ha sido el reclamo comunitario,  en  el  área</w:t>
        <w:br/>
        <w:t xml:space="preserve">   identificada como parte constitutiva  de  su  hábitat  tradicional  y  la</w:t>
        <w:br/>
        <w:t xml:space="preserve">   entrega gratuita del título de éstas.</w:t>
        <w:br/>
        <w:br/>
        <w:br/>
        <w:t>280. Al contestar la  demanda,  el  Estado  se  allanó  en  este  extremo  y</w:t>
        <w:br/>
        <w:t xml:space="preserve">   reconoció el “derecho a la propiedad  de  la  tierra  comunitaria  de  la</w:t>
        <w:br/>
        <w:t xml:space="preserve">   Comunidad Indígena Xákmok Kásek, en la forma y  condiciones  establecidas</w:t>
        <w:br/>
        <w:t xml:space="preserve">   por la Constitución Nacional y las leyes vigentes  en  la  República  del</w:t>
        <w:br/>
        <w:t xml:space="preserve">   Paraguay”. En particular, manifestó que  ratificaba  “su  disposición  de</w:t>
        <w:br/>
        <w:t xml:space="preserve">   entregar a título gratuito a la Comunidad […], tal  como  lo  dispone  la</w:t>
        <w:br/>
        <w:t xml:space="preserve">   Constitución Nacional y la legislación vigente, una  cantidad  de  tierra</w:t>
        <w:br/>
        <w:t xml:space="preserve">   según el número estable y permanente de [sus] miembros […], dentro  de[l]</w:t>
        <w:br/>
        <w:t xml:space="preserve">   territorio delimitado en el  Chaco  paraguayo,  asiento  tradicional  del</w:t>
        <w:br/>
        <w:t xml:space="preserve">   pueblo  Enxet-Lengua  […]  y  sin  afectar  derechos  de   terceros   que</w:t>
        <w:br/>
        <w:t xml:space="preserve">   justifiquen derechos de propiedad y  racional  explotación”.  Finalmente,</w:t>
        <w:br/>
        <w:t xml:space="preserve">   solicitó a la Corte que “autorice al Estado a buscar un inmueble,  dentro</w:t>
        <w:br/>
        <w:t xml:space="preserve">   del territorio histórico de los Enxet Lengua, donde otorgar la  propiedad</w:t>
        <w:br/>
        <w:t xml:space="preserve">   a la nueva comunidad Xákmok Kásek, cosa a la que nunca se  ha  negado  el</w:t>
        <w:br/>
        <w:t xml:space="preserve">   Estado”. Por otra parte, indicó que respecto a la titulación de 1500  has</w:t>
        <w:br/>
        <w:t xml:space="preserve">   “se encuentran en trámite de transferencia ante la  Escribanía  Mayor  de</w:t>
        <w:br/>
        <w:t xml:space="preserve">   Gobierno para formalizar la suscripción de la Escritura Pública  a  favor</w:t>
        <w:br/>
        <w:t xml:space="preserve">   de la Comunidad”.</w:t>
        <w:br/>
        <w:br/>
        <w:br/>
        <w:t xml:space="preserve">           2.1.  Devolución del territorio tradicional reclamado</w:t>
        <w:br/>
        <w:br/>
        <w:br/>
        <w:t>281. A la luz  de  sus  conclusiones  en  el  capítulo  VI  relativo  a  los</w:t>
        <w:br/>
        <w:t xml:space="preserve">   artículos 21.1, 8.1 y 25.1 de la Convención, la Corte  considera  que  la</w:t>
        <w:br/>
        <w:t xml:space="preserve">   devolución de las tierras tradicionales a los miembros  de  la  Comunidad</w:t>
        <w:br/>
        <w:t xml:space="preserve">   Xákmok Kásek es la medida de reparación que más se acerca a la restitutio</w:t>
        <w:br/>
        <w:t xml:space="preserve">   in integrum, por lo que dispone que el  Estado  debe  adoptar  todas  las</w:t>
        <w:br/>
        <w:t xml:space="preserve">   medidas  legislativas,  administrativas  y  de  cualquier   otra   índole</w:t>
        <w:br/>
        <w:t xml:space="preserve">   necesarias para asegurar a los miembros de la  Comunidad  el  derecho  de</w:t>
        <w:br/>
        <w:t xml:space="preserve">   propiedad sobre sus tierras tradicionales y, por lo tanto, su uso y goce.</w:t>
        <w:br/>
        <w:br/>
        <w:br/>
        <w:t>282. El vínculo de los miembros de la Comunidad con  dichos  territorios  es</w:t>
        <w:br/>
        <w:t xml:space="preserve">   fundamental e inescindible para su supervivencia alimentaria y  cultural,</w:t>
        <w:br/>
        <w:t xml:space="preserve">   por ello la importancia de su devolución. Contrario a lo  que  señala  el</w:t>
        <w:br/>
        <w:t xml:space="preserve">   Estado, las tierras a entregarse a los miembros de  la  Comunidad  no  es</w:t>
        <w:br/>
        <w:t xml:space="preserve">   cualquier inmueble “dentro del territorio histórico de los Enxet Lengua”,</w:t>
        <w:br/>
        <w:t xml:space="preserve">   sino el territorio que los miembros de la  Comunidad  han  demostrado  en</w:t>
        <w:br/>
        <w:t xml:space="preserve">   este caso que es su territorio tradicional específico y más apto para  el</w:t>
        <w:br/>
        <w:t xml:space="preserve">   asentamiento indígena (supra párr. 107).</w:t>
        <w:br/>
        <w:br/>
        <w:br/>
        <w:t>283. Consecuentemente, el Estado está en la obligación  de  devolver  a  los</w:t>
        <w:br/>
        <w:t xml:space="preserve">   miembros de la Comunidad las  10.700  hectáreas  reclamadas  por  ésta  e</w:t>
        <w:br/>
        <w:t xml:space="preserve">   identificadas como Mompey Sensap (hoy Retiro  Primero)  y  Makha  Mompena</w:t>
        <w:br/>
        <w:t xml:space="preserve">   (hoy Retiro Kuñataí). La identificación específica de dicho territorio  y</w:t>
        <w:br/>
        <w:t xml:space="preserve">   sus límites deberá ser realizada por el Estado, en el plazo de un  año  a</w:t>
        <w:br/>
        <w:t xml:space="preserve">   partir de la notificación de esta  Sentencia,  a  través  de  los  medios</w:t>
        <w:br/>
        <w:t xml:space="preserve">   técnicos especializados para tal fin, con la participación de los líderes</w:t>
        <w:br/>
        <w:t xml:space="preserve">   de la Comunidad y sus representantes libremente elegidos.</w:t>
        <w:br/>
        <w:br/>
        <w:br/>
        <w:t>284. Una vez  identificado  plenamente  el  territorio  tradicional  de  los</w:t>
        <w:br/>
        <w:t xml:space="preserve">   miembros de la Comunidad, de la forma y  en  el  plazo  señalados  en  el</w:t>
        <w:br/>
        <w:t xml:space="preserve">   párrafo anterior, de encontrarse éste  en  manos  de  particulares,  sean</w:t>
        <w:br/>
        <w:t xml:space="preserve">   éstos personas naturales o jurídicas, el Estado deberá, a través  de  sus</w:t>
        <w:br/>
        <w:t xml:space="preserve">   autoridades  competentes,  decidir  si  procede   la   expropiación   del</w:t>
        <w:br/>
        <w:t xml:space="preserve">   territorio a favor de los indígenas. Para  resolver  esta  cuestión,  las</w:t>
        <w:br/>
        <w:t xml:space="preserve">   autoridades estatales deben seguir los estándares  establecidos  en  esta</w:t>
        <w:br/>
        <w:t xml:space="preserve">   Sentencia (supra párrs. 85 a 170), teniendo muy  en  cuenta  la  especial</w:t>
        <w:br/>
        <w:t xml:space="preserve">   relación que los indígenas tienen con sus tierras para la preservación de</w:t>
        <w:br/>
        <w:t xml:space="preserve">   su cultura y  su  supervivencia.  En  ningún  caso  la  decisión  de  las</w:t>
        <w:br/>
        <w:t xml:space="preserve">   autoridades internas deberá basarse exclusivamente en que dichas  tierras</w:t>
        <w:br/>
        <w:t xml:space="preserve">   estén en manos privadas o que estén  racionalmente  explotadas,  por  las</w:t>
        <w:br/>
        <w:t xml:space="preserve">   consideraciones expuestas en el párrafo 149 de  esta  Sentencia.  Hacerlo</w:t>
        <w:br/>
        <w:t xml:space="preserve">   sería desconocer la presente decisión y una violación a  los  compromisos</w:t>
        <w:br/>
        <w:t xml:space="preserve">   adquiridos soberanamente por el Paraguay.</w:t>
        <w:br/>
        <w:br/>
        <w:br/>
        <w:t>285. El Estado cuenta con un plazo de tres años a partir de la  notificación</w:t>
        <w:br/>
        <w:t xml:space="preserve">   de la presente Sentencia para la devolución de las tierras  tradicionales</w:t>
        <w:br/>
        <w:t xml:space="preserve">   a los miembros de la Comunidad, para lo cual  deberá  resolver  sobre  la</w:t>
        <w:br/>
        <w:t xml:space="preserve">   procedencia de la expropiación y, de ser el caso,  llevarla  a  cabo.  El</w:t>
        <w:br/>
        <w:t xml:space="preserve">   Estado deberá realizar dentro de ese término las  diligencias  necesarias</w:t>
        <w:br/>
        <w:t xml:space="preserve">   para tal fin. Asimismo, dentro de ese plazo, el Estado podrá impulsar, de</w:t>
        <w:br/>
        <w:t xml:space="preserve">   ser el caso, las medidas de negociación para la  compra  de  las  tierras</w:t>
        <w:br/>
        <w:t xml:space="preserve">   correspondientes.</w:t>
        <w:br/>
        <w:br/>
        <w:br/>
        <w:t>286. Si  por  motivos  objetivos  y  fundamentados  (entre  los  cuales,  se</w:t>
        <w:br/>
        <w:t xml:space="preserve">   reitera, no podrán argüirse exclusivamente el hecho que las tierras estén</w:t>
        <w:br/>
        <w:t xml:space="preserve">   en manos privadas  o  estén  racionalmente  explotadas(  las  autoridades</w:t>
        <w:br/>
        <w:t xml:space="preserve">   paraguayas resuelven dar prioridad al  derecho  a  la  propiedad  de  los</w:t>
        <w:br/>
        <w:t xml:space="preserve">   particulares por sobre el derecho a la propiedad de los  miembros  de  la</w:t>
        <w:br/>
        <w:t xml:space="preserve">   Comunidad, deberá entregar  a  éstos  tierras  alternativas,  dentro  del</w:t>
        <w:br/>
        <w:t xml:space="preserve">   territorio tradicional de sus ancestros. La  elección  de  estas  tierras</w:t>
        <w:br/>
        <w:t xml:space="preserve">   deberá ser consensuada con los miembros de la Comunidad,  de  conformidad</w:t>
        <w:br/>
        <w:t xml:space="preserve">   con sus  propias  formas  de  toma  de  decisiones.  Se  reitera  que  el</w:t>
        <w:br/>
        <w:t xml:space="preserve">   ofrecimiento de tierras alternativas únicamente será procedente  una  vez</w:t>
        <w:br/>
        <w:t xml:space="preserve">   que se haya valorado  adecuadamente,  conforme  a  lo  indicado  en  esta</w:t>
        <w:br/>
        <w:t xml:space="preserve">   Sentencia, que no es  procedente  la  expropiación  y  que  no  se  hayan</w:t>
        <w:br/>
        <w:t xml:space="preserve">   concretado las negociaciones para la compra de las tierras.</w:t>
        <w:br/>
        <w:br/>
        <w:br/>
        <w:t>287. Ante solicitud fundada del  Estado  el  Tribunal  podrá  otorgarle  una</w:t>
        <w:br/>
        <w:t xml:space="preserve">   prórroga de un año para  continuar  con  los  respectivos  procedimientos</w:t>
        <w:br/>
        <w:t xml:space="preserve">   internos instaurados para la devolución del  territorio  tradicional.  La</w:t>
        <w:br/>
        <w:t xml:space="preserve">   solicitud de prórroga deberá presentarse a la Corte  al  menos  con  tres</w:t>
        <w:br/>
        <w:t xml:space="preserve">   meses de anticipación al vencimiento del plazo de tres años fijado en  el</w:t>
        <w:br/>
        <w:t xml:space="preserve">   párrafo 285 de  esta  Sentencia,  según  corresponda.  Si  el  Estado  no</w:t>
        <w:br/>
        <w:t xml:space="preserve">   presenta su solicitud de prórroga con la antelación  señalada,  la  Corte</w:t>
        <w:br/>
        <w:t xml:space="preserve">   entenderá que ha desistido de su facultad  de  solicitarla.  El  Tribunal</w:t>
        <w:br/>
        <w:t xml:space="preserve">   rechazará cualquier solicitud que sea  presentada  extemporáneamente.  De</w:t>
        <w:br/>
        <w:t xml:space="preserve">   presentarse la solicitud de prórroga de  manera  oportuna,  la  Corte  la</w:t>
        <w:br/>
        <w:t xml:space="preserve">   trasladará a la Comisión y  a  los  representantes  de  las  víctimas,  a</w:t>
        <w:br/>
        <w:t xml:space="preserve">   efectos de que presenten las observaciones que  estimen  pertinentes.  El</w:t>
        <w:br/>
        <w:t xml:space="preserve">   Tribunal resolverá si concede o no la prórroga  teniendo  en  cuenta  las</w:t>
        <w:br/>
        <w:t xml:space="preserve">   razones aducidas por el Estado en su solicitud, las observaciones  de  la</w:t>
        <w:br/>
        <w:t xml:space="preserve">   Comisión y los representantes y las gestiones previamente  iniciadas  por</w:t>
        <w:br/>
        <w:t xml:space="preserve">   el Estado para cumplir con  su  deber  de  entregar  las  tierras  a  los</w:t>
        <w:br/>
        <w:t xml:space="preserve">   miembros de la Comunidad. No concederá la prórroga si, a su criterio,  el</w:t>
        <w:br/>
        <w:t xml:space="preserve">   Estado no ha realizado suficientes acciones y gestiones para cumplir  con</w:t>
        <w:br/>
        <w:t xml:space="preserve">   esta medida de reparación. Por  último,  el  Estado  deberá  informar  de</w:t>
        <w:br/>
        <w:t xml:space="preserve">   manera precisa y detallada cada seis meses  sobre  las  acciones  que  ha</w:t>
        <w:br/>
        <w:t xml:space="preserve">   realizado para la devolución del territorio tradicional a las víctimas.</w:t>
        <w:br/>
        <w:br/>
        <w:br/>
        <w:t>288. Teniendo en cuenta lo anterior, la Corte dispone que  si  el  plazo  de</w:t>
        <w:br/>
        <w:t xml:space="preserve">   tres años fijado en esta Sentencia venciera, o en su caso, si la prórroga</w:t>
        <w:br/>
        <w:t xml:space="preserve">   otorgada conforme al  párrafo  287  venciera  o  fuera  denegada  por  el</w:t>
        <w:br/>
        <w:t xml:space="preserve">   Tribunal, sin que el Estado haya entregado las tierras  tradicionales,  o</w:t>
        <w:br/>
        <w:t xml:space="preserve">   en su caso las tierras  alternativas,  conforme  a  lo  expuesto  en  los</w:t>
        <w:br/>
        <w:t xml:space="preserve">   párrafos 283 a 286, deberá pagar  a  los  líderes  de  la  Comunidad,  en</w:t>
        <w:br/>
        <w:t xml:space="preserve">   representación de sus miembros, una cantidad de  US$10.000,00  (diez  mil</w:t>
        <w:br/>
        <w:t xml:space="preserve">   dólares de los Estados Unidos de América) por cada  mes  de  retraso.  La</w:t>
        <w:br/>
        <w:t xml:space="preserve">   Corte entiende a esta reparación como una indemnización para las víctimas</w:t>
        <w:br/>
        <w:t xml:space="preserve">   por el incumplimiento de los plazos  fijados  en  esta  Sentencia  y  los</w:t>
        <w:br/>
        <w:t xml:space="preserve">   correlativos daños materiales e inmateriales que ello comportaría, por lo</w:t>
        <w:br/>
        <w:t xml:space="preserve">   que no constituye una indemnización sustitutiva de la devolución  de  las</w:t>
        <w:br/>
        <w:t xml:space="preserve">   tierras tradicionales, o en su caso, alternativas a los  miembros  de  la</w:t>
        <w:br/>
        <w:t xml:space="preserve">   Comunidad.</w:t>
        <w:br/>
        <w:br/>
        <w:br/>
        <w:t>289. La contabilización de los meses que el  Estado  debe  indemnizar  a  la</w:t>
        <w:br/>
        <w:t xml:space="preserve">   Comunidad por su demora en cumplir con esta Sentencia  cesará  cuando  la</w:t>
        <w:br/>
        <w:t xml:space="preserve">   entrega  del  territorio  tradicional,  o  en  su   caso,   las   tierras</w:t>
        <w:br/>
        <w:t xml:space="preserve">   alternativas, sea definitiva.</w:t>
        <w:br/>
        <w:br/>
        <w:br/>
        <w:t>290. La Corte dispondrá en el procedimiento de supervisión del  cumplimiento</w:t>
        <w:br/>
        <w:t xml:space="preserve">   de esta Sentencia las fechas  en  el  que  el  Estado  deberá  hacer  los</w:t>
        <w:br/>
        <w:t xml:space="preserve">   respectivos pagos a los líderes de la Comunidad  por  el  retraso  en  el</w:t>
        <w:br/>
        <w:t xml:space="preserve">   cumplimiento de esta medida de reparación. Tales  pagos  deberán  hacerse</w:t>
        <w:br/>
        <w:t xml:space="preserve">   conforme a los lineamientos estipulados en la sección “modalidad  de  los</w:t>
        <w:br/>
        <w:t xml:space="preserve">   pagos” de esta Sentencia (infra párrs. 332 a 336). Si el Estado  incumple</w:t>
        <w:br/>
        <w:t xml:space="preserve">   con las fechas que la Corte fije para  la  realización  de  estos  pagos,</w:t>
        <w:br/>
        <w:t xml:space="preserve">   deberá pagar un interés por mora, conforme a lo estipulado en el  párrafo</w:t>
        <w:br/>
        <w:t xml:space="preserve">   336 infra. Las cantidades correspondientes serán entregadas a los líderes</w:t>
        <w:br/>
        <w:t xml:space="preserve">   debidamente reconocidos de la Comunidad, quienes  dispondrán  del  dinero</w:t>
        <w:br/>
        <w:t xml:space="preserve">   conforme lo disponga la Comunidad  según  su  propia  forma  de  toma  de</w:t>
        <w:br/>
        <w:t xml:space="preserve">   decisiones.</w:t>
        <w:br/>
        <w:br/>
        <w:br/>
        <w:t xml:space="preserve">           2.2.  Protección del territorio reclamado</w:t>
        <w:br/>
        <w:br/>
        <w:br/>
        <w:t>291. El Estado no deberá realizar ningún  acto  que  dificulte  aún  más  el</w:t>
        <w:br/>
        <w:t xml:space="preserve">   resultado de la Sentencia. En este sentido hasta que no  se  entregue  el</w:t>
        <w:br/>
        <w:t xml:space="preserve">   territorio tradicional a los miembros de la Comunidad, el  Estado  deberá</w:t>
        <w:br/>
        <w:t xml:space="preserve">   velar que tal territorio no se vea menoscabado por  acciones  del  propio</w:t>
        <w:br/>
        <w:t xml:space="preserve">   Estado o de  terceros  particulares.  Así,  deberá  asegurar  que  no  se</w:t>
        <w:br/>
        <w:t xml:space="preserve">   deforeste la zona, no se destruyan los sitios  culturalmente  importantes</w:t>
        <w:br/>
        <w:t xml:space="preserve">   para la Comunidad, no se transfieran las  tierras  y  no  se  explote  el</w:t>
        <w:br/>
        <w:t xml:space="preserve">   territorio de tal forma que dañe irreparablemente la zona o los  recursos</w:t>
        <w:br/>
        <w:t xml:space="preserve">   naturales que en ella existan.</w:t>
        <w:br/>
        <w:br/>
        <w:br/>
        <w:t xml:space="preserve">           2.3.  Titulación de las tierras en “25 de Febrero”</w:t>
        <w:br/>
        <w:br/>
        <w:br/>
        <w:t>292. El Estado manifestó que se encuentra tramitando la  titulación  de  las</w:t>
        <w:br/>
        <w:t xml:space="preserve">   1.500 hectáreas del  lugar  denominado  “25  de  Febrero”,  en  donde  se</w:t>
        <w:br/>
        <w:t xml:space="preserve">   encuentra actualmente asentada la Comunidad. Sin embargo, resaltó algunos</w:t>
        <w:br/>
        <w:t xml:space="preserve">   inconvenientes para la titulación e  inscripción  del  terreno  debido  a</w:t>
        <w:br/>
        <w:t xml:space="preserve">   problemas  formales  de  representación  y  de  inscripción  de   líderes</w:t>
        <w:br/>
        <w:t xml:space="preserve">   comunitarios.</w:t>
        <w:br/>
        <w:br/>
        <w:br/>
        <w:t>293. Al respecto, el Tribunal estima  que  todos  esos  obstáculos  formales</w:t>
        <w:br/>
        <w:t xml:space="preserve">   para la titulación de esta tierra deben ser  solucionados  por  el  mismo</w:t>
        <w:br/>
        <w:t xml:space="preserve">   Estado, conforme a lo expuesto en los párrafos 48 y 49.  Específicamente,</w:t>
        <w:br/>
        <w:t xml:space="preserve">   el Estado deberá, a través de sus autoridades competentes, garantizar  la</w:t>
        <w:br/>
        <w:t xml:space="preserve">   corrección de las  inconsistencias  respecto  a  la  inscripción  de  los</w:t>
        <w:br/>
        <w:t xml:space="preserve">   líderes de la Comunidad para los efectos  legales  que  sean  necesarios.</w:t>
        <w:br/>
        <w:t xml:space="preserve">   Para ello cuenta con un plazo de seis meses, a partir de la  notificación</w:t>
        <w:br/>
        <w:t xml:space="preserve">   de esta Sentencia.</w:t>
        <w:br/>
        <w:br/>
        <w:br/>
        <w:t>294. Por otro parte, este Tribunal ordena  que  el  Estado  deberá  titular,</w:t>
        <w:br/>
        <w:t xml:space="preserve">   dentro del plazo de un año a partir de la notificación de esta Sentencia,</w:t>
        <w:br/>
        <w:t xml:space="preserve">   las 1.500 hectáreas cedidas por las comunidades Angaité a  favor  de  los</w:t>
        <w:br/>
        <w:t xml:space="preserve">   miembros de la Comunidad Xákmok Kásek (supra párrs. 76  a  78),  lo  cual</w:t>
        <w:br/>
        <w:t xml:space="preserve">   permitirá a sus miembros asegurar un territorio  y  su  supervivencia  de</w:t>
        <w:br/>
        <w:t xml:space="preserve">   manera transitoria, mientras  son  demarcadas  y  tituladas  las  tierras</w:t>
        <w:br/>
        <w:t xml:space="preserve">   tradicionales de la Comunidad. Para este Tribunal es  relevante  destacar</w:t>
        <w:br/>
        <w:t xml:space="preserve">   el sentido de solidaridad y unidad que las comunidades Angaité han tenido</w:t>
        <w:br/>
        <w:t xml:space="preserve">   con la Comunidad Xákmok Kásek.</w:t>
        <w:br/>
        <w:br/>
        <w:br/>
        <w:t>295. El Tribunal resalta que la titulación de las referidas 1.500  hectáreas</w:t>
        <w:br/>
        <w:t xml:space="preserve">   en nada afecta o incide en la devolución del  territorio  tradicional  al</w:t>
        <w:br/>
        <w:t xml:space="preserve">   cual tienen derecho los miembros de la Comunidad Xákmok Kásek, conforme a</w:t>
        <w:br/>
        <w:t xml:space="preserve">   los párrafos 281 a 290 de esta Sentencia.</w:t>
        <w:br/>
        <w:br/>
        <w:br/>
        <w:t xml:space="preserve">      3.    Medidas de satisfacción</w:t>
        <w:br/>
        <w:br/>
        <w:br/>
        <w:t xml:space="preserve">           3.1.   Acto  público  de   reconocimiento   de   responsabilidad</w:t>
        <w:br/>
        <w:t xml:space="preserve">           internacional</w:t>
        <w:br/>
        <w:br/>
        <w:br/>
        <w:t>296. Los representantes solicitaron  que  se  realice  un  acto  público  de</w:t>
        <w:br/>
        <w:t xml:space="preserve">   reconocimiento de responsabilidad en  el  asentamiento  principal  de  la</w:t>
        <w:br/>
        <w:t xml:space="preserve">   Comunidad, de  acuerdo  con  sus  costumbres  y  tradiciones  y  que  sea</w:t>
        <w:br/>
        <w:t xml:space="preserve">   difundido en los medios de comunicación. El Estado indicó que  “no  tiene</w:t>
        <w:br/>
        <w:t xml:space="preserve">   inconvenientes de otorgar reconocimiento público, siempre  y  cuando  sea</w:t>
        <w:br/>
        <w:t xml:space="preserve">   definido en qué consiste la pretensión expuesta por la  Comunidad  […]  y</w:t>
        <w:br/>
        <w:t xml:space="preserve">   […] se realice de manera similar a lo realizado en los casos Yakye Axa  y</w:t>
        <w:br/>
        <w:t xml:space="preserve">   Sawhoyamaxa”.</w:t>
        <w:br/>
        <w:br/>
        <w:br/>
        <w:t>297. Como lo ha dispuesto en otros casos[304], con  el  fin  de  reparar  el</w:t>
        <w:br/>
        <w:t xml:space="preserve">   daño causado a las víctimas,  la  Corte  considera  que  el  Estado  debe</w:t>
        <w:br/>
        <w:t xml:space="preserve">   realizar  un  acto  público  de  reconocimiento  de  su   responsabilidad</w:t>
        <w:br/>
        <w:t xml:space="preserve">   internacional por las violaciones declaradas  en  esta  Sentencia.  Dicho</w:t>
        <w:br/>
        <w:t xml:space="preserve">   acto deberá ser acordado previamente con la Comunidad. Asimismo, el  acto</w:t>
        <w:br/>
        <w:t xml:space="preserve">   deberá realizarse en el asiento actual de la Comunidad, en una  ceremonia</w:t>
        <w:br/>
        <w:t xml:space="preserve">   pública, con la presencia de  altas  autoridades  del  Estado  y  de  los</w:t>
        <w:br/>
        <w:t xml:space="preserve">   miembros de la Comunidad, incluso de aquéllos que residen en otras zonas,</w:t>
        <w:br/>
        <w:t xml:space="preserve">   para lo cual  el  Estado  deberá  disponer  los  medios  necesarios  para</w:t>
        <w:br/>
        <w:t xml:space="preserve">   facilitar el transporte. En el mencionado acto deberá darse participación</w:t>
        <w:br/>
        <w:t xml:space="preserve">   a los líderes de la Comunidad. Igualmente, el Estado debe realizar  dicho</w:t>
        <w:br/>
        <w:t xml:space="preserve">   acto tanto en los idiomas propios de  la  Comunidad  como  en  español  y</w:t>
        <w:br/>
        <w:t xml:space="preserve">   guaraní y difundirlo a través de una emisora de  amplio  espectro  en  el</w:t>
        <w:br/>
        <w:t xml:space="preserve">   Chaco. Para ello, el Estado cuenta con un plazo de un año a partir de  la</w:t>
        <w:br/>
        <w:t xml:space="preserve">   notificación de la presente Sentencia.</w:t>
        <w:br/>
        <w:br/>
        <w:br/>
        <w:t xml:space="preserve">          3.2.   Publicación y difusión radiofónica de la Sentencia</w:t>
        <w:br/>
        <w:br/>
        <w:br/>
        <w:t>298. A pesar de  que  los  representantes  no  solicitaron  esta  medida  de</w:t>
        <w:br/>
        <w:t xml:space="preserve">   reparación, la Corte estima que la misma es relevante y trascendente como</w:t>
        <w:br/>
        <w:t xml:space="preserve">   medida de satisfacción, debido al largo tiempo que  los  miembros  de  la</w:t>
        <w:br/>
        <w:t xml:space="preserve">   Comunidad llevan reclamando sus derechos.  Por  tal  razón,  como  lo  ha</w:t>
        <w:br/>
        <w:t xml:space="preserve">   dispuesto este Tribunal en otros casos[305], el Estado  deberá  publicar,</w:t>
        <w:br/>
        <w:t xml:space="preserve">   por una sola vez, en el Diario Oficial, los párrafos 1 a 5, 32,  42,  43,</w:t>
        <w:br/>
        <w:t xml:space="preserve">   48 a 50, 64 a 84, 89, 95, 99, 101, 102, 106, 107, 109 a 116, 119  a  121,</w:t>
        <w:br/>
        <w:t xml:space="preserve">   127 a 131, 134 a 138, 143 a 145, 149 a 154, 158, 161,  162,  166,  168  a</w:t>
        <w:br/>
        <w:t xml:space="preserve">   170, 182, 189 a 193, 195, 196, 200 a 202, 205, 206, 208, 213 a 217,  222,</w:t>
        <w:br/>
        <w:t xml:space="preserve">   223, 225 a 234, 240, 244, 251 a 255, 259 a 260, 263, 264, 273  a  275,  y</w:t>
        <w:br/>
        <w:t xml:space="preserve">   278, todos ellos incluyendo los nombres de cada capítulo  y  el  apartado</w:t>
        <w:br/>
        <w:t xml:space="preserve">   respectivo –sin las notas al pie de página-, así como la parte resolutiva</w:t>
        <w:br/>
        <w:t xml:space="preserve">   de la presente Sentencia, y en otro diario de amplia circulación nacional</w:t>
        <w:br/>
        <w:t xml:space="preserve">   el  resumen  oficial  de   la   Sentencia   elaborado   por   la   Corte.</w:t>
        <w:br/>
        <w:t xml:space="preserve">   Adicionalmente,  como  ha  sido  ordenado  por  la  Corte  en   ocasiones</w:t>
        <w:br/>
        <w:t xml:space="preserve">   anteriores[306], el presente Fallo deberá publicarse íntegramente  en  un</w:t>
        <w:br/>
        <w:t xml:space="preserve">   sitio web oficial y estar disponible durante un período de un  año.  Para</w:t>
        <w:br/>
        <w:t xml:space="preserve">   realizar las publicaciones en los periódicos y en  Internet  se  fija  el</w:t>
        <w:br/>
        <w:t xml:space="preserve">   plazo de seis, a partir de la notificación de la presente Sentencia.</w:t>
        <w:br/>
        <w:br/>
        <w:br/>
        <w:t>299. Por otra parte, como ya ha hecho  con  anterioridad[307],  el  Tribunal</w:t>
        <w:br/>
        <w:t xml:space="preserve">   considera apropiado que el Estado dé publicidad, a través de una  emisora</w:t>
        <w:br/>
        <w:t xml:space="preserve">   radial de amplia cobertura en la región del Chaco, al resumen oficial  de</w:t>
        <w:br/>
        <w:t xml:space="preserve">   la Sentencia emitido por la Corte. Para  tal  efecto,  el  Estado  deberá</w:t>
        <w:br/>
        <w:t xml:space="preserve">   traducir el resumen oficial de la Sentencia a los idiomas sanapaná, enxet</w:t>
        <w:br/>
        <w:t xml:space="preserve">   y guaraní.  Las  transmisiones  radiales  deberán  efectuarse  el  primer</w:t>
        <w:br/>
        <w:t xml:space="preserve">   domingo de mes al menos en 4 ocasiones y deberá remitirse  una  grabación</w:t>
        <w:br/>
        <w:t xml:space="preserve">   sobre las mismas al Tribunal una vez que sean realizadas. Para  ello,  el</w:t>
        <w:br/>
        <w:t xml:space="preserve">   Estado cuenta con el plazo de seis meses, a partir de la notificación  de</w:t>
        <w:br/>
        <w:t xml:space="preserve">   la presente Sentencia.</w:t>
        <w:br/>
        <w:br/>
        <w:br/>
        <w:t xml:space="preserve">      4.    Medidas de rehabilitación: Suministro de bienes y prestación  de</w:t>
        <w:br/>
        <w:t xml:space="preserve">      servicios básicos</w:t>
        <w:br/>
        <w:br/>
        <w:br/>
        <w:t>300. La Comisión solicitó que se ordenara al Estado “proveer  de  inmediato”</w:t>
        <w:br/>
        <w:t xml:space="preserve">   a los miembros de la Comunidad bienes  y  servicios  adecuados  de  agua,</w:t>
        <w:br/>
        <w:t xml:space="preserve">   educación, asistencia sanitaria y acceso a la alimentación necesaria para</w:t>
        <w:br/>
        <w:t xml:space="preserve">   su subsistencia. Los representantes coincidieron con  tal  solicitud.  El</w:t>
        <w:br/>
        <w:t xml:space="preserve">   Estado indicó que se “allana[ba] […] a la solicitud de establecimiento de</w:t>
        <w:br/>
        <w:t xml:space="preserve">   un puesto de salud, una escuela para el nivel  secundario,  provisión  de</w:t>
        <w:br/>
        <w:t xml:space="preserve">   agua potable e infraestructura sanitaria para la Comunidad”.</w:t>
        <w:br/>
        <w:br/>
        <w:br/>
        <w:t>301. De conformidad con  las  conclusiones  expuestas  en  el  Capítulo  VII</w:t>
        <w:br/>
        <w:t xml:space="preserve">   relativo al artículo 4 de la Convención Americana, la Corte  dispone  que</w:t>
        <w:br/>
        <w:t xml:space="preserve">   mientras se entrega el territorio tradicional, o en su caso  las  tierras</w:t>
        <w:br/>
        <w:t xml:space="preserve">   alternativas, a los miembros de la Comunidad, el Estado deberá adoptar de</w:t>
        <w:br/>
        <w:t xml:space="preserve">   manera inmediata, periódica y  permanente,  las  siguientes  medidas:  a)</w:t>
        <w:br/>
        <w:t xml:space="preserve">   suministro de agua potable suficiente para el consumo y aseo personal  de</w:t>
        <w:br/>
        <w:t xml:space="preserve">   los miembros de la Comunidad; b) revisión y atención médica y psicosocial</w:t>
        <w:br/>
        <w:t xml:space="preserve">   de todos los miembros de la Comunidad, especialmente los niños,  niñas  y</w:t>
        <w:br/>
        <w:t xml:space="preserve">   ancianos,  acompañada  de  la  realización  periódica  de   campañas   de</w:t>
        <w:br/>
        <w:t xml:space="preserve">   vacunación y desparasitación que  respeten  sus  usos  y  costumbres;  c)</w:t>
        <w:br/>
        <w:t xml:space="preserve">   atención médica especial a las mujeres  que  se  encuentren  embarazadas,</w:t>
        <w:br/>
        <w:t xml:space="preserve">   tanto antes del parto como durante los primeros meses  después  de  éste,</w:t>
        <w:br/>
        <w:t xml:space="preserve">   así como al recién nacido; d) entrega de alimentos en calidad y  cantidad</w:t>
        <w:br/>
        <w:t xml:space="preserve">   suficientes para asegurar una alimentación adecuada;  e)  instalación  de</w:t>
        <w:br/>
        <w:t xml:space="preserve">   letrinas  o  cualquier  tipo  de  servicio  sanitario  adecuado   en   el</w:t>
        <w:br/>
        <w:t xml:space="preserve">   asentamiento de la Comunidad, y f) dotar a la escuela de los materiales y</w:t>
        <w:br/>
        <w:t xml:space="preserve">   recursos humanos necesarios para garantizar  el  acceso  a  la  educación</w:t>
        <w:br/>
        <w:t xml:space="preserve">   básica para los  niños  y  niñas  de  la  Comunidad,  prestando  especial</w:t>
        <w:br/>
        <w:t xml:space="preserve">   atención a que la educación impartida respete sus tradiciones  culturales</w:t>
        <w:br/>
        <w:t xml:space="preserve">   y garantice la protección de su lengua propia.  Para  tales  efectos,  el</w:t>
        <w:br/>
        <w:t xml:space="preserve">   Estado deberá realizar las consultas que sean necesarias a  los  miembros</w:t>
        <w:br/>
        <w:t xml:space="preserve">   de la Comunidad.</w:t>
        <w:br/>
        <w:br/>
        <w:br/>
        <w:t>302. La obligación señalada  en  el  párrafo  anterior  es  de  cumplimiento</w:t>
        <w:br/>
        <w:t xml:space="preserve">   inmediato.</w:t>
        <w:br/>
        <w:br/>
        <w:br/>
        <w:t>303. Sin perjuicio de lo indicado, a efectos de que la prestación de  bienes</w:t>
        <w:br/>
        <w:t xml:space="preserve">   y servicios básicos sea adecuada y periódica, el Estado  deberá  elaborar</w:t>
        <w:br/>
        <w:t xml:space="preserve">   un estudio, en el plazo de seis meses a partir de la notificación de esta</w:t>
        <w:br/>
        <w:t xml:space="preserve">   Sentencia, en el que establezca:</w:t>
        <w:br/>
        <w:br/>
        <w:br/>
        <w:t xml:space="preserve">      a)    respecto a la entrega de agua potable: 1) la periodicidad en  la</w:t>
        <w:br/>
        <w:t xml:space="preserve">      que las entregas deban realizarse; 2) el  método  que  deba  emplearse</w:t>
        <w:br/>
        <w:t xml:space="preserve">      para realizar las entregas y asegurar la  preservación  sanitaria  del</w:t>
        <w:br/>
        <w:t xml:space="preserve">      agua, y 3) la cantidad a entregarse por persona y/o por familia;</w:t>
        <w:br/>
        <w:br/>
        <w:br/>
        <w:t xml:space="preserve">      b)    respecto a la atención médica y psicosocial, así como la entrega</w:t>
        <w:br/>
        <w:t xml:space="preserve">      de medicinas: 1) la periodicidad en la que se  requiere  que  personal</w:t>
        <w:br/>
        <w:t xml:space="preserve">      médico  visite  la  Comunidad;  2)   las   principales   dolencias   y</w:t>
        <w:br/>
        <w:t xml:space="preserve">      enfermedades  que  los  miembros  de  la  Comunidad  padecen;  3)  las</w:t>
        <w:br/>
        <w:t xml:space="preserve">      medicinas y el tratamiento necesario para tales  enfermedades;  4)  la</w:t>
        <w:br/>
        <w:t xml:space="preserve">      atención pre y posnatal necesaria, y 5) la forma y periodicidad en que</w:t>
        <w:br/>
        <w:t xml:space="preserve">      se deben llevar a cabo los procesos de vacunación y desparacitación;</w:t>
        <w:br/>
        <w:br/>
        <w:br/>
        <w:t xml:space="preserve">      c)    respecto a la entrega de alimentos: 1) los tipos de alimentos  a</w:t>
        <w:br/>
        <w:t xml:space="preserve">      entregar  a  los  miembros  de  la  Comunidad  para   garantizar   una</w:t>
        <w:br/>
        <w:t xml:space="preserve">      alimentación nutricionalmente adecuada; 2) la periodicidad en  la  que</w:t>
        <w:br/>
        <w:t xml:space="preserve">      las entregas deban realizarse; 3) la cantidad de alimentos a  entregar</w:t>
        <w:br/>
        <w:t xml:space="preserve">      por persona y/o por familia;</w:t>
        <w:br/>
        <w:br/>
        <w:br/>
        <w:t xml:space="preserve">      d)     respecto  al  manejo  efectivo  y  salubre  de   los   desechos</w:t>
        <w:br/>
        <w:t xml:space="preserve">      biológicos: el tipo y cantidad de servicio sanitario a entregar, y</w:t>
        <w:br/>
        <w:br/>
        <w:br/>
        <w:t xml:space="preserve">      e)    respecto a la dotación de materiales y  recursos  humanos  a  la</w:t>
        <w:br/>
        <w:t xml:space="preserve">      escuela de la Comunidad: 1) los recursos  físicos  y  humanos  que  la</w:t>
        <w:br/>
        <w:t xml:space="preserve">      escuela necesita para garantizar una educación bilingüe  adecuada;  2)</w:t>
        <w:br/>
        <w:t xml:space="preserve">      los materiales que cada alumno necesita para educarse adecuadamente, y</w:t>
        <w:br/>
        <w:t xml:space="preserve">      3) los insumos  que  los  profesores  de  la  escuela  requieren  para</w:t>
        <w:br/>
        <w:t xml:space="preserve">      impartir sus clases.</w:t>
        <w:br/>
        <w:br/>
        <w:br/>
        <w:t>304. Para la elaboración del estudio mencionado en el párrafo anterior,  los</w:t>
        <w:br/>
        <w:t xml:space="preserve">   especialistas  encargados  del  mismo  deberán  tener  los  conocimientos</w:t>
        <w:br/>
        <w:t xml:space="preserve">   técnicos  específicos  requeridos  para   cada   tarea.   Además,   tales</w:t>
        <w:br/>
        <w:t xml:space="preserve">   especialistas deberán contar  siempre  con  el  punto  de  vista  de  los</w:t>
        <w:br/>
        <w:t xml:space="preserve">   miembros de la Comunidad, expresado conforme a sus propias formas de toma</w:t>
        <w:br/>
        <w:t xml:space="preserve">   de  decisiones.  Dicho  estudio  podrá  ser  realizado  por  la  Comisión</w:t>
        <w:br/>
        <w:t xml:space="preserve">   Interinstitucional (CICSI)[308].</w:t>
        <w:br/>
        <w:br/>
        <w:br/>
        <w:t>305. Una vez que el Estado remita al Tribunal  el  estudio,  el  mismo  será</w:t>
        <w:br/>
        <w:t xml:space="preserve">   transmitido a la Comisión y  a  los  representantes,  a  efectos  de  que</w:t>
        <w:br/>
        <w:t xml:space="preserve">   remitan las observaciones que estimen pertinentes. La Corte, teniendo  en</w:t>
        <w:br/>
        <w:t xml:space="preserve">   cuenta el parecer de las partes, podrá disponer que el Estado requiera  a</w:t>
        <w:br/>
        <w:t xml:space="preserve">   los especialistas que  completen  o  amplíen  el  estudio.  A  partir  de</w:t>
        <w:br/>
        <w:t xml:space="preserve">   entonces el Estado deberá  adecuar  la  entrega  de  bienes  y  servicios</w:t>
        <w:br/>
        <w:t xml:space="preserve">   básicos a los miembros de la Comunidad, ordenada en el párrafo 301, a las</w:t>
        <w:br/>
        <w:t xml:space="preserve">   conclusiones que los especialistas hayan arribado en su informe.</w:t>
        <w:br/>
        <w:br/>
        <w:br/>
        <w:t>306. Finalmente, dadas las dificultades que los  miembros  de  la  Comunidad</w:t>
        <w:br/>
        <w:t xml:space="preserve">   tienen para acceder a los centros de salud (supra párr. 208),  el  Estado</w:t>
        <w:br/>
        <w:t xml:space="preserve">   deberá  establecer  en  el  lugar   donde   se   asienta   la   Comunidad</w:t>
        <w:br/>
        <w:t xml:space="preserve">   temporalmente,  es  decir,  en  “25  de  Febrero”,  un  puesto  de  salud</w:t>
        <w:br/>
        <w:t xml:space="preserve">   permanente, con las medicinas e insumos necesarios para una  atención  en</w:t>
        <w:br/>
        <w:t xml:space="preserve">   salud adecuada. Para ello cuenta con un plazo de seis meses a  partir  de</w:t>
        <w:br/>
        <w:t xml:space="preserve">   la notificación de la presente  Sentencia.  Asimismo,  deberá  establecer</w:t>
        <w:br/>
        <w:t xml:space="preserve">   inmediatamente en tal asentamiento un sistema de comunicación que permita</w:t>
        <w:br/>
        <w:t xml:space="preserve">   a las víctimas contactarse con las autoridades de salud competentes, para</w:t>
        <w:br/>
        <w:t xml:space="preserve">   la atención de casos de emergencia. De ser necesario, el Estado  proveerá</w:t>
        <w:br/>
        <w:t xml:space="preserve">   el transporte para las personas que así lo requieran. Posteriormente,  el</w:t>
        <w:br/>
        <w:t xml:space="preserve">   Estado deberá  asegurarse  que  el  puesto  de  salud  y  el  sistema  de</w:t>
        <w:br/>
        <w:t xml:space="preserve">   comunicación  se  trasladen  al  lugar  donde  la  Comunidad  se  asiente</w:t>
        <w:br/>
        <w:t xml:space="preserve">   definitivamente.</w:t>
        <w:br/>
        <w:br/>
        <w:br/>
        <w:t xml:space="preserve">      5.    Garantías de no repetición</w:t>
        <w:br/>
        <w:br/>
        <w:br/>
        <w:t xml:space="preserve">           5.1.  Implementación de programas de registro y documentación</w:t>
        <w:br/>
        <w:br/>
        <w:br/>
        <w:t>307. Los representantes y la  Comisión  solicitaron  que  se  implemente  un</w:t>
        <w:br/>
        <w:t xml:space="preserve">   sistema que posibilite el registro de nacimiento  y  emisión  de  cédulas</w:t>
        <w:br/>
        <w:t xml:space="preserve">   para niños y niñas de la Comunidad “sin tener que  desplazarse  hasta  la</w:t>
        <w:br/>
        <w:t xml:space="preserve">   Capital”. El Estado informó sobre los trabajos realizados en la Comunidad</w:t>
        <w:br/>
        <w:t xml:space="preserve">   en relación a los registros de nacimientos, cedulación y carnets  étnicos</w:t>
        <w:br/>
        <w:t xml:space="preserve">   de sus miembros (supra párr. 247).</w:t>
        <w:br/>
        <w:br/>
        <w:br/>
        <w:t>308. En vista de las conclusiones establecidas en el  Capítulo  IX  relativo</w:t>
        <w:br/>
        <w:t xml:space="preserve">   al artículo 3 de la Convención, la  Corte  dispone  que  el  Estado  debe</w:t>
        <w:br/>
        <w:t xml:space="preserve">   realizar, en el plazo máximo de un año a partir de la notificación de  la</w:t>
        <w:br/>
        <w:t xml:space="preserve">   presente Sentencia, un programa de registro y documentación, de tal forma</w:t>
        <w:br/>
        <w:t xml:space="preserve">   que los miembros  de  la  Comunidad  puedan  registrarse  y  obtener  sus</w:t>
        <w:br/>
        <w:t xml:space="preserve">   documentos de identificación.</w:t>
        <w:br/>
        <w:br/>
        <w:br/>
        <w:t xml:space="preserve">           5.2.  Adecuación de la legislación interna a la Convención</w:t>
        <w:br/>
        <w:br/>
        <w:br/>
        <w:t>309. A la luz de las  conclusiones  a  las  que  llegó  el  Tribunal  en  el</w:t>
        <w:br/>
        <w:t xml:space="preserve">   Capítulo VI de la presente Sentencia, la Corte considera que es necesario</w:t>
        <w:br/>
        <w:t xml:space="preserve">   que el Estado garantice el goce efectivo de los derechos reconocidos  por</w:t>
        <w:br/>
        <w:t xml:space="preserve">   la Convención Americana, por su Constitución Nacional y  su  legislación.</w:t>
        <w:br/>
        <w:t xml:space="preserve">   Para el Tribunal, la  responsabilidad  internacional  del  Estado  en  el</w:t>
        <w:br/>
        <w:t xml:space="preserve">   presente caso se ha generado por no haberse adecuado la legislación  para</w:t>
        <w:br/>
        <w:t xml:space="preserve">   garantizar el derecho a la propiedad del territorio  tradicional  de  las</w:t>
        <w:br/>
        <w:t xml:space="preserve">   comunidades indígenas, así  como  por  el  hecho  de  que  las  prácticas</w:t>
        <w:br/>
        <w:t xml:space="preserve">   institucionales limitan o no garantizan plenamente la aplicación efectiva</w:t>
        <w:br/>
        <w:t xml:space="preserve">   de  las  normas  que,  formalmente,  se  encuentran   establecidas   para</w:t>
        <w:br/>
        <w:t xml:space="preserve">   garantizar los derechos de los miembros de las comunidades  indígenas.  A</w:t>
        <w:br/>
        <w:t xml:space="preserve">   juicio de la Corte, el interés social de la propiedad en lo que  respecta</w:t>
        <w:br/>
        <w:t xml:space="preserve">   a las comunidades indígenas debe traducirse  en  que  se  debe  tener  en</w:t>
        <w:br/>
        <w:t xml:space="preserve">   cuenta las circunstancias de ser tierras  ancestrales indígenas, lo  cual</w:t>
        <w:br/>
        <w:t xml:space="preserve">   debe verse reflejado tanto en el plano sustantivo como procesal.</w:t>
        <w:br/>
        <w:br/>
        <w:br/>
        <w:t>310. En consecuencia, el Estado, en el plazo de dos años, deberá adoptar  en</w:t>
        <w:br/>
        <w:t xml:space="preserve">   su derecho interno, según lo dispuesto en el artículo 2 de la  Convención</w:t>
        <w:br/>
        <w:t xml:space="preserve">   Americana, las medidas legislativas, administrativas y de cualquier  otro</w:t>
        <w:br/>
        <w:t xml:space="preserve">   carácter que sean necesarias para crear un sistema eficaz de  reclamación</w:t>
        <w:br/>
        <w:t xml:space="preserve">   de tierras ancestrales o  tradicionales  de  los  pueblos  indígenas  que</w:t>
        <w:br/>
        <w:t xml:space="preserve">   posibilite la concreción de su derecho de propiedad. Este sistema  deberá</w:t>
        <w:br/>
        <w:t xml:space="preserve">   consagrar normas sustantivas que garanticen: a) que se tome en cuenta  la</w:t>
        <w:br/>
        <w:t xml:space="preserve">   importancia que para los indígenas tiene su tierra tradicional, y b)  que</w:t>
        <w:br/>
        <w:t xml:space="preserve">   no baste que las tierras  reclamadas  estén  en  manos  privadas  y  sean</w:t>
        <w:br/>
        <w:t xml:space="preserve">   racionalmente   explotadas   para   rechazar    cualquier    pedido    de</w:t>
        <w:br/>
        <w:t xml:space="preserve">   reivindicación. Además, este sistema deberá consagrar que  una  autoridad</w:t>
        <w:br/>
        <w:t xml:space="preserve">   judicial sea la competente para resolver los conflictos que se  presenten</w:t>
        <w:br/>
        <w:t xml:space="preserve">   entre los derechos a la  propiedad  de  los  particulares  y  la  de  los</w:t>
        <w:br/>
        <w:t xml:space="preserve">   indígenas.</w:t>
        <w:br/>
        <w:br/>
        <w:br/>
        <w:t xml:space="preserve">           5.3.  Sobre el decreto que declara como área silvestre  protegida</w:t>
        <w:br/>
        <w:t xml:space="preserve">           a  parte  del  territorio  reclamado  por  los  miembros  de  la</w:t>
        <w:br/>
        <w:t xml:space="preserve">           Comunidad</w:t>
        <w:br/>
        <w:br/>
        <w:br/>
        <w:t>311. En relación con las prácticas judiciales, este Tribunal ha  establecido</w:t>
        <w:br/>
        <w:t xml:space="preserve">   que es consciente de que los jueces y tribunales internos  están  sujetos</w:t>
        <w:br/>
        <w:t xml:space="preserve">   al imperio de  la  ley  y,  por  ello,  están  obligados  a  aplicar  las</w:t>
        <w:br/>
        <w:t xml:space="preserve">   disposiciones vigentes en el ordenamiento jurídico[309]. Pero  cuando  un</w:t>
        <w:br/>
        <w:t xml:space="preserve">   Estado  ha  ratificado  un  tratado  internacional  como  la   Convención</w:t>
        <w:br/>
        <w:t xml:space="preserve">   Americana, sus jueces, como parte del aparato del Estado,  también  están</w:t>
        <w:br/>
        <w:t xml:space="preserve">   sometidos a ella, lo que les obliga a velar porque  los  efectos  de  las</w:t>
        <w:br/>
        <w:t xml:space="preserve">   disposiciones de la Convención no se vean mermados por la  aplicación  de</w:t>
        <w:br/>
        <w:t xml:space="preserve">   leyes contrarias a su objeto y fin. En otras palabras, el Poder  Judicial</w:t>
        <w:br/>
        <w:t xml:space="preserve">   debe ejercer un “control de convencionalidad” ex officio entre las normas</w:t>
        <w:br/>
        <w:t xml:space="preserve">   internas y la Convención Americana, evidentemente  en  el  marco  de  sus</w:t>
        <w:br/>
        <w:t xml:space="preserve">   respectivas   competencias   y    de    las    regulaciones    procesales</w:t>
        <w:br/>
        <w:t xml:space="preserve">   correspondientes. En esta tarea, el Poder Judicial debe tener  en  cuenta</w:t>
        <w:br/>
        <w:t xml:space="preserve">   no solamente el tratado, sino también la interpretación que del mismo  ha</w:t>
        <w:br/>
        <w:t xml:space="preserve">   hecho  la  Corte  Interamericana,  intérprete  última  de  la  Convención</w:t>
        <w:br/>
        <w:t xml:space="preserve">   Americana[310].</w:t>
        <w:br/>
        <w:br/>
        <w:br/>
        <w:t>312. En este caso, el Decreto No. 11.804 emitido el 31 de enero de 2008  que</w:t>
        <w:br/>
        <w:t xml:space="preserve">   declaró como área silvestre protegida bajo dominio privado  a  parte  del</w:t>
        <w:br/>
        <w:t xml:space="preserve">   territorio  reclamado  por  la  Comunidad  ignoró  el  reclamo   indígena</w:t>
        <w:br/>
        <w:t xml:space="preserve">   presentado ante el INDI sobre dichas tierras y, conforme  a  los  propios</w:t>
        <w:br/>
        <w:t xml:space="preserve">   organismos internos  especializados,  debería  considerarse  nulo  (supra</w:t>
        <w:br/>
        <w:t xml:space="preserve">   párr. 181 y 161).</w:t>
        <w:br/>
        <w:br/>
        <w:br/>
        <w:t>313. En consecuencia, el Estado deberá adoptar las medidas  necesarias  para</w:t>
        <w:br/>
        <w:t xml:space="preserve">   que el Decreto No. 11.804 no sea un obstáculo para la devolución  de  las</w:t>
        <w:br/>
        <w:t xml:space="preserve">   tierras tradicionales a los miembros de la Comunidad.</w:t>
        <w:br/>
        <w:br/>
        <w:t xml:space="preserve">                                      *</w:t>
        <w:br/>
        <w:t xml:space="preserve">                                   *     *</w:t>
        <w:br/>
        <w:br/>
        <w:t>314. En cuanto a  las  otras  medidas  de  reparación  solicitadas  por  los</w:t>
        <w:br/>
        <w:t xml:space="preserve">   representantes en su escrito de solicitudes y argumentos[311],  la  Corte</w:t>
        <w:br/>
        <w:t xml:space="preserve">   considera que la emisión de la  presente  Sentencia  y  las  reparaciones</w:t>
        <w:br/>
        <w:t xml:space="preserve">   ordenadas en este Capítulo resultan suficientes y adecuadas para remediar</w:t>
        <w:br/>
        <w:t xml:space="preserve">   las consecuencias de las violaciones sufridas.</w:t>
        <w:br/>
        <w:br/>
        <w:br/>
        <w:t xml:space="preserve">      6.    Indemnizaciones</w:t>
        <w:br/>
        <w:br/>
        <w:br/>
        <w:t xml:space="preserve">           6.1.  Daño material</w:t>
        <w:br/>
        <w:br/>
        <w:br/>
        <w:t>315. La Corte ha desarrollado en  su  jurisprudencia  el  concepto  de  daño</w:t>
        <w:br/>
        <w:t xml:space="preserve">   material y  ha establecido que el daño  material  supone  “la  pérdida  o</w:t>
        <w:br/>
        <w:t xml:space="preserve">   detrimento de los ingresos de las víctimas,  los  gastos  efectuados  con</w:t>
        <w:br/>
        <w:t xml:space="preserve">   motivo de los hechos y  las  consecuencias  de  carácter  pecuniario  que</w:t>
        <w:br/>
        <w:t xml:space="preserve">   tengan un nexo causal con los hechos del caso”[312].</w:t>
        <w:br/>
        <w:br/>
        <w:br/>
        <w:t>316. La Comisión indicó que para determinarlo la Corte debe tener en  cuenta</w:t>
        <w:br/>
        <w:t xml:space="preserve">   la cosmovisión de la Comunidad y el efecto que ha producido en ella y sus</w:t>
        <w:br/>
        <w:t xml:space="preserve">   miembros  el  no  poseer  su   hábitat   tradicional   y,   entre   otras</w:t>
        <w:br/>
        <w:t xml:space="preserve">   consecuencias,  estar  impedidos   de   realizar   sus   actividades   de</w:t>
        <w:br/>
        <w:t xml:space="preserve">   subsistencia tradicionales. Los representantes solicitaron a la Corte que</w:t>
        <w:br/>
        <w:t xml:space="preserve">   fije en equidad un monto indemnizatorio por daño  material,  teniendo  en</w:t>
        <w:br/>
        <w:t xml:space="preserve">   cuenta que los miembros de la Comunidad y  sus  líderes  han  tenido  que</w:t>
        <w:br/>
        <w:t xml:space="preserve">   hacer numerosas gestiones y  desplazamientos  durante  los  años  que  ha</w:t>
        <w:br/>
        <w:t xml:space="preserve">   durado el proceso de reivindicación.  El  Estado  consideró  que  no  hay</w:t>
        <w:br/>
        <w:t xml:space="preserve">   relación  entre  el  petitorio  de  la  Comunidad   relacionada   a   las</w:t>
        <w:br/>
        <w:t xml:space="preserve">   indemnizaciones reclamadas y los hechos denunciados.</w:t>
        <w:br/>
        <w:br/>
        <w:br/>
        <w:t>317. La Corte encuentra que las acciones  y  gestiones  realizadas  por  los</w:t>
        <w:br/>
        <w:t xml:space="preserve">   miembros de la Comunidad generaron gastos que deben ser considerados como</w:t>
        <w:br/>
        <w:t xml:space="preserve">   daño  emergente,  en  particular  en  lo  referente  a  las  acciones   o</w:t>
        <w:br/>
        <w:t xml:space="preserve">   diligencias realizadas para la reclamación de su tierra, por lo  que  sus</w:t>
        <w:br/>
        <w:t xml:space="preserve">   líderes o miembros  han  tenido  que  desplazarse  para  efectuar  dichas</w:t>
        <w:br/>
        <w:t xml:space="preserve">   diligencias. Sin embargo, el Tribunal observa  que  no  fueron  aportados</w:t>
        <w:br/>
        <w:t xml:space="preserve">   documentos o comprobantes que den soporte a los gastos realizados.</w:t>
        <w:br/>
        <w:br/>
        <w:br/>
        <w:t>318.  En  consecuencia,  la  Corte  fija  en  equidad  una  compensación  de</w:t>
        <w:br/>
        <w:t xml:space="preserve">   US$10.000.00 (diez mil dólares de los Estados Unidos  de  América),  como</w:t>
        <w:br/>
        <w:t xml:space="preserve">   indemnización  por  los  gastos  relacionados   con   los   traslados   o</w:t>
        <w:br/>
        <w:t xml:space="preserve">   desplazamientos. El mencionado monto deberá ser entregado a  los  líderes</w:t>
        <w:br/>
        <w:t xml:space="preserve">   de la Comunidad, en el plazo de dos años a partir de la  notificación  de</w:t>
        <w:br/>
        <w:t xml:space="preserve">   la presente Sentencia, para  que  inviertan  el  dinero  en  lo  que  los</w:t>
        <w:br/>
        <w:t xml:space="preserve">   miembros de la Comunidad  decidan,  conforme  a  sus  propias  formas  de</w:t>
        <w:br/>
        <w:t xml:space="preserve">   decisión.</w:t>
        <w:br/>
        <w:br/>
        <w:br/>
        <w:t xml:space="preserve">           6.2.  Daño inmaterial</w:t>
        <w:br/>
        <w:br/>
        <w:br/>
        <w:t>319. La Corte ha desarrollado en  su  jurisprudencia  el  concepto  de  daño</w:t>
        <w:br/>
        <w:t xml:space="preserve">   inmaterial y ha establecido que el daño inmaterial comprende  “tanto  los</w:t>
        <w:br/>
        <w:t xml:space="preserve">   sufrimientos y las aflicciones causados a la  víctima  directa  y  a  sus</w:t>
        <w:br/>
        <w:t xml:space="preserve">   allegados, el menoscabo de valores muy significativos para las  personas,</w:t>
        <w:br/>
        <w:t xml:space="preserve">   así como las alteraciones, de carácter no pecuniario, en las  condiciones</w:t>
        <w:br/>
        <w:t xml:space="preserve">   de existencia de la víctima o su familia”[313].</w:t>
        <w:br/>
        <w:br/>
        <w:br/>
        <w:t>320. La Comisión alegó que “no solamente la pérdida de un ser querido  causa</w:t>
        <w:br/>
        <w:t xml:space="preserve">   daños morales, sino también las condiciones inhumanas [que  afectaron  a]</w:t>
        <w:br/>
        <w:t xml:space="preserve">   los miembros de la Comunidad Xákmok Kásek,  cuestión  que  en  este  caso</w:t>
        <w:br/>
        <w:t xml:space="preserve">   adquiere especial importancia porque dicha situación se ha  debido  a  la</w:t>
        <w:br/>
        <w:t xml:space="preserve">   falta de garantía […]  del  derecho  de  la  Comunidad  a  su  territorio</w:t>
        <w:br/>
        <w:t xml:space="preserve">   ancestral”. Además, solicitó “que se ordene al Estado […] pagar una  suma</w:t>
        <w:br/>
        <w:t xml:space="preserve">   a la Comunidad y sus miembros en virtud del daño moral  que  han  sufrido</w:t>
        <w:br/>
        <w:t xml:space="preserve">   como consecuencia  directa  de  las  violaciones  […]  de  la  Convención</w:t>
        <w:br/>
        <w:t xml:space="preserve">   Americana”. Asimismo, la Comisión solicitó al  Tribunal  “que  ordene  al</w:t>
        <w:br/>
        <w:t xml:space="preserve">   Estado pagar a los familiares de los miembros de la Comunidad  fallecidos</w:t>
        <w:br/>
        <w:t xml:space="preserve">   una cifra que en equidad disponga”. Los representantes  coincidieron  con</w:t>
        <w:br/>
        <w:t xml:space="preserve">   la Comisión.</w:t>
        <w:br/>
        <w:br/>
        <w:br/>
        <w:t>321. Este Tribunal valorará al  momento  de  fijar  el  daño  inmaterial  la</w:t>
        <w:br/>
        <w:t xml:space="preserve">   significación especial que la tierra tiene para los pueblos indígenas  en</w:t>
        <w:br/>
        <w:t xml:space="preserve">   general, y para los miembros de la Comunidad Xákmok Kásek  en  particular</w:t>
        <w:br/>
        <w:t xml:space="preserve">   (supra párr. 107, 149 y 174 a 182), lo que implica que toda denegación al</w:t>
        <w:br/>
        <w:t xml:space="preserve">   goce o ejercicio de los derechos territoriales acarrea  el  menoscabo  de</w:t>
        <w:br/>
        <w:t xml:space="preserve">   valores muy representativos para los miembros de dichos pueblos,  quienes</w:t>
        <w:br/>
        <w:t xml:space="preserve">   corren el peligro de perder o sufrir daños  irreparables  en  su  vida  e</w:t>
        <w:br/>
        <w:t xml:space="preserve">   identidad y en el patrimonio cultural  por  transmitirse  a  las  futuras</w:t>
        <w:br/>
        <w:t xml:space="preserve">   generaciones.</w:t>
        <w:br/>
        <w:br/>
        <w:br/>
        <w:t>322. Asimismo, toma en consideración que  el  Estado  se  comprometió  “[al]</w:t>
        <w:br/>
        <w:t xml:space="preserve">   desarrollo  integral  de  esta  [C]omunidad  mediante  la  elaboración  y</w:t>
        <w:br/>
        <w:t xml:space="preserve">   ejecución de proyectos de rendimiento colectivo de la  propiedad  que  le</w:t>
        <w:br/>
        <w:t xml:space="preserve">   sea adjudicada, sea con financiamiento interno o mediante la financiación</w:t>
        <w:br/>
        <w:t xml:space="preserve">   externa”.</w:t>
        <w:br/>
        <w:br/>
        <w:br/>
        <w:t>323.  Tomando  en  cuenta  lo  anterior  y  como  lo  ha  hecho   en   casos</w:t>
        <w:br/>
        <w:t xml:space="preserve">   anteriores[314], la Corte considera procedente ordenar en equidad que  el</w:t>
        <w:br/>
        <w:t xml:space="preserve">   Estado cree un fondo de desarrollo comunitario como compensación  por  el</w:t>
        <w:br/>
        <w:t xml:space="preserve">   daño inmaterial que los miembros de la Comunidad han sufrido. Dicho fondo</w:t>
        <w:br/>
        <w:t xml:space="preserve">   y los programas que llegue a  soportar  se  deberán  implementar  en  las</w:t>
        <w:br/>
        <w:t xml:space="preserve">   tierras que se entreguen a los miembros de la Comunidad,  de  conformidad</w:t>
        <w:br/>
        <w:t xml:space="preserve">   con los párrafos 283 a 286 y 306 de  esta  Sentencia.  El  Estado  deberá</w:t>
        <w:br/>
        <w:t xml:space="preserve">   destinar la cantidad de US $700.000,00 (setecientos mil de dólares de los</w:t>
        <w:br/>
        <w:t xml:space="preserve">   Estados Unidos de América) para tal fondo, respecto  del  cual  se  deben</w:t>
        <w:br/>
        <w:t xml:space="preserve">   destinar recursos, entre otras cosas, para la implementación de proyectos</w:t>
        <w:br/>
        <w:t xml:space="preserve">   educacionales, habitacionales, de seguridad alimentaria y de  salud,  así</w:t>
        <w:br/>
        <w:t xml:space="preserve">   como de suministro de agua potable y la construcción  de  infraestructura</w:t>
        <w:br/>
        <w:t xml:space="preserve">   sanitaria, en beneficio de los miembros de la Comunidad. Estos  proyectos</w:t>
        <w:br/>
        <w:t xml:space="preserve">   deberán ser determinados por un comité de implementación, que se describe</w:t>
        <w:br/>
        <w:t xml:space="preserve">   a continuación, y deberán ser completados en un  plazo  de  dos  años,  a</w:t>
        <w:br/>
        <w:t xml:space="preserve">   partir de la entrega de las tierras a los miembros de la Comunidad.</w:t>
        <w:br/>
        <w:br/>
        <w:br/>
        <w:t>324. El comité al que se refiere el párrafo  anterior  estará  encargado  de</w:t>
        <w:br/>
        <w:t xml:space="preserve">   determinar las modalidades de implementación del fondo  de  desarrollo  y</w:t>
        <w:br/>
        <w:t xml:space="preserve">   deberá estar conformado en el plazo de 6 meses, a partir de la entrega de</w:t>
        <w:br/>
        <w:t xml:space="preserve">   las tierras a los miembros de la Comunidad, con la  integración  de  tres</w:t>
        <w:br/>
        <w:t xml:space="preserve">   miembros: un representante designado por la Comunidad indígena, otro  por</w:t>
        <w:br/>
        <w:t xml:space="preserve">   el Estado y uno designado de  común  acuerdo  entre  las  víctimas  y  el</w:t>
        <w:br/>
        <w:t xml:space="preserve">   Estado. Si el Estado y las víctimas no  hubieren  llegado  a  un  acuerdo</w:t>
        <w:br/>
        <w:t xml:space="preserve">   respecto de la integración del comité de implementación en el plazo antes</w:t>
        <w:br/>
        <w:t xml:space="preserve">   señalado, la Corte decidirá.</w:t>
        <w:br/>
        <w:br/>
        <w:br/>
        <w:t>325. Por otro lado, a la luz de las conclusiones realizadas en  el  capítulo</w:t>
        <w:br/>
        <w:t xml:space="preserve">   del presente fallo sobre el artículo  4.1  de  la  Convención,  la  Corte</w:t>
        <w:br/>
        <w:t xml:space="preserve">   considera  procedente,  conforme  a  la  equidad  y  basándose   en   una</w:t>
        <w:br/>
        <w:t xml:space="preserve">   apreciación prudente del daño inmaterial, que el Estado entregue la  suma</w:t>
        <w:br/>
        <w:t xml:space="preserve">   compensatoria de  US$260.000  (doscientos  sesenta  mil  dólares  de  los</w:t>
        <w:br/>
        <w:t xml:space="preserve">   Estados Unidos de América) a los líderes de la  Comunidad  Xákmok  Kásek.</w:t>
        <w:br/>
        <w:t xml:space="preserve">   Esta indemnización por daño inmaterial a favor  de  los  miembros  de  la</w:t>
        <w:br/>
        <w:t xml:space="preserve">   Comunidad  que  fallecieron  (supra  párr.  234)  deberá  ser  puesta   a</w:t>
        <w:br/>
        <w:t xml:space="preserve">   disposición de dichos líderes de la Comunidad, en el plazo de dos años  a</w:t>
        <w:br/>
        <w:t xml:space="preserve">   partir de la notificación de esta Sentencia, para que de conformidad  con</w:t>
        <w:br/>
        <w:t xml:space="preserve">   sus costumbres y tradiciones entreguen la cantidad que corresponda a  los</w:t>
        <w:br/>
        <w:t xml:space="preserve">   familiares de las personas fallecidas o inviertan el  dinero  en  lo  que</w:t>
        <w:br/>
        <w:t xml:space="preserve">   decida la Comunidad, conforme a sus propios procedimientos de decisión.</w:t>
        <w:br/>
        <w:br/>
        <w:br/>
        <w:t xml:space="preserve">      7.    Costas y Gastos</w:t>
        <w:br/>
        <w:br/>
        <w:br/>
        <w:t>326. La Comisión y los representantes solicitaron que se ordenara al  Estado</w:t>
        <w:br/>
        <w:t xml:space="preserve">   el pago de las  costas  y  gastos  originados  a  nivel  nacional  en  la</w:t>
        <w:br/>
        <w:t xml:space="preserve">   tramitación de los procesos judiciales,  administrativos  y  legislativos</w:t>
        <w:br/>
        <w:t xml:space="preserve">   seguidos por las víctimas o sus representantes, así como los originados a</w:t>
        <w:br/>
        <w:t xml:space="preserve">   nivel internacional en la tramitación ante la Comisión y la Corte.</w:t>
        <w:br/>
        <w:br/>
        <w:br/>
        <w:t>327. Los representantes en los alegatos finales solicitaron un total de  US$</w:t>
        <w:br/>
        <w:t xml:space="preserve">   32.534,17 (treinta y dos mil  quinientos  treinta  y  cuatro  dólares  de</w:t>
        <w:br/>
        <w:t xml:space="preserve">   Estados Unidos de América con 17/100), lo cual incluye rubros por trabajo</w:t>
        <w:br/>
        <w:t xml:space="preserve">   de campo, viajes a la Comisión Interamericana, viajes para  litigar  ante</w:t>
        <w:br/>
        <w:t xml:space="preserve">   la Corte y gastos de envíos.</w:t>
        <w:br/>
        <w:br/>
        <w:br/>
        <w:t>328. El Estado señaló, respecto a la solicitud de pago de  costas  y  gastos</w:t>
        <w:br/>
        <w:t xml:space="preserve">   en el orden interno que “todos los procedimientos presentados  por  [los]</w:t>
        <w:br/>
        <w:t xml:space="preserve">   abogados fueron insuficientes o  inconclusos”.  Además,  indicó  que  “es</w:t>
        <w:br/>
        <w:t xml:space="preserve">   abusiva la representación de la [C]omunidad, puesto que a la  negligencia</w:t>
        <w:br/>
        <w:t xml:space="preserve">   de la labor profesional encomendada, suman la absurda petición de que  se</w:t>
        <w:br/>
        <w:t xml:space="preserve">   ordene al Estado abonar costas que no han merecido por  el  mal  servicio</w:t>
        <w:br/>
        <w:t xml:space="preserve">   prestado”.</w:t>
        <w:br/>
        <w:br/>
        <w:br/>
        <w:t>329. El Tribunal ha señalado que “las pretensiones de  las  víctimas  o  sus</w:t>
        <w:br/>
        <w:t xml:space="preserve">   representantes en materia de costas y  gastos,  y  las  pruebas  que  las</w:t>
        <w:br/>
        <w:t xml:space="preserve">   sustentan, deben presentarse a la Corte en el primer momento procesal que</w:t>
        <w:br/>
        <w:t xml:space="preserve">   se les concede, esto es, en el escrito de solicitudes y  argumentos,  sin</w:t>
        <w:br/>
        <w:t xml:space="preserve">   perjuicio  de  que  tales  pretensiones  se  actualicen  en  un   momento</w:t>
        <w:br/>
        <w:t xml:space="preserve">   posterior, conforme a las nuevas costas y gastos en que se haya incurrido</w:t>
        <w:br/>
        <w:t xml:space="preserve">   con ocasión del procedimiento ante esta Corte”[315]. Asimismo,  la  Corte</w:t>
        <w:br/>
        <w:t xml:space="preserve">   reitera que “no es suficiente la remisión de documentos probatorios, sino</w:t>
        <w:br/>
        <w:t xml:space="preserve">   que se requiere que las partes hagan una argumentación que  relacione  la</w:t>
        <w:br/>
        <w:t xml:space="preserve">   prueba con el hecho que se considera representado, y que, al tratarse  de</w:t>
        <w:br/>
        <w:t xml:space="preserve">   alegados desembolsos económicos, se establezca con claridad los rubros  y</w:t>
        <w:br/>
        <w:t xml:space="preserve">   la justificación de los mismos”[316].</w:t>
        <w:br/>
        <w:br/>
        <w:br/>
        <w:t>330. La Corte ha constatado que los  representantes  incurrieron  en  gastos</w:t>
        <w:br/>
        <w:t xml:space="preserve">   ante este Tribunal relativos a  transporte,  mensajería  y  servicios  de</w:t>
        <w:br/>
        <w:t xml:space="preserve">   comunicación, entre otros, para lo cual junto con el escrito de  alegatos</w:t>
        <w:br/>
        <w:t xml:space="preserve">   finales remitieron algunos comprobantes. Sin embargo, los  representantes</w:t>
        <w:br/>
        <w:t xml:space="preserve">   no remitieron prueba detallada del resto de gastos que supuestamente  han</w:t>
        <w:br/>
        <w:t xml:space="preserve">   realizado, pero es lógico suponer que en  el  trámite  interno  y  en  el</w:t>
        <w:br/>
        <w:t xml:space="preserve">   trámite ante la Comisión Interamericana incurrieron en ciertos gastos.</w:t>
        <w:br/>
        <w:br/>
        <w:br/>
        <w:t>331. En consideración de todo lo anterior, la  Corte  fija  en  equidad  una</w:t>
        <w:br/>
        <w:t xml:space="preserve">   cantidad total de US$25.000,00 (veinticinco mil dólares de Estados Unidos</w:t>
        <w:br/>
        <w:t xml:space="preserve">   de América), por concepto de gastos en  el  litigio  del  presente  caso.</w:t>
        <w:br/>
        <w:t xml:space="preserve">   Dicha cantidad deberá ser liquidada por el Estado a  los  líderes  de  la</w:t>
        <w:br/>
        <w:t xml:space="preserve">   Comunidad, quienes a su vez entregarán a Tierraviva lo que  la  Comunidad</w:t>
        <w:br/>
        <w:t xml:space="preserve">   estime  oportuno  para  compensar  los   gastos   realizados   por   esta</w:t>
        <w:br/>
        <w:t xml:space="preserve">   organización. En el procedimiento de supervisión de  cumplimiento  de  la</w:t>
        <w:br/>
        <w:t xml:space="preserve">   presente Sentencia, el Tribunal podrá disponer el reembolso por parte del</w:t>
        <w:br/>
        <w:t xml:space="preserve">   Estado a las víctimas o  sus  representantes  de  los  gastos  razonables</w:t>
        <w:br/>
        <w:t xml:space="preserve">   debidamente comprobados.</w:t>
        <w:br/>
        <w:br/>
        <w:br/>
        <w:t xml:space="preserve">      8.    Modalidad de cumplimiento de los pagos ordenados</w:t>
        <w:br/>
        <w:br/>
        <w:br/>
        <w:t>332. El Estado deberá efectuar el pago de las indemnizaciones  por  concepto</w:t>
        <w:br/>
        <w:t xml:space="preserve">   de daño material e inmaterial, así como el reembolso de costas  y  gastos</w:t>
        <w:br/>
        <w:t xml:space="preserve">   directamente a la Comunidad, a través de sus líderes debidamente elegidos</w:t>
        <w:br/>
        <w:t xml:space="preserve">   conforme sus tradiciones y costumbres. Lo  anterior  debe  ser  realizado</w:t>
        <w:br/>
        <w:t xml:space="preserve">   dentro del plazo de dos años a partir de la notificación de  la  presente</w:t>
        <w:br/>
        <w:t xml:space="preserve">   Sentencia, en los términos de los párrafos siguientes.</w:t>
        <w:br/>
        <w:br/>
        <w:br/>
        <w:t>333. El Estado debe cumplir sus obligaciones mediante el pago en dólares  de</w:t>
        <w:br/>
        <w:t xml:space="preserve">   los Estados Unidos de América o en una  cantidad  equivalente  en  moneda</w:t>
        <w:br/>
        <w:t xml:space="preserve">   paraguaya, utilizando para el cálculo respectivo el tipo de cambio  entre</w:t>
        <w:br/>
        <w:t xml:space="preserve">   ambas monedas que esté vigente en la plaza de Nueva York, Estados  Unidos</w:t>
        <w:br/>
        <w:t xml:space="preserve">   de América, el día anterior al pago.</w:t>
        <w:br/>
        <w:br/>
        <w:br/>
        <w:t>334. Si por causas atribuibles a los  beneficiarios  no  fuese  posible  que</w:t>
        <w:br/>
        <w:t xml:space="preserve">   éstos las reciban dentro del plazo indicado, el Estado consignará  dichos</w:t>
        <w:br/>
        <w:t xml:space="preserve">   montos a su favor  en  una  cuenta  o  certificado  de  depósito  en  una</w:t>
        <w:br/>
        <w:t xml:space="preserve">   institución financiera paraguaya, en dólares  estadounidenses  y  en  las</w:t>
        <w:br/>
        <w:t xml:space="preserve">   condiciones financieras más favorables que permitan la legislación  y  la</w:t>
        <w:br/>
        <w:t xml:space="preserve">   práctica bancaria. Si al cabo de 10 años  la  indemnización  no  ha  sido</w:t>
        <w:br/>
        <w:t xml:space="preserve">   reclamada, las cantidades serán devueltas al  Estado  con  los  intereses</w:t>
        <w:br/>
        <w:t xml:space="preserve">   devengados.</w:t>
        <w:br/>
        <w:br/>
        <w:br/>
        <w:t>335.  Las  cantidades  asignadas  en  la  presente  Sentencia  deberán   ser</w:t>
        <w:br/>
        <w:t xml:space="preserve">   entregadas  a  los  beneficiarios  en  forma  íntegra,  conforme   a   lo</w:t>
        <w:br/>
        <w:t xml:space="preserve">   establecido en este Fallo, sin reducciones derivadas de eventuales cargas</w:t>
        <w:br/>
        <w:t xml:space="preserve">   fiscales.</w:t>
        <w:br/>
        <w:br/>
        <w:br/>
        <w:t>336. En caso de que el Estado incurriera en mora, deberá  pagar  un  interés</w:t>
        <w:br/>
        <w:t xml:space="preserve">   sobre la cantidad adeudada, correspondiente al interés bancario moratorio</w:t>
        <w:br/>
        <w:t xml:space="preserve">   en el Paraguay.</w:t>
        <w:br/>
        <w:br/>
        <w:br/>
        <w:br/>
        <w:br/>
        <w:t xml:space="preserve">                                    XIII</w:t>
        <w:br/>
        <w:t xml:space="preserve">                             PUNTOS RESOLUTIVOS</w:t>
        <w:br/>
        <w:br/>
        <w:br/>
        <w:br/>
        <w:t>337. Por tanto,</w:t>
        <w:br/>
        <w:br/>
        <w:br/>
        <w:br/>
        <w:br/>
        <w:br/>
        <w:t>LA CORTE</w:t>
        <w:br/>
        <w:br/>
        <w:br/>
        <w:br/>
        <w:br/>
        <w:br/>
        <w:t>DECIDE,</w:t>
        <w:br/>
        <w:br/>
        <w:br/>
        <w:br/>
        <w:br/>
        <w:br/>
        <w:t>Por unanimidad,</w:t>
        <w:br/>
        <w:br/>
        <w:br/>
        <w:t>1.     Rechazar  la   solicitud   estatal   de   suspensión   del   presente</w:t>
        <w:br/>
        <w:t>procedimiento contencioso, de conformidad con lo dispuesto en  los  párrafos</w:t>
        <w:br/>
        <w:t>36 a 50 de este Fallo.</w:t>
        <w:br/>
        <w:br/>
        <w:br/>
        <w:br/>
        <w:br/>
        <w:br/>
        <w:t>DECLARA,</w:t>
        <w:br/>
        <w:br/>
        <w:br/>
        <w:br/>
        <w:br/>
        <w:br/>
        <w:t>Por siete votos contra uno, que</w:t>
        <w:br/>
        <w:br/>
        <w:br/>
        <w:t>2.    El Estado violó el derecho a la propiedad comunitaria,  las  garantías</w:t>
        <w:br/>
        <w:t>judiciales y la protección  judicial,  consagrados  respectivamente  en  los</w:t>
        <w:br/>
        <w:t>artículos 21.1, 8.1 y 25.1 de la Convención Americana, en relación  con  los</w:t>
        <w:br/>
        <w:t>artículos 1.1 y 2 de la misma, en perjuicio de los miembros de la  Comunidad</w:t>
        <w:br/>
        <w:t>Xákmok Kásek, de conformidad con lo expuesto en los párrafos  54  a  182  de</w:t>
        <w:br/>
        <w:t>esta Sentencia.</w:t>
        <w:br/>
        <w:br/>
        <w:br/>
        <w:t>Por siete votos contra uno, que,</w:t>
        <w:br/>
        <w:br/>
        <w:br/>
        <w:t>3.    El Estado violó el derecho a la vida, consagrado en  el  artículo  4.1</w:t>
        <w:br/>
        <w:t>de la Convención Americana, en relación con el artículo 1.1 de la misma,  en</w:t>
        <w:br/>
        <w:t>perjuicio  de  todos  los  miembros  de  la  Comunidad  Xákmok   Kásek,   de</w:t>
        <w:br/>
        <w:t>conformidad con lo expuesto en los párrafos 195, 196, 202 a 202, 205 a  208,</w:t>
        <w:br/>
        <w:t>211 a 217 de esta Sentencia.</w:t>
        <w:br/>
        <w:br/>
        <w:br/>
        <w:t>Por siete votos contra uno, que,</w:t>
        <w:br/>
        <w:br/>
        <w:br/>
        <w:t>4.    El Estado violó el derecho a la vida, contemplado en el  artículo  4.1</w:t>
        <w:br/>
        <w:t>de la Convención Americana, en relación con el artículo 1.1 de la misma,  en</w:t>
        <w:br/>
        <w:t>perjuicio de Sara Gonzáles López, Yelsi Karina López Cabañas, Remigia  Ruiz,</w:t>
        <w:br/>
        <w:t>Aida Carolina Gonzáles, NN Ávalos o Ríos Torres, Abundio Inter  Dermott,  NN</w:t>
        <w:br/>
        <w:t>Dermott Martínez, NN García Dermott, Adalberto Gonzáles López,  Roberto  Roa</w:t>
        <w:br/>
        <w:t>Gonzáles, NN Ávalos o Ríos Torres, NN Dermontt Ruiz y NN Wilfrida Ojeda,  de</w:t>
        <w:br/>
        <w:t>conformidad con lo expuesto en los párrafos 231 a 234 de esta Sentencia.</w:t>
        <w:br/>
        <w:br/>
        <w:br/>
        <w:t>Por unanimidad, que,</w:t>
        <w:br/>
        <w:br/>
        <w:br/>
        <w:t>5.    El Estado violó el derecho a la integridad personal, consagrado en  el</w:t>
        <w:br/>
        <w:t>artículo 5.1 de la Convención Americana, en relación con el artículo 1.1  de</w:t>
        <w:br/>
        <w:t>la misma, en perjuicio de todos los miembros de la Comunidad  Xákmok  Kásek,</w:t>
        <w:br/>
        <w:t>de conformidad con lo expuesto en los párrafos 242 a 244 de esta Sentencia.</w:t>
        <w:br/>
        <w:br/>
        <w:br/>
        <w:t>Por siete votos contra uno,</w:t>
        <w:br/>
        <w:br/>
        <w:br/>
        <w:t>6.    El Estado violó  el  derecho  al  reconocimiento  de  la  personalidad</w:t>
        <w:br/>
        <w:t>jurídica, reconocido en  el  artículo  3  de  la  Convención  Americana,  en</w:t>
        <w:br/>
        <w:t>relación con el artículo 1.1 de la misma, en perjuicio de NN Jonás Ávalos  o</w:t>
        <w:br/>
        <w:t>Jonás Ríos Torres, Rosa Dermott, Yelsi Karina López  Cabañas,  Tito  García,</w:t>
        <w:br/>
        <w:t>Aída Carolina González,  Abundio  Inter.  Dermot,  NN  Dermott  Larrosa,  NN</w:t>
        <w:br/>
        <w:t>Ávalos o Ríos Torres, NN Dermott Martínez, NN  Dermott  Larrosa,  NN  García</w:t>
        <w:br/>
        <w:t>Dermott, Adalberto González López, Roberto Roa Gonzáles, NN  Ávalos  o  Ríos</w:t>
        <w:br/>
        <w:t>Torres, NN Ávalos o Ríos Torres; NN Dermott Ruiz, Mercedes Dermott  Larrosa,</w:t>
        <w:br/>
        <w:t>Sargento Giménez y  Rosana  Corrientes  Domínguez,  de  conformidad  con  lo</w:t>
        <w:br/>
        <w:t>expuesto en los párrafos 251 a 254 de esta Sentencia.</w:t>
        <w:br/>
        <w:br/>
        <w:br/>
        <w:t>Por unanimidad, que,</w:t>
        <w:br/>
        <w:br/>
        <w:br/>
        <w:t>7.    El Estado no violó el derecho al  reconocimiento  de  la  personalidad</w:t>
        <w:br/>
        <w:t>jurídica, reconocido en  el  artículo  3  de  la  Convención  Americana,  en</w:t>
        <w:br/>
        <w:t>perjuicio de la Comunidad Xákmok Kásek, de conformidad con  lo  expuesto  en</w:t>
        <w:br/>
        <w:t>el párrafo 255 de esta Sentencia.</w:t>
        <w:br/>
        <w:br/>
        <w:br/>
        <w:t>Por unanimidad, que,</w:t>
        <w:br/>
        <w:br/>
        <w:br/>
        <w:t>8.    El Estado violó los derechos del niño, consagrados en el  artículo  19</w:t>
        <w:br/>
        <w:t>de la Convención Americana, en relación con el artículo 1.1 de la misma,  en</w:t>
        <w:br/>
        <w:t>perjuicio de todos los niños y  niñas  de  la  Comunidad  Xákmok  Kásek,  de</w:t>
        <w:br/>
        <w:t>conformidad con lo expuesto en los párrafos 259 a 264 de esta Sentencia.</w:t>
        <w:br/>
        <w:br/>
        <w:br/>
        <w:t>Por siete votos contra uno, que,</w:t>
        <w:br/>
        <w:br/>
        <w:br/>
        <w:t>9.    El Estado incumplió con el deber de no discriminar,  contenido  en  el</w:t>
        <w:br/>
        <w:t>artículo 1.1 de la  Convención  Americana,  en  relación  con  los  derechos</w:t>
        <w:br/>
        <w:t>reconocidos en los artículos 21.1,  8.1,  25.1,  4.1,  3,  y  19  del  mismo</w:t>
        <w:br/>
        <w:t>instrumento, de acuerdo con lo expuesto en los párrafos 273 a  275  de  esta</w:t>
        <w:br/>
        <w:t>Sentencia.</w:t>
        <w:br/>
        <w:br/>
        <w:br/>
        <w:t>Por unanimidad, que,</w:t>
        <w:br/>
        <w:br/>
        <w:br/>
        <w:t>10.      El  Estado  expresó  su  aceptación  de  ciertas  reparaciones,  de</w:t>
        <w:br/>
        <w:t>conformidad con lo dispuesto en el párrafo 32 de  este  Fallo,  lo  cual  ha</w:t>
        <w:br/>
        <w:t>sido valorado por la Corte, de acuerdo con lo  dispuesto  en  el  mencionado</w:t>
        <w:br/>
        <w:t>párrafo de la presente Sentencia.</w:t>
        <w:br/>
        <w:br/>
        <w:br/>
        <w:br/>
        <w:br/>
        <w:br/>
        <w:br/>
        <w:br/>
        <w:br/>
        <w:br/>
        <w:br/>
        <w:br/>
        <w:t>Y, DISPONE</w:t>
        <w:br/>
        <w:br/>
        <w:br/>
        <w:br/>
        <w:br/>
        <w:br/>
        <w:t>Por unanimidad, que,</w:t>
        <w:br/>
        <w:br/>
        <w:br/>
        <w:t>11.   Esta Sentencia constituye per se una forma de reparación.</w:t>
        <w:br/>
        <w:br/>
        <w:br/>
        <w:t>12.   El Estado deberá devolver a los miembros de la Comunidad Xákmok  Kásek</w:t>
        <w:br/>
        <w:t>las 10.700 hectáreas reclamadas por ésta,  en  la  forma  y  en  los  plazos</w:t>
        <w:br/>
        <w:t>establecidos en los párrafos 281 a 290 de esta Sentencia.</w:t>
        <w:br/>
        <w:br/>
        <w:br/>
        <w:t>13.   El Estado deberá velar inmediatamente que el territorio reclamado  por</w:t>
        <w:br/>
        <w:t>la Comunidad no se vea menoscabado por  acciones  del  propio  Estado  o  de</w:t>
        <w:br/>
        <w:t>terceros particulares, de conformidad con lo dispuesto en el párrafo 291  de</w:t>
        <w:br/>
        <w:t>esta Sentencia.</w:t>
        <w:br/>
        <w:br/>
        <w:br/>
        <w:t>14.   El Estado deberá, dentro del plazo  de  seis  meses  a  partir  de  la</w:t>
        <w:br/>
        <w:t>notificación de la presente Sentencia, remover los obstáculos formales  para</w:t>
        <w:br/>
        <w:t>la titulación de las 1.500 hectáreas en  “25  de  Febrero”  a  favor  de  la</w:t>
        <w:br/>
        <w:t>Comunidad Xákmok Kásek, de conformidad con lo dispuesto en  el  párrafo  293</w:t>
        <w:br/>
        <w:t>de esta Sentencia.</w:t>
        <w:br/>
        <w:br/>
        <w:br/>
        <w:t>15.   El Estado deberá titular, dentro del plazo de un año a  partir  de  la</w:t>
        <w:br/>
        <w:t>notificación de esta Sentencia, las 1.500 hectáreas en  “25  de  Febrero”  a</w:t>
        <w:br/>
        <w:t>favor de la Comunidad Xákmok Kásek, de conformidad  con  lo  establecido  en</w:t>
        <w:br/>
        <w:t>los párrafos 294 y 295 de esta Sentencia.</w:t>
        <w:br/>
        <w:br/>
        <w:br/>
        <w:t>16.   El Estado deberá realizar un acto  público  de  reconocimiento  de  su</w:t>
        <w:br/>
        <w:t>responsabilidad internacional, en  el  plazo  de  un  año  a  partir  de  la</w:t>
        <w:br/>
        <w:t>notificación de esta Sentencia, en  los  términos  del  párrafo  297  de  la</w:t>
        <w:br/>
        <w:t>misma.</w:t>
        <w:br/>
        <w:br/>
        <w:br/>
        <w:t>17.   El Estado deberá realizar las publicaciones ordenadas  en  el  párrafo</w:t>
        <w:br/>
        <w:t>298 de esta Sentencia,  en  la  forma  y  en  los  plazos  indicados  en  el</w:t>
        <w:br/>
        <w:t>mencionado párrafo.</w:t>
        <w:br/>
        <w:br/>
        <w:br/>
        <w:t>18.   El Estado deberá dar publicidad, a través de  una  emisora  radial  de</w:t>
        <w:br/>
        <w:t>amplia cobertura en la región del Chaco, al resumen oficial de la  Sentencia</w:t>
        <w:br/>
        <w:t>emitido por la Corte, en la forma y en el plazo indicado en el  párrafo  299</w:t>
        <w:br/>
        <w:t>de esta Sentencia.</w:t>
        <w:br/>
        <w:br/>
        <w:br/>
        <w:t>19.   El Estado, mientras entrega el territorio tradicional, o  en  su  caso</w:t>
        <w:br/>
        <w:t>las tierras alternativas a los miembros de la Comunidad, deberá  adoptar  de</w:t>
        <w:br/>
        <w:t>manera inmediata, periódica y  permanente,  las  medidas  indicadas  en  los</w:t>
        <w:br/>
        <w:t>párrafos 301 y 302 de esta Sentencia.</w:t>
        <w:br/>
        <w:br/>
        <w:br/>
        <w:t>20.   El Estado deberá elaborar el estudio señalado en  el  párrafo  303  de</w:t>
        <w:br/>
        <w:t>esta Sentencia en el plazo de seis meses a partir  de  la  notificación  del</w:t>
        <w:br/>
        <w:t>presente Fallo, en los términos expuestos en los  párrafos  304  y  305  del</w:t>
        <w:br/>
        <w:t>mismo.</w:t>
        <w:br/>
        <w:br/>
        <w:br/>
        <w:t>21.   El Estado deberá establecer en “25 de  Febrero”  un  puesto  de  salud</w:t>
        <w:br/>
        <w:t>permanente y con las medicinas e insumos necesarios  para  una  atención  en</w:t>
        <w:br/>
        <w:t>salud adecuada, en el plazo de seis meses a partir de la notificación de  la</w:t>
        <w:br/>
        <w:t>presente Sentencia, en los términos del párrafo 306 de la misma.</w:t>
        <w:br/>
        <w:br/>
        <w:br/>
        <w:t>22.   El Estado deberá establecer  inmediatamente  en  “25  de  Febrero”  el</w:t>
        <w:br/>
        <w:t>sistema de comunicación señalado en el párrafo 306 de esta Sentencia.</w:t>
        <w:br/>
        <w:br/>
        <w:br/>
        <w:t>23.   El Estado deberá asegurarse que el puesto de salud  y  el  sistema  de</w:t>
        <w:br/>
        <w:t>comunicación señalados en los puntos resolutivos 21 y 22 supra se  trasladen</w:t>
        <w:br/>
        <w:t>al lugar donde la Comunidad se asiente  definitivamente  una  vez  que  haya</w:t>
        <w:br/>
        <w:t>recuperado su territorio tradicional, conforme a la orden dada en  el  punto</w:t>
        <w:br/>
        <w:t>resolutivo 12 supra.</w:t>
        <w:br/>
        <w:br/>
        <w:br/>
        <w:t>24.   El Estado deberá realizar, en el plazo máximo de un año  a  partir  de</w:t>
        <w:br/>
        <w:t>la notificación  de  la  presente  Sentencia,  un  programa  de  registro  y</w:t>
        <w:br/>
        <w:t>documentación, en  los  términos  expuestos  en  el  párrafos  308  de  esta</w:t>
        <w:br/>
        <w:t>Sentencia.</w:t>
        <w:br/>
        <w:br/>
        <w:br/>
        <w:t>25.   El Estado deberá, en el plazo de dos años a partir de la  notificación</w:t>
        <w:br/>
        <w:t>de la  presente  Sentencia,  adoptar  en  su  derecho  interno  las  medidas</w:t>
        <w:br/>
        <w:t>legislativas,  administrativas  y  de  cualquier  otro  carácter  que   sean</w:t>
        <w:br/>
        <w:t>necesarias  para  crear  un  sistema  eficaz  de  reclamación   de   tierras</w:t>
        <w:br/>
        <w:t>ancestrales o tradicionales de  los  pueblos  indígenas  que  posibilite  la</w:t>
        <w:br/>
        <w:t>concreción de su derecho de propiedad, en  los  términos  expuestos  en  los</w:t>
        <w:br/>
        <w:t>párrafos 309 y 310 de este Fallo.</w:t>
        <w:br/>
        <w:br/>
        <w:br/>
        <w:t>26.   El Estado deberá adoptar inmediatamente las  medidas  necesarias  para</w:t>
        <w:br/>
        <w:t>que el Decreto No. 11.804 que declaró como área silvestre protegida a  parte</w:t>
        <w:br/>
        <w:t>del territorio reclamado por la  Comunidad  no  sea  un  obstáculo  para  la</w:t>
        <w:br/>
        <w:t>devolución de las tierras tradicionales, de conformidad con lo  expuesto  en</w:t>
        <w:br/>
        <w:t>los párrafos 311 y 313 de esta Sentencia.</w:t>
        <w:br/>
        <w:br/>
        <w:br/>
        <w:t>27.    El  Estado  deberá,  dentro  del  plazo  dos  años  a  partir  de  la</w:t>
        <w:br/>
        <w:t>notificación  de  esta  Sentencia,  pagar  las  cantidades  fijadas  en  los</w:t>
        <w:br/>
        <w:t>párrafos  318,  325  y  331  de  la  presente  Sentencia  por  concepto   de</w:t>
        <w:br/>
        <w:t>indemnizaciones por daños  materiales  e  inmateriales  y  el  reintegro  de</w:t>
        <w:br/>
        <w:t>costas y gastos, según corresponda, bajo las condiciones y en  los  términos</w:t>
        <w:br/>
        <w:t>de los párrafos 317, 321, 322 y 330 de la presente Sentencia.</w:t>
        <w:br/>
        <w:br/>
        <w:br/>
        <w:t>28.   El Estado deberá crear un fondo  de  desarrollo  comunitario,  en  los</w:t>
        <w:br/>
        <w:t>términos expuestos en los párrafo 323 de esta Sentencia, así como  conformar</w:t>
        <w:br/>
        <w:t>un comité de implementación  de  dicho  fondo,  en  los  términos  y  plazos</w:t>
        <w:br/>
        <w:t>establecidos en el párrafo 324 del Fallo.</w:t>
        <w:br/>
        <w:br/>
        <w:br/>
        <w:t>29.   La Corte supervisará el cumplimiento íntegro  de  esta  Sentencia,  en</w:t>
        <w:br/>
        <w:t>ejercicio de sus atribuciones y en cumplimiento de sus  deberes  conforme  a</w:t>
        <w:br/>
        <w:t>la Convención Americana, y dará por concluido el presente caso una  vez  que</w:t>
        <w:br/>
        <w:t>el Estado haya dado cabal cumplimiento a lo dispuesto en  la  misma.  Dentro</w:t>
        <w:br/>
        <w:t>del plazo de seis meses a partir de la notificación  de  esta  Sentencia  el</w:t>
        <w:br/>
        <w:t>Estado deberá rendir al Tribunal un  informe  sobre  las  medidas  adoptadas</w:t>
        <w:br/>
        <w:t>para darle cumplimiento.</w:t>
        <w:br/>
        <w:br/>
        <w:br/>
        <w:t>El Juez Eduardo Vio Grossi hizo conocer a la Corte su Voto Concurrente y  el</w:t>
        <w:br/>
        <w:t>Juez  Ad-Hoc  Augusto  Fogel  Pedrozo  hizo  conocer  a  la  Corte  su  Voto</w:t>
        <w:br/>
        <w:t>Concurrente y Disidente, los cuales acompañan la presente Sentencia.</w:t>
        <w:br/>
        <w:br/>
        <w:br/>
        <w:br/>
        <w:br/>
        <w:br/>
        <w:br/>
        <w:br/>
        <w:br/>
        <w:br/>
        <w:br/>
        <w:br/>
        <w:br/>
        <w:t>Redactada en español e inglés, haciendo fe del  texto  en  español,  en  San</w:t>
        <w:br/>
        <w:t>José el 24 de agosto de 2010.</w:t>
        <w:br/>
        <w:br/>
        <w:br/>
        <w:br/>
        <w:br/>
        <w:br/>
        <w:t xml:space="preserve">                             Diego García-Sayán</w:t>
        <w:br/>
        <w:t xml:space="preserve">                                 Presidente</w:t>
        <w:br/>
        <w:br/>
        <w:br/>
        <w:br/>
        <w:t>Leonardo  A.  Franco                                             Manuel   E.</w:t>
        <w:br/>
        <w:t>Ventura Robles</w:t>
        <w:br/>
        <w:br/>
        <w:br/>
        <w:br/>
        <w:br/>
        <w:t>Margarette May Macaulay                                     Rhadys Abreu</w:t>
        <w:br/>
        <w:t>Blondet</w:t>
        <w:br/>
        <w:br/>
        <w:br/>
        <w:br/>
        <w:br/>
        <w:t>Alberto Pérez Pérez                                         Eduardo Vio</w:t>
        <w:br/>
        <w:t>Grossi</w:t>
        <w:br/>
        <w:br/>
        <w:br/>
        <w:br/>
        <w:t xml:space="preserve">                            Augusto Fogel Pedrozo</w:t>
        <w:br/>
        <w:t xml:space="preserve">                                 Juez Ad hoc</w:t>
        <w:br/>
        <w:br/>
        <w:br/>
        <w:br/>
        <w:br/>
        <w:br/>
        <w:br/>
        <w:t xml:space="preserve">                          Pablo Saavedra Alesandri</w:t>
        <w:br/>
        <w:t xml:space="preserve">                                 Secretario</w:t>
        <w:br/>
        <w:br/>
        <w:br/>
        <w:br/>
        <w:t>Comuníquese y ejecútese,</w:t>
        <w:br/>
        <w:br/>
        <w:br/>
        <w:br/>
        <w:br/>
        <w:t xml:space="preserve">                             Diego García-Sayán</w:t>
        <w:br/>
        <w:t xml:space="preserve">                                 Presidente</w:t>
        <w:br/>
        <w:br/>
        <w:br/>
        <w:br/>
        <w:br/>
        <w:t>Pablo Saavedra Alessandri    Secretario</w:t>
        <w:br/>
        <w:br/>
        <w:br/>
        <w:t xml:space="preserve">                VOTO CONCURRENTE DEL JUEZ EDUARDO VIO GROSSI</w:t>
        <w:br/>
        <w:br/>
        <w:br/>
        <w:t xml:space="preserve">                     SENTENCIA DE 24 DE AGOSTO DE 2010,</w:t>
        <w:br/>
        <w:br/>
        <w:br/>
        <w:t xml:space="preserve">             Caso COMUNIDAD INDÍGENA XÁKMOK KÁSEK vs. PARAGUAY,</w:t>
        <w:br/>
        <w:br/>
        <w:br/>
        <w:t xml:space="preserve">                       (FONDO, REPARACIONES Y COSTAS),</w:t>
        <w:br/>
        <w:br/>
        <w:br/>
        <w:t xml:space="preserve">               DE LA Corte Interamericana de Derechos Humanos.</w:t>
        <w:br/>
        <w:br/>
        <w:br/>
        <w:br/>
        <w:br/>
        <w:br/>
        <w:br/>
        <w:br/>
        <w:br/>
        <w:t>INTRODUCCIÓN.</w:t>
        <w:br/>
        <w:br/>
        <w:br/>
        <w:t>1. Concurro con mi voto al fallo indicado, no solo por compartir lo  que  en</w:t>
        <w:br/>
        <w:t xml:space="preserve">   él se señala, sino  también  porque  se  inserta  en  una  dirección  que</w:t>
        <w:br/>
        <w:t xml:space="preserve">   considero ajustada a Derecho y a  la  Justicia  y  acorde  al  desarrollo</w:t>
        <w:br/>
        <w:t xml:space="preserve">   progresivo del Derecho Internacional en lo que  respecta  a  los  pueblos</w:t>
        <w:br/>
        <w:t xml:space="preserve">   indígenas, que estimo debería profundizarse.</w:t>
        <w:br/>
        <w:br/>
        <w:t>2. En anteriores oportunidades, la Corte Interamericana de Derechos  Humanos</w:t>
        <w:br/>
        <w:t xml:space="preserve">   - en adelante la  CorteIDH  -  ha  determinado  violaciones  de  derechos</w:t>
        <w:br/>
        <w:t xml:space="preserve">   humanos con respecto  a los miembros de pueblos indígenas,  interpretando</w:t>
        <w:br/>
        <w:t xml:space="preserve">   el artículo 1.2 de la Convención Americana de Derechos Humanos</w:t>
        <w:br/>
        <w:br/>
        <w:t>3. [317] - en adelante, la Convención  -  bajo  la  perspectiva  de  que  el</w:t>
        <w:br/>
        <w:t xml:space="preserve">   titular de los derechos reconocidos en ella es la “persona”  y  que  ésta</w:t>
        <w:br/>
        <w:t xml:space="preserve">   “es todo ser humano”.</w:t>
        <w:br/>
        <w:br/>
        <w:br/>
        <w:t>4. De ahí que la  CorteIDH  haya  constantemente  declarado  violaciones  de</w:t>
        <w:br/>
        <w:t xml:space="preserve">   derechos humanos en perjuicio  de  los  integrantes  o  miembros  de  los</w:t>
        <w:br/>
        <w:t xml:space="preserve">   pueblos indígenas, sin hacerlo, empero, al  menos  de  manera  directa  y</w:t>
        <w:br/>
        <w:t xml:space="preserve">   explícita, con relación a estos últimos en tanto tales, vale decir,  como</w:t>
        <w:br/>
        <w:t xml:space="preserve">   conjunto o grupos étnicos  diferenciados  o  colectividades  humanas  con</w:t>
        <w:br/>
        <w:t xml:space="preserve">   subjetividad jurídica internacional en ese ámbito[318].</w:t>
        <w:br/>
        <w:br/>
        <w:br/>
        <w:t>I.- DERECHO DE LOS MIEMBROS DE LOS PUEBLOS INDÍGENAS.</w:t>
        <w:br/>
        <w:br/>
        <w:br/>
        <w:br/>
        <w:t>A.- Orientación tradicional.</w:t>
        <w:br/>
        <w:br/>
        <w:br/>
        <w:t>5. En esta oportunidad, la CorteIDH  ha  consolidado  su  jurisprudencia  al</w:t>
        <w:br/>
        <w:t xml:space="preserve">   respecto al referirse, en tanto víctimas en este caso, a los miembros  de</w:t>
        <w:br/>
        <w:t xml:space="preserve">   la Comunidad  Xákmok  Kásek[319],  y  al  declarar,  en  su  perjuicio  y</w:t>
        <w:br/>
        <w:t xml:space="preserve">   consecuentemente, violaciones de los derechos humanos consagrados  en  la</w:t>
        <w:br/>
        <w:t xml:space="preserve">   Convención[320], al disponer que se le  devuelvan  las  10.700  hectáreas</w:t>
        <w:br/>
        <w:t xml:space="preserve">   reclamadas[321] y al decretar diversas medidas en su favor.[322]</w:t>
        <w:br/>
        <w:br/>
        <w:br/>
        <w:t>B.- Doctrina interamericana[323].</w:t>
        <w:br/>
        <w:br/>
        <w:br/>
        <w:t>6. Tal perspectiva pareciera ser compartida por la doctrina  interamericana,</w:t>
        <w:br/>
        <w:t xml:space="preserve">   como lo demostraría  el  Proyecto  de  Declaración  Americana  sobre  los</w:t>
        <w:br/>
        <w:t xml:space="preserve">   Derechos  de  los  Pueblos   Indígenas,   preparado   por   la   Comisión</w:t>
        <w:br/>
        <w:t xml:space="preserve">   Interamericana de Derechos Humanos, de 1997[324], en cuanto señala que:</w:t>
        <w:br/>
        <w:br/>
        <w:t xml:space="preserve">    “Los  pueblos  indígenas  tienen  los  derechos  colectivos   que   son</w:t>
        <w:br/>
        <w:t xml:space="preserve">    indispensables para el pleno goce de los derechos humanos  individuales</w:t>
        <w:br/>
        <w:t xml:space="preserve">    de sus miembros” [325]</w:t>
        <w:br/>
        <w:br/>
        <w:t>7. Por su parte,  los  Comentarios  del  Comité  Jurídico  Interamericano  a</w:t>
        <w:br/>
        <w:t xml:space="preserve">   dicho Proyecto, de 1998[326] seguiría la misma orientación al afirma que:</w:t>
        <w:br/>
        <w:br/>
        <w:br/>
        <w:br/>
        <w:t xml:space="preserve">    “El derecho internacional en el ámbito de los derechos humanos protege,</w:t>
        <w:br/>
        <w:t xml:space="preserve">    con pocas excepciones, derechos individuales, si bien se reconoce  que,</w:t>
        <w:br/>
        <w:t xml:space="preserve">    en ciertos casos el  ejercicio  de  derechos  individuales  sólo  puede</w:t>
        <w:br/>
        <w:t xml:space="preserve">    ejercerse efectivamente de manera colectiva.”</w:t>
        <w:br/>
        <w:br/>
        <w:br/>
        <w:t>II.- DERECHO DE LOS PUEBLOS INDÍGENAS.</w:t>
        <w:br/>
        <w:br/>
        <w:br/>
        <w:t>A.- Eventual nueva perspectiva.</w:t>
        <w:br/>
        <w:br/>
        <w:t>8. Sin embargo, también es cierto que la CorteIDH, en la misma sentencia  de</w:t>
        <w:br/>
        <w:t xml:space="preserve">   autos, se ha referido a la citada Comunidad Xákmok Kásek como  el  sujeto</w:t>
        <w:br/>
        <w:t xml:space="preserve">   que reclama derechos y ello particularmente en lo que dice  relación  con</w:t>
        <w:br/>
        <w:t xml:space="preserve">   el derecho al territorio[327] y con la  “propiedad  comunitaria”  que  le</w:t>
        <w:br/>
        <w:t xml:space="preserve">   correspondería[328] e, incluso, menciona expresamente a la Comunidad como</w:t>
        <w:br/>
        <w:t xml:space="preserve">   la beneficiaria de las medidas que decreta[329],  aunque  en  algunos  de</w:t>
        <w:br/>
        <w:t xml:space="preserve">   estos últimos  casos  lo  hace  remitiéndose  a  los  fundamentos  de  la</w:t>
        <w:br/>
        <w:t xml:space="preserve">   resolución  en  donde,  en  cambio,  alude   a   los   miembros   de   la</w:t>
        <w:br/>
        <w:t xml:space="preserve">   colectividad[330] y en otros lo hace  indistintamente  a  éstos  y  a  la</w:t>
        <w:br/>
        <w:t xml:space="preserve">   Comunidad[331].</w:t>
        <w:br/>
        <w:br/>
        <w:t>9. Con esas referencias, entonces, la CorteIDH, sin alejarse de su  posición</w:t>
        <w:br/>
        <w:t xml:space="preserve">   tradicional,  parecería dejar  margen  para  que  en  el  futuro  pudiese</w:t>
        <w:br/>
        <w:t xml:space="preserve">   disponer de la posibilidad de adoptar nueva aproximación en la materia  y</w:t>
        <w:br/>
        <w:t xml:space="preserve">   eso, en particular, al afirmar, en el párrafo 85 del  fallo  en  comento,</w:t>
        <w:br/>
        <w:t xml:space="preserve">   que</w:t>
        <w:br/>
        <w:br/>
        <w:t xml:space="preserve">    “ha considerado que la estrecha vinculación de  los  pueblos  indígenas</w:t>
        <w:br/>
        <w:t xml:space="preserve">    con sus tierras tradicionales y los recursos  naturales  ligados  a  su</w:t>
        <w:br/>
        <w:t xml:space="preserve">    cultura que ahí se encuentren, así como los elementos incorporales  que</w:t>
        <w:br/>
        <w:t xml:space="preserve">    se desprendan de ellos, deben ser salvaguardados por el artículo 21  de</w:t>
        <w:br/>
        <w:t xml:space="preserve">    la Convención Americana.”[332]</w:t>
        <w:br/>
        <w:br/>
        <w:br/>
        <w:t>10. Del mismo modo, en el párrafo 86 de  la  misma  sentencia,  la  CorteIDH</w:t>
        <w:br/>
        <w:t xml:space="preserve">   reproduce lo que había manifestado en otras ocasiones[333], en  cuanto  a</w:t>
        <w:br/>
        <w:t xml:space="preserve">   que entre los indígenas</w:t>
        <w:br/>
        <w:br/>
        <w:t xml:space="preserve">    “existe una  tradición  comunitaria  sobre  una  forma  comunal  de  la</w:t>
        <w:br/>
        <w:t xml:space="preserve">    propiedad colectiva de la tierra, en el sentido de que  la  pertenencia</w:t>
        <w:br/>
        <w:t xml:space="preserve">    de ésta no se centra en un individuo sino en el grupo y  su  comunidad.</w:t>
        <w:br/>
        <w:t xml:space="preserve">    Los indígenas por el hecho de su propia  existencia  tienen  derecho  a</w:t>
        <w:br/>
        <w:t xml:space="preserve">    vivir libremente en sus propios territorios; la estrecha  relación  que</w:t>
        <w:br/>
        <w:t xml:space="preserve">    los indígenas  mantienen  con  la  tierra  debe  de  ser  reconocida  y</w:t>
        <w:br/>
        <w:t xml:space="preserve">    comprendida  como  la  base  fundamental  de  sus  culturas,  su   vida</w:t>
        <w:br/>
        <w:t xml:space="preserve">    espiritual, su  integridad  y  su  supervivencia  económica.  Para  las</w:t>
        <w:br/>
        <w:t xml:space="preserve">    comunidades indígenas la relación con la tierra  no  es  meramente  una</w:t>
        <w:br/>
        <w:t xml:space="preserve">    cuestión  de  posesión  y  producción  sino  un  elemento  material   y</w:t>
        <w:br/>
        <w:t xml:space="preserve">    espiritual del que deben gozar plenamente, inclusive para preservar  su</w:t>
        <w:br/>
        <w:t xml:space="preserve">    legado cultural y transmitirlo a las generaciones futuras.”</w:t>
        <w:br/>
        <w:br/>
        <w:t>11. Y en el párrafo 87 de esa resolución, la CorteIDH añade que</w:t>
        <w:br/>
        <w:br/>
        <w:t xml:space="preserve">    “[a]simismo, la Corte ha señalado que  los  conceptos  de  propiedad  y</w:t>
        <w:br/>
        <w:t xml:space="preserve">    posesión en las comunidades indígenas pueden  tener  una  significación</w:t>
        <w:br/>
        <w:t xml:space="preserve">    colectiva, en el sentido de que la pertenencia de ésta “no se centra en</w:t>
        <w:br/>
        <w:t xml:space="preserve">    un individuo sino en el grupo y su comunidad”. Esta noción del  dominio</w:t>
        <w:br/>
        <w:t xml:space="preserve">    y de la posesión sobre las tierras no necesariamente corresponde  a  la</w:t>
        <w:br/>
        <w:t xml:space="preserve">    concepción clásica de  propiedad,  pero  merece  igual  protección  del</w:t>
        <w:br/>
        <w:t xml:space="preserve">    artículo 21 de la Convención. Desconocer las versiones específicas  del</w:t>
        <w:br/>
        <w:t xml:space="preserve">    derecho al uso y goce de  los  bienes,  dadas  por  la  cultura,  usos,</w:t>
        <w:br/>
        <w:t xml:space="preserve">    costumbres y creencias de cada pueblo, equivaldría a sostener que  sólo</w:t>
        <w:br/>
        <w:t xml:space="preserve">    existe una forma de usar y disponer de los bienes,  lo  que  a  su  vez</w:t>
        <w:br/>
        <w:t xml:space="preserve">    significaría hacer  ilusoria  la  protección  del  artículo  21  de  la</w:t>
        <w:br/>
        <w:t xml:space="preserve">    Convención para millones de personas.”</w:t>
        <w:br/>
        <w:br/>
        <w:br/>
        <w:t>B.- Caso de Paraguay.</w:t>
        <w:br/>
        <w:br/>
        <w:br/>
        <w:t>12.  A  los  efectos  de  comprender  el  alcance  de  los  párrafos  recién</w:t>
        <w:br/>
        <w:t xml:space="preserve">   transcritos y en abono a la tesis de que la CorteIDH parecería vislumbrar</w:t>
        <w:br/>
        <w:t xml:space="preserve">   una orientación más alejada de la postura clásica en este ámbito, hay que</w:t>
        <w:br/>
        <w:t xml:space="preserve">   tener presente que en el caso de autos tanto la  Comisión  Interamericana</w:t>
        <w:br/>
        <w:t xml:space="preserve">   de  Derechos  Humanos   como   los   representantes   de   las   víctimas</w:t>
        <w:br/>
        <w:t xml:space="preserve">   reiteradamente señalaron que los derechos que consideran  vulnerados  por</w:t>
        <w:br/>
        <w:t xml:space="preserve">   el Paraguay eran los derechos tanto de la Comunidad Xákmok Kásek, como de</w:t>
        <w:br/>
        <w:t xml:space="preserve">   sus miembros, sin que el  Estado  demandado  en  autos,  Paraguay,  -  en</w:t>
        <w:br/>
        <w:t xml:space="preserve">   adelante el Estado - controvirtiera  la  calidad  de  la  Comunidad  como</w:t>
        <w:br/>
        <w:t xml:space="preserve">   sujeto colectivo de derechos.[334]</w:t>
        <w:br/>
        <w:br/>
        <w:t>13. Igualmente y en el mismo orden de ideas, es procedente  añadir,  siempre</w:t>
        <w:br/>
        <w:t xml:space="preserve">   en lo que respecta al  caso  en  cuestión,  que  el  Estado  ratificó  y,</w:t>
        <w:br/>
        <w:t xml:space="preserve">   mediante la Ley No.  234/93[335],  incorporó  a  su  derecho  interno  el</w:t>
        <w:br/>
        <w:t xml:space="preserve">   Convenio No. 169 de  la  Organización  Internacional  del  Trabajo  sobre</w:t>
        <w:br/>
        <w:t xml:space="preserve">   Pueblos Indígenas y Tribales en Países Independientes de 1989, el que, en</w:t>
        <w:br/>
        <w:t xml:space="preserve">   su artículo 3.1 dispone que:</w:t>
        <w:br/>
        <w:br/>
        <w:t xml:space="preserve">    “Los pueblos indígenas y  tribales  deberán  gozar  plenamente  de  los</w:t>
        <w:br/>
        <w:t xml:space="preserve">    derechos  humanos  y  libertades  fundamentales,  sin   obstáculos   ni</w:t>
        <w:br/>
        <w:t xml:space="preserve">    discriminación. Las disposiciones de este  Convenio  se  aplicarán  sin</w:t>
        <w:br/>
        <w:t xml:space="preserve">    discriminación a los hombres y mujeres de esos pueblos.”</w:t>
        <w:br/>
        <w:br/>
        <w:t>14. Por otra parte y  en  concordancia  con  lo  recién  indicado,  se  debe</w:t>
        <w:br/>
        <w:t xml:space="preserve">   asimismo advertir que la Constitución de  Paraguay  consagra  derechos  a</w:t>
        <w:br/>
        <w:t xml:space="preserve">   favor de las comunidades indígenas en  tanto  colectividades[336]  y  que</w:t>
        <w:br/>
        <w:t xml:space="preserve">   dicho Estado tiene un Estatuto Indígena donde se reconoce la personalidad</w:t>
        <w:br/>
        <w:t xml:space="preserve">   jurídica de las comunidades.[337]</w:t>
        <w:br/>
        <w:br/>
        <w:t>15. Es en razón de todo ello, que llevó a la CorteIDH a señalar, en el  caso</w:t>
        <w:br/>
        <w:t xml:space="preserve">   Yakye Axa[338], que:</w:t>
        <w:br/>
        <w:br/>
        <w:t xml:space="preserve">    “La comunidad indígena, para la legislación paraguaya, ha dejado de ser</w:t>
        <w:br/>
        <w:t xml:space="preserve">    una realidad fáctica para  pasar  a  convertirse  en  sujeto  pleno  de</w:t>
        <w:br/>
        <w:t xml:space="preserve">    derechos, que no se reducen al derecho de sus miembros  individualmente</w:t>
        <w:br/>
        <w:t xml:space="preserve">    considerados,  sino  se  radican  en  la  comunidad  misma,  dotada  de</w:t>
        <w:br/>
        <w:t xml:space="preserve">    singularidad propia.”</w:t>
        <w:br/>
        <w:br/>
        <w:t>16. Parecería claro, entonces, que, al menos en el caso de  Paraguay,  tanto</w:t>
        <w:br/>
        <w:t xml:space="preserve">   el Derecho Internacional como su Derecho interno le reconocerían derechos</w:t>
        <w:br/>
        <w:t xml:space="preserve">   a los pueblos indígenas en tanto tales y no sólo a sus miembros.</w:t>
        <w:br/>
        <w:br/>
        <w:br/>
        <w:t>C.- Desarrollo progresivo del Derecho Internacional.</w:t>
        <w:br/>
        <w:br/>
        <w:br/>
        <w:t>17. Tal situación  se ubicaría, en consecuencia,  en  el  mismo  proceso  de</w:t>
        <w:br/>
        <w:t xml:space="preserve">   mutación  que  estaría  experimentando,  en  este  ámbito,   el   Derecho</w:t>
        <w:br/>
        <w:t xml:space="preserve">   Internacional General y que coincidiría con la nueva perspectiva  que  la</w:t>
        <w:br/>
        <w:t xml:space="preserve">   CorteIDH podría emplear en el futuro en el tratamiento  del  tema[339]  y</w:t>
        <w:br/>
        <w:t xml:space="preserve">   que se manifiesta, en especial, a partir de lo dispuesto en el mencionado</w:t>
        <w:br/>
        <w:t xml:space="preserve">   Convenio No. 169 de  la  Organización  Internacional  del  Trabajo  sobre</w:t>
        <w:br/>
        <w:t xml:space="preserve">   Pueblos Indígenas y Tribales en Países Independientes de 1989.</w:t>
        <w:br/>
        <w:br/>
        <w:br/>
        <w:t>a.- Resoluciones de órganizaciones internacionales.</w:t>
        <w:br/>
        <w:br/>
        <w:br/>
        <w:t>18. Efectivamente, ese proceso de cambio se expresaría, por ejemplo,  en  la</w:t>
        <w:br/>
        <w:t xml:space="preserve">   Declaración  de  las  Naciones  Unidas  sobre  Derechos  de  los  Pueblos</w:t>
        <w:br/>
        <w:t xml:space="preserve">   Indígenas de 2007, que establece, en su artículo 1, que:</w:t>
        <w:br/>
        <w:br/>
        <w:t xml:space="preserve">    “Los indígenas  tienen  derecho,  como  pueblos  o  como  personas,  al</w:t>
        <w:br/>
        <w:t xml:space="preserve">    disfrute  pleno  de  todos  los  derechos  humanos  y  las   libertades</w:t>
        <w:br/>
        <w:t xml:space="preserve">    fundamentales reconocidos por la  Carta  de  las  Naciones  Unidas,  la</w:t>
        <w:br/>
        <w:t xml:space="preserve">    Declaración Universal de Derechos Humanos y la normativa  internacional</w:t>
        <w:br/>
        <w:t xml:space="preserve">    de los derechos humanos.”</w:t>
        <w:br/>
        <w:br/>
        <w:t>19. En igual sentido se insertaría lo señalado en el 2005 por el  Comité  de</w:t>
        <w:br/>
        <w:t xml:space="preserve">   Derechos Económicos, Sociales y Culturales de la Organización de Naciones</w:t>
        <w:br/>
        <w:t xml:space="preserve">   Unidas, en cuanto a que el derecho a beneficiarse de la protección de los</w:t>
        <w:br/>
        <w:t xml:space="preserve">   intereses  morales  y  materiales  que  correspondan  por  razón  de  las</w:t>
        <w:br/>
        <w:t xml:space="preserve">   producciones científicas, literarias o artísticas también  asiste  a  los</w:t>
        <w:br/>
        <w:t xml:space="preserve">   pueblos indígenas en su calidad de sujetos colectivos y no  únicamente  a</w:t>
        <w:br/>
        <w:t xml:space="preserve">   sus miembros como sujetos individuales de derechos.[340]</w:t>
        <w:br/>
        <w:br/>
        <w:t>20.  Posteriormente  y  en  mismo  orden  de  ideas,  dicho  Comité,  en  su</w:t>
        <w:br/>
        <w:t xml:space="preserve">   Observación General No. 21 de 2009, interpretó  que  la  expresión  “toda</w:t>
        <w:br/>
        <w:t xml:space="preserve">   persona” contenida en el artículo  15.1.a)  del  Pacto  Internacional  de</w:t>
        <w:br/>
        <w:t xml:space="preserve">   Derechos Económicos, Sociales y Culturales[341],</w:t>
        <w:br/>
        <w:br/>
        <w:t xml:space="preserve">    “se refiere tanto al sujeto individual como  al  sujeto  colectivo.  En</w:t>
        <w:br/>
        <w:t xml:space="preserve">    otras palabras, una persona puede ejercer los derechos  culturales:  a)</w:t>
        <w:br/>
        <w:t xml:space="preserve">    individualmente; b) en  asociación  con  otras;  o  c)  dentro  de  una</w:t>
        <w:br/>
        <w:t xml:space="preserve">    comunidad o un grupo”.[342]</w:t>
        <w:br/>
        <w:br/>
        <w:br/>
        <w:br/>
        <w:t>b.- Doctrina interamericana.</w:t>
        <w:br/>
        <w:br/>
        <w:br/>
        <w:t>21. E incluso la doctrina interamericana igualmente se inclinaría  por  esta</w:t>
        <w:br/>
        <w:t xml:space="preserve">   tendencia universal, como lo demostraría, por de pronto, el artículo II.1</w:t>
        <w:br/>
        <w:t xml:space="preserve">   del ya citado Proyecto de Declaración Americana sobre los Derechos de los</w:t>
        <w:br/>
        <w:t xml:space="preserve">   Pueblos Indígenas, al disponer que</w:t>
        <w:br/>
        <w:br/>
        <w:t xml:space="preserve">    “Los pueblos indígenas tienen derecho al goce pleno y efectivo  de  los</w:t>
        <w:br/>
        <w:t xml:space="preserve">    derechos humanos y libertades fundamentales reconocidas en la Carta  de</w:t>
        <w:br/>
        <w:t xml:space="preserve">    la OEA, la Declaración Americana de los Derechos y Deberes del  Hombre,</w:t>
        <w:br/>
        <w:t xml:space="preserve">    la Convención Americana sobre Derechos  Humanos  y  otros  instrumentos</w:t>
        <w:br/>
        <w:t xml:space="preserve">    internacionales de derechos humanos; y nada en esta  Declaración  puede</w:t>
        <w:br/>
        <w:t xml:space="preserve">    ser interpretado en el sentido de limitar, restringir o negar en manera</w:t>
        <w:br/>
        <w:t xml:space="preserve">    alguna esos derechos, o en el sentido de autorizar acción alguna que no</w:t>
        <w:br/>
        <w:t xml:space="preserve">    esté  de  acuerdo  con  los  principios  del   derecho   internacional,</w:t>
        <w:br/>
        <w:t xml:space="preserve">    incluyendo el de los derechos humanos.”</w:t>
        <w:br/>
        <w:br/>
        <w:t>22. Tal concepción es reiterada en el artículo XVIII.2. de  dicho  Proyecto,</w:t>
        <w:br/>
        <w:t xml:space="preserve">   al señalar que</w:t>
        <w:br/>
        <w:br/>
        <w:t xml:space="preserve">    “Los pueblos indígenas tienen derecho al reconocimiento de su propiedad</w:t>
        <w:br/>
        <w:t xml:space="preserve">    y de los derechos de dominio con respecto a las tierras, territorios  y</w:t>
        <w:br/>
        <w:t xml:space="preserve">    recursos que han ocupado históricamente, así como al uso de aquéllos  a</w:t>
        <w:br/>
        <w:t xml:space="preserve">    los cuales hayan tenido igualmente acceso para realizar sus actividades</w:t>
        <w:br/>
        <w:t xml:space="preserve">    tradicionales y de sustento.”</w:t>
        <w:br/>
        <w:br/>
        <w:br/>
        <w:t>23.  A  su  vez,  los  también  aludidos  Comentarios  del  Comité  Jurídico</w:t>
        <w:br/>
        <w:t xml:space="preserve">   Interamericano al recién citado Proyecto, señalan,  en  el  párrafo  3.6,</w:t>
        <w:br/>
        <w:t xml:space="preserve">   que:</w:t>
        <w:br/>
        <w:br/>
        <w:t xml:space="preserve">    “Está fuera de toda duda que las poblaciones indígenas y  las  personas</w:t>
        <w:br/>
        <w:t xml:space="preserve">    que las integran tienen  derecho  al  goce  pleno  y  efectivo  de  los</w:t>
        <w:br/>
        <w:t xml:space="preserve">    derechos humanos reconocidos universalmente, y así debe reafirmarlo  la</w:t>
        <w:br/>
        <w:t xml:space="preserve">    Declaración  […]”</w:t>
        <w:br/>
        <w:br/>
        <w:br/>
        <w:t>c.- Otros instrumentos.</w:t>
        <w:br/>
        <w:br/>
        <w:br/>
        <w:t>24. También otro  instrumento  jurídico  internacional,  pero  esta  vez  de</w:t>
        <w:br/>
        <w:t xml:space="preserve">   carácter regional, la  Carta  Africana  de  Derechos  Humanos  y  de  los</w:t>
        <w:br/>
        <w:t xml:space="preserve">   Pueblos, de 1986, se insertaría en el mismo predicamento al establecer la</w:t>
        <w:br/>
        <w:t xml:space="preserve">   protección especial de ciertos  derechos  de  los  pueblos  indígenas  en</w:t>
        <w:br/>
        <w:t xml:space="preserve">   función de su ejercicio como derechos colectivos.[343]</w:t>
        <w:br/>
        <w:br/>
        <w:br/>
        <w:t>III.- ALCANCE DE LOS DERECHOS HUMANOS DE LOS PUEBLOS INDÍGENAS Y DE SUS</w:t>
        <w:br/>
        <w:t>MIEMBROS.</w:t>
        <w:br/>
        <w:br/>
        <w:br/>
        <w:br/>
        <w:t>A.- Derechos específicos.</w:t>
        <w:br/>
        <w:br/>
        <w:br/>
        <w:t>25.   Se   podría,   entonces,   sostener   que   los   transcritos   textos</w:t>
        <w:br/>
        <w:t xml:space="preserve">   internacionales, unos fuentes autónomas del Derecho  Internacional,  como</w:t>
        <w:br/>
        <w:t xml:space="preserve">   los tratados, y otros fuentes auxiliares del mismo, como las resoluciones</w:t>
        <w:br/>
        <w:t xml:space="preserve">   de órganos de organizaciones internacionales,  hacen  referencias  a  los</w:t>
        <w:br/>
        <w:t xml:space="preserve">   derechos humanos de los pueblos indígenas y aún de sus miembros en  tanto</w:t>
        <w:br/>
        <w:t xml:space="preserve">   se trata de derechos específicos sea de esas colectividades  sea  de  sus</w:t>
        <w:br/>
        <w:t xml:space="preserve">   intengrantes y , en consecuencia, distintos o diferentes a  los  vigentes</w:t>
        <w:br/>
        <w:t xml:space="preserve">   para todo ser humano, dado que si no fuese así, no tendría sentido  o  no</w:t>
        <w:br/>
        <w:t xml:space="preserve">   se justificaría dicha proclamación especial o peculiar a través de alguno</w:t>
        <w:br/>
        <w:t xml:space="preserve">   de los instrumentos jurídicos señalados, los  que  precisamente  procuran</w:t>
        <w:br/>
        <w:t xml:space="preserve">   tener  efectos  jurídicos,  vale  decir,  establecer  o  determinar   las</w:t>
        <w:br/>
        <w:t xml:space="preserve">   obligaciones jurídicas internacionales que se derivan de los derechos así</w:t>
        <w:br/>
        <w:t xml:space="preserve">   proclamados.</w:t>
        <w:br/>
        <w:br/>
        <w:t>B.- Derechos de la colectividad.</w:t>
        <w:br/>
        <w:br/>
        <w:t>26. Todo lo anterior, permitiría, por lo tanto, arribar  a  una  comprensión</w:t>
        <w:br/>
        <w:t xml:space="preserve">   más amplia de lo dispuesto en el artículo 1  de  la  Convención[344],  en</w:t>
        <w:br/>
        <w:t xml:space="preserve">   orden a que la obligación de respetar y  garantizar  a  toda  persona  el</w:t>
        <w:br/>
        <w:t xml:space="preserve">   ejercicio de los derechos consagrados por ella incluiría  también  a  las</w:t>
        <w:br/>
        <w:t xml:space="preserve">   colectividades o comunidades, como los pueblos indígenas,  en  la  medida</w:t>
        <w:br/>
        <w:t xml:space="preserve">   que a tales  entidades  se  les  reconozcan  al  menos  algunos  de  esos</w:t>
        <w:br/>
        <w:t xml:space="preserve">   derechos, los que, por ende, sus miembros únicamente podrían disfrutar  y</w:t>
        <w:br/>
        <w:t xml:space="preserve">   ejercer por su intermedio y en razón de que forman parte de la misma,  lo</w:t>
        <w:br/>
        <w:t xml:space="preserve">   que, en definitiva  implicaría  que  no  serían  únicamente  de  carácter</w:t>
        <w:br/>
        <w:t xml:space="preserve">   individual.</w:t>
        <w:br/>
        <w:br/>
        <w:br/>
        <w:t>CONCLUSIÓN.</w:t>
        <w:br/>
        <w:br/>
        <w:br/>
        <w:t>27.  En  otras  palabras,  habida  cuenta  lo  precedentemente  expuesto   y</w:t>
        <w:br/>
        <w:t xml:space="preserve">   aplicando lo previsto en el artículo 29.b y 29.d de  la  Convención[345],</w:t>
        <w:br/>
        <w:t xml:space="preserve">   se podría concluir que,  acorde  al  desarrollo  progresivo  del  Derecho</w:t>
        <w:br/>
        <w:t xml:space="preserve">   Internacional de los Derechos Humanos, sería procedente, por  una  parte,</w:t>
        <w:br/>
        <w:t xml:space="preserve">   incluir en el  término  “persona”  contenida  en  diversos  artículos  de</w:t>
        <w:br/>
        <w:t xml:space="preserve">   aquella y como víctimas de violaciones  a  derechos  consagrados  por  la</w:t>
        <w:br/>
        <w:t xml:space="preserve">   misma, no solo a  los  miembros,  individualmente  considerados,  de  los</w:t>
        <w:br/>
        <w:t xml:space="preserve">   pueblos indígenas, sino también a estos últimos en tanto tales y  por  la</w:t>
        <w:br/>
        <w:t xml:space="preserve">   otra  parte,  consecuentemente  considerar  entre  esos  derechos  a  los</w:t>
        <w:br/>
        <w:t xml:space="preserve">   concernientes a dichos pueblos, con lo que no  solo  se  haría  justicia,</w:t>
        <w:br/>
        <w:t xml:space="preserve">   sino que, además, la jurisprudencia se ubicaría así,  más  nítidamente  y</w:t>
        <w:br/>
        <w:t xml:space="preserve">   sin margen para  equívocos,  en  la  moderna  tendencia  que  se  estaría</w:t>
        <w:br/>
        <w:t xml:space="preserve">   perfilando con cada vez mayor nitidez en  el  Derecho  Internacional  que</w:t>
        <w:br/>
        <w:t xml:space="preserve">   regula esta materia.</w:t>
        <w:br/>
        <w:br/>
        <w:t>EVG.-</w:t>
        <w:br/>
        <w:br/>
        <w:br/>
        <w:t xml:space="preserve">                                                          Eduardo Vio Grossi</w:t>
        <w:br/>
        <w:t xml:space="preserve">                                    Juez</w:t>
        <w:br/>
        <w:br/>
        <w:br/>
        <w:br/>
        <w:br/>
        <w:t>Pablo Saavedra Alessandri</w:t>
        <w:br/>
        <w:t xml:space="preserve">            Secretario</w:t>
        <w:br/>
        <w:br/>
        <w:t xml:space="preserve">         VOTO CONCURRENTE Y DISIDENTE DEL JUEZ AUGUSTO FOGEL PEDROZO</w:t>
        <w:br/>
        <w:br/>
        <w:br/>
        <w:br/>
        <w:br/>
        <w:t>He participado en el pronunciamiento de la Sentencia dictada  por  la  Corte</w:t>
        <w:br/>
        <w:t>en el caso XÁKMOK KÁSEK y he disentido de algunos puntos resolutivos  de  la</w:t>
        <w:br/>
        <w:t>misma, en base a los fundamentos expuestos  en  las  deliberaciones,  y  que</w:t>
        <w:br/>
        <w:t>comprendieron las siguientes consideraciones:</w:t>
        <w:br/>
        <w:br/>
        <w:t>I. Voto Concurrente. Rechazo de Solicitud del Estado  sobre  suspensión  del</w:t>
        <w:br/>
        <w:t>procedimiento</w:t>
        <w:br/>
        <w:br/>
        <w:t>1.    En el ítem 1 del Capítulo XIII “Puntos Resolutivos” he manifestado  mi</w:t>
        <w:br/>
        <w:t>acuerdo en el rechazo de la solicitud del Estado  acerca  de  la  suspensión</w:t>
        <w:br/>
        <w:t>del presente procedimiento contencioso, por  los  fundamentos  expuestos  en</w:t>
        <w:br/>
        <w:t>los párrafos 36 a 50 y además porque la diferente denominación de  la  etnia</w:t>
        <w:br/>
        <w:t>planteada por los representantes de  la  Comunidad  Xákmok  Kásek,  si  bien</w:t>
        <w:br/>
        <w:t>constituye, un problema para la transferencia de dominio del inmueble,  pues</w:t>
        <w:br/>
        <w:t>el derecho registral exige la debida aclaración del cambio  producido,  ello</w:t>
        <w:br/>
        <w:t>es subsanable a través del peritaje ya realizado recientemente a través  del</w:t>
        <w:br/>
        <w:t>Perito del Estado, a los que agrego que la Comunidad indígena  Xákmok  Kásek</w:t>
        <w:br/>
        <w:t>pertenece al pueblo Sanapaná de la misma familia lingüística que los  Enxet-</w:t>
        <w:br/>
        <w:t>Lengua. En las  aldeas  Sanapaná  es  frecuente  la  convivencia  con  otras</w:t>
        <w:br/>
        <w:t>familias  del  grupo  lingüístico  denominado  Maskoy[346]  (denominada  por</w:t>
        <w:br/>
        <w:t>Kalish como Enlhet-Enenlhet). Resulta  difícil  determinar  culturalmente  a</w:t>
        <w:br/>
        <w:t>que  pueblo  pertenecen  los  descendientes  de  parejas  de   dos   pueblos</w:t>
        <w:br/>
        <w:t>diferentes y es necesario determinar a que pueblo se adscriben a  través  de</w:t>
        <w:br/>
        <w:t>una investigación con los miembros de la Comunidad.</w:t>
        <w:br/>
        <w:br/>
        <w:t>2.    En el Censo indígena del 2002 se  identifica  a  la  Comunidad  Xákmok</w:t>
        <w:br/>
        <w:t>Kásek asentada en la Estancia Salazar como Sanapaná. Por otra parte,  en  la</w:t>
        <w:br/>
        <w:t>obra “Los Indígenas del Paraguay” de José Zanardini y  Walter  Biederman  se</w:t>
        <w:br/>
        <w:t>identifica como uno de los lugares en  que  habitan  la  etnia  Sanapaná  la</w:t>
        <w:br/>
        <w:t>Estancia  Salazar  con  el  nombre  de  Xákmok  Kásek;   por   otra   parte,</w:t>
        <w:br/>
        <w:t>representantes de esta comunidad participaron en el año  2003  en  reuniones</w:t>
        <w:br/>
        <w:t>de comunidades Sanapaná en vistas a la constitución  de  una  Asociación  de</w:t>
        <w:br/>
        <w:t>Comunidades Sanapaná.</w:t>
        <w:br/>
        <w:br/>
        <w:t>II. Voto en  disidencia.  Derecho  a  la  Propiedad  Comunitaria,  Garantías</w:t>
        <w:br/>
        <w:t>Judiciales y Protección Judicial</w:t>
        <w:br/>
        <w:br/>
        <w:t>3.    Respecto a que el Estado violó el derecho a la propiedad  comunitaria,</w:t>
        <w:br/>
        <w:t>las garantías judiciales y la protección judicial, según el párrafo  170  de</w:t>
        <w:br/>
        <w:t>la Sentencia, por cuanto con relación a la alegada  violación  del  artículo</w:t>
        <w:br/>
        <w:t>21 de la Convención Americana, entiendo  que  el  derecho  de  propiedad  no</w:t>
        <w:br/>
        <w:t>puede interpretarse aisladamente sino más bien tomando en  consideración  el</w:t>
        <w:br/>
        <w:t>conjunto del sistema jurídico en el que opera, tomando en cuenta el  derecho</w:t>
        <w:br/>
        <w:t>nacional y el internacional.</w:t>
        <w:br/>
        <w:br/>
        <w:br/>
        <w:t>4.    La Constitución Nacional  paraguaya  garantiza  la  propiedad  privada</w:t>
        <w:br/>
        <w:t>(individual y corporativa( y  la  propiedad  comunitaria  a  la  que  tienen</w:t>
        <w:br/>
        <w:t>derecho los pueblos indígenas;  el  artículo  63  reconoce  y  garantiza  el</w:t>
        <w:br/>
        <w:t>derecho de los pueblos indígenas a  preservar  y  desarrollar  su  identidad</w:t>
        <w:br/>
        <w:t>étnica en el respectivo hábitat. Además el artículo 64 de esta  Constitución</w:t>
        <w:br/>
        <w:t>señala que:</w:t>
        <w:br/>
        <w:br/>
        <w:t xml:space="preserve">    Los pueblos indígenas tienen derecho a la propiedad comunitaria  de  la</w:t>
        <w:br/>
        <w:t xml:space="preserve">    tierra, en extensión y calidad suficiente  para la  conservación  y  el</w:t>
        <w:br/>
        <w:t xml:space="preserve">    desarrollo de sus formas peculiares de vida.  El  Estado  les  proveerá</w:t>
        <w:br/>
        <w:t xml:space="preserve">    gratuitamente  de  estas  tierras,  las  cuales  serán   inembargables,</w:t>
        <w:br/>
        <w:t xml:space="preserve">    indivisibles, intransferibles,  imprescriptibles,  no  susceptibles  de</w:t>
        <w:br/>
        <w:t xml:space="preserve">    garantizar obligaciones contractuales  ni de ser arrendadas;  asimismo,</w:t>
        <w:br/>
        <w:t xml:space="preserve">    estarán exentas de tributos. Se prohíbe la remoción o el traslado de su</w:t>
        <w:br/>
        <w:t xml:space="preserve">    hábitat sin el expreso consentimiento de los mismos.</w:t>
        <w:br/>
        <w:br/>
        <w:t>5.    El artículo 109 de la Constitución Nacional establece que:</w:t>
        <w:br/>
        <w:br/>
        <w:br/>
        <w:br/>
        <w:t xml:space="preserve">    Se garantiza la propiedad privada, cuyo contenido y límites serán</w:t>
        <w:br/>
        <w:t xml:space="preserve">    establecidos por la ley, atendiendo a su función económica y social, a</w:t>
        <w:br/>
        <w:t xml:space="preserve">    fin de hacerla accesible para todos.</w:t>
        <w:br/>
        <w:br/>
        <w:br/>
        <w:br/>
        <w:br/>
        <w:t xml:space="preserve">    La propiedad privada es inviolable.</w:t>
        <w:br/>
        <w:br/>
        <w:br/>
        <w:br/>
        <w:br/>
        <w:t xml:space="preserve">    Nadie puede ser privado de su propiedad sino  en  virtud  de  sentencia</w:t>
        <w:br/>
        <w:t xml:space="preserve">    judicial, pero se admite la expropiación por causa de utilidad  pública</w:t>
        <w:br/>
        <w:t xml:space="preserve">    o de interés social, que será determinada en cada caso por la ley. Esta</w:t>
        <w:br/>
        <w:t xml:space="preserve">    garantizará el previo pago  de  una  justa  indemnización,  establecida</w:t>
        <w:br/>
        <w:t xml:space="preserve">    convencionalmente o  por  sentencia  judicial,  salvo  los  latifundios</w:t>
        <w:br/>
        <w:t xml:space="preserve">    improductivos  destinados  a  la  reforma  agraria,  conforme  con   el</w:t>
        <w:br/>
        <w:t xml:space="preserve">    procedimiento para las expropiaciones a establecerse por ley.</w:t>
        <w:br/>
        <w:br/>
        <w:br/>
        <w:br/>
        <w:br/>
        <w:t>6.    A su vez, el artículo 137 establece:</w:t>
        <w:br/>
        <w:br/>
        <w:br/>
        <w:br/>
        <w:t xml:space="preserve">    La Ley suprema de la República es la Constitución. Esta, los  tratados,</w:t>
        <w:br/>
        <w:t xml:space="preserve">    convenios y acuerdos internacionales aprobados y ratificados, las leyes</w:t>
        <w:br/>
        <w:t xml:space="preserve">    dictadas por el Congreso y otras disposiciones  jurídicas  de  inferior</w:t>
        <w:br/>
        <w:t xml:space="preserve">    jerarquía, sancionadas en consecuencia, integran  el  derecho  positivo</w:t>
        <w:br/>
        <w:t xml:space="preserve">    nacional en el orden de prelación enunciado.</w:t>
        <w:br/>
        <w:br/>
        <w:br/>
        <w:br/>
        <w:br/>
        <w:t xml:space="preserve">    Quienquiera  que  intente  cambiar  dicho  orden,  al  margen  de   los</w:t>
        <w:br/>
        <w:t xml:space="preserve">    procedimientos previstos en esta Constitución, incurrirá en los delitos</w:t>
        <w:br/>
        <w:t xml:space="preserve">    que se tipificarán y penarán en la ley…</w:t>
        <w:br/>
        <w:br/>
        <w:br/>
        <w:br/>
        <w:br/>
        <w:t xml:space="preserve">    Carecen de  validez  todas  las  disposiciones  o  actos  de  autoridad</w:t>
        <w:br/>
        <w:t xml:space="preserve">    opuestos a lo establecido en esta Constitución.</w:t>
        <w:br/>
        <w:br/>
        <w:br/>
        <w:br/>
        <w:t>7.    Los sujetos amparados por el derecho a la propiedad incluyen  tanto  a</w:t>
        <w:br/>
        <w:t>los indígenas de la Comunidad Xákmok Kásek, como al resto de los  indígenas,</w:t>
        <w:br/>
        <w:t>y en general a todos los  ciudadanos,  en  el  marco  del  principio  de  la</w:t>
        <w:br/>
        <w:t>igualdad de las personas, consagrado por el artículo 46 de  la  Constitución</w:t>
        <w:br/>
        <w:t>Nacional, que establece: “Todos los habitantes de la República  son  iguales</w:t>
        <w:br/>
        <w:t>en dignidad y derechos. No se admiten discriminaciones. El  Estado  removerá</w:t>
        <w:br/>
        <w:t>los obstáculos e impedirá los factores que las mantengan o las propicien”.</w:t>
        <w:br/>
        <w:br/>
        <w:br/>
        <w:br/>
        <w:br/>
        <w:t>8.    “Las protecciones que se establezcan sobre desigualdades  injustas  no</w:t>
        <w:br/>
        <w:t>serán consideradas como factores discriminatorios  sino  igualitarios.”  Los</w:t>
        <w:br/>
        <w:t>que deberían ser discriminados  positivamente,  en  el  contexto  paraguayo,</w:t>
        <w:br/>
        <w:t>comprenden por lo menos</w:t>
        <w:br/>
        <w:t xml:space="preserve"> 2.000 familias indígenas del Chaco y 2.000 familias de la  Región  Oriental</w:t>
        <w:br/>
        <w:t>carentes de tierra, así como unas 90.000 familias de campesinos sin  tierra,</w:t>
        <w:br/>
        <w:t>postrados en extrema pobreza. A mi juicio es en  este  contexto  en  el  que</w:t>
        <w:br/>
        <w:t>deben interpretarse las disposiciones de la Convención Americana.</w:t>
        <w:br/>
        <w:br/>
        <w:t>9.    La Ley 904/81, anterior a  la  Constitución  Nacional,  sancionada  en</w:t>
        <w:br/>
        <w:t>1992,  regula  el  acceso  de  las  comunidades  indígenas  a  la  propiedad</w:t>
        <w:br/>
        <w:t>comunitaria  de  la  tierra.  En  su  artículo  8  establece   que,   previo</w:t>
        <w:br/>
        <w:t>cumplimiento de trámites establecidos “se reconocerá la personería  jurídica</w:t>
        <w:br/>
        <w:t>de las comunidades indígenas preexistentes a la promulgación de esta Ley,  y</w:t>
        <w:br/>
        <w:t>a las constituidas por familias indígenas que se  reagrupan  en  comunidades</w:t>
        <w:br/>
        <w:t>para acogerse a los beneficios  dados  por  ella”.  En  el  último  caso  la</w:t>
        <w:br/>
        <w:t>cantidad mínima de familias indígenas es de 20 (Artículo 9). En relación  al</w:t>
        <w:br/>
        <w:t>asentamiento de las comunidades indígenas la Ley 904 establece:</w:t>
        <w:br/>
        <w:br/>
        <w:br/>
        <w:t xml:space="preserve">      Artículo 14.  El asentamiento de las comunidades indígenas atenderá en</w:t>
        <w:br/>
        <w:t xml:space="preserve">      lo posible a la posesión actual  o  tradicional  de  las  tierras.  El</w:t>
        <w:br/>
        <w:t xml:space="preserve">      consentimiento libre y expreso de la comunidad indígena será  esencial</w:t>
        <w:br/>
        <w:t xml:space="preserve">      para su  asentamiento  en  sitios  distintos  al  de  sus  territorios</w:t>
        <w:br/>
        <w:t xml:space="preserve">      habituales, salvo razones de seguridad nacional.</w:t>
        <w:br/>
        <w:br/>
        <w:br/>
        <w:t xml:space="preserve">      Artículo 15.  Cuando en los casos previstos en  el  artículo  anterior</w:t>
        <w:br/>
        <w:t xml:space="preserve">      resultare  imprescindible  el  traslado  de  una  o  mas   comunidades</w:t>
        <w:br/>
        <w:t xml:space="preserve">      indígenas, serán proporcionadas tierras aptas y por lo menos de  igual</w:t>
        <w:br/>
        <w:t xml:space="preserve">      calidad a las que ocupaban y serán convenientemente  indemnizadas  por</w:t>
        <w:br/>
        <w:t xml:space="preserve">      los daños y perjuicios que sufrieren a consecuencia del desplazamiento</w:t>
        <w:br/>
        <w:t xml:space="preserve">      y por el valor de las mejoras.</w:t>
        <w:br/>
        <w:br/>
        <w:t>10.   A  su  vez,  el  artículo  22  de  la  referida  Ley  904  dispone  el</w:t>
        <w:br/>
        <w:t>procedimiento para el asentamiento  de   comunidades  indígenas  en  tierras</w:t>
        <w:br/>
        <w:t>fiscales,  y  en  los  artículos  24  y  25  los  procedimientos   para   el</w:t>
        <w:br/>
        <w:t>asentamiento en tierras del dominio privado, que los  indígenas  ocupen.  En</w:t>
        <w:br/>
        <w:t>el artículo  26  la  ley  establece:  “En  los  casos  de  expropiación,  el</w:t>
        <w:br/>
        <w:t>procedimiento  y  la  indemnización  se  ajustarán  a  lo  dispuesto  en  la</w:t>
        <w:br/>
        <w:t>Constitución y las Leyes  y  para  el  pago  de  las  indemnizaciones  serán</w:t>
        <w:br/>
        <w:t>previstos los recursos necesarios en el Presupuesto General de la Nación”.</w:t>
        <w:br/>
        <w:br/>
        <w:t>11.   La Ley 43/89 que establece un régimen para la  regularización  de  los</w:t>
        <w:br/>
        <w:t>asentamientos de las comunidades indígenas, en  su  artículo  4º  establece:</w:t>
        <w:br/>
        <w:t>“Durante  la  tramitación  administrativa  y  judicial  contemplada  en   el</w:t>
        <w:br/>
        <w:t>artículo 2º el Instituto Paraguayo del Indígena (INDI)  y  el  Instituto  de</w:t>
        <w:br/>
        <w:t>Bienestar Rural (IBR)  deberán  proponer  soluciones  definitivas  para  los</w:t>
        <w:br/>
        <w:t>asentamientos de comunidades indígenas, conforme a la  Ley  854/63  Estatuto</w:t>
        <w:br/>
        <w:t>Agrario  y,  la  Ley  904/81,  Estatuto  de   las   Comunidades   Indígenas,</w:t>
        <w:br/>
        <w:t>proponiendo la expropiación de acuerdo al artículo  1º  de  la  Ley  1372/88</w:t>
        <w:br/>
        <w:t>cuando no se obtengan solucionas por otras vías previstas”[347].</w:t>
        <w:br/>
        <w:br/>
        <w:t>12.   Tanto las disposiciones de la Ley 904, como las de la Ley 43/89</w:t>
        <w:br/>
        <w:t>establecen, en ausencia de contrato de acuerdo con el propietario, la</w:t>
        <w:br/>
        <w:t>expropiación como vía para regularizar los asentamientos de las comunidades</w:t>
        <w:br/>
        <w:t>indígenas establecidas en tierras del dominio privado. Estas disposiciones</w:t>
        <w:br/>
        <w:t>son concordantes con normas del Código Civil, que establecen que el dominio</w:t>
        <w:br/>
        <w:t>de los inmuebles se pierde por: a) su enajenación; b) transmisión o</w:t>
        <w:br/>
        <w:t>declaración judicial; c) ejecución de sentencia; d) expropiación; y d) su</w:t>
        <w:br/>
        <w:t>abandono declarado en escritura pública, debidamente inscripta en el</w:t>
        <w:br/>
        <w:t>Registro de Inmuebles, y en los demás casos previstos en ley (artículo</w:t>
        <w:br/>
        <w:t>1967).  En tanto el artículo 1966 enumera taxativamente las formas de</w:t>
        <w:br/>
        <w:t>acceder a la propiedad de inmuebles: a) contrato; b) accesión; c)</w:t>
        <w:br/>
        <w:t>usucapión; y d) sucesión hereditaria.</w:t>
        <w:br/>
        <w:br/>
        <w:br/>
        <w:t>13.   En este punto debe notarse la colisión entre la  norma  constitucional</w:t>
        <w:br/>
        <w:t>y el artículo 64  de  la  Ley  1863/02;  mientras  ésta  última  limita  las</w:t>
        <w:br/>
        <w:t>posibilidades de expropiación a los inmuebles no  explotados  racionalmente,</w:t>
        <w:br/>
        <w:t>el  artículo  109  de  la  Constitución  Nacional,  la  ley  suprema  de  la</w:t>
        <w:br/>
        <w:t>República, establece  que  para  el  caso  de  expropiación  de  latifundios</w:t>
        <w:br/>
        <w:t>improductivos destinados a la reforma agraria  la  misma  ley  establece  el</w:t>
        <w:br/>
        <w:t>monto de la indemnización, mientras que  en  los  otros  casos  el  referido</w:t>
        <w:br/>
        <w:t>monto se establece convencionalmente o  por  sentencia  judicial.  La  misma</w:t>
        <w:br/>
        <w:t>Sala  Constitucional  de  la  Corte  Suprema  de  Justicia  ha   establecido</w:t>
        <w:br/>
        <w:t>jurisprudencia afirmando que para que  sea  procedente  la  expropiación  es</w:t>
        <w:br/>
        <w:t>suficiente  la  convicción  del  legislador  sobre  la  existencia  de   una</w:t>
        <w:br/>
        <w:t>necesidad o interés social o causa de  utilidad  pública,  y  que  la  misma</w:t>
        <w:br/>
        <w:t>pueda remediarse con la expropiación de inmuebles específicos.</w:t>
        <w:br/>
        <w:br/>
        <w:t>14.   Por los fundamentos expresados disiento  de  la  Sentencia  en  cuanto</w:t>
        <w:br/>
        <w:t>declara que el Estado violó, en perjuicio de la Comunidad Xákmok  Kásek  del</w:t>
        <w:br/>
        <w:t>pueblo Enxet-Lengua el derecho a la propiedad consagrado en el  artículo  21</w:t>
        <w:br/>
        <w:t>de la Convención Americana. Las gestiones  para  garantizar  el  derecho  de</w:t>
        <w:br/>
        <w:t>propiedad de la Comunidad Xákmok Kásek no fueron efectivas debido  a  vacíos</w:t>
        <w:br/>
        <w:t>normativos en el derecho interno.</w:t>
        <w:br/>
        <w:br/>
        <w:t>15.   En cuanto a la alegada violación  de  los  artículos  8  y  25  de  la</w:t>
        <w:br/>
        <w:t>Convención Americana (Garantías Judiciales  y  Protección  Judicial)  y  mas</w:t>
        <w:br/>
        <w:t>específicamente en relación al procedimiento instaurado  en  contra  de  los</w:t>
        <w:br/>
        <w:t>miembros de la Comunidad, estimo que los agravios a la Comunidad  ligados  a</w:t>
        <w:br/>
        <w:t>la  violación  de  las  garantías  procesales  debidas,  originados  en  los</w:t>
        <w:br/>
        <w:t>primeros pasos procesales, en la  Primera  Instancia,  pudieron  haber  sido</w:t>
        <w:br/>
        <w:t>reparados en otras etapas del mismo proceso, en el derecho interno.</w:t>
        <w:br/>
        <w:br/>
        <w:t>III. Voto en disidencia.  Derecho a la Vida</w:t>
        <w:br/>
        <w:br/>
        <w:t>16.   En cuanto a la alegada violación del artículo  4.1  de  la  Convención</w:t>
        <w:br/>
        <w:t>Americana (Derecho a la Vida)  la  demanda  de  la  Comisión  Interamericana</w:t>
        <w:br/>
        <w:t>afirma que el Estado de Paraguay incumplió, en  perjuicio  de  la  Comunidad</w:t>
        <w:br/>
        <w:t>Xákmok Kásek, la obligación de garantizar el derecho a  la  vida  consagrado</w:t>
        <w:br/>
        <w:t>en el artículo 4.1 de la Convención Americana,  en  perjuicio  de  indígenas</w:t>
        <w:br/>
        <w:t>fallecidos debidamente identificados de la comunidad, y que  el  Estado  “ha</w:t>
        <w:br/>
        <w:t>colocado en situación de riesgo  permanente  a  todos  los  miembros  de  la</w:t>
        <w:br/>
        <w:t>comunidad”,  afectándoles  el  disfrute  y  goce  de  sus  derechos  humanos</w:t>
        <w:br/>
        <w:t>fundamentales  a  la  permanecer  la  situación  de  vulnerabilidad  de   la</w:t>
        <w:br/>
        <w:t>comunidad. El referido artículo 4 de la Convención  establece:</w:t>
        <w:br/>
        <w:br/>
        <w:br/>
        <w:t xml:space="preserve">      Toda persona tiene derecho a que se  respete  su  vida.  Este  derecho</w:t>
        <w:br/>
        <w:t xml:space="preserve">      estará  protegido por la ley y, en general, a partir del momento de la</w:t>
        <w:br/>
        <w:t xml:space="preserve">      concepción.</w:t>
        <w:br/>
        <w:t xml:space="preserve">      Nadie puede ser privado de la vida arbitrariamente.</w:t>
        <w:br/>
        <w:br/>
        <w:t>17.   En relación a los  indígenas  fallecidos  debe  puntualizarse  que  de</w:t>
        <w:br/>
        <w:t>haberse planteado oportunamente, en el ámbito sometido al  derecho  interno,</w:t>
        <w:br/>
        <w:t>denuncias sobre  eventuales  negligencias  que  podían  conducir  a  muertes</w:t>
        <w:br/>
        <w:t>evitables se hubieran podido remediar, o por lo menos atenuar los  males  de</w:t>
        <w:br/>
        <w:t>salud en cuestión; esa  vía  hubiera  permitido  investigar  violaciones  al</w:t>
        <w:br/>
        <w:t>derecho a la vida, sancionar a los responsables y otorgar reparación  a  los</w:t>
        <w:br/>
        <w:t>familiares de las víctimas. La falta de reparación,  en  casos  probados  de</w:t>
        <w:br/>
        <w:t>negligencias  de   agentes   del   estado,   podría   haber   originado   la</w:t>
        <w:br/>
        <w:t>responsabilidad interna del Estado de Paraguay.</w:t>
        <w:br/>
        <w:br/>
        <w:t>18.   Cabe remarcar  que el asentamiento de la Comunidad Xákmok Kásek en  la</w:t>
        <w:br/>
        <w:t>Estancia Salazar, a diferencia de otras comunidades muy aisladas,  estaba  a</w:t>
        <w:br/>
        <w:t>poca distancia de la ruta transchaco y  por  lo  tanto  con  posibilidad  de</w:t>
        <w:br/>
        <w:t>pedir ambulancia al centro de salud  del  Distrito  de  Irala  Fernández,  a</w:t>
        <w:br/>
        <w:t>cargo del Dr. Rolón, situado sobre la mencionada ruta a menos de  una  hora.</w:t>
        <w:br/>
        <w:t>Además la comunidad contaba con auxiliar de Salud.</w:t>
        <w:br/>
        <w:br/>
        <w:t>19.   No obstante, la interpretación del derecho  a  la  vida  de  modo  que</w:t>
        <w:br/>
        <w:t>comprenda medidas positivas de protección para que los  indígenas  disfruten</w:t>
        <w:br/>
        <w:t>del derecho a vivir con dignidad tiene sustento  en  la  doctrina  y  en  la</w:t>
        <w:br/>
        <w:t>jurisprudencia  internacional,  y  supone  nuevos  avances  en  el   Derecho</w:t>
        <w:br/>
        <w:t>Internacional de los Derechos Humanos.</w:t>
        <w:br/>
        <w:br/>
        <w:t>20.   La Corte Interamericana ha señalado que el deber del Estado  de  tomar</w:t>
        <w:br/>
        <w:t>medidas  positivas  debe  priorizarse  precisamente  en  relación   con   la</w:t>
        <w:br/>
        <w:t>protección de la vida de personas más vulnerables como  son  los  indígenas.</w:t>
        <w:br/>
        <w:t>Esta concepción del derecho a la vida, referida a comunidades  indígenas  en</w:t>
        <w:br/>
        <w:t>situación  de  indigencia,  que   puede   expresarse   en   enfermedades   y</w:t>
        <w:br/>
        <w:t>fallecimientos evitables, plantea la obligación de  proporcionar  protección</w:t>
        <w:br/>
        <w:t>social y de erradicar la pobreza extrema. Por su condición de afectadas  por</w:t>
        <w:br/>
        <w:t>severas privaciones estas comunidades indígenas carecen de  estrategias  que</w:t>
        <w:br/>
        <w:t>les permita enfrentar adecuadamente los riesgos a los que  están  expuestos,</w:t>
        <w:br/>
        <w:t>de modo que puedan aprovechar  las  oportunidades  de  mejoramiento  de  las</w:t>
        <w:br/>
        <w:t>condiciones de vida que se les presente  y  lograr  condiciones  mínimas  de</w:t>
        <w:br/>
        <w:t>calidad de vida.</w:t>
        <w:br/>
        <w:br/>
        <w:t>21.   El derecho a la vida  está  consagrado  en  diversos  instrumentos,  y</w:t>
        <w:br/>
        <w:t>conforme a ellos la existencia de pobreza extrema, con  tendencia  creciente</w:t>
        <w:br/>
        <w:t>en el país, significa  negación  de  los  derechos  económicos,  sociales  y</w:t>
        <w:br/>
        <w:t>culturales, comprendiendo los derechos a una  alimentación  adecuada,  a  la</w:t>
        <w:br/>
        <w:t>salud, a la alimentación y al trabajo. La Comisión de  Derechos  Humanos  de</w:t>
        <w:br/>
        <w:t>las Naciones Unidas reconoció  que  la  pobreza  extrema  atenta  contra  el</w:t>
        <w:br/>
        <w:t>derecho fundamental a la vida y  determinó  los  derechos  humanos  que  son</w:t>
        <w:br/>
        <w:t>esenciales para la protección del derecho  a  la  vida  (alimentación,  agua</w:t>
        <w:br/>
        <w:t>potable, salud).  Por su parte la Conferencia Mundial de  Derechos  Humanos,</w:t>
        <w:br/>
        <w:t>celebrada en Viena en 1993, consideró que la pobreza extrema  constituye  un</w:t>
        <w:br/>
        <w:t>atentado contra la dignidad humana, como ya se  ha  señalado  en  sentencias</w:t>
        <w:br/>
        <w:t>anteriores. En el  caso  de  las  comunidades  indígenas,  en  especial  las</w:t>
        <w:br/>
        <w:t>afectadas por  la  pobreza  crítica  esa  situación  implica  la  denegación</w:t>
        <w:br/>
        <w:t>sistemática de la posibilidad de gozar de los  derechos  inherentes  al  ser</w:t>
        <w:br/>
        <w:t>humano. La Comunidad Xákmok Kásek ciertamente está afectada por  la  extrema</w:t>
        <w:br/>
        <w:t>pobreza, conforme se desprende de los testimonios brindados por  testigos  y</w:t>
        <w:br/>
        <w:t>peritos.</w:t>
        <w:br/>
        <w:br/>
        <w:t>22.   Las intervenciones planteadas desde el Estado deben prevenir, mitigar</w:t>
        <w:br/>
        <w:t>y superar los riesgos, tales como desnutrición, prevalencia de anemia,</w:t>
        <w:br/>
        <w:t>morbilidad y mortalidad, creando las condiciones mínimas en materia de</w:t>
        <w:br/>
        <w:t>asistencia en salud, nutrición adecuada, educación, formación para el</w:t>
        <w:br/>
        <w:t>trabajo, y generación de ingresos. En el caso del Estado paraguayo si bien</w:t>
        <w:br/>
        <w:t>los encara a toda la población más vulnerable, no lo hace de mejor manera</w:t>
        <w:br/>
        <w:t>por estrechez de recursos.</w:t>
        <w:br/>
        <w:br/>
        <w:br/>
        <w:t>23.   El deber del Estado de  tomar  medidas  positivas  para  proteger  el</w:t>
        <w:br/>
        <w:t>derecho  a  la  vida,  aún  cuando  comprenda  prestaciones  que  ponga   a</w:t>
        <w:br/>
        <w:t>disposición de poblaciones vulnerables afectadas por la extrema pobreza, no</w:t>
        <w:br/>
        <w:t>puede limitarse a ellas, ya que la referida asistencia  al  no  atacar  los</w:t>
        <w:br/>
        <w:t>factores productores de  pobreza  en  general,  y  de  pobreza  extrema  en</w:t>
        <w:br/>
        <w:t>especial, no pueden crear las mencionadas condiciones para una vida digna.</w:t>
        <w:br/>
        <w:br/>
        <w:t>24.   A mi juicio, en la interpretación evolutiva del  derecho  a  la  vida</w:t>
        <w:br/>
        <w:t>consagrada por la Convención Americana, debe tomarse en cuenta la situación</w:t>
        <w:br/>
        <w:t>socio  económica  del  Paraguay   y   de   la   mayoría   de   los   países</w:t>
        <w:br/>
        <w:t>latinoamericanos, caracterizada por el crecimiento de la  pobreza  extrema,</w:t>
        <w:br/>
        <w:t>en términos absolutos  y  relativos,  a  pesar  de  la  implementación   de</w:t>
        <w:br/>
        <w:t>políticas de protección social. En la interpretación del derecho a la  vida</w:t>
        <w:br/>
        <w:t>no se trata solo de observar el cumplimiento,  por  parte  del  Estado,  de</w:t>
        <w:br/>
        <w:t>prestaciones propias de protección  social,  que  garanticen  temporalmente</w:t>
        <w:br/>
        <w:t>condiciones de vida mínimas, sin atender a las causas  que  subyacen  a  la</w:t>
        <w:br/>
        <w:t>producción de pobreza, que reproducen sus  condiciones  y  producen  nuevos</w:t>
        <w:br/>
        <w:t>pobres, tal como se discute en  el  marco  de  las  Naciones  Unidas.  Esto</w:t>
        <w:br/>
        <w:t>plantea la necesidad de vincular las medidas de erradicación de la  pobreza</w:t>
        <w:br/>
        <w:t>del conjunto de fenómenos que la originan, teniendo en cuenta la incidencia</w:t>
        <w:br/>
        <w:t>de  las  decisiones  que  se  toman  a  nivel  de   Estados,   de   órganos</w:t>
        <w:br/>
        <w:t>multinacionales y multilaterales; en la reproducción de las condiciones  de</w:t>
        <w:br/>
        <w:t>pobreza   existen   responsabilidades   de    actores    e    instituciones</w:t>
        <w:br/>
        <w:t>internacionales y nacionales comprometidas.</w:t>
        <w:br/>
        <w:br/>
        <w:t>25.   En este contexto la capacidad de intervención de los Estados  de  los</w:t>
        <w:br/>
        <w:t>países en desarrollo, entre ellos el de Paraguay, y la  aplicación  de  las</w:t>
        <w:br/>
        <w:t>normas internacionales referidas a la pobreza  extrema  no  constituye  una</w:t>
        <w:br/>
        <w:t>cuestión jurídica que involucre solo al Estado,  que  con  frecuencia  está</w:t>
        <w:br/>
        <w:t>condicionado, tanto por los limitados recursos financieros de que  dispone,</w:t>
        <w:br/>
        <w:t>como por los factores estructurales  ligados al “proceso  de  ajuste”,  que</w:t>
        <w:br/>
        <w:t>trascienden el dominio del Estado de Paraguay considerado aisladamente.  La</w:t>
        <w:br/>
        <w:t>responsabilidad internacional no se  limita  al  derecho  a  la  asistencia</w:t>
        <w:br/>
        <w:t>internacional  en el caso que un Estado Parte no pudiere  alcanzar  por  sí</w:t>
        <w:br/>
        <w:t>mismo  el  modelo  establecido  por  el  Pacto,  consagrado  por  el  Pacto</w:t>
        <w:br/>
        <w:t>Internacional de Derechos Económicos, Sociales y Culturales.</w:t>
        <w:br/>
        <w:br/>
        <w:t>26.   En esta visión la agudización  de  la  pobreza  es  un  resultado  de</w:t>
        <w:br/>
        <w:t>decisiones, básicamente de naturaleza económica y financiera,  tomadas  por</w:t>
        <w:br/>
        <w:t>actores privados convenidos con actores públicos que tienen mucho más poder</w:t>
        <w:br/>
        <w:t>que los Estados de los países en desarrollo. En ese marco se  analizan  las</w:t>
        <w:br/>
        <w:t>responsabilidades de las empresas  transnacionales   y  de  los  organismos</w:t>
        <w:br/>
        <w:t>multilaterales en las violaciones de los derechos  económicos,  sociales  y</w:t>
        <w:br/>
        <w:t>culturales; así, la Comisión de Derechos Humanos al tiempo de reconocer que</w:t>
        <w:br/>
        <w:t>la pobreza atenta  contra el derecho fundamental a la  vida  pidió  que  se</w:t>
        <w:br/>
        <w:t>examinaran las políticas del Banco Mundial, de la Organización  Mundial  de</w:t>
        <w:br/>
        <w:t>Comercio,  del  Fondo  Monetario  Internacional,  y  de  otros   organismos</w:t>
        <w:br/>
        <w:t>internacionales.</w:t>
        <w:br/>
        <w:br/>
        <w:t>27.   En los avances del Derecho Internacional de los  Derechos  Humanos  se</w:t>
        <w:br/>
        <w:t>requiere  que  la  comunidad  internacional  asuma   que   la   pobreza,   y</w:t>
        <w:br/>
        <w:t>particularmente la pobreza extrema, es una forma de negación  de  todos  los</w:t>
        <w:br/>
        <w:t>derechos humanos, civiles, políticos, económicos y culturales,  y  actúe  en</w:t>
        <w:br/>
        <w:t>consecuencia, de modo a facilitar la identificación de  perpetradores  sobre</w:t>
        <w:br/>
        <w:t>los  cuales  recae  la  responsabilidad   internacional.   El   sistema   de</w:t>
        <w:br/>
        <w:t>crecimiento económico ligada a una forma de globalización  que  empobrece  a</w:t>
        <w:br/>
        <w:t>crecientes sectores constituye una forma “masiva,  flagrante  y  sistemática</w:t>
        <w:br/>
        <w:t>[de]  violación  de  derechos   humanos”,   en   un   mundo   crecientemente</w:t>
        <w:br/>
        <w:t>interdependiente. En esta interpretación del derecho a la vida que  acompañe</w:t>
        <w:br/>
        <w:t>la evolución de los tiempos y las  condiciones  de  vida  actuales  se  debe</w:t>
        <w:br/>
        <w:t>prestar  atención  a  causas  productoras  de  pobreza  extrema  y   a   los</w:t>
        <w:br/>
        <w:t>perpetradores que están detrás de ellas. En esta perspectiva  no  cesan  las</w:t>
        <w:br/>
        <w:t>responsabilidades internacionales del Estado de  Paraguay  y  de  los  otros</w:t>
        <w:br/>
        <w:t>Estados  Signatarios  de  la  Convención  Americana,  pero  las  mismas  son</w:t>
        <w:br/>
        <w:t>compartidas  con  la  Comunidad  Internacional  que   requiere   de   nuevos</w:t>
        <w:br/>
        <w:t>instrumentos.</w:t>
        <w:br/>
        <w:br/>
        <w:t>IV. Voto en disidencia. Reconocimiento de la Personalidad Jurídica</w:t>
        <w:br/>
        <w:br/>
        <w:t>28.   La Comisión alegó  (párr.  245)  que  el  Estado  no  ha  implementado</w:t>
        <w:br/>
        <w:t>mecanismos que faciliten a los miembros de la Comunidad “los  documentos  de</w:t>
        <w:br/>
        <w:t>identificación necesarios para hacer efectivo el derecho  al  reconocimiento</w:t>
        <w:br/>
        <w:t>de la personalidad jurídica”. Indicó que según el censo de  2008   al  menos</w:t>
        <w:br/>
        <w:t>43  de  los  273  miembros  de  la  Comunidad  no  poseerían  documentos  de</w:t>
        <w:br/>
        <w:t>identidad. De ellos, al menos 33 son menores de edad.</w:t>
        <w:br/>
        <w:br/>
        <w:t>29.   Los representantes agregaron que el “elevado  número  de  personas  de</w:t>
        <w:br/>
        <w:t>Xámok Kásek que carecen de documentos […] impide que estas  personas  puedan</w:t>
        <w:br/>
        <w:t>jurídicamente demostrar su existencia e identidad”.</w:t>
        <w:br/>
        <w:br/>
        <w:t>30.   A mi juicio, estas insuficiencias de  documentación  afectaba  a  gran</w:t>
        <w:br/>
        <w:t>parte de las comunidades y no sólo a los indígenas de Xákmok  Kásek  por  la</w:t>
        <w:br/>
        <w:t>escasez de recursos presupuestarios, pero  eran  paliados  por  el  “carnet”</w:t>
        <w:br/>
        <w:t>indígena, expedido por el INDI.</w:t>
        <w:br/>
        <w:br/>
        <w:t>31.   Este Instituto respondía a la  solicitud  de  las  comunidades  en  la</w:t>
        <w:br/>
        <w:t>medida de la disponibilidad de vehículos y combustible y las solicitudes  de</w:t>
        <w:br/>
        <w:t>las comunidades.</w:t>
        <w:br/>
        <w:br/>
        <w:t>V. Voto en disidencia.  Incumplimiento del Deber de no Discriminar</w:t>
        <w:br/>
        <w:br/>
        <w:t>32.   La Comisión alegó que “el presente caso  ilustra  la  persistencia  de</w:t>
        <w:br/>
        <w:t>factores de discriminación  estructural  en  el  ordenamiento  jurídico  del</w:t>
        <w:br/>
        <w:t>Paraguay, en lo relativo a la protección de su derecho a  la  propiedad  del</w:t>
        <w:br/>
        <w:t>territorio ancestral y los recursos que allí se hallan” puesto  que  pese  a</w:t>
        <w:br/>
        <w:t>los avances generales de su ordenamiento jurídico en reconocer los  derechos</w:t>
        <w:br/>
        <w:t>de  los  pueblos  indígenas  persisten   disposiciones   jurídicas   en   el</w:t>
        <w:br/>
        <w:t>Ordenamiento civil, agrario y administrativo que se aplicaron en  este  caso</w:t>
        <w:br/>
        <w:t>y  que  determinan  el  funcionamiento  del   sistema   estatal   en   forma</w:t>
        <w:br/>
        <w:t>discriminatoria, ya que se  privilegia  la  protección  del   derecho  a  la</w:t>
        <w:br/>
        <w:t>propiedad privada  racionalmente  productiva  sobre  la  protección  de  los</w:t>
        <w:br/>
        <w:t>derechos territoriales de la población indígena.</w:t>
        <w:br/>
        <w:br/>
        <w:t>33.   A su vez los  representantes indicaron que  existe  “una  política  de</w:t>
        <w:br/>
        <w:t>discriminación que reporta un patrón  sistemático  fácilmente  observable  y</w:t>
        <w:br/>
        <w:t>que, además, goza de un elevado consenso en el  Paraguay,  con  lo  cual  se</w:t>
        <w:br/>
        <w:t>está conduciendo aceleradamente al deterioro extremo de las  condiciones  de</w:t>
        <w:br/>
        <w:t>vida de las comunidades indígenas en general, y en el caso [particular]  […]</w:t>
        <w:br/>
        <w:t>para [la Comunidad] Xámok Kásek”. […] “La supuesta imposibilidad  fáctica  y</w:t>
        <w:br/>
        <w:t>jurídica [, acerca de la titularidad de las tierras,] aludida por el  Estado</w:t>
        <w:br/>
        <w:t>de Paraguay, no es otra cosa que la aplicación  deliberada  de  un  política</w:t>
        <w:br/>
        <w:t>racista y discriminatoria”.</w:t>
        <w:br/>
        <w:br/>
        <w:t>34.   A mi juicio si bien  existe  cierta  discriminación  de  parte  de  la</w:t>
        <w:br/>
        <w:t>población hacia los indígenas por una herencia del  colonialismo,  a  través</w:t>
        <w:br/>
        <w:t>del sistema educativo se trata de revertir, no existe un acuerdo  deliberado</w:t>
        <w:br/>
        <w:t>ni consenso de aplicación de una política racista  ni  discriminatoria,  que</w:t>
        <w:br/>
        <w:t>privilegia la protección del derecho a la  propiedad  privada  racionalmente</w:t>
        <w:br/>
        <w:t>productiva  sobre  la  protección  de  los  derechos  territoriales  de   la</w:t>
        <w:br/>
        <w:t>población indígena. Entiendo que no se viola el  deber  de  no  discriminar,</w:t>
        <w:br/>
        <w:t>aunque en realidad falta adecuar la legislación para agilizar  los  trámites</w:t>
        <w:br/>
        <w:t>de  acceso  de  las  comunidades  indígenas  a  sus   tierras   ancestrales,</w:t>
        <w:br/>
        <w:t>coincidiendo con el criterio de la Corte,  pero  entretanto  se  aplica  las</w:t>
        <w:br/>
        <w:t>normas constitucionales tales como las que garantizan la propiedad  privada,</w:t>
        <w:br/>
        <w:t>que es inviolable y del que solo puede ser  privado  por  expropiación,  por</w:t>
        <w:br/>
        <w:t>sentencia judicial, previo pago de una justa indemnización e  igualmente  en</w:t>
        <w:br/>
        <w:t>razón de la primacía de la Constitución por sobre todo  tratado  o  convenio</w:t>
        <w:br/>
        <w:t>internacional y la expresa mención de  que  carecen  de  validez  todas  las</w:t>
        <w:br/>
        <w:t>disposiciones  o  actos  de  autoridad  opuestos  a  lo  establecido  en  la</w:t>
        <w:br/>
        <w:t>Constitución. Por  lo  demás,  se  debería  valorar  los  ingentes  recursos</w:t>
        <w:br/>
        <w:t>asignados por el Estado en los últimos años para la adquisición de  tierras.</w:t>
        <w:br/>
        <w:br/>
        <w:br/>
        <w:br/>
        <w:br/>
        <w:br/>
        <w:br/>
        <w:br/>
        <w:br/>
        <w:br/>
        <w:t xml:space="preserve">                                                       Augusto Fogel Pedrozo</w:t>
        <w:br/>
        <w:t xml:space="preserve">                                                                 Juez ad hoc</w:t>
        <w:br/>
        <w:br/>
        <w:br/>
        <w:br/>
        <w:br/>
        <w:br/>
        <w:t>Pablo Saavedra Alessandri</w:t>
        <w:br/>
        <w:t xml:space="preserve">       Secretario</w:t>
        <w:br/>
        <w:br/>
        <w:br/>
        <w:br/>
        <w:t>-----------------------</w:t>
        <w:br/>
        <w:t>[1]   Conforme a lo dispuesto en el artículo  79.1  del  Reglamento  vigente</w:t>
        <w:br/>
        <w:t>“[l]os casos contenciosos que ya se hubiesen sometido a la consideración  de</w:t>
        <w:br/>
        <w:t>la Corte antes del 1 de enero de 2010 se continuarán tramitando,  hasta  que</w:t>
        <w:br/>
        <w:t>se emita sentencia, conforme  al  Reglamento  anterior”.  De  tal  modo,  el</w:t>
        <w:br/>
        <w:t>Reglamento mencionado en la presente Sentencia  corresponde  al  instrumento</w:t>
        <w:br/>
        <w:t>aprobado  por  el  Tribunal  en  su  XLIX  Período  Ordinario  de  Sesiones,</w:t>
        <w:br/>
        <w:t>celebrado del 16 al 25 de noviembre de 2000 y reformado parcialmente  en  su</w:t>
        <w:br/>
        <w:t>LXXXII Período Ordinario de Sesiones, celebrado del 19 al  31  de  enero  de</w:t>
        <w:br/>
        <w:t>2009.</w:t>
        <w:br/>
        <w:br/>
        <w:t>[2]   En el Informe de Admisibilidad No.  11/03  la  Comisión  concluyó  que</w:t>
        <w:br/>
        <w:t>tenía competencia para conocer la denuncia presentada por los  peticionarios</w:t>
        <w:br/>
        <w:t>y que la petición era admisible de conformidad con los artículos 46 y 47  de</w:t>
        <w:br/>
        <w:t>la Convención. Con fundamento en los argumentos de hecho y de derecho y  sin</w:t>
        <w:br/>
        <w:t>prejuzgar sobre el fondo de la cuestión declaró  admisible  la  denuncia  de</w:t>
        <w:br/>
        <w:t>los peticionarios sobre la presunta violación de los artículos 2,  8.1,  21,</w:t>
        <w:br/>
        <w:t>y  25  (Deber  de  Adoptar  Disposiciones  de  Derecho  Interno,   Garantías</w:t>
        <w:br/>
        <w:t>Judiciales, Derecho a la Propiedad Privada  y  Protección  Judicial)  de  la</w:t>
        <w:br/>
        <w:t>Convención Americana y 1.1 (Obligación de  Respetar  los  Derechos)  de  ese</w:t>
        <w:br/>
        <w:t>tratado,  por  el  eventual  incumplimiento  de  la  obligación  de  adoptar</w:t>
        <w:br/>
        <w:t>disposiciones de derecho interno, en perjuicio de la Comunidad Xákmok  Kásek</w:t>
        <w:br/>
        <w:t>del Pueblo Enxet y sus miembros.</w:t>
        <w:br/>
        <w:br/>
        <w:t>[3]   En el Informe de Fondo No. 30/08 la Comisión concluyó  que  el  Estado</w:t>
        <w:br/>
        <w:t>ha incumplido las obligaciones que imponen los artículos 21  (Derecho  a  la</w:t>
        <w:br/>
        <w:t>Propiedad Privada), 8.1 (Garantías Judiciales) y 25  (Protección  Judicial),</w:t>
        <w:br/>
        <w:t>todos en relación con los artículos 1.1 y 2 de la Convención  Americana,  en</w:t>
        <w:br/>
        <w:t>perjuicio de la Comunidad Indígena Xákmok Kásek del  Pueblo  Enxet-Lengua  y</w:t>
        <w:br/>
        <w:t>sus miembros. Además, por aplicación  del  principio  iure  novit  curia  la</w:t>
        <w:br/>
        <w:t>Comisión concluyó que el Estado del Paraguay incumplió las obligaciones  que</w:t>
        <w:br/>
        <w:t>le imponen los artículos 3 (Derecho al  Reconocimiento  de  la  Personalidad</w:t>
        <w:br/>
        <w:t>Jurídica), 4 (Derecho a  la  Vida)  y  19  (Derechos  del  Niño),  todos  en</w:t>
        <w:br/>
        <w:t>relación con los artículos 1.1 y 2 de la Convención Americana, en  perjuicio</w:t>
        <w:br/>
        <w:t>de la  Comunidad  Indígena  Xákmok  Kásek  del  Pueblo  Enxet-Lengua  y  sus</w:t>
        <w:br/>
        <w:t>miembros.</w:t>
        <w:br/>
        <w:br/>
        <w:t>[4]   Cuando se notificó la demanda al Estado se le  informó  su  derecho  a</w:t>
        <w:br/>
        <w:t>designar un Juez ad hoc para la consideración del caso. El 16 septiembre  de</w:t>
        <w:br/>
        <w:t>2009 el Estado designó al señor Augusto Fogel Pedrozo como Juez ad hoc.</w:t>
        <w:br/>
        <w:br/>
        <w:t>[5]   Cfr. Caso de la Comunidad Indígena  Yakye  Axa  Vs.  Paraguay.  Fondo,</w:t>
        <w:br/>
        <w:t>Reparaciones y Costas. Sentencia 17 de junio  de  2005.  Serie  C  No.  125,</w:t>
        <w:br/>
        <w:t>párrs. 38.a, b, c y d, y 39.</w:t>
        <w:br/>
        <w:br/>
        <w:t>[6]   Cfr. Caso Comunidad Indígena Xákmok  Kásek  Vs.  Paraguay.  Resolución</w:t>
        <w:br/>
        <w:t>del Presidente de la Corte de 8 de marzo de 2010.</w:t>
        <w:br/>
        <w:br/>
        <w:t>[7]   A esta audiencia comparecieron: a)  por  la  Comisión  Interamericana:</w:t>
        <w:br/>
        <w:t>María  Silva  Guillén,  Comisionada;   Elizabeth   Abi-Mershed,   Secretaria</w:t>
        <w:br/>
        <w:t>Ejecutiva Adjunta; Karla I. Quintana  Osuna,  asesora  y,  Federico  Guzmán,</w:t>
        <w:br/>
        <w:t>asesor; b) por las presuntas víctimas: Julia Cabello Alonso,  representante;</w:t>
        <w:br/>
        <w:t>Oscar Ayala Amarilla, representante y Nicolás Soemer, asistente,  y  c)  por</w:t>
        <w:br/>
        <w:t>el Estado: Embajador Modesto Luis Guggiari, Embajador de  la  República  del</w:t>
        <w:br/>
        <w:t>Paraguay ante Perú; Inés Martínez Valinotti, Agente Alterna y  Directora  de</w:t>
        <w:br/>
        <w:t>Derechos Humanos del Ministerio de Relaciones Exteriores, y  Abraham  Franco</w:t>
        <w:br/>
        <w:t>Galeano, procurador delegado de la Procuraduría General de la República.</w:t>
        <w:br/>
        <w:br/>
        <w:t>[8]   Cfr. Caso  de  la  “Panel  Blanca”  (Paniagua  Morales  y  otros)  Vs.</w:t>
        <w:br/>
        <w:t>Guatemala.  Fondo. Sentencia de 8 de marzo de 1998. Serie C  No.  37,  párr.</w:t>
        <w:br/>
        <w:t>50; Caso  Chitay  Nech  y  otros  Vs.  Guatemala. Excepciones  Preliminares,</w:t>
        <w:br/>
        <w:t>Fondo, Reparaciones y Costas. Sentencia de 25 de mayo de 2010. Serie  C  No.</w:t>
        <w:br/>
        <w:t>212, párr.  47,  y  Caso  Manuel  Cepeda  Vargas  Vs.  Colombia. Excepciones</w:t>
        <w:br/>
        <w:t>Preliminares, Fondo y Reparaciones. Sentencia de 26 de mayo de  2010.  Serie</w:t>
        <w:br/>
        <w:t>C No. 213, párr. 53.</w:t>
        <w:br/>
        <w:br/>
        <w:t>[9]   Cfr. Caso  de  la  “Panel  Blanca”  (Paniagua  Morales  y  otros)  Vs.</w:t>
        <w:br/>
        <w:t>Guatemala. Reparaciones y Costas. Sentencia de 25 de mayo de 2001.  Serie  C</w:t>
        <w:br/>
        <w:t>No. 76, párr. 76; Caso Chitay Nech y  otros  Vs.  Guatemala, supra  nota  8,</w:t>
        <w:br/>
        <w:t>párr. 47, y Caso Manuel Cepeda Vargas Vs. Colombia, supra nota 8, párr. 53.</w:t>
        <w:br/>
        <w:br/>
        <w:t>[10]  El 29 de marzo de 2010 la Comisión indicó que el  señor  Juan  Dermott</w:t>
        <w:br/>
        <w:t>no podría rendir su declaración ya que se encontraba enfermo.  Asimismo,  el</w:t>
        <w:br/>
        <w:t>30 de marzo de 2010 el Estado desistió de las declaraciones de Amancio  Ruiz</w:t>
        <w:br/>
        <w:t>Ramírez, Eduvigis Ruiz Dermott  y Oscar Centurión (supra párr 6).</w:t>
        <w:br/>
        <w:br/>
        <w:t>[11]  Cfr. Caso Velásquez Rodríguez Vs. Honduras. Fondo. Sentencia de 29  de</w:t>
        <w:br/>
        <w:t>julio de 1988. Serie C No. 4, párr.  140;  Caso  Chitay  Nech  y  otros  Vs.</w:t>
        <w:br/>
        <w:t>Guatemala, supra  nota  8,  párr.  50,  y  Caso  Manuel  Cepeda  Vargas  Vs.</w:t>
        <w:br/>
        <w:t>Colombia, supra nota 8, párr. 56.</w:t>
        <w:br/>
        <w:br/>
        <w:t>[12]   Cfr.  Caso  Loayza  Tamayo  Vs.  Perú.  Fondo.  Sentencia  de  17  de</w:t>
        <w:br/>
        <w:t>septiembre de 1997. Serie C No. 33,  párr.  43;  Caso  Radilla  Pacheco  Vs.</w:t>
        <w:br/>
        <w:t>México. Excepciones Preliminares, Fondo, Reparaciones  y  Costas.  Sentencia</w:t>
        <w:br/>
        <w:t>de 23 de noviembre de 2009. Serie C No. 209, párr. 93, y Caso de la  Masacre</w:t>
        <w:br/>
        <w:t>de Las Dos Erres Vs. Guatemala. Excepción Preliminar, Fondo, Reparaciones  y</w:t>
        <w:br/>
        <w:t>Costas. Sentencia de 24 de noviembre de 2009. Serie C No. 211, párr. 63.</w:t>
        <w:br/>
        <w:br/>
        <w:t>[13]  Cfr. Caso  de  la  “Panel  Blanca”  (Paniagua  Morales  y  otros)  Vs.</w:t>
        <w:br/>
        <w:t>Guatemala. Reparaciones y Costas, supra nota 9, párr. 76; Caso  Chitay  Nech</w:t>
        <w:br/>
        <w:t>y otros Vs. Guatemala, supra nota 8, párr. 47, y Caso Manuel  Cepeda  Vargas</w:t>
        <w:br/>
        <w:t>Vs. Colombia, supra nota 8, párr. 53.</w:t>
        <w:br/>
        <w:br/>
        <w:t>[14]   Cfr.  Caso  Kimel  Vs.  Argentina.  Fondo,  Reparaciones  y   Costas.</w:t>
        <w:br/>
        <w:t>Sentencia de 2 de mayo de 2008. Serie C  No.  177,  párr.  24;   Caso  Kawas</w:t>
        <w:br/>
        <w:t>Fernández Vs. Honduras. Fondo, Reparaciones y  Costas.  Sentencia  de  3  de</w:t>
        <w:br/>
        <w:t>abril de 2009. Serie C No. 196, párr. 24, y Caso González  y  otras  (“Campo</w:t>
        <w:br/>
        <w:t>Algodonero”)  Vs.  México. Excepción  Preliminar,  Fondo,   Reparaciones   y</w:t>
        <w:br/>
        <w:t>Costas. Sentencia de 16 de noviembre de 2009. Serie C No. 205, párr. 25.</w:t>
        <w:br/>
        <w:br/>
        <w:t>[15]  En diversos documentos aportados por las  partes  se  hace  referencia</w:t>
        <w:br/>
        <w:t>indistintamente a la estancia o zona  de “Salazar”  o  “Zalazar”.   En  esta</w:t>
        <w:br/>
        <w:t>Sentencia cuando  el  Tribunal  cite  lo  alegado  por  alguna  parte  o  un</w:t>
        <w:br/>
        <w:t>documento probatorio,  utilizará  la  grafia  del  documento  original.  Sin</w:t>
        <w:br/>
        <w:t>embargo, cuando la Corte motu propio se refiera a dicha estancia o  zona  lo</w:t>
        <w:br/>
        <w:t>hará utilizando la grafia “Salazar”.</w:t>
        <w:br/>
        <w:br/>
        <w:t>[16]  Cfr. Caso del Pueblo Saramaka. Vs. Surinam. Excepciones  Preliminares,</w:t>
        <w:br/>
        <w:t>Fondo, Reparaciones y Costas. Sentencia de 28 de noviembre de 2007. Serie  C</w:t>
        <w:br/>
        <w:t>No. 172, párr. 164.</w:t>
        <w:br/>
        <w:br/>
        <w:t>[17]   Cfr.  Peritaje  de  Rodolfo  Stavenhagen  autenticado  por  fedatario</w:t>
        <w:br/>
        <w:t>público (expediente de fondo, tomo II, folio 620); peritaje de  Sergio  Iván</w:t>
        <w:br/>
        <w:t>Braticevic  protocolizado por fedatario público (expediente de anexos a  los</w:t>
        <w:br/>
        <w:t>alegatos finales del Estado, tomo X, folio  4238);  declaración  de  Rodrigo</w:t>
        <w:br/>
        <w:t>Villagra Carron rendida en la audiencia pública efectuada el 14 de abril  de</w:t>
        <w:br/>
        <w:t>2010, durante el XLI Período Extraordinario  de  Sesiones  celebrado  en  la</w:t>
        <w:br/>
        <w:t>ciudad de Lima, República del Perú, y declaración de Lida Acuña  rendida  en</w:t>
        <w:br/>
        <w:t>audiencia pública efectuada el 14 de abril de 2010, durante el  XLI  Período</w:t>
        <w:br/>
        <w:t>Extraordinario de Sesiones celebrado en la ciudad  de  Lima,  República  del</w:t>
        <w:br/>
        <w:t>Perú.</w:t>
        <w:br/>
        <w:br/>
        <w:t>[18]  Cfr.  Peritaje de Sergio Iván Braticevic, supra nota 17,  folio  4238;</w:t>
        <w:br/>
        <w:t>declaración de Rodrigo Villagra Carron, supra  nota  17,  y  declaración  de</w:t>
        <w:br/>
        <w:t>Lida Acuña, supra nota 17.</w:t>
        <w:br/>
        <w:br/>
        <w:t>[19]   Cfr.  Declaración  de  Rodrigo  Villagra  Carron,  supra   nota   17;</w:t>
        <w:br/>
        <w:t>declaración de Lida  Acuña,  supra  nota  17,  y  Kalish,  Hannes  y  Unruh,</w:t>
        <w:br/>
        <w:t>Ernesto. 2003.  “Enlhet-Enenlhet.  Una  familia  lingüística  chaqueña”,  en</w:t>
        <w:br/>
        <w:t>Thule  Rivista  di  studi  americanisti,  n.  14/15,   aprile/ottobre   2003</w:t>
        <w:br/>
        <w:t>(expediente de anexos al escrito de  solicitudes  y  argumentos,  anexo  16,</w:t>
        <w:br/>
        <w:t>tomo VII, folio 2915).</w:t>
        <w:br/>
        <w:br/>
        <w:t>[20]   Cfr.  Caso  Comunidad  Indígena  Sawhoyamaxa  Vs.  Paraguay.   Fondo,</w:t>
        <w:br/>
        <w:t>Reparaciones y Costas. Sentencia de 29 de marzo de 2006. Serie  C  No.  146,</w:t>
        <w:br/>
        <w:t>párr. 73.5, y Caso Comunidad Indígena Yakye Axa Vs. Paraguay, supra nota  5,</w:t>
        <w:br/>
        <w:t>párr. 50.1.</w:t>
        <w:br/>
        <w:br/>
        <w:t>[21]  Kalish, Hannes y Unruh, Ernesto. 2003. “Enlhet-Enenlhet.  Una  familia</w:t>
        <w:br/>
        <w:t>lingüística chaqueña”, supra nota 19, folio 2915.</w:t>
        <w:br/>
        <w:br/>
        <w:t>[22]  Cfr. Peritaje de José Alberto Braunstein rendido en el caso  Comunidad</w:t>
        <w:br/>
        <w:t>Indígena Yakye Axa Vs. Paraguay, supra nota 5 (expediente de fondo, tomo  I,</w:t>
        <w:br/>
        <w:t>folios 270 a 702).</w:t>
        <w:br/>
        <w:br/>
        <w:t>[23]  Cfr.  Peritaje de Sergio Iván Braticevic, supra nota 17, folio 4243.</w:t>
        <w:br/>
        <w:br/>
        <w:t>[24]   Declaración  de  Tomás  Dermott  rendida   ante   fedatario   público</w:t>
        <w:br/>
        <w:t>(expediente de  fondo,  tomo  II,  folio  597),  y  declaración  de  Rodrigo</w:t>
        <w:br/>
        <w:t>Villagra Carron, supra nota 17.</w:t>
        <w:br/>
        <w:br/>
        <w:t>[25]  Declaración de Rodrigo Villagra Carron, supra nota 17.</w:t>
        <w:br/>
        <w:br/>
        <w:t>[26]  Cfr. Plano de los terrenos  pertenecientes  a  la  sociedad  mercantil</w:t>
        <w:br/>
        <w:t>Quebrachales Paraguayos (expediente de anexos al  escrito  de  argumentos  y</w:t>
        <w:br/>
        <w:t>pruebas, tomo VII, anexo 15, folios 2902 a 2905); mapa del Paraguay de  1908</w:t>
        <w:br/>
        <w:t>(expediente de anexos al escrito de  solicitudes  y  argumentos,  tomo  VII,</w:t>
        <w:br/>
        <w:t>anexo 15, folios 2898 a 2901), y mapa de  pueblos  indígenas  del  Chaco  de</w:t>
        <w:br/>
        <w:t>Alfred  Métraux  (expediente  de  anexos  al  escrito   de   solicitudes   y</w:t>
        <w:br/>
        <w:t>argumentos, tomo VII, anexo 15, folio 2913).</w:t>
        <w:br/>
        <w:br/>
        <w:t>[27]  Cfr. “Atlas de las Comunidades Indígenas en  el  Paraguay”:  II  Censo</w:t>
        <w:br/>
        <w:t>Nacional Indígena: Comunidad Xákmok Kásek – Estancia Salazar disponible  en:</w:t>
        <w:br/>
        <w:t>http://www.dgeec.gov.py/Publicaciones/Biblioteca/Web%20Atlas%20Indigena/Atla</w:t>
        <w:br/>
        <w:t>sindigena.htm, (última visita agosto de 2010).</w:t>
        <w:br/>
        <w:br/>
        <w:t>[28]  En los alegatos finales la Comisión  señaló  que  “la  Comunidad  está</w:t>
        <w:br/>
        <w:t>claramente identificada en cuanto a su ubicación y su  composición  general;</w:t>
        <w:br/>
        <w:t>sus miembros se identifican a sí mismos como provenientes de  Xákmok  Kásek”</w:t>
        <w:br/>
        <w:t>(expediente  de  fondo,  tomo  III,  folio  1025).   Por   su   parte,   los</w:t>
        <w:br/>
        <w:t>representantes indicaron que “estamos ante  una  comunidad  de  conformación</w:t>
        <w:br/>
        <w:t>multiétnica, donde predominan las familias de origen Enxet  (lengua  sur)  y</w:t>
        <w:br/>
        <w:t>sanapaná,  y  agregaron  que  “esto  nunca  ha  sido  desconocido  por  [la]</w:t>
        <w:br/>
        <w:t>representación”,  y  se  remitieron  a  lo  expuesto  en   su   escrito   de</w:t>
        <w:br/>
        <w:t>observaciones de fondo ante la Comisión  (expediente  de  fondo,  tomo  III,</w:t>
        <w:br/>
        <w:t>folios 1055 y 1056 y expediente de anexos a la demanda, apéndice  III,  tomo</w:t>
        <w:br/>
        <w:t>IV, folios 1486 y 1487). Cfr. Declaración de Rodrigo Villagra Carron,  supra</w:t>
        <w:br/>
        <w:t>nota 17; declaración de Maximiliano Ruíz rendida  en  la  audiencia  pública</w:t>
        <w:br/>
        <w:t>efectuada el 14 de abril de 2010, durante el XLI Período  Extraordinario  de</w:t>
        <w:br/>
        <w:t>Sesiones celebrado en la ciudad de Lima, República del Perú,  y  declaración</w:t>
        <w:br/>
        <w:t>de Antonia Ramírez rendida en la audiencia pública efectuada el 14 de  abril</w:t>
        <w:br/>
        <w:t>de 2010, durante el XLI Período Extraordinario de Sesiones celebrado  en  la</w:t>
        <w:br/>
        <w:t>ciudad de Lima, República del Perú.</w:t>
        <w:br/>
        <w:br/>
        <w:t>[29]  Testigos presentados tanto por el Estado como por  los  representantes</w:t>
        <w:br/>
        <w:t>señalaron como una autoridad en el  estudio  de  los  Enxet  al  antropólogo</w:t>
        <w:br/>
        <w:t>Stephen Kidd, quien explica que “[d]entro de la familia lingüística  de  los</w:t>
        <w:br/>
        <w:t>Maskoy, los Sanapaná y Angaité también  se  refieren  a  ellos  mismos  como</w:t>
        <w:br/>
        <w:t>Enxet”. Kidd, Stephen:  “Amor  y  odio  entre  la  gente  sin  cosas”,  1999</w:t>
        <w:br/>
        <w:t>(expediente de anexos al escrito de  solicitudes  y  argumentos,  tomo  VII,</w:t>
        <w:br/>
        <w:t>anexo 16, folio 3124). Asimismo, los representantes  agregaron  que  “cuando</w:t>
        <w:br/>
        <w:t>sólo los misioneros anglicanos llegaban por estas tierras era común que  las</w:t>
        <w:br/>
        <w:t>distintas etnias se identificaran a sí mismas  simplemente  con  el  término</w:t>
        <w:br/>
        <w:t>enlhet-enenlhet o enxet[,] según la  grafia  que  se  elija,  que  traducido</w:t>
        <w:br/>
        <w:t>quiere decir  ‘persona,  gente’,  y  designaban  a  sus  pueblos  vecinos  y</w:t>
        <w:br/>
        <w:t>diferenciados de ellos  con  un  nombre  más  específico”  Cfr.  Escrito  de</w:t>
        <w:br/>
        <w:t>alegatos finales escritos de los representantes (expediente de  fondo,  tomo</w:t>
        <w:br/>
        <w:t>III, folio 1056).</w:t>
        <w:br/>
        <w:br/>
        <w:t>[30]  Cfr. Resolución No. 44/86 emitida por el INDI el  4  de  noviembre  de</w:t>
        <w:br/>
        <w:t>1986 (expediente de anexos a la demanda, apéndice 3, tomo II, folio 782).</w:t>
        <w:br/>
        <w:br/>
        <w:t>[31]  Cfr. Decreto No. 25.297  del  Presidente  de  la  República  de  4  de</w:t>
        <w:br/>
        <w:t>noviembre de 1987 (expediente de anexos a la demanda, apéndice 3,  tomo  II,</w:t>
        <w:br/>
        <w:t>folio 786).</w:t>
        <w:br/>
        <w:br/>
        <w:t>[32]  Cfr.  Peritaje de Sergio Iván Braticevic, supra nota 17, folio 4242.</w:t>
        <w:br/>
        <w:br/>
        <w:t>[33]  Cfr. Resolución P.C. No. 30/94 emitida por el INDI el 25 de  abril  de</w:t>
        <w:br/>
        <w:t>1994 (expediente de anexos a la demanda, apéndice 3, tomo IV, folio 1695).</w:t>
        <w:br/>
        <w:br/>
        <w:t>[34]  Cfr. Constancia de 6 de abril de 2010 emitida por la Escribanía  Mayor</w:t>
        <w:br/>
        <w:t>de Gobierno del Paraguay (expediente de anexos a los  alegatos  finales  del</w:t>
        <w:br/>
        <w:t>Estado, tomo X, folio 4207).</w:t>
        <w:br/>
        <w:br/>
        <w:t>[35]  Cfr. Nota E.M.G. No. 065 de la Escribanía Mayor de Gobierno  de  7  de</w:t>
        <w:br/>
        <w:t>abril de 2010 dirigida a la Presidenta del INDI (expediente de anexos a  los</w:t>
        <w:br/>
        <w:t>alegatos finales del Estado, tomo X, folio 4208).</w:t>
        <w:br/>
        <w:br/>
        <w:t>[36]  Cfr. Comunicación de los representantes de  2  de  noviembre  de  2009</w:t>
        <w:br/>
        <w:t>dirigida al INDI (expediente de  anexos  entregados  por  el  Estado  en  la</w:t>
        <w:br/>
        <w:t>audiencia pública, tomo IX, folio 3710).</w:t>
        <w:br/>
        <w:br/>
        <w:t>[37]  Cfr. Dictamen No. 88/09 de 6 de  noviembre  de  2009  emitido  por  la</w:t>
        <w:br/>
        <w:t>Dirección Jurídica del INDI (expediente de anexos entregados por  el  Estado</w:t>
        <w:br/>
        <w:t>en la audiencia pública, tomo IX, folio 3709).</w:t>
        <w:br/>
        <w:br/>
        <w:t>[38]  Cfr. Declaración de Lida Acuña, supra nota 17.</w:t>
        <w:br/>
        <w:br/>
        <w:t>[39]        Cfr. Caso Almonacid Arellano  y  otros  Vs.  Chile.  Excepciones</w:t>
        <w:br/>
        <w:t>Preliminares, Fondo, Reparaciones y Costas. Sentencia de  26  de  septiembre</w:t>
        <w:br/>
        <w:t>de 2006. Serie C No. 154, párr. 82; Masacre de las Dos Erres Vs.  Guatemala,</w:t>
        <w:br/>
        <w:t>supra nota 12, párr. 178, y Caso Manuel Cepeda Vargas  Vs.  Colombia,  supra</w:t>
        <w:br/>
        <w:t>nota 8, párr. 46.</w:t>
        <w:br/>
        <w:br/>
        <w:t>[40]  Cfr. Kidd, Stephen:  “Los  Indígenas  Enxet:  condiciones  laborales”,</w:t>
        <w:br/>
        <w:t>1994 (expediente  de  anexos  entregados  por  el  Estado  en  la  audiencia</w:t>
        <w:br/>
        <w:t>pública,  tomo  IX,  folio  3678  y  expediente  de  anexos  al  escrito  de</w:t>
        <w:br/>
        <w:t>solicitudes y argumentos, folios 2740 a  2759),  y  declaración  de  Rodrigo</w:t>
        <w:br/>
        <w:t>Villagra Carron, supra nota 17.</w:t>
        <w:br/>
        <w:br/>
        <w:t>[41]  Cfr. Kidd, Stephen:  “Los  Indígenas  Enxet:  condiciones  laborales”,</w:t>
        <w:br/>
        <w:t>supra nota 40, folio 3678.</w:t>
        <w:br/>
        <w:br/>
        <w:t>[42]  Cfr. Caso Comunidad Indígena Sawhoyamaxa Vs. Paraguay, supra nota  20,</w:t>
        <w:br/>
        <w:t>párr. 73.2.</w:t>
        <w:br/>
        <w:br/>
        <w:t>[43]  Cfr. Peritaje de Rodolfo Stavenhagen, supra  nota  17,  folios  620  a</w:t>
        <w:br/>
        <w:t>651.</w:t>
        <w:br/>
        <w:br/>
        <w:t>[44]  Cfr. Peritaje de Rodolfo Stavenhagen, supra  nota  17,  folios  620  a</w:t>
        <w:br/>
        <w:t>651, y Kidd, Stephen: “Los Indígenas Enxet:  condiciones  laborales”,  supra</w:t>
        <w:br/>
        <w:t>nota 40, folio 3678.</w:t>
        <w:br/>
        <w:br/>
        <w:t>[45]  Cfr. Caso de la Comunidad Indígena  Sawhoyamaxa  Vs.  Paraguay,  supra</w:t>
        <w:br/>
        <w:t>nota 20, párr.  73.1,  y  Caso  de  la  Comunidad  Indígena  Yakye  Axa  Vs.</w:t>
        <w:br/>
        <w:t>Paraguay, supra nota 5, párr. 50.10.</w:t>
        <w:br/>
        <w:br/>
        <w:t>[46]        Cfr. Peritaje de Rodolfo Stavenhagen, supra nota 17, folio  623,</w:t>
        <w:br/>
        <w:t>y peritaje de Sergio Iván Braticevic, supra nota 17,  folios  4238,  4240  y</w:t>
        <w:br/>
        <w:t>4251.</w:t>
        <w:br/>
        <w:br/>
        <w:t>[47]  Cfr. Peritaje de José Alberto Braunstein, supra nota 22, folio 279.</w:t>
        <w:br/>
        <w:br/>
        <w:t>[48]  Cfr. Peritaje de José Alberto Braunstein, supra nota  22,  folio  279;</w:t>
        <w:br/>
        <w:t>peritaje de Rodolfo Stavenhagen, supra nota 17, folios 620 a  651,  y  Kidd,</w:t>
        <w:br/>
        <w:t>Stephen. Los Indígenas Enxet: condiciones laborales, supra  nota  40,  folio</w:t>
        <w:br/>
        <w:t>3678.</w:t>
        <w:br/>
        <w:br/>
        <w:t>[49]  Cfr. Mapa  titulado  “International  Product’s  Corporation”  de  1950</w:t>
        <w:br/>
        <w:t>(expediente de anexos al escrito de  solicitudes  y  argumentos,  tomo  VII,</w:t>
        <w:br/>
        <w:t>anexo 15, folios 2906 a  2909);  mapa  titulado  “Antiguas  aldeas  Angaité,</w:t>
        <w:br/>
        <w:t>misiones anglicanas y estancias del IPC”, elaborado por Fortis  y  Villagra,</w:t>
        <w:br/>
        <w:t>de 2008 (expediente de anexos al escrito de solicitudes y  argumentos,  tomo</w:t>
        <w:br/>
        <w:t>VII, anexo 15, folio 2910); Revista “The Magazines  of  the  South  American</w:t>
        <w:br/>
        <w:t>Missionary Society” de octubre de 1930 (expediente de anexos al  escrito  de</w:t>
        <w:br/>
        <w:t>solicitudes y argumentos, tomo VII, anexo  14,  folio  2875);  Revista  “The</w:t>
        <w:br/>
        <w:t>South American Missionary Society Magazines” de  enero  y  febrero  de  1941</w:t>
        <w:br/>
        <w:t>(expediente de anexos a la demanda, apéndice  3,  tomo  I,  3,  folio  368);</w:t>
        <w:br/>
        <w:t>Revista “The Magazines of the South American Missionary Society” de enero  y</w:t>
        <w:br/>
        <w:t>febrero  de  1944  (expediente  de  anexos  al  escrito  de  solicitudes   y</w:t>
        <w:br/>
        <w:t>argumentos, tomo VII, anexo  14,  folio  2895),  y  declaración  de  Rodrigo</w:t>
        <w:br/>
        <w:t>Villagra Carron, supra nota 17.</w:t>
        <w:br/>
        <w:br/>
        <w:t>[50]  Cfr. Kidd, Stephen:  “Los  Indígenas  Enxet:  condiciones  laborales”,</w:t>
        <w:br/>
        <w:t>supra nota 40, folio 3678.</w:t>
        <w:br/>
        <w:br/>
        <w:t>[51]        Cfr. Caso Comunidad Indígena  Sawhoyamaxa  Vs.  Paraguay,  supra</w:t>
        <w:br/>
        <w:t>nota 20, párr. 73.4, y peritaje  de  Rodolfo  Stavenhagen,  supra  nota  17,</w:t>
        <w:br/>
        <w:t>folio 620 a 627.</w:t>
        <w:br/>
        <w:br/>
        <w:t>[52]        Cfr. Caso Comunidad Indígena  Sawhoyamaxa  Vs.  Paraguay,  supra</w:t>
        <w:br/>
        <w:t>nota 20, párr. 73.3.</w:t>
        <w:br/>
        <w:br/>
        <w:t>[53]  En 2002, el  45%  de  las  comunidades  registradas  representaba  185</w:t>
        <w:br/>
        <w:t>comunidades, cuyas tierras  pertenecían,  mayoritariamente  a  instituciones</w:t>
        <w:br/>
        <w:t>del  gobierno  o  a  estancias  o  empresas.  Cfr.   Peritaje   de   Rodolfo</w:t>
        <w:br/>
        <w:t>Stavenhagen, supra nota 17, folio 629,  y  II  Censo  Nacional  Indígena  de</w:t>
        <w:br/>
        <w:t>Población y Viviendas 2002 elaborado por la DGEEC del  Paraguay  (expediente</w:t>
        <w:br/>
        <w:t>de anexos a la contestación, tomo VIII, anexo 6.1, folios 3602 y 3603).</w:t>
        <w:br/>
        <w:br/>
        <w:t>[54]  Cfr. Propuesta de Política Pública para  el  Desarrollo  Social  2010-</w:t>
        <w:br/>
        <w:t>2020, elaborada el 25 de febrero de 2010 (expediente de  anexos  presentados</w:t>
        <w:br/>
        <w:t>por el Estado en la audiencia pública, tomo IX, anexo XIX, folio 4091).</w:t>
        <w:br/>
        <w:br/>
        <w:t>[55]  Cfr. Informe Antropológico del Centro de  Estudios  antropológicos  de</w:t>
        <w:br/>
        <w:t>la  Universidad  Católica  Nuestra  Señora  de  la  Asunción  (en   adelante</w:t>
        <w:br/>
        <w:t>“CEADUC”), firmado por Miguel Chase  Sardi,  de  21  de  diciembre  de  1995</w:t>
        <w:br/>
        <w:t>(expediente de anexos a la demanda, apéndice 3, tomo II, folios 736 a 749  y</w:t>
        <w:br/>
        <w:t>apéndice 3 tomo IV, folios  1732 a  1746);  Revista  “The  Magazine  of  the</w:t>
        <w:br/>
        <w:t>South American Missionary Society” de enero de 1939 (expediente de anexos  a</w:t>
        <w:br/>
        <w:t>la demanda, apéndice 3, tomo IV, folio 365);  Revista  “The  South  American</w:t>
        <w:br/>
        <w:t>Missionary Society Magazine” de enero y febrero  de  1941,  supra  nota  49,</w:t>
        <w:br/>
        <w:t>folio 371, y declaración de Rodrigo Villagra Carron, supra nota 17.</w:t>
        <w:br/>
        <w:br/>
        <w:t>[56]  Cfr. Declaración de Tomás Dermott, supra nota 24, folios  597  a  599;</w:t>
        <w:br/>
        <w:t>Informe Socio-Antropólogico de la Comunidad Xákmok Kásek  elaborado  por  la</w:t>
        <w:br/>
        <w:t>Dirección Jurídica del INDI (expediente de anexos a la demanda, apéndice  3,</w:t>
        <w:br/>
        <w:t>tomo II, folio 841), y declaración de Maximiliano Ruíz, supra  párr  28.  La</w:t>
        <w:br/>
        <w:t>Estancia Salazar se creó alrededor de 1945 en la zona del  Chaco  Central  y</w:t>
        <w:br/>
        <w:t>llegó  a  ocupar  una  zona  de  110.000  hectáreas.  Luego  de  progresivos</w:t>
        <w:br/>
        <w:t>desprendimientos (aprox. 71.142  has),  pasó  a  comprender  un  espacio  de</w:t>
        <w:br/>
        <w:t>alrededor de 26.434 hectáreas (Cfr. Eaton y Cía. S.A. “Frente  a  un  pedido</w:t>
        <w:br/>
        <w:t>de expropiación”, expediente de  anexos  entregados  por  el  Estado  en  la</w:t>
        <w:br/>
        <w:t>audiencia pública, tomo IX, anexo X, 3785 a 3811, y declaración  de  Roberto</w:t>
        <w:br/>
        <w:t>Carlos Eaton Kent, rendida ante  fedatario  público  (expediente  de  fondo,</w:t>
        <w:br/>
        <w:t>tomo II, folios 659-664).</w:t>
        <w:br/>
        <w:br/>
        <w:t>[57]  Cfr. Declaración de Tomás Dermott, supra nota 24, folio 597.</w:t>
        <w:br/>
        <w:br/>
        <w:t>[58]  Cfr. Censo de la Comunidad actualizado  el  16  de  octubre  del  2009</w:t>
        <w:br/>
        <w:t>(expediente de anexos al escrito  de  solicitudes  y  argumentos,  tomo  VI,</w:t>
        <w:br/>
        <w:t>anexo 10, folios 2762 a 2783); censo de la Comunidad Xákmok Kásek,  asentada</w:t>
        <w:br/>
        <w:t>en las 1,500 hectareas, sin fecha (expediente de anexos a  la  contestación,</w:t>
        <w:br/>
        <w:t>anexo 6.2, tomo VIII, folios 3618 a 3626); censo de  la  Comunidad  Indígena</w:t>
        <w:br/>
        <w:t>elaborado por los representantes, actualizado  el  30  de  agosto  del  2008</w:t>
        <w:br/>
        <w:t>(expediente de anexos a la demanda, apéndice 3, tomo I, folios 320  a  336),</w:t>
        <w:br/>
        <w:t>y  censo  Indígena  Salazar  Febrero  2008  (expediente  de  anexos   a   la</w:t>
        <w:br/>
        <w:t>contestación, anexo 6.2, tomo VIII, folios 3221 a 3617).</w:t>
        <w:br/>
        <w:br/>
        <w:t>[59]  En algunas oportunidades se tradujo como “nidal de  loritos”  (escrito</w:t>
        <w:br/>
        <w:t>de demanda,  expediente  de  fondo,  folio  23);  en  otras  como  “nido  de</w:t>
        <w:br/>
        <w:t>pajarito” (declaración de Maximiliano Ruíz,  supra  nota  28.).  Igualmente,</w:t>
        <w:br/>
        <w:t>los propietarios privados explican que la Estancia Salazar ha sido  conocida</w:t>
        <w:br/>
        <w:t>por distintos  nombres,  entre  ellos,  “Estancia  Laguna  Koncit”  que,  en</w:t>
        <w:br/>
        <w:t>enlhet, al parecer significa “lugar de muchas cotorritas”.  Cfr.  Una  breve</w:t>
        <w:br/>
        <w:t>reseña histórica de los Kent, Mobsbye, Eaton en el  Chaco.  Fortin  Juan  de</w:t>
        <w:br/>
        <w:t>Salazar y Espinoza (expediente de anexos entregados en la audiencia  pública</w:t>
        <w:br/>
        <w:t>por el Estado, anexo X, tomo IX, folio 3836).</w:t>
        <w:br/>
        <w:br/>
        <w:t>[60]  Cfr. Declaración de Tomás Dermott, supra nota 24, folios  594  a  596.</w:t>
        <w:br/>
        <w:t>El Estado indicó que la Comunidad Xákmok Kásek era relativamente nueva y  se</w:t>
        <w:br/>
        <w:t>había desprendido de una comunidad preexistente,  “cuyo  lugar  original  de</w:t>
        <w:br/>
        <w:t>residencia, lo ha constituido básicamente  en  una  zona  denominada  Misión</w:t>
        <w:br/>
        <w:t>Inglesa y ‘El Estribo’”. Sin embargo, no aportó prueba que sustentara  dicho</w:t>
        <w:br/>
        <w:t>alegato (contestación de la demanda, expediente de  fondo,  tomo  1,  folios</w:t>
        <w:br/>
        <w:t>370 y 371).</w:t>
        <w:br/>
        <w:br/>
        <w:t>[61]  Cfr. Informe Socio-Antropológico de la Comunidad Xákmok  Kásek,  supra</w:t>
        <w:br/>
        <w:t>nota 56, folio 841, y declaración de Tomás Dermott,  supra  nota  24,  folio</w:t>
        <w:br/>
        <w:t>597.</w:t>
        <w:br/>
        <w:br/>
        <w:t>[62]  Cfr. Informe Antropológico del  CEADUC,  supra  nota  55,  folio  735;</w:t>
        <w:br/>
        <w:t>Informe Socio-Antropólogico de la Comunidad Xákmok  Kásek,  supra  nota  56,</w:t>
        <w:br/>
        <w:t>folios 838 a 853; Informe de inspección ocular realizada por el Ing.  Pastor</w:t>
        <w:br/>
        <w:t>Cabanellas el 17 de mayo  de  1991  (expediente  de  anexos  a  la  demanda,</w:t>
        <w:br/>
        <w:t>apéndice 3, tomo II, folios 791 a 793), e Informe de  la  ampliación  ocular</w:t>
        <w:br/>
        <w:t>de 22 de septiembre de 1992 (expediente de anexos a la demanda, apéndice  3,</w:t>
        <w:br/>
        <w:t>tomo III, folio 883).</w:t>
        <w:br/>
        <w:br/>
        <w:t>[63]  De acuerdo a los representantes en 1986, el señor Ramón Oviedo,  líder</w:t>
        <w:br/>
        <w:t>de la comunidad indígena, solicitó al  INDI  200  hectáreas,  parte  de  sus</w:t>
        <w:br/>
        <w:t>tierras ancestrales; pero dicha  petición  no  logró  mayores  trámites  por</w:t>
        <w:br/>
        <w:t>parte del INDI. Esta afirmación no fue negada ni contestada  por  el  Estado</w:t>
        <w:br/>
        <w:t>(expediente de  fondo,  folio  231).  Asimismo,  según  los  líderes  de  la</w:t>
        <w:br/>
        <w:t>Comunidad  Marcelino  López  y  Clemente  Dermott,  declarantes  ante   este</w:t>
        <w:br/>
        <w:t>Tribunal, el expediente correspondiente a dicha solicitud inicial se  perdió</w:t>
        <w:br/>
        <w:t>y por ello se inició una  nueva  solicitud  en  1990.  Cfr.  Declaración  de</w:t>
        <w:br/>
        <w:t>Marcelino López rendida ante fedatario  público  (escrito  de  argumentos  y</w:t>
        <w:br/>
        <w:t>solicitudes, expediente de fondo, tomo II, folios 231 y 582,  y  Declaración</w:t>
        <w:br/>
        <w:t>de Clemente Dermott, rendida ante fedatario público el 25 de marzo  de  2010</w:t>
        <w:br/>
        <w:t>(expediente de fondo, tomo II, folio 645).</w:t>
        <w:br/>
        <w:br/>
        <w:t>[64]  Cfr. Ley 904/81 Estatuto  de  las  Comunidades  Indígenas  del  18  de</w:t>
        <w:br/>
        <w:t>diciembre de 1981 (expediente de anexos a la demanda, anexo 7,  folios  2399</w:t>
        <w:br/>
        <w:t>a 2425).</w:t>
        <w:br/>
        <w:br/>
        <w:t>[65]  La Comunidad originalmente solicitó 6.900 hectáreas, luego aumentó  su</w:t>
        <w:br/>
        <w:t>solicitud a 20.000 hectáreas, y finalmente disminuyó su solicitud  a  10.700</w:t>
        <w:br/>
        <w:t>hectáreas, “porque parecía que si bajábamos el Estado  se  iba  a  animar  a</w:t>
        <w:br/>
        <w:t>devolvernos las tierras y también porque gente  de  la  [C]omunidad  que  no</w:t>
        <w:br/>
        <w:t>aguantaba más tuvo que salir”. Declaración de Marcelino  López,  supra  nota</w:t>
        <w:br/>
        <w:t>63, folio 582. En el mismo  sentido,  comunicación  de  los  líderes  de  la</w:t>
        <w:br/>
        <w:t>Comunidad dirigido al  Presidente  del  IBR  de  11  de  noviembre  de  1993</w:t>
        <w:br/>
        <w:t>(expediente de anexos a la demanda, apéndice 3,  tomo  III,  folio  898),  y</w:t>
        <w:br/>
        <w:t>solicitud  de  la  Comunidad  ante  el  IBR  de  28  de  diciembre  de  1990</w:t>
        <w:br/>
        <w:t>(expediente de anexos a la demanda, apéndice 3, tomo II, folio 780).</w:t>
        <w:br/>
        <w:br/>
        <w:t>[66]  Cfr. Informe  de  inspección  ocular  realizada  por  el  Ing.  Pastor</w:t>
        <w:br/>
        <w:t>Cabanellas, supra nota 62, folios 791 a 795.</w:t>
        <w:br/>
        <w:br/>
        <w:t>[67]  Cfr. Declaración de Roberto Carlos Eaton Kent, supra  nota  56,  folio</w:t>
        <w:br/>
        <w:t>662; declaración de Clemente Dermott, supra nota  63,  folio  647:  nota  de</w:t>
        <w:br/>
        <w:t>prensa de 3 de abril de 2003 titulada “Sawatzky dice que desconocía  reclamo</w:t>
        <w:br/>
        <w:t>de Enxet” (expediente de anexos a la demanda, apéndice  3,  tomo  IV,  folio</w:t>
        <w:br/>
        <w:t>1584); nota de prensa de 1 de abril de 2003, titulada “Menonitas ofrecen  al</w:t>
        <w:br/>
        <w:t>Indi tierra reclamada por nativos”  (expediente  de  anexos  a  la  demanda,</w:t>
        <w:br/>
        <w:t>apéndice 3 tomo IV, folio 1583); nota de  prensa  de  7  de  enero  de  2003</w:t>
        <w:br/>
        <w:t>titulada “Eaton y Cía. vendió tierra reclamada  por  indígenas”  (expediente</w:t>
        <w:br/>
        <w:t>de anexos a la demanda, apéndice 3, tomo IV, folio 1576), y nota  de  prensa</w:t>
        <w:br/>
        <w:t>de 7 de febrero de 2003 titulada  “Nativos  insisten  en  recuperar  tierras</w:t>
        <w:br/>
        <w:t>vendidas a menonitas” (expediente de anexos a la demanda, apéndice  3,  tomo</w:t>
        <w:br/>
        <w:t>IV, folio 1575).</w:t>
        <w:br/>
        <w:br/>
        <w:t>[68]  Cfr. Declaración de Roberto Carlos Eaton Kent, supra  nota  56,  folio</w:t>
        <w:br/>
        <w:t>662; declaración de Marcelino López, supra nota 63, folio 581;  peritaje  de</w:t>
        <w:br/>
        <w:t>Sergio Iván Braticevic, supra nota 17, folios  948  y  949,  y  peritaje  de</w:t>
        <w:br/>
        <w:t>Antonio Spiridinoff rendido ante fedatario  público  (expediente  de  fondo,</w:t>
        <w:br/>
        <w:t>tomo II, folio 614).</w:t>
        <w:br/>
        <w:br/>
        <w:t>[69]  Cfr. Solicitud de expropiación realizada por la  Comunidad  el  23  de</w:t>
        <w:br/>
        <w:t>junio de 1999  dirigida  a  la  Cámara  de  Senadores  del  Congreso  de  la</w:t>
        <w:br/>
        <w:t>República (expediente de anexos a la demanda, apéndice 3,  tomo  IV,  folios</w:t>
        <w:br/>
        <w:t>1837 a 1846).</w:t>
        <w:br/>
        <w:br/>
        <w:t>[70]  Cfr. Informe denominado  “Estancia  Salazar  frente  a  un  pedido  de</w:t>
        <w:br/>
        <w:t>expropiación” supra nota 56, folio 3792).</w:t>
        <w:br/>
        <w:br/>
        <w:t>[71]  Cfr. Resolución No.  693  de  la  Cámara  de  Senadores  del  Congreso</w:t>
        <w:br/>
        <w:t>Nacional (expediente de anexos a la demanda, anexo 5, folio 2384). El 23  de</w:t>
        <w:br/>
        <w:t>septiembre de 2000 la Comisión de Reforma Agraria y Bienestar  Rural  de  la</w:t>
        <w:br/>
        <w:t>Cámara de Senadores aconsejó la aprobación de la expropiación a favor de  la</w:t>
        <w:br/>
        <w:t>Comunidad, sin embargo, el 9 de noviembre  de  2000  se  retractó  de  dicho</w:t>
        <w:br/>
        <w:t>dictamen (Cfr. Dictamen No. 11-2000/2001 de 9 de noviembre de  2000,  de  la</w:t>
        <w:br/>
        <w:t>Comisión de Reforma Agraria y Bienestar Rural de  la  Cámara  de  Senadores,</w:t>
        <w:br/>
        <w:t>expediente de anexos a la demanda, anexo 5, folio  2382);  Proyecto  de  Ley</w:t>
        <w:br/>
        <w:t>presentado ante la Cámara de Senadores el 25 de junio  de  1999,  expediente</w:t>
        <w:br/>
        <w:t>de anexos a la demanda, anexo 5, folio 2381, y dictamen No. 18-2000-2001  de</w:t>
        <w:br/>
        <w:t>la Comisión de Reforma Agraria y Bienestar Rural de la Cámara  de  Senadores</w:t>
        <w:br/>
        <w:t>(expediente de anexos a la demanda, anexo 5, folio 2383).</w:t>
        <w:br/>
        <w:br/>
        <w:t>[72]  Cfr. Declaración de  Lida  Acuña,  supra  nota  17  y  declaración  de</w:t>
        <w:br/>
        <w:t>Rodrigo Villagra Carron, supra nota 17.</w:t>
        <w:br/>
        <w:br/>
        <w:t>[73]  Cfr. Informe Antropológico del CEADUC, supra nota  55,  folios  741  y</w:t>
        <w:br/>
        <w:t>743, y declaración de Tomás Dermott, supra nota 24, folio 598.</w:t>
        <w:br/>
        <w:br/>
        <w:t>[74]  Cfr. Declaración de Marcelino López, supra nota 63, folio 580.</w:t>
        <w:br/>
        <w:br/>
        <w:t>[75]  Cfr. Declaración de Gerardo Larrosa rendida ante fedatario público  el</w:t>
        <w:br/>
        <w:t>25 de marzo de 2010 (expediente de fondo, tomo II,  folios  604  a  609),  y</w:t>
        <w:br/>
        <w:t>declaración de Tomás Dermott, supra nota 24, folio 595).</w:t>
        <w:br/>
        <w:br/>
        <w:t>[76]  Cfr. Declaración de Maximiliano Ruíz, supra nota  28;  declaración  de</w:t>
        <w:br/>
        <w:t>Marcelino López, supra nota 63, folio 586, e Informe del CEADUC, supra  nota</w:t>
        <w:br/>
        <w:t>55, folio 712 y 713.</w:t>
        <w:br/>
        <w:br/>
        <w:t>[77]  Cfr. Declaración  de  Marcelino  López,  supra  nota  63,  folio  580;</w:t>
        <w:br/>
        <w:t>declaración de Gerardo Larrosa, supra nota 75, folio 605, y  de  declaración</w:t>
        <w:br/>
        <w:t>de Lida Beatriz Acuña, supra  nota  17,  declaración  de  Maximiliano  Ruíz,</w:t>
        <w:br/>
        <w:t>supra nota 28, y declaración de Antonia Ramírez, supra nota 28 folio 1151.</w:t>
        <w:br/>
        <w:br/>
        <w:t>[78]  Cfr. Declaración  de  Gerardo  Larrosa,  supra  nota  75,  folio  505,</w:t>
        <w:br/>
        <w:t>declaración de Marcelino López, supra nota 63,  folio  580,  declaración  de</w:t>
        <w:br/>
        <w:t>Antonia Ramírez, supra nota 28, folios 1151, 1152 y 1156, y  declaración  de</w:t>
        <w:br/>
        <w:t>Clemente Dermott, supra nota 63, folio 650.</w:t>
        <w:br/>
        <w:br/>
        <w:t>[79]  Cfr. Declaración  de  Gerardo  Larrosa,  supra  nota  75,  folio  605,</w:t>
        <w:br/>
        <w:t>declaración de Rodrigo Villagra Carron, supra nota 17.</w:t>
        <w:br/>
        <w:br/>
        <w:t>[80]  Cfr. Acta de Acuerdo de 16 de abril de 2005 firmada  por  los  líderes</w:t>
        <w:br/>
        <w:t>de las comunidades de Nepoxen,  Saria,  Tajamar  Kabayu,  Kenaten  y  Xákmok</w:t>
        <w:br/>
        <w:t>Kásek (expediente de documentos entregados en la audiencia  pública  por  el</w:t>
        <w:br/>
        <w:t>Estado, tomo IX, anexo VI, folios 3731 y 3732); declaración  de  Maximiliano</w:t>
        <w:br/>
        <w:t>Ruíz, supra nota 28. Dichas  comunidades  también  eran  conocidas  como  la</w:t>
        <w:br/>
        <w:t>Comunidad de  Cora-í  (Cfr.  Declaración  testimonial  de  Rodrigo  Villagra</w:t>
        <w:br/>
        <w:t>Carron, supra nota 17).</w:t>
        <w:br/>
        <w:br/>
        <w:t>[81]  Cfr. Declaración de Roberto Carlos Eaton Kent, supra  nota  56,  folio</w:t>
        <w:br/>
        <w:t>659, y declaración de Rodrigo Villagra Carron, supra nota 17.</w:t>
        <w:br/>
        <w:br/>
        <w:t>[82]  Cfr. Comunicación de la Comunidad de 9 de septiembre de 2005  dirigida</w:t>
        <w:br/>
        <w:t>al INDI (expediente de documentos entregados en la audiencia pública por  el</w:t>
        <w:br/>
        <w:t>Estado, tomo IX, anexo VI, folio 3730).</w:t>
        <w:br/>
        <w:br/>
        <w:t>[83]  Cfr. Acta de reunión de la Comunidad de 2 de mayo de 2009  (expediente</w:t>
        <w:br/>
        <w:t>de anexos al escrito de solicitudes y argumentos, anexo 7,  tomo  VI,  folio</w:t>
        <w:br/>
        <w:t>2736).</w:t>
        <w:br/>
        <w:br/>
        <w:t>[84]  Cfr. Declaración  de  Marcelino  López,  supra  nota  63,  folio  580;</w:t>
        <w:br/>
        <w:t>declaración de Gerardo Larrosa supra nota  75,  folio  605;  declaración  de</w:t>
        <w:br/>
        <w:t>Maximiliano Ruíz, supra nota 28;  declaración  de  Clemente  Dermott,  supra</w:t>
        <w:br/>
        <w:t>nota 63, y declaración de Antonia Ramírez, supra nota 28.</w:t>
        <w:br/>
        <w:br/>
        <w:t>[85]  Rodrigo Villagra Carron explicó que el asentamiento  “25  de  febrero”</w:t>
        <w:br/>
        <w:t>quedaba a 35 Km. de la  Estancia  Salazar;  mientras  que  Clemente  Dermott</w:t>
        <w:br/>
        <w:t>explicó que quedaba a 35 Km. de la  Ruta  Transchaco.  Cfr.  Declaración  de</w:t>
        <w:br/>
        <w:t>Rodrigo Villagra Carron, supra nota 17, y declaración de  Clemente  Dermott,</w:t>
        <w:br/>
        <w:t>supra nota 63, folio 645.</w:t>
        <w:br/>
        <w:br/>
        <w:t>[86]  Cfr. Declaración de Marcelino López, supra nota 63, folios 586 y  587.</w:t>
        <w:br/>
        <w:br/>
        <w:br/>
        <w:t>[87]  Cfr. Decreto No. 11.804 de la Presidencia de la República por el  cual</w:t>
        <w:br/>
        <w:t>se declara como Área Silvestre Protegida bajo  Dominio  Privado  la  Reserva</w:t>
        <w:br/>
        <w:t>denominada “Estancia Salazar” de 31 de enero de 2008 (expediente  de  anexos</w:t>
        <w:br/>
        <w:t>a la demanda, anexo 7, folios 2429 a 2435 y 2429 a 2435).</w:t>
        <w:br/>
        <w:br/>
        <w:t>[88]  Cfr. Acción de inconstitucionalidad interpuesta por la Comunidad  ante</w:t>
        <w:br/>
        <w:t>la Corte Suprema de Justicia el 31 de julio de 2008 (expediente de anexos  a</w:t>
        <w:br/>
        <w:t>la contestación, anexo 1.9, tomo VIII,  folio  3416);  Mapa  de  la  Reserva</w:t>
        <w:br/>
        <w:t>natural privada “Estancia Salazar”  (expediente  de  anexos  al  escrito  de</w:t>
        <w:br/>
        <w:t>solicitudes y argumentos,  anexo  4,  tomo  VI,  folio  2711),  y  Mapa  del</w:t>
        <w:br/>
        <w:t>Territorio Tradicional de la Comunidad Xákmok Kásek y Tierras  Reivindicadas</w:t>
        <w:br/>
        <w:t>(expediente de anexos al escrito de argumentos y pruebas, anexo 4, tomo  VI,</w:t>
        <w:br/>
        <w:t>folio 2712).</w:t>
        <w:br/>
        <w:br/>
        <w:t>[89]  Cfr. Declaración de Marcelino López,  supra  nota  63,  folio  584,  y</w:t>
        <w:br/>
        <w:t>declaración de Clemente Dermott, supra nota 63, folio 648.</w:t>
        <w:br/>
        <w:br/>
        <w:t>[90]  Cfr. Dictamen de la Asesoría Jurídica de la  Secretaría  del  Ambiente</w:t>
        <w:br/>
        <w:t>de 24 de diciembre de 2009 (expediente de anexos a  la  contestación,  anexo</w:t>
        <w:br/>
        <w:t>1.8, tomo VIII, folios 3382 a 3388).</w:t>
        <w:br/>
        <w:br/>
        <w:t>[91]  Cfr. Artículo 56 de la Ley No. 352/1994 (expediente de  anexos  a  los</w:t>
        <w:br/>
        <w:t>alegatos finales escritos, tomo X, folio 4543).</w:t>
        <w:br/>
        <w:br/>
        <w:t>[92]  Cfr. Artículo 24.b, 27 y 64 de la Ley No.  352/1994,  supra  nota  91,</w:t>
        <w:br/>
        <w:t>folios 4537 a 4546; Dictamen de la Asesoría Jurídica de  la  Secretaría  del</w:t>
        <w:br/>
        <w:t>Ambiente, supra nota 90, folios 3382 a 3388, y Cuadernillo sobre la  reserva</w:t>
        <w:br/>
        <w:t>natural privada “Estancia Salazar” (expediente de anexos a la  contestación,</w:t>
        <w:br/>
        <w:t>anexo 3.1, tomo VIII, folio 3469).</w:t>
        <w:br/>
        <w:br/>
        <w:t>[93]  Cfr. artículo 58 de la Ley No. 352/1994, supra nota 91, folios 4543  y</w:t>
        <w:br/>
        <w:t>4544.</w:t>
        <w:br/>
        <w:br/>
        <w:t>[94]  Cfr. artículo 44 de la Ley No. 352/1994, supra nota 91, folio 4541.</w:t>
        <w:br/>
        <w:br/>
        <w:t>[95]  Cfr. artículo 45 de la Ley No. 352/1994, supra nota 91, folio 4541.</w:t>
        <w:br/>
        <w:br/>
        <w:t>[96]  Cfr. Acción de  inconstitucionalidad  interpuesta  por  la  Comunidad,</w:t>
        <w:br/>
        <w:t>supra nota 88, folios 3415 a 3427.</w:t>
        <w:br/>
        <w:br/>
        <w:t>[97]  Solicitud de interrupción del plazo ante la Corte Suprema de  Justicia</w:t>
        <w:br/>
        <w:t>(expediente de anexos a la contestación  de  la  demanda,  anexo  1.8,  tomo</w:t>
        <w:br/>
        <w:t>VIII, folio 3428).</w:t>
        <w:br/>
        <w:br/>
        <w:t>[98]  Cfr. Escrito  de  los  representantes  de  14  de  diciembre  de  2009</w:t>
        <w:br/>
        <w:t>dirigido a la Sala Constitucional (expediente de anexos a  la  contestación,</w:t>
        <w:br/>
        <w:t>anexo 1.9, tomo VIII, folio 3435).</w:t>
        <w:br/>
        <w:br/>
        <w:t>[99]  Cfr. Nota S.J. I  No. 211 de 21  de  mayo  de  2010  suscrita  por  el</w:t>
        <w:br/>
        <w:t>Secretario Judicial I de la Corte  Suprema  de  Justicia  y  dirigida  a  la</w:t>
        <w:br/>
        <w:t>Dirección de Derechos Humanos de la Corte Suprema  de  Justicia  (expediente</w:t>
        <w:br/>
        <w:t>de anexos a los alegatos finales del Estado,  anexo  24,  tomo  VIII,  folio</w:t>
        <w:br/>
        <w:t>4593).</w:t>
        <w:br/>
        <w:br/>
        <w:t>[100] Cfr. Caso Comunidad Indígena Yakye Axa Vs.  Paraguay,  supra  nota  5,</w:t>
        <w:br/>
        <w:t>párr. 137; Caso de la Comunidad Indígena  Sawhoyamaxa  Vs.  Paraguay,  supra</w:t>
        <w:br/>
        <w:t>nota 20, párr. 118, y Caso del Pueblo de Saramaka Vs.  Surinam,  supra  nota</w:t>
        <w:br/>
        <w:t>16, párr. 88.</w:t>
        <w:br/>
        <w:br/>
        <w:t>[101]       Cfr. Caso Comunidad Mayagna (Sumo) Awas  Tingni  Vs.  Nicaragua.</w:t>
        <w:br/>
        <w:t>Fondo, Reparaciones y Costas. Sentencia de 31 de agosto  de  2001.  Serie  C</w:t>
        <w:br/>
        <w:t>No. 79, párr. 149; Caso Comunidad Indígena Sawhoyamaxa Vs.  Paraguay,  supra</w:t>
        <w:br/>
        <w:t>nota 20, párr. 118, y Caso del Pueblo Saramaka. Vs. Surinam, supra nota  16,</w:t>
        <w:br/>
        <w:t>párr. 90.</w:t>
        <w:br/>
        <w:br/>
        <w:t>[102]       Cfr. Caso Comunidad Mayagna (Sumo) Awas  Tingni  Vs.  Nicaragua,</w:t>
        <w:br/>
        <w:t>supra nota 101, párr. 149; Caso de la  Comunidad  Indígena  Sawhoyamaxa  Vs.</w:t>
        <w:br/>
        <w:t>Paraguay, supra nota 20, párr. 120,  y  Caso  del  Pueblo  de  Saramaka  Vs.</w:t>
        <w:br/>
        <w:t>Surinam, supra nota 16, párr. 89.</w:t>
        <w:br/>
        <w:br/>
        <w:t>[103]       Caso Comunidad Indígena Sawhoyamaxa  Vs.  Paraguay,  supra  nota</w:t>
        <w:br/>
        <w:t>20, párr. 120.</w:t>
        <w:br/>
        <w:t>[104]       Peritaje de Sergio Iván Braticevic, supra nota 17, folio 4244.</w:t>
        <w:br/>
        <w:br/>
        <w:t>[105]       Peritaje de José Alberto Braunstein, supra nota 22,  folios  276</w:t>
        <w:br/>
        <w:t>a 277.</w:t>
        <w:br/>
        <w:br/>
        <w:t>[106]       Cfr. Mapa titulado Topónimos y Puntos  Geográficos  conforme  la</w:t>
        <w:br/>
        <w:t>declaración de Tomás González Dermott de Xákmok Kásek (expediente de  fondo,</w:t>
        <w:br/>
        <w:t>tomo II, folio 602), y Mapa titulado Territorio Tradicional de la  Comunidad</w:t>
        <w:br/>
        <w:t>Xákmok Kásek y Tierras Reivindicadas, supra nota 88, folio 2712.</w:t>
        <w:br/>
        <w:br/>
        <w:t>[107]       Cfr. Informe del CEADUC, supra nota 55, folio 735 y 741.</w:t>
        <w:br/>
        <w:br/>
        <w:t>[108]       Peritaje de Sergio Iván Braticevic, supra nota 17, folio 4243.</w:t>
        <w:br/>
        <w:br/>
        <w:t>[109]       Cfr. Mapa Apcaoclha Chaco (“Región del Chaco en  idioma  Enlhet)</w:t>
        <w:br/>
        <w:t>(expediente de anexos al escrito de  solicitudes  y  argumentos,  tomo  VII,</w:t>
        <w:br/>
        <w:t>anexo 15, folio 2912).</w:t>
        <w:br/>
        <w:br/>
        <w:t>[110]       Declaración de Rodrigo Villagrán Carron, supra nota 17.</w:t>
        <w:br/>
        <w:br/>
        <w:t>[111]       Cfr. Declaración de Tomás Dermott, supra nota 24, folio 597.</w:t>
        <w:br/>
        <w:br/>
        <w:t>[112]       Cfr. Declaración de Rodrigo Villagra Carron, supra nota 17.</w:t>
        <w:br/>
        <w:br/>
        <w:t>[113]       Cfr. Declaración de Tomás Dermott, supra nota 24, folio 597.</w:t>
        <w:br/>
        <w:br/>
        <w:t>[114]        Específicamente,  Sergio  Ivan  Braticevic  manifestó  que  “la</w:t>
        <w:br/>
        <w:t>Estancia Salazar actuó como un lugar centrípeto para las comunidades que  se</w:t>
        <w:br/>
        <w:t>encontraban a su alrededor, sin negar un fenómeno habitual en  el  área,  la</w:t>
        <w:br/>
        <w:t>migración en busca del trabajo”. Peritaje de Sergio Ivan  Braticevic,  supra</w:t>
        <w:br/>
        <w:t>nota 17, folio 4245.</w:t>
        <w:br/>
        <w:br/>
        <w:t>[115]       Tomás Dermott relata que en Makha Mompena (lugar dentro  de  las</w:t>
        <w:br/>
        <w:t>10.700  hectáreas  reclamadas)  “había  y  hay  muchos  tipos   de   plantas</w:t>
        <w:br/>
        <w:t>medicinales y para estudio [c]hamánico.  Muchos  de  los  chamanes  Sanapaná</w:t>
        <w:br/>
        <w:t>iban allí para buscar esas plantas, consumirlas  y  así  aprender  a  curar,</w:t>
        <w:br/>
        <w:t>allí hay muy  buenos panaktema  ‘remedios’.  Los  Sanapanás  también  tenían</w:t>
        <w:br/>
        <w:t>muchas chacras en  esa  zona,  Retiro  Primero,  y  solían  recorrerla  para</w:t>
        <w:br/>
        <w:t>cacería, allí cerca hay una cañada grande llamada Mompey  Sensap,  ‘Mariposa</w:t>
        <w:br/>
        <w:t>Blanca’. La gente tenía chacras allí”. Cfr. Declaración  de  Tomás  Dermott,</w:t>
        <w:br/>
        <w:t>supra nota 24, folio 595.</w:t>
        <w:br/>
        <w:br/>
        <w:t>[116] Cfr. Caso Comunidad Indígena Yakye Axa Vs.  Paraguay,  supra  nota  5,</w:t>
        <w:br/>
        <w:t>párr. 50.4.</w:t>
        <w:br/>
        <w:br/>
        <w:t>[117]       Cfr. Solicitud de la Comunidad ante el IBR de  28  de  diciembre</w:t>
        <w:br/>
        <w:t>de 1990, supra nota 65, folio 780. De hecho cuando la Comunidad  reiteró  su</w:t>
        <w:br/>
        <w:t>pedido en 1994, con ocasión de una  audiencia  de  conciliación  indicó  que</w:t>
        <w:br/>
        <w:t>debía realizarse  una  “mensura  para  determinar  el  lugar  exacto  de  la</w:t>
        <w:br/>
        <w:t>pretensión de la Comunidad [porque] los lugares pretendidos,  son  conocidos</w:t>
        <w:br/>
        <w:t>únicamente con los nombre[s] tradicionales de [los]  Indígenas”.  Cfr.  Acta</w:t>
        <w:br/>
        <w:t>No. 7 de la audiencia celebrada entre las partes el 11 de  febrero  de  1994</w:t>
        <w:br/>
        <w:t>(expediente de anexos a la demanda, apéndice 3, tomo 3, folios 905 a 908).</w:t>
        <w:br/>
        <w:br/>
        <w:t>[118]       Cfr. Informe Antropológico del  CEADUC,  supra  nota  55,  folio</w:t>
        <w:br/>
        <w:t>740.</w:t>
        <w:br/>
        <w:br/>
        <w:t>[119]       Cfr. Informe Antropológico del  CEADUC,  supra  nota  55,  folio</w:t>
        <w:br/>
        <w:t>747; Dictamen No. 2476 de la Jefatura de Abogacía Indígena del IBR de  5  de</w:t>
        <w:br/>
        <w:t>noviembre de 1991 (expediente de anexos a la demanda, apéndice 3,  tomo  II,</w:t>
        <w:br/>
        <w:t>folio 864), y Memorándum del Presidente del INDI de 22  de  agosto  de  1995</w:t>
        <w:br/>
        <w:t>(expediente de anexos a la demanda, apéndice 3, tomo II, folios 859 y 860).</w:t>
        <w:br/>
        <w:br/>
        <w:t>[120]       Cfr. Peritaje de Sergio Iván Braticevic, supra  nota  17,  folio</w:t>
        <w:br/>
        <w:t>4235 a 4252, y peritaje de Antonio Spiridinoff, supra nota 68, folios 613  a</w:t>
        <w:br/>
        <w:t>616.</w:t>
        <w:br/>
        <w:br/>
        <w:t>[121]       Cfr. Informe Antropológico del  CEADUC,  supra  nota  55,  folio</w:t>
        <w:br/>
        <w:t>1736.</w:t>
        <w:br/>
        <w:br/>
        <w:t>[122]       Cfr. Peritaje de Antonio Spiridinoff, supra nota 68, folio 615.</w:t>
        <w:br/>
        <w:br/>
        <w:t>[123]       Cfr. Peritaje de Sergio Iván Braticevic, supra  nota  17,  folio</w:t>
        <w:br/>
        <w:t>4248.</w:t>
        <w:br/>
        <w:br/>
        <w:t>[124]       Declaración de Rodrigo Villagra Carron, supra nota 17.</w:t>
        <w:br/>
        <w:br/>
        <w:t>[125]       Cfr. Caso Comunidad Indígena Yakye Axa Vs. Paraguay, supra  nota</w:t>
        <w:br/>
        <w:t>5, párrs. 131; Caso de  la  Comunidad  Indígena  Sawhoyamaxa  Vs.  Paraguay,</w:t>
        <w:br/>
        <w:t>supra nota 20, párr. 128, y Caso del Pueblo  Saramaka.  Vs.  Surinam,  supra</w:t>
        <w:br/>
        <w:t>nota 16, párr. 89.</w:t>
        <w:br/>
        <w:br/>
        <w:t>[126] Cfr. Caso de la Comunidad Mayagna (Sumo) Awas  Tingni  Vs.  Nicaragua,</w:t>
        <w:br/>
        <w:t>supra nota 101,  párr.  151,  y  Caso  Comunidad  Indígena  Sawhoyamaxa  Vs.</w:t>
        <w:br/>
        <w:t>Paraguay, supra nota 20, párr. 128.</w:t>
        <w:br/>
        <w:br/>
        <w:t>[127] Cfr. Caso de la Comunidad Mayagna (Sumo) Awas  Tingni  Vs.  Nicaragua,</w:t>
        <w:br/>
        <w:t>supra nota 101,  párr.  151,  y  Caso  Comunidad  Indígena  Sawhoyamaxa  Vs.</w:t>
        <w:br/>
        <w:t>Paraguay, supra nota 20, párr. 128.</w:t>
        <w:br/>
        <w:br/>
        <w:t>[128]       Cfr. Caso  de  la  Comunidad  Mayagna  (Sumo)  Awas  Tingni  Vs.</w:t>
        <w:br/>
        <w:t>Nicaragua, supra nota 101, párr. 164; Caso Comunidad Indígena Yakye Axa  Vs.</w:t>
        <w:br/>
        <w:t>Paraguay, supra nota 45, párr. 215, y Caso del Pueblo Saramaka vs.  Surinam,</w:t>
        <w:br/>
        <w:t>supra nota 16, párr. 194.</w:t>
        <w:br/>
        <w:br/>
        <w:t>[129]  Cfr.  Caso  de  la  Comunidad  Moiwana   Vs.   Surinam.   Excepciones</w:t>
        <w:br/>
        <w:t>Preliminares, Fondo, Reparaciones y Costas. Sentencia 15 de junio  de  2005.</w:t>
        <w:br/>
        <w:t>Serie C No. 124, párr.  133,  y  Caso  Comunidad  Indígena  Sawhoyamaxa  Vs.</w:t>
        <w:br/>
        <w:t>Paraguay, supra nota 20, párr. 128.</w:t>
        <w:br/>
        <w:br/>
        <w:t>[130] Cfr. Caso de la Comunidad Indígena  Sawhoyamaxa  Vs.  Paraguay,  supra</w:t>
        <w:br/>
        <w:t>nota 20, párrs. 128 a 130.</w:t>
        <w:br/>
        <w:br/>
        <w:t>[131]       Cfr. Caso de la  Comunidad  Indígena  Yakye  Axa  Vs.  Paraguay,</w:t>
        <w:br/>
        <w:t>supra nota 5, párrs. 138 a 139, y Caso de la Comunidad Indígena  Sawhoyamaxa</w:t>
        <w:br/>
        <w:t>Vs. Paraguay, supra nota 20, párr. 129.</w:t>
        <w:br/>
        <w:br/>
        <w:t>[132]       Cfr. Caso de la  Comunidad  Indígena  Yakye  Axa  Vs.  Paraguay,</w:t>
        <w:br/>
        <w:t>supra nota 5, párrs. 135 a 149, y Caso de la Comunidad Indígena  Sawhoyamaxa</w:t>
        <w:br/>
        <w:t>Vs. Paraguay, supra nota 20, párrs. 127 y 130.</w:t>
        <w:br/>
        <w:br/>
        <w:t>[133]       Cfr. Artículos 24, 25, 26 y 27 de Ley  904/81  Estatuto  de  las</w:t>
        <w:br/>
        <w:t>Comunidades Indígenas, supra nota 64, folios 2399 a 2425.</w:t>
        <w:br/>
        <w:br/>
        <w:t>[134]       Cfr. Caso de la Comunidad Moiwana Vs. Surinam, supra  nota  129,</w:t>
        <w:br/>
        <w:t>párr. 133; Caso de la Comunidad Indígena Yakye Axa Vs. Paraguay, supra  nota</w:t>
        <w:br/>
        <w:t>5, párrs. 131, 135 y 137, y Caso de la Comunidad  Indígena  Sawhoyamaxa  Vs.</w:t>
        <w:br/>
        <w:t>Paraguay, supra nota 20, párrs. 127 y 131.</w:t>
        <w:br/>
        <w:br/>
        <w:t>[135] Cfr. Caso Comunidad Indígena Yakye Axa Vs.  Paraguay,  supra  nota  5,</w:t>
        <w:br/>
        <w:t>párr. 154, y Caso de la Comunidad Indígena Sawhoyamaxa Vs.  Paraguay,  supra</w:t>
        <w:br/>
        <w:t>nota 20, párrs. 131 a 132.</w:t>
        <w:br/>
        <w:br/>
        <w:t>[136] Cfr. Caso de la Comunidad Indígena  Sawhoyamaxa  Vs.  Paraguay,  supra</w:t>
        <w:br/>
        <w:t>nota 20, párr. 132.</w:t>
        <w:br/>
        <w:br/>
        <w:t>[137]       Cfr. Informe Antropológico del  CEADUC,  supra  nota  55,  folio</w:t>
        <w:br/>
        <w:t>741.</w:t>
        <w:br/>
        <w:br/>
        <w:t>[138]       Declaración de Gerardo Larrosa, supra nota 75, folio 605.</w:t>
        <w:br/>
        <w:br/>
        <w:t>[139]       Cfr. Declaración de Gerardo Larrosa, supra nota 75,  folio  607,</w:t>
        <w:br/>
        <w:t>y Declaración de Maximiliano Ruíz, supra nota 28.</w:t>
        <w:br/>
        <w:br/>
        <w:t>[140]       Cfr. Declaración de Maximiliano Ruíz, supra nota 28.</w:t>
        <w:br/>
        <w:br/>
        <w:t>[141]       Lista de propiedades en oferta de venta  (expediente  de  anexos</w:t>
        <w:br/>
        <w:t>entregados por el Estado en la audiencia pública, anexo 2, tomo  IX,  folios</w:t>
        <w:br/>
        <w:t>3769 a 3774).</w:t>
        <w:br/>
        <w:br/>
        <w:t>[142]       Cfr. Peritaje de Sergio Iván Braticevic, supra  nota  17,  folio</w:t>
        <w:br/>
        <w:t>4248.</w:t>
        <w:br/>
        <w:br/>
        <w:t>[143]       Cfr. Artículo 18 de la Ley No.  904/81,  supra  nota  64,  folio</w:t>
        <w:br/>
        <w:t>2404.</w:t>
        <w:br/>
        <w:br/>
        <w:t>[144]       En el informe presentado en  1995  por  el  CEADUC,  dentro  del</w:t>
        <w:br/>
        <w:t>procedimiento administrativo de reivindicación de tierras  iniciado  por  la</w:t>
        <w:br/>
        <w:t>Comunidad, se consideró que la extensión de 178 hectáreas por  familia,  que</w:t>
        <w:br/>
        <w:t>estaba siendo reivindicado por la Comunidad hasta esos  momentos,  resultaba</w:t>
        <w:br/>
        <w:t>insuficiente para la conservación y desarrollo de  las  formas  particulares</w:t>
        <w:br/>
        <w:t>de vida de la Comunidad (Cfr. Informe Antropológico del CEADUC,  supra  nota</w:t>
        <w:br/>
        <w:t>55, folios 735 a 750). En similar sentido  se  expresó  el  testigo  Rodrigo</w:t>
        <w:br/>
        <w:t>Villagra Carron (Cfr. Declaración de Rodrigo  Villagra  Carron,  supra  nota</w:t>
        <w:br/>
        <w:t>17).</w:t>
        <w:br/>
        <w:br/>
        <w:t>[145]       El  INDI  solicitó  al  CEADUC  la  realización  de  un  informe</w:t>
        <w:br/>
        <w:t>científico sobre el territorio tradicional de la Comunidad. Cfr.  Nota  P.C.</w:t>
        <w:br/>
        <w:t>No. 396/95 del Presidente del INDI al Director del CEADUC de  22  de  agosto</w:t>
        <w:br/>
        <w:t>de 2005 (expediente de anexos a la  demanda,  apéndice  3,  tomo  II,  folio</w:t>
        <w:br/>
        <w:t>734).</w:t>
        <w:br/>
        <w:br/>
        <w:t>[146]       Entre  1990  y  1994,  la  Comunidad  insistió  en  las  tierras</w:t>
        <w:br/>
        <w:t>reclamadas mientras que el propietario privado ofreció el Retiro  Winchester</w:t>
        <w:br/>
        <w:t>(Cfr. Escrito del abogado de la Comunidad Florencio Gómez  Belotto  dirigido</w:t>
        <w:br/>
        <w:t>al Presidente del IBR de 19 de febrero de 1993, expediente de  anexos  a  la</w:t>
        <w:br/>
        <w:t>demanda, apéndice 3, tomo III,  folio  894;  acta  No.  7  de  la  audiencia</w:t>
        <w:br/>
        <w:t>celebrada entre las partes el 11 de febrero de 1994, supra nota 117,  folios</w:t>
        <w:br/>
        <w:t>905 a 908, y oferta de tierras al IBR  para  indígenas  Lengua,  Sanapaná  y</w:t>
        <w:br/>
        <w:t>Angaité de 21 de febrero  de  1994,  expediente  de  anexos  a  la  demanda,</w:t>
        <w:br/>
        <w:t>apéndice 3, tomo III, folios 909 a 913). Asimismo, en noviembre de 1995  los</w:t>
        <w:br/>
        <w:t>propietarios privados ofrecieron en lugar a las tierras  en  reivindicación,</w:t>
        <w:br/>
        <w:t>extensiones de tierra en un sector llamado Cora-í o alternativamente  en  la</w:t>
        <w:br/>
        <w:t>fracción denominada Potrero Pañuelo (Cfr. Escrito del  abogado  de  Eaton  y</w:t>
        <w:br/>
        <w:t>Cía. S.A. de 7 de noviembre de 1995, expediente  de  anexos  a  la  demanda,</w:t>
        <w:br/>
        <w:t>apéndice 3, tomo II, folios 755 a 756). Luego de una  reunión  en  marzo  de</w:t>
        <w:br/>
        <w:t>1996  los  líderes  de  la  Comunidad  ofrecieron  modificar  su   solicitud</w:t>
        <w:br/>
        <w:t>renunciando a una porción de las tierras en reivindicación,  sustituyéndolas</w:t>
        <w:br/>
        <w:t>con tierras conocidas  como  el  “Retiro  Cuñata-í”  (Cfr.  Escrito  de  los</w:t>
        <w:br/>
        <w:t>representantes de la Comunidad de 2 de abril de 1996, expediente  de  anexos</w:t>
        <w:br/>
        <w:t>a la demanda, apéndice 3, tomo II, folio  772).  En  1998  los  propietarios</w:t>
        <w:br/>
        <w:t>privados ofrecieron la venta de la totalidad de la Estancia Salazar y en  el</w:t>
        <w:br/>
        <w:t>2000 ofrecieron “a cualquiera que quisiera  comprar”  la  propiedad  llamada</w:t>
        <w:br/>
        <w:t>Cora’í. En marzo de 2003  Chortitzer  Komitee  ofreció  la  venta  de  3.293</w:t>
        <w:br/>
        <w:t>hectáreas del territorio  reclamado  (Cfr.  Declaración  de  Roberto  Carlos</w:t>
        <w:br/>
        <w:t>Eaton Kent, supra nota 56, folio 662; nota de prensa de 1  de  abril  de  de</w:t>
        <w:br/>
        <w:t>2003 titulada “Menonitas ofrecen al  Indi  tierra  reclamada  por  nativos”,</w:t>
        <w:br/>
        <w:t>expediente de anexos a la demanda, apéndice 3, tomo  IV,  folio  1583).  Por</w:t>
        <w:br/>
        <w:t>último,  en  2004  el  señor  Eaton  ofreció  a  la  Comunidad  la  Estancia</w:t>
        <w:br/>
        <w:t>Magallanes (Cfr. Declaración de Roberto Carlos Eaton Kent,  supra  nota  56,</w:t>
        <w:br/>
        <w:t>folio 660).</w:t>
        <w:br/>
        <w:br/>
        <w:t>[147]        Cfr.  Informe  de  inspección  ocular  realizada   por   Pastor</w:t>
        <w:br/>
        <w:t>Cabanellas, supra nota 62, folios 791 a 795, y Resolución  P.  No.  651  del</w:t>
        <w:br/>
        <w:t>Presidente del IBR de 21 de agosto  de  1992  (expediente  de  anexos  a  la</w:t>
        <w:br/>
        <w:t>demanda, apéndice 3, tomo III, folio 891).</w:t>
        <w:br/>
        <w:br/>
        <w:t>[148]       Luego de la ampliación de la inspección ocular,  el  abogado  de</w:t>
        <w:br/>
        <w:t>la  Comunidad  solicitó  se  realizara  un  estudio  geológico   al   Retiro</w:t>
        <w:br/>
        <w:t>Winchester  ofrecido  por  el  propietario  privado.  Sin   embargo,   dicha</w:t>
        <w:br/>
        <w:t>solicitud no parece haber tenido respuesta. En agosto de 1993,  con  ocasión</w:t>
        <w:br/>
        <w:t>de una inspección ocular a otra comunidad  indígena  a  la  que  también  se</w:t>
        <w:br/>
        <w:t>habían ofrecido dichas tierras, se realizó una inspección ocular  al  Retiro</w:t>
        <w:br/>
        <w:t>Winchester que concluyó que no era apto para el desarrollo de  la  Comunidad</w:t>
        <w:br/>
        <w:t>(Cfr. comunicación sin fecha del abogado de la Comunidad al IBR,  expediente</w:t>
        <w:br/>
        <w:t>de anexos a la demanda, apéndice 3, tomo III, folio  888,  e  informe  sobre</w:t>
        <w:br/>
        <w:t>viaje realizado al Chaco los días 12, 13 y 14 de agosto de 1993,  expediente</w:t>
        <w:br/>
        <w:t>de anexos a la demanda, apéndice 3, tomo III,  folio  959  a  960).  Por  su</w:t>
        <w:br/>
        <w:t>parte  las  tierras  en  la   Estancia   Magallanes   fueron   aparentemente</w:t>
        <w:br/>
        <w:t>inspeccionadas por funcionarios del INDI quienes  concluyeron  que  no  eran</w:t>
        <w:br/>
        <w:t>aptas para el asentamiento de la Comunidad (Cfr. Acta de reunión  de  12  de</w:t>
        <w:br/>
        <w:t>agosto de 2004 de la Comunidad Xákmok  Kásek,  expediente  de  anexos  a  la</w:t>
        <w:br/>
        <w:t>demanda, apéndice 3, tomo IV, folio 1286); declaración de  Marcelino  López,</w:t>
        <w:br/>
        <w:t>supra nota 63, folio 587, y declaración de Clemente Dermott, supra nota  63,</w:t>
        <w:br/>
        <w:t>folio 647).</w:t>
        <w:br/>
        <w:br/>
        <w:t>[149]       Artículo 15 de la Ley No. 904/81, supra nota 64, folio 2403.</w:t>
        <w:br/>
        <w:br/>
        <w:t>[150]       El expediente administrativo fue remitido al INDI  en  junio  de</w:t>
        <w:br/>
        <w:t>1994 y la siguiente actuación de la que se tiene evidencia es una  solicitud</w:t>
        <w:br/>
        <w:t>de la Comunidad de julio  de  1995,  a  partir  de  la  cual  se  emitió  un</w:t>
        <w:br/>
        <w:t>memorándum y se solicitó un estudio antropológico (Cfr. Dictamen 1474 de  la</w:t>
        <w:br/>
        <w:t>Jefatura de Asuntos Indígenas del IBR de 20 de junio de 1994, expediente  de</w:t>
        <w:br/>
        <w:t>anexos a la demanda, apéndice 3,  tomo  II,  folio  730,  y  Memorándum  del</w:t>
        <w:br/>
        <w:t>Presidente del INDI de 22 de agosto de 1995, supra nota 119 folio 860).</w:t>
        <w:br/>
        <w:br/>
        <w:t>[151]       Luego de que los miembros de la Comunidad  ofrecieran  modificar</w:t>
        <w:br/>
        <w:t>su solicitud en cuanto a una  porción  de  las  tierras  en  reinvindicación</w:t>
        <w:br/>
        <w:t>(escrito de los representantes de la Comunidad de 2 de abril de 1996,  supra</w:t>
        <w:br/>
        <w:t>nota 146), la siguiente actuación fue  el  ofrecimiento,  en  1998,  de  los</w:t>
        <w:br/>
        <w:t>propietarios privados de vender la totalidad de la Estancia  Salazar  (supra</w:t>
        <w:br/>
        <w:t>nota 146).</w:t>
        <w:br/>
        <w:br/>
        <w:t>[152]       Las únicas actuaciones que constan en el expediente  fueron  las</w:t>
        <w:br/>
        <w:t>ofertas realizadas en cuanto a Koraí/Cora’í, la porción de  las  tierras  en</w:t>
        <w:br/>
        <w:t>reinvindicación propiedad de Chortitzer Komitee, y  la  Estancia  Magallanes</w:t>
        <w:br/>
        <w:t>(Cfr. Declaración de Roberto Carlos Eaton Kent, supra nota 146),  hasta  las</w:t>
        <w:br/>
        <w:t>solicitudes de copias y  reconstitución  del  expediente  por  parte  de  la</w:t>
        <w:br/>
        <w:t>Comunidad en 2006 (Cfr. Solicitud de los representantes de la  Comunidad  de</w:t>
        <w:br/>
        <w:t>6 de julio de 2006 dirigida al INDERT, expediente de anexos  a  la  demanda,</w:t>
        <w:br/>
        <w:t>anexo 5, folio 2377, y solicitud de los representantes de 23  de  agosto  de</w:t>
        <w:br/>
        <w:t>2006, expediente de anexos a la demanda, anexo 5, folios 2379 a 2380).</w:t>
        <w:br/>
        <w:br/>
        <w:t>[153]       En  2006,  los  representantes  de  la  Comunidad  tuvieron  que</w:t>
        <w:br/>
        <w:t>solicitar la reconstitución del expediente administrativo  porque  el  mismo</w:t>
        <w:br/>
        <w:t>se había “extraviado en dos oportunidades” en el INDERT (Cfr.  Solicitud  de</w:t>
        <w:br/>
        <w:t>los representantes de la Comunidad de 6 de julio de 2006,  supra  nota  152,</w:t>
        <w:br/>
        <w:t>folio 2377, y declaración de Clemente Dermott, supra nota  63,  folio  645).</w:t>
        <w:br/>
        <w:t>En su declaración testimonial la actual Presidenta del INDI  indicó  que  en</w:t>
        <w:br/>
        <w:t>2008 “se perdieron muchos documentos, [por lo cual] incluso ahora se  estaba</w:t>
        <w:br/>
        <w:t>reconstituyendo  el  expediente  del  pueblo  Xákmok  Kásek”,  debido  a  la</w:t>
        <w:br/>
        <w:t>ocupación del INDI por parte de grupos indígenas (Cfr. Declaración  de  Lida</w:t>
        <w:br/>
        <w:t>Acuña, supra nota 17).</w:t>
        <w:br/>
        <w:br/>
        <w:t>[154]       Memorándum del Presidente del INDI de  22  de  agosto  de  1995,</w:t>
        <w:br/>
        <w:t>supra nota 119, folio 859.</w:t>
        <w:br/>
        <w:br/>
        <w:t>[155]       Cfr. Caso Genie Lacayo  Vs.  Nicaragua.  Fondo,  Reparaciones  y</w:t>
        <w:br/>
        <w:t>Costas. Sentencia del 29 de enero de 1997. Serie C No. 30,  párr.  77;  Caso</w:t>
        <w:br/>
        <w:t>Garibaldi  Vs.  Brasil.  Excepciones  Preliminares,  Fondo,  Reparaciones  y</w:t>
        <w:br/>
        <w:t>Costas. Sentencia de 23 de septiembre de 2009, párr.  133,  y  Caso  Radilla</w:t>
        <w:br/>
        <w:t>Pacheco Vs. México, supra nota 12, párr. 244.</w:t>
        <w:br/>
        <w:br/>
        <w:t>[156]        Cfr.  Caso  Valle  Jaramillo  y  otros  Vs.  Colombia.   Fondo,</w:t>
        <w:br/>
        <w:t>Reparaciones y Costas. Sentencia de 27 de noviembre de  2008.  Serie  C  No.</w:t>
        <w:br/>
        <w:t>192, párr. 155; Caso Garibaldi Vs. Brasil, supra  nota  155,  párr.  133,  y</w:t>
        <w:br/>
        <w:t>Caso Radilla Pacheco Vs. México, supra nota 12, párr. 244.</w:t>
        <w:br/>
        <w:br/>
        <w:t>[157]       Cfr. Caso Comunidad Indígena Yakye Axa Vs. Paraguay, supra  nota</w:t>
        <w:br/>
        <w:t>5, párr. 87.</w:t>
        <w:br/>
        <w:br/>
        <w:t>[158]       Cfr. Caso Valle Jaramillo y otros Vs. Colombia, supra nota  156,</w:t>
        <w:br/>
        <w:t>párr. 155; Caso Kawas Fernández, supra nota 14, párr. 115, y Caso  Garibaldi</w:t>
        <w:br/>
        <w:t>Vs. Brasil, supra nota 155, párr. 138.</w:t>
        <w:br/>
        <w:br/>
        <w:t>[159]       Cfr. Caso Comunidad Indígena Yakye Axa Vs. Paraguay, supra  nota</w:t>
        <w:br/>
        <w:t>5, párr. 89; Caso Comunidad Indígena Sawhoyamaxa Vs.  Paraguay,  supra  nota</w:t>
        <w:br/>
        <w:t>20, párr. 97 y 98.</w:t>
        <w:br/>
        <w:br/>
        <w:t>[160]        Cfr.  Caso  Velásquez  Rodríguez  Vs.   Honduras.   Excepciones</w:t>
        <w:br/>
        <w:t>Preliminares. Sentencia de 26 de junio de 1987.  Serie  C  No.1,  párr.  91;</w:t>
        <w:br/>
        <w:t>Masacre de las Dos Erres Vs. Guatemala, supra nota 12,  párr.  104,  y  Caso</w:t>
        <w:br/>
        <w:t>Chitay Nech y otros Vs. Guatemala, supra nota 8, párr. 190.</w:t>
        <w:br/>
        <w:br/>
        <w:t>[161]       Cfr. Caso Castillo Páez Vs.  Perú.  Fondo.  Sentencia  de  3  de</w:t>
        <w:br/>
        <w:t>noviembre de 1997. Serie C No.  34,  párr.  82;  Caso  Escher  y  otros  Vs.</w:t>
        <w:br/>
        <w:t>Brasil. Excepciones Preliminares, Fondo, Reparaciones  y  Costas.  Sentencia</w:t>
        <w:br/>
        <w:t>de 6 de julio de 2009. Serie C No. 200, párr. 195, y Caso Usón  Ramírez  Vs.</w:t>
        <w:br/>
        <w:t>Venezuela Excepción Preliminar, Fondo, Reparaciones y Costas.  Sentencia  de</w:t>
        <w:br/>
        <w:t>20 de noviembre de 2009. Serie C No. 207, párr. 128.</w:t>
        <w:br/>
        <w:br/>
        <w:t>[162]       Cfr. Caso Palamara Iribarne Vs.  Chile.  Fondo,  Reparaciones  y</w:t>
        <w:br/>
        <w:t>Costas. Sentencia de 22 de noviembre de 2005. Serie C No. 162, párr. 183,  y</w:t>
        <w:br/>
        <w:t>Caso Usón Ramírez Vs. Venezuela, supra nota 161, párr. 128.</w:t>
        <w:br/>
        <w:br/>
        <w:t>[163]       Cfr.  Caso  Ximenes  Lopes  Vs.  Brasil.  Excepción  Preliminar.</w:t>
        <w:br/>
        <w:t>Sentencia de 30 de noviembre de  2005.  Serie  C  No.  139,  párr.  4;  Caso</w:t>
        <w:br/>
        <w:t>Radilla Pacheco Vs. México, supra nota 12, párr. 196, y Caso Chitay  Nech  y</w:t>
        <w:br/>
        <w:t>Otros Vs. Guatemala, supra nota 8, párr. 202.</w:t>
        <w:br/>
        <w:br/>
        <w:t>[164] Cfr. Caso Tribunal Constitucional  Vs.  Perú.  Fondo,  Reparaciones  y</w:t>
        <w:br/>
        <w:t>Costas. Sentencia de 31 de enero de 2001. Serie C No.  71,  párr.  90;  Caso</w:t>
        <w:br/>
        <w:t>Usón Ramírez Vs. Venezuela, supra nota 161, párr. 129, y Caso Chitay Nech  y</w:t>
        <w:br/>
        <w:t>otros Vs. Guatemala, supra nota 8, párr. 202</w:t>
        <w:br/>
        <w:br/>
        <w:t>[165]       Cfr. Caso Acosta Calderón Vs.  Ecuador.  Fondo,  Reparaciones  y</w:t>
        <w:br/>
        <w:t>Costas. Sentencia de 24 de junio de 2005. Serie C No. 129,  párr.  93;  Caso</w:t>
        <w:br/>
        <w:t>Radilla Pacheco Vs. México supra nota 12, párr. 291, y Caso  Chitay  Nech  y</w:t>
        <w:br/>
        <w:t>otros Vs. Guatemala, supra nota 8, párr. 202.</w:t>
        <w:br/>
        <w:br/>
        <w:t>[166]       Cfr. Garantías Judiciales en Estados de Emergencia (arts.  27.2,</w:t>
        <w:br/>
        <w:t>25 y 8 Convención Americana sobre Derechos Humanos). Opinión Consultiva  OC-</w:t>
        <w:br/>
        <w:t>9/87 del 6 de octubre de 1987. Serie A No. 9, párr. 24;  Caso  Usón  Ramírez</w:t>
        <w:br/>
        <w:t>Vs. Venezuela, supra nota 161, párr. 129, y Caso Chitay  Nech  y  otros  Vs.</w:t>
        <w:br/>
        <w:t>Guatemala, supra nota 8, párr. 202.</w:t>
        <w:br/>
        <w:br/>
        <w:t>[167]       Cfr. Caso de los  “Niños  de  la  Calle”  (Villagrán  Morales  y</w:t>
        <w:br/>
        <w:t>otros) Vs. Guatemala. Fondo. Sentencia de 19 de noviembre de 1999.  Serie  C</w:t>
        <w:br/>
        <w:t>No. 63, párr. 237; Caso Usón Ramírez Vs. Venezuela, supra  nota  161,  párr.</w:t>
        <w:br/>
        <w:t>130, y Caso Radilla Pacheco Vs. México, supra nota 12, párr. 295.</w:t>
        <w:br/>
        <w:br/>
        <w:t>[168]       Cfr. Caso Suárez Rosero Vs. Ecuador. Fondo. Sentencia de  12  de</w:t>
        <w:br/>
        <w:t>noviembre de 1997.  Serie  C  No.  35,  párr.  65;  Caso  Usón  Ramírez  Vs.</w:t>
        <w:br/>
        <w:t>Venezuela, supra nota 161, párr. 130, y Caso  Radilla  Pacheco  Vs.  México,</w:t>
        <w:br/>
        <w:t>supra nota 12, párr. 295.</w:t>
        <w:br/>
        <w:br/>
        <w:t>[169]       Cfr. Caso de la  Comunidad  Indígena  Yakye  Axa  Vs.  Paraguay,</w:t>
        <w:br/>
        <w:t>supra nota 5, párr. 96, y Caso del Pueblo de Saramaka, supra nota 16,  párr.</w:t>
        <w:br/>
        <w:t>178.</w:t>
        <w:br/>
        <w:br/>
        <w:t>[170]       Cfr. Artículo 64 de la Constitución de Paraguay  (expediente  de</w:t>
        <w:br/>
        <w:t>anexos a la demanda, anexo 7, folio 2437).</w:t>
        <w:br/>
        <w:br/>
        <w:t>[171]       Cfr. Artículos 22, 24, 25 y 26  de  la  de  la  Ley  No.  904/81</w:t>
        <w:br/>
        <w:t>Estatuto de las Comunidades Indígenas, supra nota 64, folios 2405 a 2406.</w:t>
        <w:br/>
        <w:br/>
        <w:t>[172]       Cfr. Caso Comunidad Indígena Yakye Axa Vs. Paraguay, supra  nota</w:t>
        <w:br/>
        <w:t>5, párr. 98, y Caso Comunidad Indígena Sawhoyamaxa Vs. Paraguay, supra  nota</w:t>
        <w:br/>
        <w:t>20, párr. 108.</w:t>
        <w:br/>
        <w:br/>
        <w:t>[173]       Cfr. Declaración de Rodrigo Villagra Carron, supra nota 17.</w:t>
        <w:br/>
        <w:br/>
        <w:t>[174]       Cfr. artículo 94  de  la  Ley  No.  1.863/02,  Estatuto  Agrario</w:t>
        <w:br/>
        <w:t>(expediente de anexos a la demanda, anexo 7, folio 2472).</w:t>
        <w:br/>
        <w:br/>
        <w:t>[175]       Según el  Estado,  para  la  expropiación  indefectiblemente  se</w:t>
        <w:br/>
        <w:t>deben cumplir todos  los  requisitos  legales  exigidos[,  e]s  decir,  debe</w:t>
        <w:br/>
        <w:t>tratarse de un latifundio improductivo o que el motivo de  expropiación  sea</w:t>
        <w:br/>
        <w:t>el de la utilidad social. “La legislación agraria vigente en el  país,  toma</w:t>
        <w:br/>
        <w:t>en consideración el uso rentable de la tierra así como la productividad  que</w:t>
        <w:br/>
        <w:t>de ella hace el propietario para determinar su expropiabilidad o  no”  (Cfr.</w:t>
        <w:br/>
        <w:t>escrito de contestación de la demanda, folios 386 y 399).</w:t>
        <w:br/>
        <w:br/>
        <w:t>[176]       Cfr. Caso de la Comunidad  Indígena  Sawhoyamaxa  Vs.  Paraguay,</w:t>
        <w:br/>
        <w:t>supra nota 20, párr. 139.</w:t>
        <w:br/>
        <w:br/>
        <w:t>[177]       Cfr. Caso de la  Comunidad  Indígena  Yakye  Axa  Vs.  Paraguay,</w:t>
        <w:br/>
        <w:t>supra nota 5, párr. 38.b.</w:t>
        <w:br/>
        <w:br/>
        <w:t>[178]       Artículo 4 de la  Ley  No.  43/89.  Por  la  cual  se  modifican</w:t>
        <w:br/>
        <w:t>disposiciones de la Ley n° 1.372/88;  “que  establece  un  régimen  para  la</w:t>
        <w:br/>
        <w:t>regulación de los asentamientos de las comunidades  indígenas”,  del  21  de</w:t>
        <w:br/>
        <w:t>diciembre de 1989 (expediente de anexos a la demanda, apéndice  2,  tomo  1,</w:t>
        <w:br/>
        <w:t>folio 252).</w:t>
        <w:br/>
        <w:br/>
        <w:t>[179]       Cfr. mutatis mutandis, Caso del Pueblo de Saramaka Vs.  Surinam,</w:t>
        <w:br/>
        <w:t>supra nota 16, párr. 129.</w:t>
        <w:br/>
        <w:br/>
        <w:t>[180]       Cfr. Nota S.J. I  No. 211 de 21 de mayo de 2010, supra nota  99,</w:t>
        <w:br/>
        <w:t>folio 4593.</w:t>
        <w:br/>
        <w:br/>
        <w:t>[181]       Cfr. Escrito de los representantes de 14 de  diciembre  de  2009</w:t>
        <w:br/>
        <w:t>dirigido a la Sala Constitucional, supra nota 98, folio 3435.</w:t>
        <w:br/>
        <w:br/>
        <w:t>[182]       Cfr. Nota S.J. I  No. 211 de 21 de mayo de 2010, supra nota  99,</w:t>
        <w:br/>
        <w:t>folio 4593.</w:t>
        <w:br/>
        <w:br/>
        <w:t>[183]       Cfr. Dictamen  de  24  de  diciembre  de  2009  de  la  Asesoría</w:t>
        <w:br/>
        <w:t>Jurídica de la Secretaría del Ambiente, supra nota 90, folios 3383 y 3385.</w:t>
        <w:br/>
        <w:br/>
        <w:t>[184]       Cfr. Declaración de Lida Acuña, supra nota 17.</w:t>
        <w:br/>
        <w:br/>
        <w:t>[185]       Cfr. Peritaje de Enrique Castillo rendido en el  caso  Comunidad</w:t>
        <w:br/>
        <w:t>Indígena Yakye Axa Vs. Paraguay, supra nota 5 (expediente de fondo, tomo  I,</w:t>
        <w:br/>
        <w:t>folio 296).</w:t>
        <w:br/>
        <w:br/>
        <w:t>[186]       Cfr. Peritaje de Rodolfo Stavenhagen, supra nota 17, folio  640.</w:t>
        <w:br/>
        <w:br/>
        <w:br/>
        <w:t>[187] Cfr. Caso de la Comunidad Indígena Yakye Axa Vs. Paraguay, supra  nota</w:t>
        <w:br/>
        <w:t>5, párr. 135; Caso Comunidad Indígena Sawhoyamaxa Vs. Paraguay,  supra  nota</w:t>
        <w:br/>
        <w:t>20, párr. 118, y Caso del Pueblo de Saramaka Vs.  Surinam,  supra  nota  16,</w:t>
        <w:br/>
        <w:t>párr. 120.</w:t>
        <w:br/>
        <w:br/>
        <w:t>[188]       ONU,  Comité  de  Derechos  Económicos  Sociales  y  Culturales.</w:t>
        <w:br/>
        <w:t>Observación General No. 21, diciembre 21 de 2009. E/C.12/GC/21.</w:t>
        <w:br/>
        <w:br/>
        <w:t>[189]       Declaración de Rodrigo Villagra Carron, supra nota 17.</w:t>
        <w:br/>
        <w:br/>
        <w:t>[190]        El  testigo  Rodrigo  Villagra  Carron,  declaró  en  audiencia</w:t>
        <w:br/>
        <w:t>pública en qué consistían los ritos de iniciación:</w:t>
        <w:br/>
        <w:br/>
        <w:t xml:space="preserve">      por ejemplo el masculino que implica que un Chaman o el Cayá empieza a</w:t>
        <w:br/>
        <w:t xml:space="preserve">      cantar toda la noche y se va invitando a gente.  Primero  implica  que</w:t>
        <w:br/>
        <w:t xml:space="preserve">      tiene que ser una época buena, una época del año buena donde la  gente</w:t>
        <w:br/>
        <w:t xml:space="preserve">      puede recolectar suficientes frutos y alimentos  para  invitar  a  una</w:t>
        <w:br/>
        <w:t xml:space="preserve">      festividad grande. En  ese  proceso  de  iniciación  los  jóvenes  son</w:t>
        <w:br/>
        <w:t xml:space="preserve">      sometidos a la prueba de cierto  tipo  de  plantas  que  implican  que</w:t>
        <w:br/>
        <w:t xml:space="preserve">      puedan desmayarse […] y que  sean  velados  por  un  chaman  o  varios</w:t>
        <w:br/>
        <w:t xml:space="preserve">      chamanes principales, que lo que hacen  es  dominar  la  potencia,  el</w:t>
        <w:br/>
        <w:t xml:space="preserve">      conocimiento que está en esas plantas, que después va a ser la  planta</w:t>
        <w:br/>
        <w:t xml:space="preserve">      dueña de un conocimiento que le va permitir curar. […] [E]s  como  una</w:t>
        <w:br/>
        <w:t xml:space="preserve">      festividad social donde […] está cantando un chaman  y  a  la  vez  se</w:t>
        <w:br/>
        <w:t xml:space="preserve">      hacen otros bailes  entre  mujeres  y  hombres  […].  Los  hombres  se</w:t>
        <w:br/>
        <w:t xml:space="preserve">      ataviaban con  plumas  con  pinturas  particulares,  y  varias  aldeas</w:t>
        <w:br/>
        <w:t xml:space="preserve">      vecinas venían. Eso permitía una  integración  social  que  bajaba  el</w:t>
        <w:br/>
        <w:t xml:space="preserve">      nivel de conflicto porque era una fiesta.  […]  [H]abían  competencias</w:t>
        <w:br/>
        <w:t xml:space="preserve">      deportivas, también habían juegos […]  de  salón,  juegos  deportivos,</w:t>
        <w:br/>
        <w:t xml:space="preserve">      bailes específicos que permitían no solamente la integración con otras</w:t>
        <w:br/>
        <w:t xml:space="preserve">      aldeas sino de género entre hombre y mujer.</w:t>
        <w:br/>
        <w:br/>
        <w:t>[191]       En cuanto a la práctica  del  chamanismo,  el  testigo  Villagra</w:t>
        <w:br/>
        <w:t>Carron indicó que:</w:t>
        <w:br/>
        <w:br/>
        <w:t xml:space="preserve">      la realidad es que hoy hay mucho[s] menos chamanes. [P]or  ejemplo  en</w:t>
        <w:br/>
        <w:t xml:space="preserve">      el ritual [“de Huanca”], que es donde se inicia gente que puede llegar</w:t>
        <w:br/>
        <w:t xml:space="preserve">      a tener ese conocimiento, […]  eso  implica  tener  acceso  a  lugares</w:t>
        <w:br/>
        <w:t xml:space="preserve">      específicos, donde obtener esa planta, o donde  realizar  el  estudio,</w:t>
        <w:br/>
        <w:t xml:space="preserve">      apartado de la gente, porque es  un  estudio  muy  peligroso  por  las</w:t>
        <w:br/>
        <w:t xml:space="preserve">      implicancias que tiene por el proceso que sufre el iniciado. [Por esas</w:t>
        <w:br/>
        <w:t xml:space="preserve">      razones], es que no [hay] más iniciados chamanes.  […]  [L]os  últimos</w:t>
        <w:br/>
        <w:t xml:space="preserve">      chamanes est[á]n muriendo.</w:t>
        <w:br/>
        <w:br/>
        <w:t>[192]       Cfr. Caso de los  “Niños  de  la  Calle”  (Villagrán  Morales  y</w:t>
        <w:br/>
        <w:t>otros) Vs. Guatemala. Fondo,  supra  párr.  167,  párr.  144;  Caso  Montero</w:t>
        <w:br/>
        <w:t>Aranguren y otros (Retén de Catia) Vs. Venezuela. Excepciones  preliminares,</w:t>
        <w:br/>
        <w:t>Fondo, Reparaciones y Costas. Sentencia de 5 de julio de 2006, Serie C.  No.</w:t>
        <w:br/>
        <w:t>150,  párr.  63,  y  Caso  Zambrano  Vélez  y  otros   Vs.   Ecuador. Fondo,</w:t>
        <w:br/>
        <w:t>Reparaciones y Costas. Sentencia de 4 de julio de 2007.  Serie  C  No.  166,</w:t>
        <w:br/>
        <w:t>párr. 78.</w:t>
        <w:br/>
        <w:br/>
        <w:t>[193] Cfr. Caso Caso de los “Niños de la Calle” (Villagrán Morales y  otros)</w:t>
        <w:br/>
        <w:t>Vs. Guatemala. Fondo, supra nota 167, párr. 144; Caso  Montero  Aranguren  y</w:t>
        <w:br/>
        <w:t>otros (Retén de Catia) Vs. Venezuela, supra  nota  192,  párr.  63,  y  Caso</w:t>
        <w:br/>
        <w:t>Zambrano Vélez y otros Vs. Ecuador, supra nota 192, párr. 78.</w:t>
        <w:br/>
        <w:br/>
        <w:t>[194]       Cfr. Caso de los  “Niños  de  la  Calle”  (Villagrán  Morales  y</w:t>
        <w:br/>
        <w:t>otros) Vs.  Guatemala.   Fondo,  supra  nota  167,  párr.  144;  Caso  Kawas</w:t>
        <w:br/>
        <w:t>Fernández Vs. Honduras, supra nota 14, párr. 74, y  Caso  González  y  otras</w:t>
        <w:br/>
        <w:t>(“Campo Algodonero”) Vs. México, supra nota 14, párr. 245.</w:t>
        <w:br/>
        <w:br/>
        <w:t>[195]       Cfr. Caso de la Masacre de Pueblo  Bello  Vs.  Colombia.  Fondo,</w:t>
        <w:br/>
        <w:t>Reparaciones y Costas. Sentencia de 31 de enero de 2006. Serie  C  No.  140,</w:t>
        <w:br/>
        <w:t>párr. 120; Caso Kawas Fernández Vs. Honduras, supra nota  14,  párr.  74,  y</w:t>
        <w:br/>
        <w:t>Caso González y otras (“Campo Algodonero”) Vs. México, supra nota 14,  párr.</w:t>
        <w:br/>
        <w:t>245.</w:t>
        <w:br/>
        <w:br/>
        <w:t>[196] Cfr. Caso de la Masacre de Pueblo Bello, supra nota 195, párr. 124,  y</w:t>
        <w:br/>
        <w:t>Caso Comunidad Indígena Sawhoyamaxa Vs. Paraguay, supra nota 20, párr.  155.</w:t>
        <w:br/>
        <w:br/>
        <w:br/>
        <w:t>[197] Cfr. Caso de la Masacre de Pueblo Bello, supra nota 195, párrs. 123  y</w:t>
        <w:br/>
        <w:t>124, y Caso Comunidad Indígena Sawhoyamaxa  Vs.  Paraguay,  supra  nota  20,</w:t>
        <w:br/>
        <w:t>párr. 155.</w:t>
        <w:br/>
        <w:br/>
        <w:t>[198]        Cfr.  Acta  manuscrita  de  diligencia  de  inspección   ocular</w:t>
        <w:br/>
        <w:t>realizada el 11 de junio de 1991 a la Comunidad  Xákmok  Kásek  en  relación</w:t>
        <w:br/>
        <w:t>con las tierras reclamadas (expediente de anexos a la demanda,  apéndice  3,</w:t>
        <w:br/>
        <w:t>tomo II, folio 790), e informe de inspección  ocular  realizada  por  Pastor</w:t>
        <w:br/>
        <w:t>Cabanellas, supra nota 62, folios 791 a 794).</w:t>
        <w:br/>
        <w:br/>
        <w:t>[199]       Cfr. Informe de la ampliación de  inspección  ocular  de  22  de</w:t>
        <w:br/>
        <w:t>septiembre de 1992, supra nota 62, folios 883 y 884).</w:t>
        <w:br/>
        <w:br/>
        <w:t>[200]       Comunicación de la Comunidad dirigida al Presidente del  IBR  de</w:t>
        <w:br/>
        <w:t>11 de noviembre de 1993, supra nota 65 (expediente de anexos a  la  demanda,</w:t>
        <w:br/>
        <w:t>anexo 5, folio 2351).</w:t>
        <w:br/>
        <w:br/>
        <w:t>[201]       Cfr. Informe elevado por la Fiscalía en lo  Laboral  del  Primer</w:t>
        <w:br/>
        <w:t>Turno, sin fecha (expediente de anexos a la demanda, apéndice  3,  tomo  IV,</w:t>
        <w:br/>
        <w:t>folio 1808).</w:t>
        <w:br/>
        <w:br/>
        <w:t>[202]       Cfr. Informe elevado por la Fiscalía en lo  Laboral  del  Primer</w:t>
        <w:br/>
        <w:t>Turno, sin fecha, supra nota 201, folio 1810.</w:t>
        <w:br/>
        <w:br/>
        <w:t>[203]       Cfr. Decreto No. 1830 de 17 de  abril  de  2009  (expediente  de</w:t>
        <w:br/>
        <w:t>anexos a la contestación de la demanda, anexo 7, folios 3643 a 3646).</w:t>
        <w:br/>
        <w:br/>
        <w:t>[204]       El referido Decreto No. 1830 de 17 de abril de 2009, supra  nota</w:t>
        <w:br/>
        <w:t>203, se refiere también a la Comunidad Kelyenmagategma del  Pueblo  Enxet  e</w:t>
        <w:br/>
        <w:t>Y´ara Marantu.</w:t>
        <w:br/>
        <w:br/>
        <w:t>[205]       Cfr. Decreto No. 1830, supra nota 203.</w:t>
        <w:br/>
        <w:br/>
        <w:t>[206]       Cfr. Informe médico-sanitario de la Comunidad  Enxet  de  Xákmok</w:t>
        <w:br/>
        <w:t>Kásek, realizado por el médico  Pablo  Balmaceda  durante  el  2002  -  2003</w:t>
        <w:br/>
        <w:t>(expediente de anexos a la demanda, anexo 4, folio 2305).</w:t>
        <w:br/>
        <w:br/>
        <w:t>[207]       Cfr. Planilla de distribución de agua, Secretaría de  Emergencia</w:t>
        <w:br/>
        <w:t>Nacional (expediente de anexos a la contestación de la demanda,  anexo  1.7,</w:t>
        <w:br/>
        <w:t>folios 3378 a 3381).</w:t>
        <w:br/>
        <w:br/>
        <w:t>[208]       Cfr. Planilla de distribución de agua, Secretaría de  Emergencia</w:t>
        <w:br/>
        <w:t>Nacional, supra nota 207, folio 3378.</w:t>
        <w:br/>
        <w:br/>
        <w:t>[209]       Cfr. Planilla de distribución de agua, Secretaría de  Emergencia</w:t>
        <w:br/>
        <w:t>Nacional, supra nota 207, folio 3380.</w:t>
        <w:br/>
        <w:br/>
        <w:t>[210]       Cfr. Planilla de distribución de agua, Secretaría de  Emergencia</w:t>
        <w:br/>
        <w:t>Nacional, supra nota 207, folio 3381.</w:t>
        <w:br/>
        <w:br/>
        <w:t>[211]       Cfr. Planilla de distribución de agua, Secretaría de  Emergencia</w:t>
        <w:br/>
        <w:t>Nacional, supra nota 207, folio 3379.</w:t>
        <w:br/>
        <w:br/>
        <w:t>[212]       Cfr. Acta  de  5  de  febrero  de  2005  (expediente  de  anexos</w:t>
        <w:br/>
        <w:t>entregados por el Estado en la audiencia pública, anexo XIV, folios  3959  a</w:t>
        <w:br/>
        <w:t>3962).</w:t>
        <w:br/>
        <w:br/>
        <w:t>[213]       Para obtener  este  dato  el  Tribunal  contabilizó:  (total  de</w:t>
        <w:br/>
        <w:t>litros de agua  entregados  por  el  Estado  /  número  de  miembros  de  la</w:t>
        <w:br/>
        <w:t>Comunidad que viven en 25 de Febrero) = N1; N1 / período  de  tiempo  en  el</w:t>
        <w:br/>
        <w:t>que dicha asistencia ha  sido  brindada  en  días  calendario=  cantidad  de</w:t>
        <w:br/>
        <w:t>litros de agua diarios por persona.</w:t>
        <w:br/>
        <w:br/>
        <w:t>[214]       Comité de  Derechos  Económicos,  Sociales  y  Culturales,  ONU.</w:t>
        <w:br/>
        <w:t>Observación General No. 15. El derecho  al  agua  (artículos  11  y  12  del</w:t>
        <w:br/>
        <w:t>Pacto), (29º período de sesiones 2002), U.N.  Doc.  HRI/GEN/1/Rev.7  at  117</w:t>
        <w:br/>
        <w:t>(2002). párr. 12. Ver J.  Bartram  and  G.  Howard,  “La  cantidad  de  agua</w:t>
        <w:br/>
        <w:t>domiciliaria,   el   nivel   de   servicio   y   la   salud”,   WHO,   2002.</w:t>
        <w:br/>
        <w:t>WHO/SDE/WSH/03.02:  “Los  estimados  de  las  necesidades  de   las   madres</w:t>
        <w:br/>
        <w:t>lactantes  que  realizan  una  actividad  física  moderada  en  temperaturas</w:t>
        <w:br/>
        <w:t>superiores al promedio indican que 7,5 litros per cápita por día  atenderían</w:t>
        <w:br/>
        <w:t>las  necesidades  de  la  mayoría  de  las  personas  en  casi   todas   las</w:t>
        <w:br/>
        <w:t>condiciones. Cabe observar que la calidad de esta agua debe tener  un  nivel</w:t>
        <w:br/>
        <w:t>tolerable  de  riesgo”.  Ver  también:  P.H.  Gleick,  (1996)  “Basic  water</w:t>
        <w:br/>
        <w:t>requirements   for   human   activities:   meeting   basic   needs”,   Water</w:t>
        <w:br/>
        <w:t>International, 21, pp. 83-92.</w:t>
        <w:br/>
        <w:br/>
        <w:t>[215]       Cfr. Declaración de Maximiliano Ruíz, supra nota 28.</w:t>
        <w:br/>
        <w:br/>
        <w:t>[216]       Cfr. Declaración de Maximiliano Ruíz, supra nota 28.</w:t>
        <w:br/>
        <w:br/>
        <w:t>[217]       Cfr. Informe Antropológico del  CEADUC,  supra  nota  55,  folio</w:t>
        <w:br/>
        <w:t>1740. Ver también: declaración de Tomás Dermott, supra nota 24,  folio  597;</w:t>
        <w:br/>
        <w:t>declaración de Marcelino López, supra nota 63,  folio  585;  declaración  de</w:t>
        <w:br/>
        <w:t>Gerardo Larrosa, supra nota 75, folio  605,  y  declaración  de  Maximiliano</w:t>
        <w:br/>
        <w:t>Ruíz, supra nota 28.</w:t>
        <w:br/>
        <w:br/>
        <w:t>[218]       Cfr. Evaluación sobre salubridad en  cuatro  Comunidades  Enxet,</w:t>
        <w:br/>
        <w:t>mayo y junio de 2007 (anexos al escrito de solicitudes  y  argumentos,  tomo</w:t>
        <w:br/>
        <w:t>VI, folio 2650).</w:t>
        <w:br/>
        <w:br/>
        <w:t>[219]       Generalmente se  componía  y  caracterizaba  por  un  cactus  de</w:t>
        <w:br/>
        <w:t>frutos comestibles, algunas huertas pequeñas  en  donde  cultivaban  papaya,</w:t>
        <w:br/>
        <w:t>palmitos  de  Karanda’y,  actividades  de  pesca  en  los  tajamares.   Cfr.</w:t>
        <w:br/>
        <w:t>evaluación sobre salubridad en cuatro Comunidades  Enxet,  supra  nota  218,</w:t>
        <w:br/>
        <w:t>folio 2642.</w:t>
        <w:br/>
        <w:br/>
        <w:t>[220]       Cfr. Evaluación sobre salubridad en  cuatro  Comunidades  Enxet,</w:t>
        <w:br/>
        <w:t>supra nota 218, folio 2642.</w:t>
        <w:br/>
        <w:br/>
        <w:t>[221]       Cfr. Nota de la Secretaría de Emergencia  Nacional  (SEN-SE  No.</w:t>
        <w:br/>
        <w:t>1467/09) de 23 de diciembre de 2009 (expediente de anexos a la  contestación</w:t>
        <w:br/>
        <w:t>de la demanda, tomo VIII,  anexo  1.7,  folios  3332  y  3333,  y  actas  de</w:t>
        <w:br/>
        <w:t>provisión de víveres entregados por la  Secretaría  de  Emergencia  Nacional</w:t>
        <w:br/>
        <w:t>(expediente de anexos  a la contestación de la demanda,  tomo  VIII,  folios</w:t>
        <w:br/>
        <w:t>3349, 3354, 3362, 3364, 3369, 3374).</w:t>
        <w:br/>
        <w:br/>
        <w:t>[222]       Cfr. Actas y  planillas  de  asistencia  a  damnificados  de  la</w:t>
        <w:br/>
        <w:t>Secretaría  de  Emergencia  Nacional  de  la  Presidencia  de  la  República</w:t>
        <w:br/>
        <w:t>(expediente de anexos a la contestación de la demanda, folios 3322  a  3377)</w:t>
        <w:br/>
        <w:t>y (expediente de anexos a los alegatos finales escritos del  Estado,  folios</w:t>
        <w:br/>
        <w:t>4284 a 4303).</w:t>
        <w:br/>
        <w:br/>
        <w:t>[223]       Cfr. Comité de Derechos Económicos, Sociales y Culturales,  ONU,</w:t>
        <w:br/>
        <w:t>Observación General No. 12, 12 de mayo de 1999, E/C.12/1999/5.  Párrs.  6  a</w:t>
        <w:br/>
        <w:t>8.</w:t>
        <w:br/>
        <w:br/>
        <w:t>[224]       Cabe destacar que el Comité de Derechos Económicos,  Sociales  y</w:t>
        <w:br/>
        <w:t>Culturales “[e]l derecho a la alimentación adecuada  no  debe  interpretarse</w:t>
        <w:br/>
        <w:t>[…] en forma estrecha o restrictiva asimilándolo a un conjunto de  calorías,</w:t>
        <w:br/>
        <w:t>proteínas y otros elementos nutritivos concretos” (Observación  General  No.</w:t>
        <w:br/>
        <w:t>12, supra nota 223, párr. 6).</w:t>
        <w:br/>
        <w:br/>
        <w:t>[225]       Cfr. Nota de la Secretaría de Emergencia  Nacional  (SEN-SE  No.</w:t>
        <w:br/>
        <w:t>1467/09), supra nota 221.</w:t>
        <w:br/>
        <w:br/>
        <w:t>[226]       Cfr. Evaluación sobre salubridad en  cuatro  Comunidades  Enxet,</w:t>
        <w:br/>
        <w:t>supra nota 218, folio  2650,  y  peritaje  de  Pablo  Balmaceda  rendida  en</w:t>
        <w:br/>
        <w:t>audiencia pública llevada a cabo el 14 de abril  de  2010,  durante  el  XLI</w:t>
        <w:br/>
        <w:t>Período  Extraordinario  de  Sesiones  celebrado  en  la  ciudad  de   Lima,</w:t>
        <w:br/>
        <w:t>República del Perú.</w:t>
        <w:br/>
        <w:br/>
        <w:t>[227]       Cfr. Evaluación sobre salubridad en  cuatro  Comunidades  Enxet,</w:t>
        <w:br/>
        <w:t>supra nota 218, folios 2650 a 2651.</w:t>
        <w:br/>
        <w:br/>
        <w:t>[228]       Cfr. Evaluación sobre salubridad en  cuatro  Comunidades  Enxet,</w:t>
        <w:br/>
        <w:t>supra nota 218, folio 2650.</w:t>
        <w:br/>
        <w:br/>
        <w:t>[229]       Cfr. Peritaje de Pablo Balmaceda, supra nota 226.</w:t>
        <w:br/>
        <w:br/>
        <w:t>[230]       Cfr. Declaración de Antonia Ramírez, supra nota 28.</w:t>
        <w:br/>
        <w:br/>
        <w:t>[231]       Cfr. Declaración de Gerardo Larrosa, supra nota 75,  folio  607,</w:t>
        <w:br/>
        <w:t>y declaración de Maximiliano Ruíz, supra nota 28.</w:t>
        <w:br/>
        <w:br/>
        <w:t>[232]       Cfr. Planillas de asistencia a damnificados de la Secretaría  de</w:t>
        <w:br/>
        <w:t>Emergencia Nacional de la Presidencia de la  República,  supra  nota  222  y</w:t>
        <w:br/>
        <w:t>anexos a los alegatos finales escritos expediente de anexos a  los  alegatos</w:t>
        <w:br/>
        <w:t>finales escritos, folios 4284 a 4303).</w:t>
        <w:br/>
        <w:br/>
        <w:t>[233]       Para lograr este dato se realizó la  siguiente  fórmula:  23.554</w:t>
        <w:br/>
        <w:t>(total de kilos  entregados  conforme  a  las  plantillas  de  asistencia  a</w:t>
        <w:br/>
        <w:t>damnificados de la Secretaría de Emergencia Nacional de  la  Presidencia  de</w:t>
        <w:br/>
        <w:t>la República) / 268 (número de miembros de la  Comunidad)  =  87.89  Kg  por</w:t>
        <w:br/>
        <w:t>persona. Este resultado 87.89 kg / 300 días que es el periodo de tiempo  que</w:t>
        <w:br/>
        <w:t>abarca la asistencia brindada por el Estado = 0.29 Kg por  día  por  persona</w:t>
        <w:br/>
        <w:t>durante ese tiempo.</w:t>
        <w:br/>
        <w:br/>
        <w:t>[234]        El  Comité  de  Derechos  Económicos  Sociales  y   Culturales,</w:t>
        <w:br/>
        <w:t>considera que el contenido básico del derecho  a  la  alimentación  es:  “la</w:t>
        <w:br/>
        <w:t>disponibilidad  de  alimentos  en  cantidad  y  calidad   suficientes   para</w:t>
        <w:br/>
        <w:t>satisfacer las necesidades alimentarias de los  individuos,  sin  sustancias</w:t>
        <w:br/>
        <w:t>nocivas, y aceptables  en  una  cultura  determinada”  (Comité  de  Derechos</w:t>
        <w:br/>
        <w:t>Económicos, Sociales y Culturales, ONU, Observación General  No.  12,  supra</w:t>
        <w:br/>
        <w:t>nota 223, párr. 8).</w:t>
        <w:br/>
        <w:br/>
        <w:t>[235]       Cfr. Evaluación sobre salubridad en  cuatro  Comunidades  Enxet,</w:t>
        <w:br/>
        <w:t>supra nota 218, folio 2649.</w:t>
        <w:br/>
        <w:br/>
        <w:t>[236]       Cfr. Declaración de Gerardo Larrosa, supra nota 75, folio 606.</w:t>
        <w:br/>
        <w:br/>
        <w:t>[237]       Cfr. Informe de 16 de  diciembre  de  2009,  firmado  por  María</w:t>
        <w:br/>
        <w:t>Filomena Bejarano, Directora General de la Dirección General  de  Asistencia</w:t>
        <w:br/>
        <w:t>a Grupos Vulnerables (expediente de anexos a la contestación de la  demanda,</w:t>
        <w:br/>
        <w:t>anexo 1.4, folios 3307 a 3308).</w:t>
        <w:br/>
        <w:br/>
        <w:t>[238]       Cfr. Informe Antropológico del  CEADUC,  supra  nota  55,  folio</w:t>
        <w:br/>
        <w:t>1742.</w:t>
        <w:br/>
        <w:br/>
        <w:t>[239]       Cfr. Informe Antropológico del  CEADUC,  supra  nota  55,  folio</w:t>
        <w:br/>
        <w:t>1742.</w:t>
        <w:br/>
        <w:br/>
        <w:t>[240]       Cfr. Informe Antropológico del  CEADUC,  supra  nota  55,  folio</w:t>
        <w:br/>
        <w:t>1742.</w:t>
        <w:br/>
        <w:br/>
        <w:t>[241]       Cfr. Informe Antropológico del  CEADUC,  supra  nota  55,  folio</w:t>
        <w:br/>
        <w:t>1742.</w:t>
        <w:br/>
        <w:br/>
        <w:t>[242]       Cfr. Comunicación MSPyBS/DGAPS No. 865/2009 de 18  de  diciembre</w:t>
        <w:br/>
        <w:t>de 2009 (expediente de anexos a la contestación de la  demanda,  anexo  1.4,</w:t>
        <w:br/>
        <w:t>folio 3306).</w:t>
        <w:br/>
        <w:br/>
        <w:t>[243]       Cfr. Informe de la Directora  General  de  Asistencia  a  Grupos</w:t>
        <w:br/>
        <w:t>Vulnerables de 16 de diciembre de 2009, supra nota 237.</w:t>
        <w:br/>
        <w:br/>
        <w:t>[244]       Cfr. Información presentada por el Ministerio de  Salud  Pública</w:t>
        <w:br/>
        <w:t>y Bienestar Social el 16 de diciembre de 2009, que comprende la  información</w:t>
        <w:br/>
        <w:t>de atenciones médicas realizadas entre el 1 de  mayo  de  2009  hasta  4  de</w:t>
        <w:br/>
        <w:t>noviembre de 2009, y los datos  que  obran  en  listados  remitidos  por  la</w:t>
        <w:br/>
        <w:t>Dirección General de Asistencia a Grupos Vulnerables al Ministerio de  Salud</w:t>
        <w:br/>
        <w:t>Pública y Bienestar Social (expediente de anexos a  la  contestación  de  la</w:t>
        <w:br/>
        <w:t>demanda, tomo VIII, anexo 4, folios 3292 a 3305), y  planillas  de  atención</w:t>
        <w:br/>
        <w:t>de enero y febrero de 2010 (expediente de  anexos  a  los  alegatos  finales</w:t>
        <w:br/>
        <w:t>escritos del Estado, folios 4423 a 4435).</w:t>
        <w:br/>
        <w:br/>
        <w:t>[245]        Cfr.   Memoria   descriptiva   “dispensario   médico   –   para</w:t>
        <w:br/>
        <w:t>asentamiento indígena  de  la  XV  región  sanitaria  de  Presidente  Hayes”</w:t>
        <w:br/>
        <w:t>(expediente de anexos a la contestación de la demanda, anexo 4, folios  3315</w:t>
        <w:br/>
        <w:t>a 3321).</w:t>
        <w:br/>
        <w:br/>
        <w:t>[246]       Declaración de Marcelino López, supra nota 63, folio 587.</w:t>
        <w:br/>
        <w:br/>
        <w:t>[247]       Declaración de Marcelino López, supra nota 63, folio 587.</w:t>
        <w:br/>
        <w:br/>
        <w:t>[248]       Declaración de Gerardo Larrosa, supra nota 75, folio 606.</w:t>
        <w:br/>
        <w:br/>
        <w:t>[249]       El Estado indicó que había suministrado  23  mesas  individuales</w:t>
        <w:br/>
        <w:t>para  alumno,  23  sillas  individuales  para  alumno,  un  escritorio  para</w:t>
        <w:br/>
        <w:t>profesor, una silla para profesor y un armario (expediente de  anexos  a  la</w:t>
        <w:br/>
        <w:t>contestación de la demanda, tomo VIII, anexo 1.6, folio 3323).</w:t>
        <w:br/>
        <w:br/>
        <w:t>[250]       Cfr. Informe de 26 de octubre de 2009 a la Dirección General  de</w:t>
        <w:br/>
        <w:t>Educación  Escolar  Indígena   sobre  la  jornada  de  Capacitación  Docente</w:t>
        <w:br/>
        <w:t>Indígena con  dictamen  en  la  Corte  Interamericana  de  Derechos  Humanos</w:t>
        <w:br/>
        <w:t>(expediente de anexos a la contestación a  la  demanda,  anexo  1.6,  folios</w:t>
        <w:br/>
        <w:t>3324 a 3328).</w:t>
        <w:br/>
        <w:br/>
        <w:t>[251]       Ver  artículo  13.3.a  del  Protocolo  de  San  Salvador,  sobre</w:t>
        <w:br/>
        <w:t>Derechos Económicos Sociales y Culturales,  que  indica  que  “la  enseñanza</w:t>
        <w:br/>
        <w:t>primaria debe ser obligatoria y asequible a todos gratuitamente”.</w:t>
        <w:br/>
        <w:br/>
        <w:t>[252]       Cfr. Convenio 169 de la OIT sobre Pueblos Indígenas  y  Tribales</w:t>
        <w:br/>
        <w:t>en Países Independientes, artículo 27.1</w:t>
        <w:br/>
        <w:br/>
        <w:t>[253]       Cfr. Comité de Derechos Económicos, Sociales y Culturales,  ONU,</w:t>
        <w:br/>
        <w:t>Observación General No. 13, 8 de diciembre de 1999,  E/C.12/1999/10.,  párr.</w:t>
        <w:br/>
        <w:t>50</w:t>
        <w:br/>
        <w:br/>
        <w:t>[254]       Cfr. Fotos de la Escuela Básica No. 11531 (expediente de  anexos</w:t>
        <w:br/>
        <w:t>a los alegatos finales del Estado, tomo X, folio 4415).</w:t>
        <w:br/>
        <w:br/>
        <w:t>[255]       Declaración de Marcelino López, supra nota 63, folio 585.</w:t>
        <w:br/>
        <w:br/>
        <w:t>[256]       Comité de  Derechos  Económicos,  Sociales  y  Culturales,  ONU,</w:t>
        <w:br/>
        <w:t>Observación General No. 21, diciembre 21 de 2009, E/C.12/GC/21, párr. 38.</w:t>
        <w:br/>
        <w:br/>
        <w:t>[257]       Benigno Corrientes Domínguez, quien se dice falleció en  1991  a</w:t>
        <w:br/>
        <w:t>la  edad  de  1  año,  no  aparece  en  el  listado   presentado   por   los</w:t>
        <w:br/>
        <w:t>representantes en el escrito de solicitudes y  argumentos,  pero  sí  en  la</w:t>
        <w:br/>
        <w:t>demanda y en el censo de 2007 (anexos a la demanda, folio 2394).</w:t>
        <w:br/>
        <w:br/>
        <w:t>[258]       Cfr. Acta de defunción de Felipa  Quintana  de  13  de  mayo  de</w:t>
        <w:br/>
        <w:t>2008, causa de la defunción: shock séptico (expediente de fondo,  tomo  III,</w:t>
        <w:br/>
        <w:t>folio 1140), y acta de defunción de Sara Esther  Gonzáles  López  de  25  de</w:t>
        <w:br/>
        <w:t>agosto  de  2008  donde  se  indica  que   la   causa   de   defunción   es:</w:t>
        <w:br/>
        <w:t>gastroenteritis, deshidratación infecciosa  y  convulsiones  (expediente  de</w:t>
        <w:br/>
        <w:t>fondo, tomo III, folio 1142).</w:t>
        <w:br/>
        <w:br/>
        <w:t>[259]       Peritaje de Pablo Balmaceda, supra nota 226, e  Informe  médico-</w:t>
        <w:br/>
        <w:t>sanitario de la Comunidad Xákmok Kásek, supra nota 206.</w:t>
        <w:br/>
        <w:br/>
        <w:t>[260]       Cfr. Informe médico-sanitario  de  la  Comunidad  Xákmok  Kásek,</w:t>
        <w:br/>
        <w:t>supra nota 206.</w:t>
        <w:br/>
        <w:br/>
        <w:t>[261]       La Corte no cuenta con elementos para determinar si la fecha  de</w:t>
        <w:br/>
        <w:t>defunción es posterior a la competencia contenciosa de la Corte.</w:t>
        <w:br/>
        <w:br/>
        <w:t>[262] Cfr. Caso de  Cinco  Pensionistas  Vs.  Perú,  Fondo,  Reparaciones  y</w:t>
        <w:br/>
        <w:t>Costas. Sentencia de 28 de febrero de 2003, Serie C No. 98, párr. 154;  Caso</w:t>
        <w:br/>
        <w:t>Perozo y otros Vs. Venezuela. Excepciones Preliminares, Fondo,  Reparaciones</w:t>
        <w:br/>
        <w:t>y Costas. Sentencia de 28 de enero de 2009. Serie C No.  195,  párr.  67,  y</w:t>
        <w:br/>
        <w:t>Caso Manuel Cepeda Vargas Vs. Colombia, supra nota 8, párr. 49</w:t>
        <w:br/>
        <w:br/>
        <w:t>[263] En la  demanda  de  la  Comisión  figura  “(NN)  Dermott  (f)”,  puede</w:t>
        <w:br/>
        <w:t>tratarse de la misma persona, al ser el mismo  año  de  fallecimiento  y  el</w:t>
        <w:br/>
        <w:t>mismo apellido. Sólo difieren en que uno figura que habría muerto al  nacer,</w:t>
        <w:br/>
        <w:t>mientras que el otro señala el año, sin que se especifiquen  las  causas  de</w:t>
        <w:br/>
        <w:t>muerte.</w:t>
        <w:br/>
        <w:br/>
        <w:t>[264]       En el escrito presentado en  2009  por  los  representantes  con</w:t>
        <w:br/>
        <w:t>posterioridad a la emisión del informe de fondo de la CIDH de  30/08  de  17</w:t>
        <w:br/>
        <w:t>de julio de 2008, el año de defunción es 2003. Es posible que  se  trate  de</w:t>
        <w:br/>
        <w:t>la misma persona. Asimismo, en el informe médico aparece  como  “Corrientes”</w:t>
        <w:br/>
        <w:t>y muerte por sufrimiento fetal.</w:t>
        <w:br/>
        <w:br/>
        <w:t>[265]       En  los  listados  presentados  por  la  Comisión  aparece  como</w:t>
        <w:br/>
        <w:t>fallecida en 1993 con la siguiente aclaración: “[e]n el [I]nforme  de  Fondo</w:t>
        <w:br/>
        <w:t>está incluida una Rossana Corrientes de 10 meses que  falleció  en  1996  de</w:t>
        <w:br/>
        <w:t>Pertusis. Es posible que se  trate  de  la  misma  persona”  (expediente  de</w:t>
        <w:br/>
        <w:t>fondo, tomo I, folio 33, nota 78).</w:t>
        <w:br/>
        <w:t>[266]       El perito Pablo Balmaceda indicó que “Tito  García  […]  era  un</w:t>
        <w:br/>
        <w:t>señor que tenía el mal de Chagas que es un mal endémico de la zona o sea  de</w:t>
        <w:br/>
        <w:t>toda Ámerica del Sur prácticamente,  pero  el  jamás  recibió  una  atención</w:t>
        <w:br/>
        <w:t>adecuada a su dolencia”, supra nota 226.</w:t>
        <w:br/>
        <w:br/>
        <w:t>[267]       Sin embargo, en el  Informe  médico-sanitario  de  la  Comunidad</w:t>
        <w:br/>
        <w:t>Xákmok Kásek, realizado por el  médico  Pablo  Balmaceda,  supra  nota  206,</w:t>
        <w:br/>
        <w:t>folio 2311,  consta  la  misma  persona,  pero  se  señala  que  no  recibió</w:t>
        <w:br/>
        <w:t>asistencia médica.</w:t>
        <w:br/>
        <w:br/>
        <w:t>[268]       De conformidad con la declaración rendida por  el  perito  Pablo</w:t>
        <w:br/>
        <w:t>Balmaceda durante la audiencia pública celebrada el 14  de  abril  de  2010,</w:t>
        <w:br/>
        <w:t>“muchísimas de las muertes que ocurrieron en  la  Comunidad  eran  debido  a</w:t>
        <w:br/>
        <w:t>causa de diarrea o  de  síndrome  pulmonar,  diríamos  en  general,  que  se</w:t>
        <w:br/>
        <w:t>complicaban  al  no  recibir  una  atención  medica  adecuada  inmediata.  Y</w:t>
        <w:br/>
        <w:t>llegaban a fallecer por esas causas de  deshidratación  y  de  problemas  ya</w:t>
        <w:br/>
        <w:t>pulmonares graves evidentemente de su vida” indicó  además  que  “los  niños</w:t>
        <w:br/>
        <w:t>[…] fallecen por causas de vómito, diarrea, y  finalmente  deshidratación  y</w:t>
        <w:br/>
        <w:t>también que fallecen por los  problemas  pulmonares  que  empiezan  como  un</w:t>
        <w:br/>
        <w:t>estado gripal que se va agravando con los días y finalmente fallecen  al  no</w:t>
        <w:br/>
        <w:t>recibir atención médica”, supra nota 226.</w:t>
        <w:br/>
        <w:br/>
        <w:t>[269]       Cfr. Paul Hunt. Report of the Special Rapporteur  on  the  right</w:t>
        <w:br/>
        <w:t>of everyone to the enjoyment of the highest attainable standard  of  health,</w:t>
        <w:br/>
        <w:t>A/HRC/14/20/Add.2, 15 de abril de 2010. Se considera mortalidad  materna  la</w:t>
        <w:br/>
        <w:t>muerte de la mujer  a  causa  de  su  embarazo  o  dentro  de  los  42  días</w:t>
        <w:br/>
        <w:t>siguientes a la terminación del mismo independientemente de  la  duración  y</w:t>
        <w:br/>
        <w:t>el sitio del embarazo, debido a cualquier causa relacionada con  o  agravada</w:t>
        <w:br/>
        <w:t>por el embarazo mismo o su atención,  pero  no  por  causas  accidentales  o</w:t>
        <w:br/>
        <w:t>incidentales  (traducción  de  la  Corte).  WHO,  International  Statistical</w:t>
        <w:br/>
        <w:t>Classification of Diseases and  Related  Health  Problems,  Tenth  Revision,</w:t>
        <w:br/>
        <w:t>vol. 2, Instruction Manual, 2nd ed. (Geneva, 2005), p. 141.</w:t>
        <w:br/>
        <w:br/>
        <w:t>[270]       Cfr. Caso “Cinco Pensionistas” Vs. Perú, supra nota  262,  párr.</w:t>
        <w:br/>
        <w:t>155;  Caso  Barreto  Leiva  Vs.  Venezuela. Fondo,  Reparaciones  y  Costas.</w:t>
        <w:br/>
        <w:t>Sentencia de 17 de noviembre de 2009. Serie C No.  206,  párr.  94,  y  Caso</w:t>
        <w:br/>
        <w:t>Manuel Cepeda Vargas Vs. Colombia, supra nota 8, párr. 49.</w:t>
        <w:br/>
        <w:br/>
        <w:t>[271]       Cfr. Caso "Cinco Pensionistas" Vs. Perú, supra nota  262,  párr.</w:t>
        <w:br/>
        <w:t>153; Caso Ríos  y  otros  Vs.  Venezuela. Excepciones  Preliminares,  Fondo,</w:t>
        <w:br/>
        <w:t>Reparaciones y Costas. Sentencia de 28 de enero de 2009. Serie  C  No.  194,</w:t>
        <w:br/>
        <w:t>párr. 42, y Caso Manuel Cepeda Vargas Vs. Colombia, supra nota 8, párr. 49.</w:t>
        <w:br/>
        <w:br/>
        <w:t>[272]       Cfr. Caso “Cinco Pensionistas” Vs. Perú, supra nota  262,  párr.</w:t>
        <w:br/>
        <w:t>154; Caso Perozo y otros Vs. Venezuela, supra nota 262,  párr.  67,  y  Caso</w:t>
        <w:br/>
        <w:t>Manuel Cepeda Vargas Vs. Colombia, supra nota 8, párr. 49.</w:t>
        <w:br/>
        <w:br/>
        <w:t>[273]       Cfr. Caso  de  la  Masacre  de  Mapiripán  Vs.  Colombia. Fondo,</w:t>
        <w:br/>
        <w:t>Reparaciones y Costas. Sentencia de 15 de septiembre de 2005.  Serie  C  No.</w:t>
        <w:br/>
        <w:t>134, párr. 56; Caso Reverón Trujillo  Vs.  Venezuela. Excepción  Preliminar,</w:t>
        <w:br/>
        <w:t>Fondo, Reparaciones y Costas. Sentencia de 30 de junio de 2009. Serie C  No.</w:t>
        <w:br/>
        <w:t>197, párr. 136, y Caso González y otras  (“Campo  Algodonero”)  Vs.  México,</w:t>
        <w:br/>
        <w:t>supra nota 14, párr. 232.</w:t>
        <w:br/>
        <w:br/>
        <w:t>[274]  Cfr.  Caso  de  las  Masacres  de  Ituango  Vs.   Colombia. Excepción</w:t>
        <w:br/>
        <w:t>Preliminar, Fondo, Reparaciones y Costas. Sentencia de 1 de julio  de  2006.</w:t>
        <w:br/>
        <w:t>Serie C No. 148, párr. 98; Caso Radilla Pacheco Vs. México, supra  nota  12,</w:t>
        <w:br/>
        <w:t>párr. 108, y Caso Chitay Nech y otros Vs. Guatemala,  supra  nota  8,  párr.</w:t>
        <w:br/>
        <w:t>44.</w:t>
        <w:br/>
        <w:br/>
        <w:t>[275]       Cfr.  Caso de la Comunidad Moiwana Vs. Surinam, supra nota  129,</w:t>
        <w:br/>
        <w:t>párrs. 101 a 103.</w:t>
        <w:br/>
        <w:br/>
        <w:t>[276]       Cfr. Censo de la Comunidad Xákmok  Kásek  de  30  de  agosto  de</w:t>
        <w:br/>
        <w:t>2008, supra nota 58, folios 2248 a 2264.</w:t>
        <w:br/>
        <w:br/>
        <w:t>[277]       Cfr. Informe del Departamento de Identificaciones de la  Policía</w:t>
        <w:br/>
        <w:t>Nacional de 21 de diciembre de 2009 (expediente de anexos a la  contestación</w:t>
        <w:br/>
        <w:t>de la demanda, anexo 1.3, folios 3278 a 3280).</w:t>
        <w:br/>
        <w:br/>
        <w:t>[278]       Cfr. Informe de Miriam Acosta, técnico del campo  del  INDI,  de</w:t>
        <w:br/>
        <w:t>21 de diciembre de 2009 (expediente  de  anexos  a  la  contestación  de  la</w:t>
        <w:br/>
        <w:t>demanda, anexo 1.3, folio 3281).</w:t>
        <w:br/>
        <w:br/>
        <w:t>[279]       Cfr. Informe de Zunilda López, Oficial de Registro Civil, de  20</w:t>
        <w:br/>
        <w:t>de diciembre de 2009 (expediente de anexos a la contestación de la  demanda,</w:t>
        <w:br/>
        <w:t>anexo 1.3, folio 3283).</w:t>
        <w:br/>
        <w:br/>
        <w:t>[280]       Cfr. Caso Bámaca Velásquez Vs. Guatemala.  Fondo.  Sentencia  de</w:t>
        <w:br/>
        <w:t>25 de noviembre de 2000. Serie C No. 70, párr. 179; Caso  Ticona  Estrada  y</w:t>
        <w:br/>
        <w:t>otros  Vs.  Bolivia. Fondo,  Reparaciones  y  Costas.  Sentencia  de  27  de</w:t>
        <w:br/>
        <w:t>noviembre de 2008. Serie C No. 191, párr. 69, y  Caso  Anzualdo  Castro  Vs.</w:t>
        <w:br/>
        <w:t>Perú. Excepción Preliminar, Fondo, Reparaciones y Costas.  Sentencia  de  22</w:t>
        <w:br/>
        <w:t>de septiembre de 2009. Serie C No. 202, párr. 87.</w:t>
        <w:br/>
        <w:br/>
        <w:t>[281] Cfr. Caso de  las  Niñas  Yean  y  Bosico  Vs.  República  Dominicana.</w:t>
        <w:br/>
        <w:t>Excepciones Preliminares, Fondo, Reparaciones y Costas. Sentencia  de  8  de</w:t>
        <w:br/>
        <w:t>septiembre de 2005. Serie C No. 130, párr. 179;  Caso  Anzualdo  Castro  Vs.</w:t>
        <w:br/>
        <w:t>Perú, supra nota 280, párr. 88, y Caso Radilla  Pacheco  Vs.  México,  supra</w:t>
        <w:br/>
        <w:t>nota 12, párr. 156.</w:t>
        <w:br/>
        <w:br/>
        <w:t>[282]       Cfr. Caso Comunidad Indígena  Sawhoyamaxa  Vs.  Paraguay,  supra</w:t>
        <w:br/>
        <w:t>nota 20, párr. 189; Caso del Pueblo Saramaka. Vs. Surinam,  supra  nota  16,</w:t>
        <w:br/>
        <w:t>párr. 167, y Caso Chitay Nech y otros Vs. Guatemala,  supra  nota  8,  párr.</w:t>
        <w:br/>
        <w:t>101.</w:t>
        <w:br/>
        <w:br/>
        <w:t>[283]       Caso Comunidad Indígena Sawhoyamaxa  Vs.  Paraguay,  supra  nota</w:t>
        <w:br/>
        <w:t>20, párr. 189, y Caso del Pueblo  Saramaka.  Vs.  Surinam,  supra  nota  16,</w:t>
        <w:br/>
        <w:t>párr. 166.</w:t>
        <w:br/>
        <w:br/>
        <w:t>[284]       Caso Comunidad Indígena Sawhoyamaxa  Vs.  Paraguay,  supra  nota</w:t>
        <w:br/>
        <w:t>20, párr. 192.</w:t>
        <w:br/>
        <w:br/>
        <w:t>[285]       De la prueba documental allegada por las partes  se  tienen  los</w:t>
        <w:br/>
        <w:t>siguientes documentos acerca de certificados  de  defunción,  documentos  de</w:t>
        <w:br/>
        <w:t>identidad y actas de nacimiento:  copia  de  acta  de  defunción  de  Felipa</w:t>
        <w:br/>
        <w:t>Quintana de 13 de mayo de 2008 (expediente de fondo, tomo III, folio  1140);</w:t>
        <w:br/>
        <w:t>copia de acta de defunción  de  Sara  Gonzáles  de  25  de  agosto  de  2008</w:t>
        <w:br/>
        <w:t>(expediente de fondo, folio 1142, tomo III); copia de  cédula  de  identidad</w:t>
        <w:br/>
        <w:t>civil de Felipa Quintana (expediente de fondo, tomo III, folio 1139);  copia</w:t>
        <w:br/>
        <w:t>del certificado de nacido vivo de Sara Gonzáles (expediente de  fondo,  tomo</w:t>
        <w:br/>
        <w:t>III, folio 1141); copia de la cédula de identidad civil de Gilberto  Dermott</w:t>
        <w:br/>
        <w:t>Quintana (expediente de fondo, tomo III, folio 1143); copia de la cédula  de</w:t>
        <w:br/>
        <w:t>identidad civil de Remigia  Ruíz  (expediente  de  fondo,  tomo  III,  folio</w:t>
        <w:br/>
        <w:t>1144); copia del acta de certificado de nacimiento de Wilfrida Ojeda  Chávez</w:t>
        <w:br/>
        <w:t>(expediente de  fondo,  tomo  III,  folio  1146);  copia  de  la  cédula  de</w:t>
        <w:br/>
        <w:t>identidad civil de Luisa Ramírez Larrosa (expediente  de  fondo,  tomo  III,</w:t>
        <w:br/>
        <w:t>folio 1147), y copia de  la  cédula  de  identidad  civil  de  Rosa  Larrosa</w:t>
        <w:br/>
        <w:t>Domínguez (expediente de fondo, tomo III,  folio 1148).</w:t>
        <w:br/>
        <w:br/>
        <w:t>[286]       Cfr. Condición Jurídica y Derechos  Humanos  del  Niño.  Opinión</w:t>
        <w:br/>
        <w:t>Consultiva OC-17/02 de 28 de agosto de 2002. Serie A No. 17, párr. 54;  Caso</w:t>
        <w:br/>
        <w:t>Masacre de Las Dos Erres Vs. Guatemala, supra nota 12,  párr.  184,  y  Caso</w:t>
        <w:br/>
        <w:t>Chitay Nech y otros Vs. Guatemala, supra nota 8, párr. 156.</w:t>
        <w:br/>
        <w:br/>
        <w:t>[287]  Cfr.  Condición  Jurídica  y  Derechos  Humanos  del  Niño.   Opinión</w:t>
        <w:br/>
        <w:t>Consultiva OC-17/02, supra nota 286, párrs. 56, 57 y  60;  Caso  Masacre  de</w:t>
        <w:br/>
        <w:t>las Dos Erres Vs. Guatemala, supra nota 12, párr. 184,  y  Caso  González  y</w:t>
        <w:br/>
        <w:t>otras (“Campo Algodonero”) Vs. México, supra nota 14, párr. 408.</w:t>
        <w:br/>
        <w:br/>
        <w:t>[288]        Caso Masacre de Las Dos Erres Vs.  Guatemala,  supra  nota  12,</w:t>
        <w:br/>
        <w:t>párr. 184, y Caso Chitay Nech y otros Vs. Guatemala,  supra  nota  8,  párr.</w:t>
        <w:br/>
        <w:t>164.</w:t>
        <w:br/>
        <w:br/>
        <w:t>[289]       Cfr. Condición Jurídica y Derechos  Humanos  del  Niño.  Opinión</w:t>
        <w:br/>
        <w:t>Consultiva OC-17/02, supra nota 286, párr. 86.</w:t>
        <w:br/>
        <w:br/>
        <w:t>[290]       Cfr. Evaluación sobre salubridad en  cuatro  Comunidades  Enxet,</w:t>
        <w:br/>
        <w:t>supra nota 218, folio 2643.</w:t>
        <w:br/>
        <w:br/>
        <w:t>[291] Convención sobre los Derechos del Niño, A.G.  res.  44/25,  anexo,  44</w:t>
        <w:br/>
        <w:t>U.N. GAOR Supp. (No. 49) p. 167, ONU Doc. A/44/49 (1989), entrada  en  vigor</w:t>
        <w:br/>
        <w:t>2 de septiembre de 1990. El Estado del Paraguay firmó dicha Convención el  4</w:t>
        <w:br/>
        <w:t>de abril de 1990 y la ratificó el 25 de septiembre de 1990. El  artículo  30</w:t>
        <w:br/>
        <w:t>dispone:</w:t>
        <w:br/>
        <w:br/>
        <w:t xml:space="preserve">      En  los  Estados  en  que  existan  minorías  étnicas,  religiosas   o</w:t>
        <w:br/>
        <w:t xml:space="preserve">      lingüísticas o personas de origen indígena, no se negará a un niño que</w:t>
        <w:br/>
        <w:t xml:space="preserve">      pertenezca a tales minorías o que  sea  indígena  el  derecho  que  le</w:t>
        <w:br/>
        <w:t xml:space="preserve">      corresponde, en común con los demás miembros de su grupo, a  tener  su</w:t>
        <w:br/>
        <w:t xml:space="preserve">      propia vida cultural, a profesar y practicar su propia religión,  o  a</w:t>
        <w:br/>
        <w:t xml:space="preserve">      emplear su propio idioma.</w:t>
        <w:br/>
        <w:br/>
        <w:t>[292]       Cfr. Caso Chitay Nech y  otros  Vs.  Guatemala,  supra  nota  8,</w:t>
        <w:br/>
        <w:t>párr. 167.</w:t>
        <w:br/>
        <w:br/>
        <w:t>[293]       Cfr. Caso Chitay Nech y  otros  Vs.  Guatemala,  supra  nota  8,</w:t>
        <w:br/>
        <w:t>párr. 168.</w:t>
        <w:br/>
        <w:br/>
        <w:t>[294]       Cfr. Propuesta de Modificación a  la  Constitución  Política  de</w:t>
        <w:br/>
        <w:t>Costa Rica relacionada con la Naturalización. Opinión Consuliva OC-4/84  del</w:t>
        <w:br/>
        <w:t>19 de enero de 1984. Serie A No. 4, párr 53.</w:t>
        <w:br/>
        <w:br/>
        <w:t>[295]        Cfr.  Condición  Jurídica   y   Derechos   de   los   Migrantes</w:t>
        <w:br/>
        <w:t>Indocumentados.  Opinión  Consultiva  OC-18/03  del  17  de  septiembre   de</w:t>
        <w:br/>
        <w:t>2003. Serie A No. 18, párr. 85.</w:t>
        <w:br/>
        <w:br/>
        <w:t>[296]       Algunos de estos instrumentos internacionales son: Carta  de  la</w:t>
        <w:br/>
        <w:t>OEA (artículo 3.l); Convención Americana sobre Derechos  Humanos  (artículos</w:t>
        <w:br/>
        <w:t>1 y 24);  Declaración  Americana  de  los  Derechos  y  Deberes  del  Hombre</w:t>
        <w:br/>
        <w:t>(artículo II); Protocolo Adicional a la Convención Americana sobre  Derechos</w:t>
        <w:br/>
        <w:t>Humanos  en  Materia  de  Derechos  Económicos,   Sociales   y   Culturales,</w:t>
        <w:br/>
        <w:t>“Protocolo de San Salvador” (artículo  3);  Convención  Interamericana  para</w:t>
        <w:br/>
        <w:t>Prevenir, Sancionar y Erradicar la  Violencia  contra  la  Mujer  (artículos</w:t>
        <w:br/>
        <w:t>4.f, 6 y 8.b); Convención Interamericana para la Eliminación  de  Todas  las</w:t>
        <w:br/>
        <w:t>Formas de Discriminación contra las  Personas  con  Discapacidad  (artículos</w:t>
        <w:br/>
        <w:t>I.2.a, II, III, IV y V);  Carta  de  las  Naciones  Unidas  (artículo  1.3);</w:t>
        <w:br/>
        <w:t>Declaración  Universal  de  Derechos  Humanos  (artículos  2  y  7);   Pacto</w:t>
        <w:br/>
        <w:t>Internacional de Derechos Económicos, Sociales y Culturales  (artículos  2.2</w:t>
        <w:br/>
        <w:t>y 3); Pacto Internacional de Derechos Civiles y Políticos (artículos  2.1  y</w:t>
        <w:br/>
        <w:t>26); Convención Internacional sobre la Eliminación de todas  las  Formas  de</w:t>
        <w:br/>
        <w:t>Discriminación Racial (artículo 2); Convención sobre los Derechos  del  Niño</w:t>
        <w:br/>
        <w:t>(artículo  2);  Declaración  de  los  Derechos  del  Niño   (Principio   1);</w:t>
        <w:br/>
        <w:t>Convención Internacional sobre la Protección de los Derechos  de  Todos  los</w:t>
        <w:br/>
        <w:t>Trabajadores Migratorios y de sus Familiares (artículos 1.1,  7,  18.1,  25,</w:t>
        <w:br/>
        <w:t>27, 28, 43.1, 43.2, 45.1, 48, 55 y 70); Convención sobre la  Eliminación  de</w:t>
        <w:br/>
        <w:t>Todas las Formas de Discriminación contra la Mujer (artículos 2, 3, 5,  7  a</w:t>
        <w:br/>
        <w:t>16); Declaración sobre la Eliminación de Todas las Formas de Intolerancia  y</w:t>
        <w:br/>
        <w:t>Discriminación Fundadas en la Religión o las  Convicciones  (artículos  2  y</w:t>
        <w:br/>
        <w:t>4); Declaración de la Organización Internacional del Trabajo (OIT)  relativa</w:t>
        <w:br/>
        <w:t>a los Principios y Derechos Fundamentales en el  Trabajo  y  su  Seguimiento</w:t>
        <w:br/>
        <w:t>(2.d); Convenio No. 97 de la Organización Internacional  del  Trabajo  (OIT)</w:t>
        <w:br/>
        <w:t>sobre los Trabajadores Migrantes (revisado) (artículo 6); Convenio  No.  111</w:t>
        <w:br/>
        <w:t>de  la  Organización  Internacional  del  Trabajo  (OIT)   relativo   a   la</w:t>
        <w:br/>
        <w:t>Discriminación en Materia de Empleo y Ocupación (artículos 1 a 3);  Convenio</w:t>
        <w:br/>
        <w:t>No. 143 de  la  Organización  Internacional  del  Trabajo  (OIT)  sobre  los</w:t>
        <w:br/>
        <w:t>Trabajadores Migrantes (disposiciones complementarias) (artículos 8  y  10);</w:t>
        <w:br/>
        <w:t>Convenio No. 168 de la Organización Internacional del  Trabajo  (OIT)  sobre</w:t>
        <w:br/>
        <w:t>el Fomento del Empleo y la Protección  contra  el  Desempleo  (artículo  6);</w:t>
        <w:br/>
        <w:t>Proclamación de Teherán, Conferencia Internacional de  Derechos  Humanos  de</w:t>
        <w:br/>
        <w:t>Teherán, 13 de mayo de 1968  (párrs.  1,  2,  5,  8  y  11);  Declaración  y</w:t>
        <w:br/>
        <w:t>Programa de Acción de Viena, Conferencia Mundial de Derechos Humanos,  14  a</w:t>
        <w:br/>
        <w:t>25 de junio de 1993 (I.15; I.19; I.27; I.30;  II.B.1,  artículos  19  a  24;</w:t>
        <w:br/>
        <w:t>II.B.2, artículos 25 a 27); Declaración sobre los Derechos de  las  Personas</w:t>
        <w:br/>
        <w:t>Pertenecientes a Minorías Nacionales o Étnicas,  Religiosas  y  Lingüísticas</w:t>
        <w:br/>
        <w:t>(artículos 2, 3, 4.1  y  5);  Conferencia  Mundial  contra  el  Racismo,  la</w:t>
        <w:br/>
        <w:t>Discriminación Racial, la Xenofobia y las Formas  Conexas  de  Intolerancia,</w:t>
        <w:br/>
        <w:t>Declaración y Programa de Acción, (párrafos de la Declaración: 1, 2,  7,  9,</w:t>
        <w:br/>
        <w:t>10, 16, 25, 38, 47, 48, 51, 66  y  104);  Convención  Relativa  a  la  Lucha</w:t>
        <w:br/>
        <w:t>contra las Discriminaciones en la Esfera de la Enseñanza (artículos 1,  3  y</w:t>
        <w:br/>
        <w:t>4); Declaración sobre la Raza y los Prejuicios Raciales (artículos 1, 2,  3,</w:t>
        <w:br/>
        <w:t>4, 5, 6,  7,  8  y  9);  Declaración  sobre  los  Derechos  Humanos  de  los</w:t>
        <w:br/>
        <w:t>Individuos que no son Nacionales de País en  que  Viven  (artículo  5.1.b  y</w:t>
        <w:br/>
        <w:t>5.1.c); Carta de los Derechos Fundamentales de la Unión  Europea  (artículos</w:t>
        <w:br/>
        <w:t>20 y 21); Convenio Europeo para la Protección de los Derechos Humanos  y  de</w:t>
        <w:br/>
        <w:t>las Libertades Fundamentales (artículo 14); Carta Social  Europea  (artículo</w:t>
        <w:br/>
        <w:t>19.4, 19.5 y 19.7); Protocolo No.12 al Convenio Europeo para  la  Protección</w:t>
        <w:br/>
        <w:t>de los Derechos Humanos y de  las  Libertades  Fundamentales  (artículo  1);</w:t>
        <w:br/>
        <w:t>Carta Africana de los Derechos Humanos y de los Pueblos  “Carta  de  Banjul”</w:t>
        <w:br/>
        <w:t>(artículos 2 y 3); Carta  Árabe  sobre  Derechos  Humanos  (artículo  2),  y</w:t>
        <w:br/>
        <w:t>Declaración de El Cairo sobre Derechos Humanos en el Islam (artículo 1).</w:t>
        <w:br/>
        <w:br/>
        <w:t>[297]        Condición Jurídica y Derechos de los Migrantes  Indocumentados.</w:t>
        <w:br/>
        <w:t>Opinión Consultiva OC-18/03, supra nota 295, párr. 101  y  Caso  Yatama  Vs.</w:t>
        <w:br/>
        <w:t>Nicaragua. Excepciones   Preliminares,   Fondo,   Reparaciones   y   Costas.</w:t>
        <w:br/>
        <w:t>Sentencia de 23 de junio de 2005. Serie C No. 127, párr. 184.</w:t>
        <w:br/>
        <w:br/>
        <w:t>[298]       Caso Comunidad Indígena Yakye Axa vs. Paraguay,  supra  nota  5,</w:t>
        <w:br/>
        <w:t>párr. 63; Caso del Pueblo Saramaka. Vs. Surinam, supra nota 16,  párr.  178,</w:t>
        <w:br/>
        <w:t>y Caso Tiu Tojín Vs. Guatemala. Fondo, Reparaciones y Costas.  Sentencia  de</w:t>
        <w:br/>
        <w:t>26 de noviembre de 2008. Serie C No. 190, párr. 96.</w:t>
        <w:br/>
        <w:br/>
        <w:t>[299]            Condición   Jurídica   y   Derechos   de   los    Migrantes</w:t>
        <w:br/>
        <w:t>Indocumentados. Opinión Consultiva OC-18/03, supra nota 295, párr. 103.</w:t>
        <w:br/>
        <w:br/>
        <w:t>[300]        Cfr.  Condición  Jurídica   y   Derechos   de   los   Migrantes</w:t>
        <w:br/>
        <w:t>Indocumentados. Opinión Consultiva OC-18/03, supra nota 295,  párr.  104,  y</w:t>
        <w:br/>
        <w:t>ONU, Comité  de  los  Derechos  Humanos,  Observación  General  No.  18,  No</w:t>
        <w:br/>
        <w:t>discriminación,  37º  período  de  sesiones,  11   de   octubre   de   1989,</w:t>
        <w:br/>
        <w:t>HRI/GEN/1/Rev.7.</w:t>
        <w:br/>
        <w:br/>
        <w:t>[301]       Propuesta de Modificación a la Constitución  Política  de  Costa</w:t>
        <w:br/>
        <w:t>Rica relacionada con la Naturalización.  Opinión  Consuliva  OC-4/84,  supra</w:t>
        <w:br/>
        <w:t>nota 294, párrs. 53 y 54, y Caso Apitz Barbera y otros  (“Corte  Primera  de</w:t>
        <w:br/>
        <w:t>lo Contencioso Administrativo”) Vs. Venezuela. Excepción Preliminar,  Fondo,</w:t>
        <w:br/>
        <w:t>Reparaciones y Costas. Sentencia de 5 de agosto de 2008. Serie  C  No.  182,</w:t>
        <w:br/>
        <w:t>párr. 209.</w:t>
        <w:br/>
        <w:br/>
        <w:t>[302]       Cfr. Caso  Velásquez  Rodríguez  Vs.  Honduras.  Reparaciones  y</w:t>
        <w:br/>
        <w:t>Costas. Sentencia de 21 de julio de 1989. Serie C  No.  7,  párr.  25;  Caso</w:t>
        <w:br/>
        <w:t>Chitay Nech y otros Vs. Guatemala supra nota 8, párr.  227,  y  Caso  Manuel</w:t>
        <w:br/>
        <w:t>Cepeda Vargas Vs. Colombia, supra nota 8, párr. 211.</w:t>
        <w:br/>
        <w:br/>
        <w:t>[303] Cfr. Caso de los “Niños de la Calle” (Villagrán Morales y  otros)  Vs.</w:t>
        <w:br/>
        <w:t>Guatemala. Reparaciones y Costas. Sentencia de 26 de mayo de 2001.  Serie  C</w:t>
        <w:br/>
        <w:t>No. 77, párr. 62; Caso Chitay Nech y otros  Vs.  Guatemala,  supra  nota  8,</w:t>
        <w:br/>
        <w:t>párr. 227, y Caso Manuel Cepeda Vargas Vs. Colombia,  supra  nota  8,  párr.</w:t>
        <w:br/>
        <w:t>211.</w:t>
        <w:br/>
        <w:br/>
        <w:t>[304]       Cfr. Caso Huilca Tecse Vs. Perú. Fondo, Reparaciones  y  Costas.</w:t>
        <w:br/>
        <w:t>Sentencia de 03 de marzo de 2005. Serie C No. 121, párr.  111;  Caso  de  la</w:t>
        <w:br/>
        <w:t>Masacre de Las Dos Erres Vs. Guatemala, supra nota 12,  párr.  261,  y  Caso</w:t>
        <w:br/>
        <w:t>Manuel Cepeda Vargas Vs. Colombia, supra nota 8, párr. 222.</w:t>
        <w:br/>
        <w:br/>
        <w:t>[305]        Cfr  Caso  Barrios  Altos  Vs.  Perú.  Reparaciones  y  Costas.</w:t>
        <w:br/>
        <w:t>Sentencia de 30 de noviembre de 2001.  Serie  C  No.  87,  Punto  Resolutivo</w:t>
        <w:br/>
        <w:t>5.d); Caso Chitay Nech y otros Vs. Guatemala, supra nota  8,  párr.  244,  y</w:t>
        <w:br/>
        <w:t>Caso Manuel Cepeda Vargas Vs. Colombia,  supra nota 8, párr. 220.</w:t>
        <w:br/>
        <w:br/>
        <w:t>[306]       Cfr. Caso de las Hermanas Serrano Cruz Vs. El  Salvador.  Fondo,</w:t>
        <w:br/>
        <w:t>Reparaciones y Costas. Sentencia de 01 de marzo de 2005. Serie  C  No.  120,</w:t>
        <w:br/>
        <w:t>párr. 195; Caso Chitay Nech y otros  Vs.  Guatemala,  supra  nota  8,  párr.</w:t>
        <w:br/>
        <w:t>244, y Caso Manuel Cepeda Vargas Vs. Colombia, supra nota 8, párr. 220.</w:t>
        <w:br/>
        <w:br/>
        <w:t>[307]       Cfr. Caso Yatama Vs. Nicaragua, supra nota 297, párr. 253;  Caso</w:t>
        <w:br/>
        <w:t>Tiu Tojín Vs. Guatemala, supra nota 298, párr. 108, y  Caso  Chitay  Nech  y</w:t>
        <w:br/>
        <w:t>otros Vs. Guatemala, supra nota 8, párr. 245.</w:t>
        <w:br/>
        <w:br/>
        <w:t>[308]       Cfr. Decreto No. 1.595 del 26/02/2009, “[por el cual se  crea  e</w:t>
        <w:br/>
        <w:t>integra una la Comisión Interinstitucional responsable de  la  ejecución  de</w:t>
        <w:br/>
        <w:t>las  acciones  necesarias   para   el   cumplimiento   de   las   Sentencias</w:t>
        <w:br/>
        <w:t>Internacionales (CICSI), dictadas por la Corte  Interamericana  de  Derechos</w:t>
        <w:br/>
        <w:t>Humanos  (Corte  IDH)  y  las  recomendaciones  emandas   de   la   Comisión</w:t>
        <w:br/>
        <w:t>Interamericana de Derechos Humanos (CIDH)” (anexos a la contestación  de  la</w:t>
        <w:br/>
        <w:t>demanda, anexo 5.5, tomo VIII, folios 3591 - 3595).</w:t>
        <w:br/>
        <w:t>[309]       Cfr. Caso Almonacid Arellano y otros Vs. Chile, supra  nota  39,</w:t>
        <w:br/>
        <w:t>párr.  124;  Caso  La  Cantuta  Vs.  Perú.  Fondo,  Reparaciones  y  Costas.</w:t>
        <w:br/>
        <w:t>Sentencia de 29 de noviembre de 2006. Serie C No. 162,  párr.  173,  y  Caso</w:t>
        <w:br/>
        <w:t>Radilla Pacheco Vs. México, supra nota 12, párr. 339.</w:t>
        <w:br/>
        <w:br/>
        <w:t>[310]       Cfr. Caso Almonacid Arellano y otros Vs. Chile, supra  nota  39,</w:t>
        <w:br/>
        <w:t>párr. 124; Caso La Cantuta Vs. Perú, supra  nota  308,  párr.  173,  y  Caso</w:t>
        <w:br/>
        <w:t>Radilla Pacheco Vs. México, supra nota 12, párr. 339.</w:t>
        <w:br/>
        <w:br/>
        <w:t>[311]       Los representantes solicitaron:  i)  el  establecimiento  de  un</w:t>
        <w:br/>
        <w:t>fondo para becas de estudios secundarios y universitarios destinadas  a  los</w:t>
        <w:br/>
        <w:t>jóvenes de la Comunidad Xákmok Kásek; ii) establecimiento de un  fondo  para</w:t>
        <w:br/>
        <w:t>proyectos que tiendan a fortalecer la cultura y lengua  de  las  Comunidades</w:t>
        <w:br/>
        <w:t>de los pueblos Exent, Angaité y Sanapaná del Chaco  paraguayo,  ejecutándose</w:t>
        <w:br/>
        <w:t>con la participación de la Comunidad Xákmok Kásek y  otras  Comunidades  del</w:t>
        <w:br/>
        <w:t>Bajo Chaco, y iii)  establecimiento  de  un  mecanismo  de  consulta  a  los</w:t>
        <w:br/>
        <w:t>pueblos  y/o  comunidades  indígenas,  reglamentando  lo  dispuesto  en   el</w:t>
        <w:br/>
        <w:t>Convenio 169 de la OIT a fin de garantizar su participación en los  trámites</w:t>
        <w:br/>
        <w:t>estatales que afecten sus intereses.</w:t>
        <w:br/>
        <w:br/>
        <w:t>[312]        Cfr.  Caso  Bámaca  Velásquez  Vs.  Guatemala.  Reparaciones  y</w:t>
        <w:br/>
        <w:t>Costas. Sentencia de 22 de febrero de 2002. Serie C No. 91, párr.  43;  Caso</w:t>
        <w:br/>
        <w:t>Masacre de Las Dos Erres Vs. Guatemala, supra nota 12,  párr.  275,  y  Caso</w:t>
        <w:br/>
        <w:t>Chitay Nech Vs. Guatemala, supra nota 8, párr. 261.</w:t>
        <w:br/>
        <w:br/>
        <w:t>[313]        Cfr. Caso de los “Niños  de  la  Calle”  (Villagrán  Morales  y</w:t>
        <w:br/>
        <w:t>otros) Vs. Guatemala. Reparaciones y  Costas,  supra  nota  303,  párr.  84;</w:t>
        <w:br/>
        <w:t>Caso Masacre de Las Dos Erres Vs. Guatemala, supra  nota  12,  párr.  255  y</w:t>
        <w:br/>
        <w:t>Caso Chitay Nech Vs. Guatemala, supra nota 8, párr. 273.</w:t>
        <w:br/>
        <w:br/>
        <w:t>[314]       Caso Comunidad Indígena Yakye Axa vs  Paraguay,  supra  nota  5,</w:t>
        <w:br/>
        <w:t>párr. 234; Caso Escué Zapata Vs. Colombia.  Fondo,  Reparaciones  y  Costas.</w:t>
        <w:br/>
        <w:t>Sentencia de 4 de julio de 2007. Serie C No.  164,  párr.  16,  y  Caso  del</w:t>
        <w:br/>
        <w:t>Pueblo Saramaka. Vs. Surinam, supra nota 16, párrs. 201 y 202.</w:t>
        <w:br/>
        <w:br/>
        <w:t>[315] Cfr. Caso Chaparro Álvarez y Lapo  Íñiguez.  Vs.  Ecuador. Excepciones</w:t>
        <w:br/>
        <w:t>Preliminares, Fondo, Reparaciones y Costas. Sentencia de 21 de noviembre  de</w:t>
        <w:br/>
        <w:t>2007. Serie C No. 170, párr. 275; Caso de la Masacre de Las  Dos  Erres  Vs.</w:t>
        <w:br/>
        <w:t>Guatemala, supra nota 12,  párr.  302,  y  Caso  Chitay  Nech  y  otros  Vs.</w:t>
        <w:br/>
        <w:t>Guatemala, supra nota 8, párr. 284.</w:t>
        <w:br/>
        <w:br/>
        <w:t>[316]       Cfr. Caso Chaparro Álvarez y Lapo  Íñiguez  Vs.  Ecuador,  supra</w:t>
        <w:br/>
        <w:t>nota 314, párr. 277; Caso de la Masacre de  Las  Dos  Erres  Vs.  Guatemala,</w:t>
        <w:br/>
        <w:t>supra nota 12, párr. 301, y Caso Chitay Nech y otros  Vs.  Guatemala,  supra</w:t>
        <w:br/>
        <w:t>nota 8, párr. 284.</w:t>
        <w:br/>
        <w:br/>
        <w:br/>
        <w:t>[317][318]    Artículo 1:</w:t>
        <w:br/>
        <w:br/>
        <w:br/>
        <w:t xml:space="preserve">    “1. Los Estados Partes en esta Convención se comprometen a respetar los</w:t>
        <w:br/>
        <w:t xml:space="preserve">    derechos y libertades reconocidos en ella y a  garantizar  su  libre  y</w:t>
        <w:br/>
        <w:t xml:space="preserve">    pleno ejercicio a toda persona que esté sujeta a su  jurisdicción,  sin</w:t>
        <w:br/>
        <w:t xml:space="preserve">    discriminación  alguna  por  motivos  de  raza,  color,  sexo,  idioma,</w:t>
        <w:br/>
        <w:t xml:space="preserve">    religión, opiniones  políticas  o  de  cualquier  otra  índole,  origen</w:t>
        <w:br/>
        <w:t xml:space="preserve">    nacional o social, posición  económica,  nacimiento  o  cualquier  otra</w:t>
        <w:br/>
        <w:t xml:space="preserve">    condición social.</w:t>
        <w:br/>
        <w:br/>
        <w:br/>
        <w:t xml:space="preserve">    2. Para los efectos de esta Convención, persona es todo ser humano”.</w:t>
        <w:br/>
        <w:br/>
        <w:br/>
        <w:t>[319]  Caso de la  Comunidad  Mayagna  (Sumo)  Awas  Tingni  Vs.  Nicaragua.</w:t>
        <w:br/>
        <w:t>Excepciones Preliminares. Sentencia de 1 de febrero de  2000.  Serie  C  No.</w:t>
        <w:br/>
        <w:t>66; Caso Comunidad Indígena Yakye Axa Vs.  Paraguay.  Fondo  Reparaciones  y</w:t>
        <w:br/>
        <w:t>Costas. Sentencia de 17  de  junio  de  2005.  Serie  C  No.  125,  y   Caso</w:t>
        <w:br/>
        <w:t>Comunidad Indígena Sawhoyamaxa Vs. Paraguay. Fondo, Reparaciones  y  Costas.</w:t>
        <w:br/>
        <w:t>Sentencia de 29 de marzo de 2006. Serie C No. 146.</w:t>
        <w:br/>
        <w:br/>
        <w:br/>
        <w:t>[320]    Ejs: párrafos 54, 55, 78, 79, 109, 116, 120, 121,  154,  168,  169,</w:t>
        <w:br/>
        <w:t>182, 193, 197, 208, 217, 242, 243, 244, 252, 275, 278, 281, 282,  283,  284,</w:t>
        <w:br/>
        <w:t>285, 286, 291, 294, 295,  301, 306, 308, 309, 313, 318, 321, 323, etc.</w:t>
        <w:br/>
        <w:br/>
        <w:br/>
        <w:t>[321]    Puntos resolutivos 2, 3 y 5.</w:t>
        <w:br/>
        <w:br/>
        <w:br/>
        <w:t>[322]    Punto resolutivo 12.</w:t>
        <w:br/>
        <w:br/>
        <w:br/>
        <w:t>[323]    Puntos 13, 15, 19 y 23,  aunque  en  estos  puntos  resolutivos  la</w:t>
        <w:br/>
        <w:t>referencia directa que se hace es a “la Comunidad” pero, al ellos  remitirse</w:t>
        <w:br/>
        <w:t>a  los  párrafos  considerativos  291,  294  y  295,  301,  y  al  punto  12</w:t>
        <w:br/>
        <w:t>resolutivo, respectivamente,  dicha  mención  debería  entenderse  realizada</w:t>
        <w:br/>
        <w:t>indirectamente con respecto a “los miembros de la Comunidad”.</w:t>
        <w:br/>
        <w:br/>
        <w:br/>
        <w:t>[324]   Aún cuando bajo este subtítulo  se  aluden  a  resoluciones  de  dos</w:t>
        <w:br/>
        <w:t>órganos de una  organización  internacional,  la  OEA,  por  lo  que  podría</w:t>
        <w:br/>
        <w:t>considerarse que se trataría  más  bien  de  manifestaciones  de  la  fuente</w:t>
        <w:br/>
        <w:t>auxiliar   del   Derecho   Internacional,   denominada   “Resoluciones    de</w:t>
        <w:br/>
        <w:t>Organizaciones Internacionales Declarativas de Derecho”,  se  les  cataloga,</w:t>
        <w:br/>
        <w:t>empero, como doctrina, otra fuente auxiliar del  Derecho  Internacional,  en</w:t>
        <w:br/>
        <w:t>atención a que una es una propuesta  de  Declaración  aún  no  adoptada  por</w:t>
        <w:br/>
        <w:t>quién corresponde y la otra contiene observaciones sobre  la  primera  y  en</w:t>
        <w:br/>
        <w:t>ambos  casos,  son  emitidas  por  órganos  consultivos   de   la   referida</w:t>
        <w:br/>
        <w:t>organización internacional.</w:t>
        <w:br/>
        <w:br/>
        <w:br/>
        <w:t>[325]     AG/RES.1479 (XXVII-O/97).</w:t>
        <w:br/>
        <w:br/>
        <w:br/>
        <w:t>[326]     Artículo II.2. primera frase.</w:t>
        <w:br/>
        <w:br/>
        <w:br/>
        <w:t>[327]    OEA/Ser.Q CJI/doc.29/98 rev.2</w:t>
        <w:br/>
        <w:br/>
        <w:br/>
        <w:t>[328]    Ej.: párrafo 64 y ss. y 80 y ss.</w:t>
        <w:br/>
        <w:br/>
        <w:br/>
        <w:t>[329]    Ej.: párrafo 85 y ss.</w:t>
        <w:br/>
        <w:br/>
        <w:br/>
        <w:t>[330]    Puntos Resolutivos 13 a 15, 23, 25 y 26.</w:t>
        <w:br/>
        <w:br/>
        <w:br/>
        <w:t>[331]    Ver supra nota 6 con relación a puntos resolutivos 13, 15 y 23.</w:t>
        <w:br/>
        <w:br/>
        <w:br/>
        <w:t>[332]    Puntos Resolutivos 25 y 26.</w:t>
        <w:br/>
        <w:br/>
        <w:br/>
        <w:t>[333]    Artículo 21.  “Derecho a la Propiedad Privada</w:t>
        <w:br/>
        <w:br/>
        <w:br/>
        <w:t xml:space="preserve">    1. Toda persona tiene derecho al uso y goce  de  sus  bienes.   La  ley</w:t>
        <w:br/>
        <w:t xml:space="preserve">    puede subordinar tal uso y goce al interés social.</w:t>
        <w:br/>
        <w:br/>
        <w:br/>
        <w:t xml:space="preserve">     2. Ninguna persona puede ser privada de sus bienes,  excepto  mediante</w:t>
        <w:br/>
        <w:t xml:space="preserve">    el pago de indemnización justa, por razones de utilidad  pública  o  de</w:t>
        <w:br/>
        <w:t xml:space="preserve">    interés social y en los casos y según las formas  establecidas  por  la</w:t>
        <w:br/>
        <w:t xml:space="preserve">    ley.</w:t>
        <w:br/>
        <w:br/>
        <w:br/>
        <w:t xml:space="preserve">    3. Tanto la usura como cualquier otra forma de explotación  del  hombre</w:t>
        <w:br/>
        <w:t xml:space="preserve">    por el hombre, deben ser prohibidas por la ley”.</w:t>
        <w:br/>
        <w:br/>
        <w:br/>
        <w:t>[334]    Cfr. Caso Comunidad  Mayagna  (Sumo)  Awas  Tingni  Vs.  Nicaragua,</w:t>
        <w:br/>
        <w:t>citada en nota  2,  párr.  149;  Caso  Comunidad  Indígena  Sawhoyamaxa  Vs.</w:t>
        <w:br/>
        <w:t>Paraguay, citada en nota 2, párr. 118,  y  Caso  del  Pueblo  Saramaka.  Vs.</w:t>
        <w:br/>
        <w:t>Surinam, citada en nota 2, párr. 90.</w:t>
        <w:br/>
        <w:br/>
        <w:br/>
        <w:t>[335]    Ej.: Párrafo 2.</w:t>
        <w:br/>
        <w:br/>
        <w:br/>
        <w:t>[336]    Ley No. 234/93 que ratifica el Convenio No. 169 de la OIT.</w:t>
        <w:br/>
        <w:br/>
        <w:br/>
        <w:t>[337]    Constitución Nacional, artículos 62 y 63.</w:t>
        <w:br/>
        <w:br/>
        <w:br/>
        <w:t>[338]   Ley No. 904/81, Estatuto de las Comunidades Indígenas (f.   376  p1,</w:t>
        <w:br/>
        <w:t>fondo; f 378 p2); Ley No. 1.372/88 (f376 p2 fondo).</w:t>
        <w:br/>
        <w:br/>
        <w:br/>
        <w:t>[339]    Caso Comunidad Indígena Yakye Axa Vs. Paraguay. Fondo  Reparaciones</w:t>
        <w:br/>
        <w:t>y Costas. Sentencia 17 de junio de 2005. Serie C No. 125, párr. 83.</w:t>
        <w:br/>
        <w:br/>
        <w:br/>
        <w:t>[340]   Artículo 31 de la Convención de Viena sobre el Derecho de los</w:t>
        <w:br/>
        <w:t>Tratados. “Regla general de interpretación.</w:t>
        <w:br/>
        <w:br/>
        <w:t xml:space="preserve"> 1.   Un tratado deberá interpretarse  de  buena  fe  conforme  al  sentido</w:t>
        <w:br/>
        <w:t xml:space="preserve">    corriente que haya de atribuirse a  los  términos  del  tratado  en  el</w:t>
        <w:br/>
        <w:t xml:space="preserve">    contexto de estos y teniendo en cuenta su objeto y fin.</w:t>
        <w:br/>
        <w:t xml:space="preserve">    …</w:t>
        <w:br/>
        <w:t xml:space="preserve">    3.  Juntamente con el contexto, habrá de tenerse en cuenta:</w:t>
        <w:br/>
        <w:t xml:space="preserve">    …</w:t>
        <w:br/>
        <w:t xml:space="preserve">      c) toda norma pertinente de derecho internacional aplicable en las</w:t>
        <w:br/>
        <w:t xml:space="preserve">    relaciones entre las partes.“</w:t>
        <w:br/>
        <w:br/>
        <w:t>[341]    Observación General 17, párrs. 7, 8 y 32.</w:t>
        <w:br/>
        <w:br/>
        <w:br/>
        <w:t>[342]    Artículo 15</w:t>
        <w:br/>
        <w:br/>
        <w:t xml:space="preserve">    “1. Los Estados Partes en el presente Pacto reconocen el derecho de</w:t>
        <w:br/>
        <w:t xml:space="preserve">    toda persona a:</w:t>
        <w:br/>
        <w:t xml:space="preserve">    a) Participar en la vida cultural;</w:t>
        <w:br/>
        <w:t xml:space="preserve">    b) Gozar de los beneficios del progreso científico y de sus</w:t>
        <w:br/>
        <w:t xml:space="preserve">    aplicaciones;</w:t>
        <w:br/>
        <w:t xml:space="preserve">    c) Beneficiarse de la protección de los intereses morales y materiales</w:t>
        <w:br/>
        <w:t xml:space="preserve">    que le correspondan por razón de las producciones científicas,</w:t>
        <w:br/>
        <w:t xml:space="preserve">    literarias o artísticas de que sea autora.</w:t>
        <w:br/>
        <w:t xml:space="preserve">    2. Entre las medidas que los Estados Partes en el presente Pacto</w:t>
        <w:br/>
        <w:t xml:space="preserve">    deberán adoptar para asegurar el pleno ejercicio de este derecho,</w:t>
        <w:br/>
        <w:t xml:space="preserve">    figurarán las necesarias para la conservación, el desarrollo y la</w:t>
        <w:br/>
        <w:t xml:space="preserve">    difusión de la ciencia y de la cultura.</w:t>
        <w:br/>
        <w:t xml:space="preserve">    3. Los Estados Partes en el presente Pacto se comprometen a respetar la</w:t>
        <w:br/>
        <w:t xml:space="preserve">    indispensable libertad para la investigación científica y para la</w:t>
        <w:br/>
        <w:t xml:space="preserve">    actividad creadora.</w:t>
        <w:br/>
        <w:t xml:space="preserve">    4. Los Estados Partes en el presente Pacto reconocen los beneficios que</w:t>
        <w:br/>
        <w:t xml:space="preserve">    derivan del fomento y desarrollo de la cooperación y de las relaciones</w:t>
        <w:br/>
        <w:t xml:space="preserve">    internacionales en cuestiones científicas y culturales.”</w:t>
        <w:br/>
        <w:br/>
        <w:t>[343]    Observación General 21, párr. 9.</w:t>
        <w:br/>
        <w:br/>
        <w:br/>
        <w:t>[344]   Carta Africana sobre Derechos Humanos y de los Pueblos: artículo  20</w:t>
        <w:br/>
        <w:t>que protege el derecho a la existencia y autodeterminación de  los  pueblos;</w:t>
        <w:br/>
        <w:t>artículo 21 que protege  el  derecho  sobre  los  recursos  naturales  y  la</w:t>
        <w:br/>
        <w:t>propiedad sobre sus  tierras,  artículo  22  que  garantiza  el  derecho  al</w:t>
        <w:br/>
        <w:t>desarrollo.</w:t>
        <w:br/>
        <w:br/>
        <w:br/>
        <w:t>[345]    Ver nota 1.</w:t>
        <w:br/>
        <w:br/>
        <w:br/>
        <w:t>[346]    Artículo 29:</w:t>
        <w:br/>
        <w:br/>
        <w:t xml:space="preserve">    “Ninguna disposición de la presente Convención puede  ser  interpretada</w:t>
        <w:br/>
        <w:t xml:space="preserve">    en el sentido de:</w:t>
        <w:br/>
        <w:t xml:space="preserve">    …</w:t>
        <w:br/>
        <w:t xml:space="preserve">     b) limitar el goce y ejercicio de cualquier  derecho  o  libertad  que</w:t>
        <w:br/>
        <w:t xml:space="preserve">    pueda estar reconocido de acuerdo con las leyes de  cualquiera  de  los</w:t>
        <w:br/>
        <w:t xml:space="preserve">    Estados Partes o de acuerdo con otra convención en que sea parte uno de</w:t>
        <w:br/>
        <w:t xml:space="preserve">    dichos Estados;</w:t>
        <w:br/>
        <w:t xml:space="preserve">     … y</w:t>
        <w:br/>
        <w:t xml:space="preserve">     d) excluir o limitar el efecto  que  puedan  producir  la  Declaración</w:t>
        <w:br/>
        <w:t xml:space="preserve">    Americana  de  Derechos  y   Deberes   del   Hombre   y   otros   actos</w:t>
        <w:br/>
        <w:t xml:space="preserve">    internacionales de la misma naturaleza.”</w:t>
        <w:br/>
        <w:br/>
        <w:br/>
        <w:br/>
        <w:t>[347]        Zanardini,  José  y  Walter  Biedermann.  Los   Indígenas   del</w:t>
        <w:br/>
        <w:t>Paraguay. Asunción. 2006.</w:t>
        <w:br/>
        <w:br/>
        <w:t>[348]  La Ley 854/63 fue derogada por la Ley 1863/02.</w:t>
        <w:br/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