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br/>
        <w:br/>
        <w:t xml:space="preserve">                       Caso Genie Lacayo Vs. Nicaragua</w:t>
        <w:br/>
        <w:br/>
        <w:br/>
        <w:t xml:space="preserve">                      Sentencia de 27 de enero de 1995</w:t>
        <w:br/>
        <w:t xml:space="preserve">                         (Excepciones Preliminares)</w:t>
        <w:br/>
        <w:br/>
        <w:br/>
        <w:t>En el caso Genie Lacayo,</w:t>
        <w:br/>
        <w:br/>
        <w:br/>
        <w:t>la Corte Interamericana de Derechos Humanos, integrada  por  los  siguientes</w:t>
        <w:br/>
        <w:t>jueces:</w:t>
        <w:br/>
        <w:br/>
        <w:br/>
        <w:t xml:space="preserve">      Héctor Fix-Zamudio, Presidente</w:t>
        <w:br/>
        <w:t xml:space="preserve">      Hernán Salgado Pesantes, Vicepresidente</w:t>
        <w:br/>
        <w:t xml:space="preserve">      Rafael Nieto Navia, Juez</w:t>
        <w:br/>
        <w:t xml:space="preserve">      Alejandro Montiel Argüello, Juez</w:t>
        <w:br/>
        <w:t xml:space="preserve">      Máximo Pacheco Gómez, Juez;</w:t>
        <w:br/>
        <w:br/>
        <w:br/>
        <w:t>presentes, además,</w:t>
        <w:br/>
        <w:br/>
        <w:t xml:space="preserve">      Manuel E. Ventura Robles, Secretario y</w:t>
        <w:br/>
        <w:t xml:space="preserve">      Ana María Reina, Secretaria adjunta;</w:t>
        <w:br/>
        <w:br/>
        <w:br/>
        <w:t>de acuerdo con el artículo 31 del Reglamento (en adelante  “el  Reglamento”)</w:t>
        <w:br/>
        <w:t>de la Corte Interamericana de Derechos Humanos  (en  adelante  “la  Corte”),</w:t>
        <w:br/>
        <w:t>dicta  la   siguiente   sentencia   sobre   las   excepciones   preliminares</w:t>
        <w:br/>
        <w:t>interpuestas en  los  escritos  y  alegadas  en  audiencia  pública  por  el</w:t>
        <w:br/>
        <w:t>Gobierno de Nicaragua (en adelante “el Gobierno” o “Nicaragua”).</w:t>
        <w:br/>
        <w:br/>
        <w:br/>
        <w:t xml:space="preserve">                                      I</w:t>
        <w:br/>
        <w:br/>
        <w:t>1.     El  presente  caso  fue  sometido  a  la  Corte   por   la   Comisión</w:t>
        <w:br/>
        <w:t>Interamericana  de  Derechos  Humanos  (en  adelante  “la  Comisión”  o  “la</w:t>
        <w:br/>
        <w:t>Comisión Interamericana”) el 6 de enero de 1994,  en  contra  de  Nicaragua,</w:t>
        <w:br/>
        <w:t>“por los hechos ocurridos a partir del 23 de julio de  1991,  fecha  en  que</w:t>
        <w:br/>
        <w:t>tuvo principio  de  ejecución  la  denegación  de  justicia  --originada  en</w:t>
        <w:br/>
        <w:t>agentes del Estado-- por la muerte de Jean Paul Genie  Lacayo,  ocurrida  en</w:t>
        <w:br/>
        <w:t>la ciudad de Managua, Nicaragua, el 28 de octubre de 1990” y que originó  la</w:t>
        <w:br/>
        <w:t>denuncia Nº 10.792.</w:t>
        <w:br/>
        <w:br/>
        <w:t>2.    Como “OBJETO DE LA DEMANDA” la Comisión Interamericana solicita  a  la</w:t>
        <w:br/>
        <w:t>Corte lo siguiente:</w:t>
        <w:br/>
        <w:br/>
        <w:t xml:space="preserve">      1.    Que declare que el Gobierno de  la  República  de  Nicaragua  ha</w:t>
        <w:br/>
        <w:t xml:space="preserve">      violado, los artículos: 8, derecho a garantías judiciales; 25, derecho</w:t>
        <w:br/>
        <w:t xml:space="preserve">      a protección judicial; y 24, derecho a la igualdad ante la ley, de  la</w:t>
        <w:br/>
        <w:t xml:space="preserve">      Convención, en concordancia con el  artículo  1.1  de  la  misma,  que</w:t>
        <w:br/>
        <w:t xml:space="preserve">      establece la obligación de respetar y garantizar tales derechos,  como</w:t>
        <w:br/>
        <w:t xml:space="preserve">      resultado de la renuencia del Poder Judicial de procesar y sancionar a</w:t>
        <w:br/>
        <w:t xml:space="preserve">      los responsables y ordenar el pago por concepto de reparación por  los</w:t>
        <w:br/>
        <w:t xml:space="preserve">      daños causados. Asimismo, que declare que el Gobierno de la  República</w:t>
        <w:br/>
        <w:t xml:space="preserve">      de Nicaragua ha violado el artículo 2 de la Convención, al no  adoptar</w:t>
        <w:br/>
        <w:t xml:space="preserve">      disposiciones de derecho interno tendientes a  hacer  efectivos  tales</w:t>
        <w:br/>
        <w:t xml:space="preserve">      derechos y evitar la comisión de similares hechos en el futuro.</w:t>
        <w:br/>
        <w:br/>
        <w:br/>
        <w:t xml:space="preserve">      2.    Que declare, en base al principio pacta sunt  servanda,  que  el</w:t>
        <w:br/>
        <w:t xml:space="preserve">      Gobierno de Nicaragua ha violado el artículo  51.2  de  la  Convención</w:t>
        <w:br/>
        <w:t xml:space="preserve">      Americana,  al  incumplir  las  recomendaciones  formuladas   por   la</w:t>
        <w:br/>
        <w:t xml:space="preserve">      Comisión.</w:t>
        <w:br/>
        <w:br/>
        <w:br/>
        <w:t xml:space="preserve">      3.    Que requiera al Gobierno de Nicaragua para que  en  base  a  las</w:t>
        <w:br/>
        <w:t xml:space="preserve">      investigaciones realizadas, identifique y sancione a los responsables,</w:t>
        <w:br/>
        <w:t xml:space="preserve">      evitándose de esta manera la consumación de hechos de grave  impunidad</w:t>
        <w:br/>
        <w:t xml:space="preserve">      que lesionan las bases del orden jurídico.</w:t>
        <w:br/>
        <w:br/>
        <w:br/>
        <w:t xml:space="preserve">      4.     Que  declare  que  la  vigencia  de  los  Decretos  591  y  600</w:t>
        <w:br/>
        <w:t xml:space="preserve">      denominados  “Ley  de  Organización  de   la   Auditoría   Militar   y</w:t>
        <w:br/>
        <w:t xml:space="preserve">      Procedimiento  Penal  Militar”  y  “Ley  Provisional  de  los  Delitos</w:t>
        <w:br/>
        <w:t xml:space="preserve">      Militares”,  que  regulan   la   jurisdicción   penal   militar,   son</w:t>
        <w:br/>
        <w:t xml:space="preserve">      incompatibles con el objeto y fin de  la  Convención  Americana  sobre</w:t>
        <w:br/>
        <w:t xml:space="preserve">      Derechos Humanos, y que deben ser adecuados a ella de conformidad  con</w:t>
        <w:br/>
        <w:t xml:space="preserve">      las obligaciones contraídas en virtud del artículo 2 de la misma.</w:t>
        <w:br/>
        <w:br/>
        <w:br/>
        <w:t xml:space="preserve">      5.    Que  declare  que  el  Gobierno  de  Nicaragua  debe  reparar  e</w:t>
        <w:br/>
        <w:t xml:space="preserve">      indemnizar a los familiares directos de  la  víctima  por  los  hechos</w:t>
        <w:br/>
        <w:t xml:space="preserve">      cometidos por los agentes del Estado, que se detallan en esta demanda,</w:t>
        <w:br/>
        <w:t xml:space="preserve">      de conformidad con el artículo 63.1 de la Convención.</w:t>
        <w:br/>
        <w:br/>
        <w:br/>
        <w:t xml:space="preserve">      6.    Que se condene al Gobierno de Nicaragua a pagar  las  costas  de</w:t>
        <w:br/>
        <w:t xml:space="preserve">      este proceso.</w:t>
        <w:br/>
        <w:br/>
        <w:t>3.    La Comisión, al presentar el caso, invocó los artículos 50 y 51 de  la</w:t>
        <w:br/>
        <w:t>Convención Americana sobre Derechos Humanos (en adelante “la  Convención”  o</w:t>
        <w:br/>
        <w:t>“la Convención Americana”) y 26 y siguientes del  Reglamento.  Designó  como</w:t>
        <w:br/>
        <w:t>delegado a  Michael  Reisman,  Primer  Vicepresidente,  asistido  por  Edith</w:t>
        <w:br/>
        <w:t>Márquez Rodríguez, Secretaria ejecutiva y Milton  Castillo,  abogado  de  la</w:t>
        <w:br/>
        <w:t>Secretaría. Asimismo, designó  como  asesor  a  Robert  K.  Goldman  y  como</w:t>
        <w:br/>
        <w:t>asistente a José Miguel Vivanco,  quien  fue  acreditado  “como  el  abogado</w:t>
        <w:br/>
        <w:t>representante de la víctima”.</w:t>
        <w:br/>
        <w:br/>
        <w:t>4.    Mediante nota del 21 de enero de 1994 la Secretaría de  la  Corte  (en</w:t>
        <w:br/>
        <w:t>adelante “la Secretaría”), previo examen preliminar de la demanda  realizado</w:t>
        <w:br/>
        <w:t>por el Presidente de la Corte (en adelante “el Presidente”),  la  transmitió</w:t>
        <w:br/>
        <w:t>al Gobierno y le informó que  disponía  de  un  plazo  de  tres  meses  para</w:t>
        <w:br/>
        <w:t>responderla por escrito (art. 29.1 del Reglamento) y de un plazo de 30  días</w:t>
        <w:br/>
        <w:t>a  partir  de  la  notificación  de  la  misma   para   oponer   excepciones</w:t>
        <w:br/>
        <w:t>preliminares (art. 31.1 del  Reglamento).  El  3  de  febrero  de  1994,  el</w:t>
        <w:br/>
        <w:t>Gobierno comunicó a la Corte  la  designación  del  Embajador  José  Antonio</w:t>
        <w:br/>
        <w:t>Tijerino Medrano como agente y, posteriormente, la de Marco  Gerardo  Monroy</w:t>
        <w:br/>
        <w:t>Cabra como asesor, y las de Carlos José  Hernández  López  y  Víctor  Manuel</w:t>
        <w:br/>
        <w:t>Ordóñez como asistentes.</w:t>
        <w:br/>
        <w:br/>
        <w:t>5.    El 7 de febrero de 1994 el Presidente, a solicitud  del  Gobierno,  le</w:t>
        <w:br/>
        <w:t>otorgó una prórroga de  90  días  para  contestar  la  demanda  y  un  plazo</w:t>
        <w:br/>
        <w:t>adicional de 30 días para oponer excepciones preliminares.</w:t>
        <w:br/>
        <w:br/>
        <w:t>6.    El 21 de marzo de 1994 Nicaragua interpuso las siguientes  excepciones</w:t>
        <w:br/>
        <w:t>preliminares:</w:t>
        <w:br/>
        <w:br/>
        <w:t xml:space="preserve">            Primera. Falta de jurisdicción de  la  Corte  Interamericana  de</w:t>
        <w:br/>
        <w:t xml:space="preserve">      Derechos Humanos.</w:t>
        <w:br/>
        <w:br/>
        <w:br/>
        <w:t xml:space="preserve">            Segunda. Falta de los requisitos de admisibilidad  previstos  en</w:t>
        <w:br/>
        <w:t xml:space="preserve">      el artículo 46 de la Convención Americana sobre Derechos Humanos.</w:t>
        <w:br/>
        <w:br/>
        <w:br/>
        <w:t xml:space="preserve">            Tercera. Errores procedimentales de la  Comisión  Interamericana</w:t>
        <w:br/>
        <w:t xml:space="preserve">      de Derechos Humanos en  la  tramitación  del  caso  y  en  la  demanda</w:t>
        <w:br/>
        <w:t xml:space="preserve">      presentada a la Corte Interamericana de Derechos Humanos.</w:t>
        <w:br/>
        <w:br/>
        <w:br/>
        <w:t xml:space="preserve">             Cuarta.  Indebida  acumulación  de  peticiones  en  la  demanda</w:t>
        <w:br/>
        <w:t xml:space="preserve">      presentada por la Comisión Interamericana de Derechos Humanos.</w:t>
        <w:br/>
        <w:br/>
        <w:t>Y agregó las siguientes peticiones:</w:t>
        <w:br/>
        <w:br/>
        <w:t xml:space="preserve">             Primera.  Inadmitir  la  demanda  presentada  por  la  Comisión</w:t>
        <w:br/>
        <w:t xml:space="preserve">      Interamericana de Derechos Humanos correspondiente al caso  Jean  Paul</w:t>
        <w:br/>
        <w:t xml:space="preserve">      Genie Lacayo, con fundamento en las  excepciones  propuestas  en  este</w:t>
        <w:br/>
        <w:t xml:space="preserve">      escrito y abstenerse de dar trámite al presente proceso.</w:t>
        <w:br/>
        <w:br/>
        <w:br/>
        <w:t xml:space="preserve">            Segunda. Ordenar, si  la  Corte  lo  considera  conveniente,  la</w:t>
        <w:br/>
        <w:t xml:space="preserve">      práctica de una audiencia pública para la  sustentación  oral  de  las</w:t>
        <w:br/>
        <w:t xml:space="preserve">      excepciones propuestas.</w:t>
        <w:br/>
        <w:br/>
        <w:br/>
        <w:t xml:space="preserve">            Tercera. Condenar en costas  a  la  Comisión  Interamericana  de</w:t>
        <w:br/>
        <w:t xml:space="preserve">      Derechos Humanos.</w:t>
        <w:br/>
        <w:br/>
        <w:t>7.    Ese mismo día la Secretaría transmitió a la Comisión  el  escrito  del</w:t>
        <w:br/>
        <w:t>Gobierno indicándole que disponía  de  30  días  contados  a  partir  de  su</w:t>
        <w:br/>
        <w:t>recepción, para presentar alegatos escritos sobre él. Las  observaciones  de</w:t>
        <w:br/>
        <w:t>la Comisión fueron recibidas en la Secretaría el  24  de  abril  de  1994  y</w:t>
        <w:br/>
        <w:t>transmitidas, al igual que el escrito del Gobierno, a las personas a que  se</w:t>
        <w:br/>
        <w:t>refiere el artículo 28.1 del Reglamento.</w:t>
        <w:br/>
        <w:br/>
        <w:t>8.    El 23 de mayo de 1994  el  Gobierno  presentó  su  contestación  a  la</w:t>
        <w:br/>
        <w:t>demanda. Ambos documentos fueron también comunicados  por  la  Secretaría  a</w:t>
        <w:br/>
        <w:t>las personas a que se refiere el artículo 28.1 del Reglamento.</w:t>
        <w:br/>
        <w:br/>
        <w:t>9.    Por resolución del Presidente del 22 de junio de 1994,  se  convocó  a</w:t>
        <w:br/>
        <w:t>una audiencia pública sobre “las excepciones  preliminares  presentadas  por</w:t>
        <w:br/>
        <w:t>el Gobierno y las observaciones que sobre las mismas  presentó  la  Comisión</w:t>
        <w:br/>
        <w:t>Interamericana”.  Igualmente,  el  Presidente,  a  petición  del   Gobierno,</w:t>
        <w:br/>
        <w:t>solicitó a la Comisión presentar copia de la parte pertinente “de las  actas</w:t>
        <w:br/>
        <w:t>de las sesiones en que se discutió y decidió el caso  del  joven  Jean  Paul</w:t>
        <w:br/>
        <w:t>Genie Lacayo, así como de la sesión en que  se  estudió  la  reconsideración</w:t>
        <w:br/>
        <w:t>solicitada por el Gobierno de Nicaragua y en la que se dispuso el  envío  de</w:t>
        <w:br/>
        <w:t>este caso a la Corte Interamericana de Derechos Humanos”. El 20 de julio  la</w:t>
        <w:br/>
        <w:t>Comisión envió la copia solicitada.</w:t>
        <w:br/>
        <w:br/>
        <w:t>10.   La audiencia pública tuvo lugar en la sede de la Corte el  día  18  de</w:t>
        <w:br/>
        <w:t>noviembre de 1994.</w:t>
        <w:br/>
        <w:br/>
        <w:t>Comparecieron:</w:t>
        <w:br/>
        <w:br/>
        <w:t>Por el Gobierno de Nicaragua:</w:t>
        <w:br/>
        <w:br/>
        <w:t xml:space="preserve">      José Antonio Tijerino Medrano, agente,</w:t>
        <w:br/>
        <w:br/>
        <w:t xml:space="preserve">      Marco Gerardo Monroy Cabra, asesor,</w:t>
        <w:br/>
        <w:br/>
        <w:t xml:space="preserve">      Carlos José Hernández López, Procurador General de Justicia,</w:t>
        <w:br/>
        <w:br/>
        <w:t xml:space="preserve">      Víctor Manuel Ordóñez, Sub Procurador General de Justicia.</w:t>
        <w:br/>
        <w:br/>
        <w:t>Por la Comisión Interamericana de Derechos Humanos:</w:t>
        <w:br/>
        <w:br/>
        <w:t xml:space="preserve">      Michael Reisman, delegado,</w:t>
        <w:br/>
        <w:br/>
        <w:t xml:space="preserve">      Milton Castillo, asesor,</w:t>
        <w:br/>
        <w:br/>
        <w:t xml:space="preserve">      Robert K. Goldman, asistente,</w:t>
        <w:br/>
        <w:br/>
        <w:t xml:space="preserve">      José Miguel Vivanco, asistente,</w:t>
        <w:br/>
        <w:br/>
        <w:t xml:space="preserve">      Oscar Herdocia, asistente.</w:t>
        <w:br/>
        <w:br/>
        <w:br/>
        <w:t xml:space="preserve">                                     II</w:t>
        <w:br/>
        <w:br/>
        <w:br/>
        <w:t>11.   Según la denuncia presentada ante la Comisión  el  15  de  febrero  de</w:t>
        <w:br/>
        <w:t>1991, a eso de las 8:35 de la noche del 28 de  octubre  de  1990,  el  joven</w:t>
        <w:br/>
        <w:t>Jean Paul Genie Lacayo de 16  años  de  edad,  residente  en  la  ciudad  de</w:t>
        <w:br/>
        <w:t>Managua, se dirigía en automóvil a su domicilio en el reparto  Las  Colinas.</w:t>
        <w:br/>
        <w:t>Luego de detenerse en un restaurante entró a  la  carretera  que  conduce  a</w:t>
        <w:br/>
        <w:t>Masaya y entre los Kms. 7 y 8 se encontró con una caravana de vehículos  con</w:t>
        <w:br/>
        <w:t>efectivos militares quienes, al  ver  que  los  trataba  de  sobrepasar,  le</w:t>
        <w:br/>
        <w:t>dispararon con sus armas.  La  víctima  no  murió  inmediatamente  pero  fue</w:t>
        <w:br/>
        <w:t>abandonada en la carretera y murió de shock hipovolémico a  consecuencia  de</w:t>
        <w:br/>
        <w:t>la hemorragia. Según las investigaciones hechas, el automóvil del joven  fue</w:t>
        <w:br/>
        <w:t>ametrallado por armas provenientes de dos o más vehículos; en  el  lugar  de</w:t>
        <w:br/>
        <w:t>los hechos se encontraron 51 casquillos de bala provenientes de fusiles  AK-</w:t>
        <w:br/>
        <w:t>47. De  acuerdo  con  el  informe  de  balística,  el  automóvil  presentaba</w:t>
        <w:br/>
        <w:t>diecinueve  impactos  de  bala,  ocurridos  todos  ellos  cuando  estaba  en</w:t>
        <w:br/>
        <w:t>movimiento y sólo tres disparos  fueron  hechos  a  corta  distancia  cuando</w:t>
        <w:br/>
        <w:t>estaba ya detenido.</w:t>
        <w:br/>
        <w:br/>
        <w:t>12.   Según la  Comisión  un  sub  comandante  de  la  Policía  Nacional  de</w:t>
        <w:br/>
        <w:t>Nicaragua,  Mauricio  Aguilar  Somarriba,  quien  según  sus  padres  estaba</w:t>
        <w:br/>
        <w:t>encargado de la investigación de la muerte de Genie  Lacayo,  fue  ultimado.</w:t>
        <w:br/>
        <w:t>El Gobierno negó que ese oficial estuviere a cargo  de  la  investigación  y</w:t>
        <w:br/>
        <w:t>envió a la Corte un  expediente  según  el  cual  el  autor  del  hecho  fue</w:t>
        <w:br/>
        <w:t>condenado a tres años de prisión.</w:t>
        <w:br/>
        <w:br/>
        <w:t>13.   Sostiene la Comisión en la demanda que agentes del Gobierno,  actuando</w:t>
        <w:br/>
        <w:t>bajo la investidura de la función pública, realizaron acciones que  causaron</w:t>
        <w:br/>
        <w:t>denegación de justicia.  Entre  ellas  cabe  mencionar  la  desaparición  de</w:t>
        <w:br/>
        <w:t>elementos probatorios, la desobediencia de testigos militares  a  comparecer</w:t>
        <w:br/>
        <w:t>a declarar ante el Juez Séptimo del Distrito del Crimen de  Managua,  la  no</w:t>
        <w:br/>
        <w:t>tramitación del proceso interno dentro de un límite razonable  de  tiempo  y</w:t>
        <w:br/>
        <w:t>la aplicación de normas contrarias al objeto y fin de  la  Convención,  como</w:t>
        <w:br/>
        <w:t>los Decretos 591 y 600 referentes a la Ley de Organización de  la  Auditoría</w:t>
        <w:br/>
        <w:t>Militar y Procedimiento Penal Militar y a la Ley Provisional de los  Delitos</w:t>
        <w:br/>
        <w:t>Militares. Dichas  acciones  impidieron  una  investigación  imparcial  para</w:t>
        <w:br/>
        <w:t>sancionar a los responsables e indemnizar a los familiares  de  la  víctima.</w:t>
        <w:br/>
        <w:t>Agrega la Comisión que los hechos materia de la demanda  tuvieron  principio</w:t>
        <w:br/>
        <w:t>de ejecución el 23 de julio de 1991, fecha en que  la  Procuraduría  General</w:t>
        <w:br/>
        <w:t>de Justicia, en ese entonces única  titular  de  la  acción  penal  pública,</w:t>
        <w:br/>
        <w:t>interpuso la denuncia ante el Poder Judicial.</w:t>
        <w:br/>
        <w:br/>
        <w:t>14.   Por nota del  27  de  febrero  de  1991,  la  Comisión  transmitió  la</w:t>
        <w:br/>
        <w:t>denuncia  al  Gobierno  y  le  solicitó  el  envío  de  la  información  que</w:t>
        <w:br/>
        <w:t>considerara oportuna y que permitiera apreciar  si  se  habían  agotado  los</w:t>
        <w:br/>
        <w:t>recursos internos.</w:t>
        <w:br/>
        <w:br/>
        <w:t>15.    El  13  de  marzo  de  1991  el  Gobierno  comunicó  a  la   Comisión</w:t>
        <w:br/>
        <w:t>Interamericana que,  en  relación  con  el  caso  Nº  10.792,  una  Comisión</w:t>
        <w:br/>
        <w:t>Especial de Investigación de la Asamblea Nacional para el caso Genie  Lacayo</w:t>
        <w:br/>
        <w:t>había solicitado asesoría técnica al Gobierno de Venezuela.</w:t>
        <w:br/>
        <w:br/>
        <w:t>16.   El Gobierno envió el 29 de mayo de 1991 a la Comisión  un  escrito  en</w:t>
        <w:br/>
        <w:t>el cual se incluye la copia de una nota suscrita el 23 de los mismos  mes  y</w:t>
        <w:br/>
        <w:t>año por el Viceministro de Gobernación, doctor José Bernard  Pallais  Arana,</w:t>
        <w:br/>
        <w:t>en la que se acompaña un informe que “contiene aspectos fundamentales  sobre</w:t>
        <w:br/>
        <w:t>el caso en cuestión en donde se detalla, la  actuación  policial,  el  marco</w:t>
        <w:br/>
        <w:t>jurídico  y  la  remisión  de  lo  actuado  a  la  Procuraduría  General  de</w:t>
        <w:br/>
        <w:t>Justicia”. Agrega la nota, además, “que debe  considerarse  que  el  recurso</w:t>
        <w:br/>
        <w:t>para comparecer ante esa  Honorable  Instancia  [la  Comisión]  tiene  lugar</w:t>
        <w:br/>
        <w:t>hasta que se hayan agotado los medios legales dentro del país”.</w:t>
        <w:br/>
        <w:br/>
        <w:t>17.   El 10 de marzo de 1993 la Comisión emitió el informe Nº 2/93, en  cuya</w:t>
        <w:br/>
        <w:t>parte final dice:</w:t>
        <w:br/>
        <w:br/>
        <w:t xml:space="preserve">      VI.   CONCLUSIONES</w:t>
        <w:br/>
        <w:br/>
        <w:br/>
        <w:t xml:space="preserve">      6.1   El Gobierno de Nicaragua es  responsable  de  la  violación  del</w:t>
        <w:br/>
        <w:t xml:space="preserve">      derecho a la vida, integridad personal, garantías judiciales, igualdad</w:t>
        <w:br/>
        <w:t xml:space="preserve">      ante la ley y protección judicial de Jean Paul Genie Lacayo (artículos</w:t>
        <w:br/>
        <w:t xml:space="preserve">      4, 5, 8.1, 24 y 25 de  la  Convención),  hechos  ocurridos  el  28  de</w:t>
        <w:br/>
        <w:t xml:space="preserve">      octubre de 1990, en la ciudad de Managua.</w:t>
        <w:br/>
        <w:br/>
        <w:br/>
        <w:t xml:space="preserve">      6.2   El Gobierno de Nicaragua no ha cumplido con las obligaciones  de</w:t>
        <w:br/>
        <w:t xml:space="preserve">      respeto de los derechos humanos y garantías impuestas por el  artículo</w:t>
        <w:br/>
        <w:t xml:space="preserve">      1 de la Convención  Americana  sobre  Derechos  Humanos,  de  la  cual</w:t>
        <w:br/>
        <w:t xml:space="preserve">      Nicaragua es Estado Parte.</w:t>
        <w:br/>
        <w:br/>
        <w:br/>
        <w:t xml:space="preserve">      6.3   El Gobierno de Nicaragua no ha cumplido con el deber de  adoptar</w:t>
        <w:br/>
        <w:t xml:space="preserve">      disposiciones de derecho interno, establecido en el artículo 2  de  la</w:t>
        <w:br/>
        <w:t xml:space="preserve">      Convención Americana sobre Derechos Humanos, de la cual  Nicaragua  es</w:t>
        <w:br/>
        <w:t xml:space="preserve">      Estado Parte.</w:t>
        <w:br/>
        <w:br/>
        <w:br/>
        <w:t xml:space="preserve">      6.4   Debido a la naturaleza de los hechos, el caso no es  susceptible</w:t>
        <w:br/>
        <w:t xml:space="preserve">      de una solución  amistosa,  de  acuerdo  al  artículo  48.1.f.  de  la</w:t>
        <w:br/>
        <w:t xml:space="preserve">      Convención Americana sobre Derechos Humanos.</w:t>
        <w:br/>
        <w:br/>
        <w:br/>
        <w:t xml:space="preserve">      VII.  RECOMENDACIONES</w:t>
        <w:br/>
        <w:br/>
        <w:br/>
        <w:t xml:space="preserve">      7.1   Se recomienda al Gobierno de Nicaragua sancionar a  los  autores</w:t>
        <w:br/>
        <w:t xml:space="preserve">      materiales, cómplices  y  encubridores  del  delito  de  homicidio  en</w:t>
        <w:br/>
        <w:t xml:space="preserve">      perjuicio de Jean Paul Genie Lacayo.</w:t>
        <w:br/>
        <w:br/>
        <w:br/>
        <w:t xml:space="preserve">      7.2   Se recomienda al Gobierno  de  Nicaragua  que  pague  una  justa</w:t>
        <w:br/>
        <w:t xml:space="preserve">      indemnización compensatoria a los familiares directos de la víctima.</w:t>
        <w:br/>
        <w:br/>
        <w:br/>
        <w:t xml:space="preserve">      7.3    Se  recomienda  al  Gobierno  de  Nicaragua   que   acepte   la</w:t>
        <w:br/>
        <w:t xml:space="preserve">      jurisdicción de la Corte Interamericana de Derechos Humanos en el caso</w:t>
        <w:br/>
        <w:t xml:space="preserve">      específico objeto de este informe.</w:t>
        <w:br/>
        <w:br/>
        <w:br/>
        <w:t xml:space="preserve">      7.4   Se solicita al Gobierno de Nicaragua que informe a  la  Comisión</w:t>
        <w:br/>
        <w:t xml:space="preserve">      Interamericana de Derechos Humanos dentro del  plazo  de  tres  meses,</w:t>
        <w:br/>
        <w:t xml:space="preserve">      respecto de las medidas que adopte en el presente caso, de acuerdo con</w:t>
        <w:br/>
        <w:t xml:space="preserve">      las recomendaciones formuladas en los numerales 7.1, 7.2, y 7.3.</w:t>
        <w:br/>
        <w:br/>
        <w:br/>
        <w:t xml:space="preserve">      7.5   Si transcurrido el plazo de tres  meses,  el  caso  no  ha  sido</w:t>
        <w:br/>
        <w:t xml:space="preserve">      solucionado por el Gobierno  de  Nicaragua,  la  Comisión  emitirá  su</w:t>
        <w:br/>
        <w:t xml:space="preserve">      opinión y conclusiones sobre la cuestión sometida a su consideración y</w:t>
        <w:br/>
        <w:t xml:space="preserve">      decidirá sobre la publicación de este informe, en virtud del  Artículo</w:t>
        <w:br/>
        <w:t xml:space="preserve">      51.1 de la Convención Americana sobre Derechos Humanos.  Asimismo,  se</w:t>
        <w:br/>
        <w:t xml:space="preserve">      transmitirá  el  presente  informe  al  Gobierno  de  Nicaragua  y  al</w:t>
        <w:br/>
        <w:t xml:space="preserve">      peticionario, quienes no están facultados a darlo a publicidad.</w:t>
        <w:br/>
        <w:br/>
        <w:t>18.   El 21  de  mayo  de  1993  el  Gobierno  solicitó  a  la  Comisión  la</w:t>
        <w:br/>
        <w:t>reconsideración del informe Nº 2/93. En esta solicitud, entre  otras  cosas,</w:t>
        <w:br/>
        <w:t>señaló “que en el caso  que  nos  ocupa  no  se  han  agotado  los  recursos</w:t>
        <w:br/>
        <w:t>internos”. En el  mismo  documento  reiteró  este  concepto  al  decir  “que</w:t>
        <w:br/>
        <w:t>precisamente por no haberse agotado los recursos internos y estar  pendiente</w:t>
        <w:br/>
        <w:t>de resolución el recurso de casación  interpuesto...  tampoco  sabemos...  a</w:t>
        <w:br/>
        <w:t>qué procedimiento judicial se debe someter este asunto”. Esta  petición  fue</w:t>
        <w:br/>
        <w:t>desestimada por la Comisión en el curso del 84º Período de Sesiones,  en  el</w:t>
        <w:br/>
        <w:t>que se confirmó el informe del 10 de marzo de 1993 y se decidió  someter  el</w:t>
        <w:br/>
        <w:t>caso a consideración de la Corte de conformidad con los artículos  50  y  51</w:t>
        <w:br/>
        <w:t>de la Convención. En el Acta de la Comisión Nº 5 del 7 de  octubre  de  1993</w:t>
        <w:br/>
        <w:t>se lee en lo conducente que “[l]a Comisión Interamericana decidió  confirmar</w:t>
        <w:br/>
        <w:t>el Informe Nº 2/93 relativo al Caso de Jean Paul Genie Lacayo y  enviarlo  a</w:t>
        <w:br/>
        <w:t>la Corte Interamericana de Derechos Humanos”.</w:t>
        <w:br/>
        <w:br/>
        <w:br/>
        <w:t xml:space="preserve">                                     III</w:t>
        <w:br/>
        <w:br/>
        <w:t>19.   La competencia de la Corte para conocer el presente caso se  examinará</w:t>
        <w:br/>
        <w:t>al tratar la primera excepción preliminar interpuesta por  el  Gobierno  que</w:t>
        <w:br/>
        <w:t>se refiere a la “[f]alta de  jurisdicción  de  la  Corte  Interamericana  de</w:t>
        <w:br/>
        <w:t>Derechos Humanos”.</w:t>
        <w:br/>
        <w:br/>
        <w:br/>
        <w:t xml:space="preserve">                                     IV</w:t>
        <w:br/>
        <w:br/>
        <w:t>20.    La  Corte  entra  a  considerar  a   continuación   las   excepciones</w:t>
        <w:br/>
        <w:t>preliminares presentadas por el Gobierno (supra párr. 6).</w:t>
        <w:br/>
        <w:br/>
        <w:t>21.   La primera de las excepciones es la “[f]alta  de  jurisdicción  de  la</w:t>
        <w:br/>
        <w:t>Corte Interamericana de Derechos Humanos” que el Gobierno fundamenta en  que</w:t>
        <w:br/>
        <w:t>Nicaragua aceptó la competencia de la Corte el 12 de febrero  de  1991  “con</w:t>
        <w:br/>
        <w:t>la reserva de que los casos en que se reconoce  la  competencia,  comprenden</w:t>
        <w:br/>
        <w:t>solamente hechos posteriores o  hechos  cuyo  principio  de  ejecución  sean</w:t>
        <w:br/>
        <w:t>posteriores a la fecha del depósito de esta declaración ante  el  Secretario</w:t>
        <w:br/>
        <w:t>General de la Organización de los Estados Americanos”; y que  los  hechos  a</w:t>
        <w:br/>
        <w:t>que se refiere la demanda  ocurrieron  el  28  de  octubre  de  1990,  fecha</w:t>
        <w:br/>
        <w:t>anterior a la aceptación de la competencia, circunstancia esta por  la  cual</w:t>
        <w:br/>
        <w:t>la Corte no tendría jurisdicción,  de  acuerdo  con  lo  dispuesto  por  los</w:t>
        <w:br/>
        <w:t>artículos 61.1 y 61.2 de la Convención. El Gobierno aceptó</w:t>
        <w:br/>
        <w:br/>
        <w:t xml:space="preserve">      para este caso la competencia de la Corte Interamericana  de  Derechos</w:t>
        <w:br/>
        <w:t xml:space="preserve">      Humanos única y exclusivamente en los precisos términos contenidos  en</w:t>
        <w:br/>
        <w:t xml:space="preserve">      la demanda presentada  por  la  Comisión  Interamericana  de  Derechos</w:t>
        <w:br/>
        <w:t xml:space="preserve">      Humanos bajo el acápite “Objeto  de  la  demanda”  [pero  mantuvo]  la</w:t>
        <w:br/>
        <w:t xml:space="preserve">      excepción de falta de jurisdicción en cuanto a hechos ocurridos  antes</w:t>
        <w:br/>
        <w:t xml:space="preserve">      del 12 de Febrero de  1991,  diferentes  a  los  que  esta  aceptación</w:t>
        <w:br/>
        <w:t xml:space="preserve">      expresa se refiere.</w:t>
        <w:br/>
        <w:br/>
        <w:t>22.   La Comisión Interamericana solicitó rechazar esta excepción porque</w:t>
        <w:br/>
        <w:br/>
        <w:t xml:space="preserve">      la muerte de Jean Paul Genie ocurrió el 28 de  octubre  de  1990;  sin</w:t>
        <w:br/>
        <w:t xml:space="preserve">      embargo, el objeto de  la  demanda  no  se  contrae  al  hecho  de  la</w:t>
        <w:br/>
        <w:t xml:space="preserve">      violación al derecho a la vida que tuvo lugar antes  de  la  fecha  de</w:t>
        <w:br/>
        <w:t xml:space="preserve">      aceptación de la jurisdicción obligatoria de la  Corte  por  parte  de</w:t>
        <w:br/>
        <w:t xml:space="preserve">      Nicaragua,  sino  a  los   hechos   posteriores   que   han   generado</w:t>
        <w:br/>
        <w:t xml:space="preserve">      responsabilidad  internacional  al  Estado  por  la  violación  a   la</w:t>
        <w:br/>
        <w:t xml:space="preserve">      protección y garantías judiciales, igualdad ante la ley, y el deber de</w:t>
        <w:br/>
        <w:t xml:space="preserve">      adoptar disposiciones de  derecho  interno,  en  concordancia  con  la</w:t>
        <w:br/>
        <w:t xml:space="preserve">      obligación de respetar y garantizar (art. 1.1) el pleno  goce  de  los</w:t>
        <w:br/>
        <w:t xml:space="preserve">      derechos consagrados en los artículos 2, 8, 24 y 25 de  la  Convención</w:t>
        <w:br/>
        <w:t xml:space="preserve">      Americana sobre Derechos Humanos.</w:t>
        <w:br/>
        <w:br/>
        <w:br/>
        <w:t xml:space="preserve">             La  Comisión  estima  que  el  retardo  injustificado   de   la</w:t>
        <w:br/>
        <w:t xml:space="preserve">      administración de justicia, la obstrucción del  proceso  judicial  por</w:t>
        <w:br/>
        <w:t xml:space="preserve">      agentes que actuaron bajo la cobertura de una función  pública,  y  la</w:t>
        <w:br/>
        <w:t xml:space="preserve">      aplicación de normas que son incompatibles con el objeto y fin  de  la</w:t>
        <w:br/>
        <w:t xml:space="preserve">      Convención Americana, han ocurrido con posterioridad al 12 de  febrero</w:t>
        <w:br/>
        <w:t xml:space="preserve">      de 1991: se originaron el día en que se inició el proceso judicial, es</w:t>
        <w:br/>
        <w:t xml:space="preserve">      decir el 23 de julio de 1991. En consecuencia, la  Comisión  considera</w:t>
        <w:br/>
        <w:t xml:space="preserve">      que la Corte es competente para examinar la falta de diligencia en  la</w:t>
        <w:br/>
        <w:t xml:space="preserve">      investigación judicial, y sanción de los responsables.</w:t>
        <w:br/>
        <w:br/>
        <w:t>En este orden de ideas, según  la  Comisión,  la  reserva  de  Nicaragua  al</w:t>
        <w:br/>
        <w:t>aceptar la competencia de la Corte no la afecta para  conocer  del  presente</w:t>
        <w:br/>
        <w:t>caso.</w:t>
        <w:br/>
        <w:br/>
        <w:t>23.   La Corte entiende que  la  aceptación  de  competencia  que  Nicaragua</w:t>
        <w:br/>
        <w:t>formuló expresamente para este caso es independiente de la  declaración  que</w:t>
        <w:br/>
        <w:t>con carácter general presentó el 12 de febrero de 1991, fecha  del  depósito</w:t>
        <w:br/>
        <w:t>de su declaración ante el Secretario General de la OEA. En los términos  del</w:t>
        <w:br/>
        <w:t>artículo 62 los Estados pueden declarar que aceptan  la  competencia  de  la</w:t>
        <w:br/>
        <w:t>Corte “sobre todos los casos... o para casos específicos... relativos  a  la</w:t>
        <w:br/>
        <w:t>interpretación o aplicación de esta Convención”.</w:t>
        <w:br/>
        <w:br/>
        <w:t>24.   Nicaragua ha hecho ambas declaraciones  bajo  condición,  en  un  caso</w:t>
        <w:br/>
        <w:t>excluyendo los hechos anteriores o los hechos cuyo  principio  de  ejecución</w:t>
        <w:br/>
        <w:t>sea anterior al 12 de febrero de 1991 y, en el otro,  limitándola  “única  y</w:t>
        <w:br/>
        <w:t>exclusivamente [a] los precisos términos”  que  aparecen  “bajo  el  acápite</w:t>
        <w:br/>
        <w:t>‘Objeto de la demanda’ ” de la Comisión (supra párr. 2).</w:t>
        <w:br/>
        <w:br/>
        <w:t>25.   La Corte no considera necesario pronunciarse aquí  sobre  los  efectos</w:t>
        <w:br/>
        <w:t>que tiene la existencia de dos aceptaciones de competencia.  En  el  “Objeto</w:t>
        <w:br/>
        <w:t>de la demanda” de la Comisión no  aparecen,  en  principio,  peticiones  que</w:t>
        <w:br/>
        <w:t>tengan que ver con la violación del derecho a la  vida  o  a  la  integridad</w:t>
        <w:br/>
        <w:t>personal de la víctima, hechos anteriores a la aceptación de competencia  de</w:t>
        <w:br/>
        <w:t>Nicaragua. En consecuencia, la Corte se  limitará  a  resolver,  llegado  el</w:t>
        <w:br/>
        <w:t>caso, sobre tal objeto --y  no  podría  hacerlo  fuera  de  él  so  pena  de</w:t>
        <w:br/>
        <w:t>incurrir en decisión ultra petita--. Al actuar en esa  forma,  no  incurrirá</w:t>
        <w:br/>
        <w:t>en falta de competencia pues  Nicaragua  ha  aceptado  expresamente  que  la</w:t>
        <w:br/>
        <w:t>tiene sobre tal “objeto”.</w:t>
        <w:br/>
        <w:br/>
        <w:t>26.   Por consiguiente, la Corte estima que  esta  excepción  preliminar  es</w:t>
        <w:br/>
        <w:t>inadmisible y se declara competente para conocer del presente caso.</w:t>
        <w:br/>
        <w:br/>
        <w:t>27.   La segunda  excepción  propuesta  por  el  Gobierno  es  la  falta  de</w:t>
        <w:br/>
        <w:t>cumplimiento de los requisitos de admisibilidad ante la  Comisión  previstos</w:t>
        <w:br/>
        <w:t>en el artículo 46 de la Convención. Según el Gobierno,  la  Comisión  no  ha</w:t>
        <w:br/>
        <w:t>debido admitir la denuncia cuando se presentó el  15  de  febrero  de  1991,</w:t>
        <w:br/>
        <w:t>porque no se cumplía el requisito del previo  agotamiento  de  los  recursos</w:t>
        <w:br/>
        <w:t>internos de que habla el artículo 46.1 de la Convención, por  estar  en  ese</w:t>
        <w:br/>
        <w:t>momento en curso el proceso penal iniciado  con  motivo  de  la  muerte  del</w:t>
        <w:br/>
        <w:t>joven Genie Lacayo. Nicaragua cita en apoyo de  su  excepción  los  trámites</w:t>
        <w:br/>
        <w:t>judiciales ante las autoridades criminales y penales militares del Estado  y</w:t>
        <w:br/>
        <w:t>sus múltiples incidencias. Afirma que no se  presentan  las  excepciones  al</w:t>
        <w:br/>
        <w:t>agotamiento que contiene el artículo 46.2.a, que el  lesionado  no  ha  sido</w:t>
        <w:br/>
        <w:t>impedido de agotar los recursos, ni ha habido retardo  injustificado  en  la</w:t>
        <w:br/>
        <w:t>administración de justicia.</w:t>
        <w:br/>
        <w:br/>
        <w:t>28.   La Comisión solicita que sea rechazada esta excepción porque la  parte</w:t>
        <w:br/>
        <w:t>que invoca el no agotamiento de los recursos  internos  tiene  el  deber  de</w:t>
        <w:br/>
        <w:t>identificarlos ante la Comisión en forma específica y  Nicaragua  no  lo  ha</w:t>
        <w:br/>
        <w:t>hecho. Agrega que los recursos de la jurisdicción interna  están  plenamente</w:t>
        <w:br/>
        <w:t>agotados ya que el proceso penal ordinario concluyó el 20  de  diciembre  de</w:t>
        <w:br/>
        <w:t>1993, con sentencia  de  la  Corte  Suprema  de  Justicia.  Además,  que  la</w:t>
        <w:br/>
        <w:t>jurisdicción penal  militar  nicaragüense,  según  la  Comisión,  carece  de</w:t>
        <w:br/>
        <w:t>independencia; que la vigencia y aplicación de los Decretos 591  y  600  son</w:t>
        <w:br/>
        <w:t>incompatibles con el objeto y fin de la Convención; y que el retardo  en  la</w:t>
        <w:br/>
        <w:t>investigación criminal por la muerte de Jean  Paul  Genie  Lacayo  no  puede</w:t>
        <w:br/>
        <w:t>justificarse, como lo hace Nicaragua, por el exceso  de  trabajo  del  Poder</w:t>
        <w:br/>
        <w:t>Judicial.</w:t>
        <w:br/>
        <w:br/>
        <w:t>29.   En el presente caso, la  demanda  de  la  Comisión  se  refiere  a  la</w:t>
        <w:br/>
        <w:t>violación,  por  parte  de  Nicaragua,  de  los   artículos   8   (Garantías</w:t>
        <w:br/>
        <w:t>Judiciales), 25 (Protección Judicial) y 24 (Igualdad  ante  la  Ley)  de  la</w:t>
        <w:br/>
        <w:t>Convención, “como resultado de la renuencia del Poder Judicial  de  procesar</w:t>
        <w:br/>
        <w:t>y sancionar a los responsables y ordenar el pago por concepto de  reparación</w:t>
        <w:br/>
        <w:t>por los daños causados” en razón de la muerte  de  Genie  Lacayo.  La  Corte</w:t>
        <w:br/>
        <w:t>estima que los artículos invocados por la Comisión tienen  que  ver  con  la</w:t>
        <w:br/>
        <w:t>administración de justicia y están íntimamente vinculados, como es  natural,</w:t>
        <w:br/>
        <w:t>con los “recursos internos” cuyo no agotamiento alega Nicaragua.</w:t>
        <w:br/>
        <w:br/>
        <w:t>30.   En el expediente aparecen, por supuesto, argumentos  de  ambas  partes</w:t>
        <w:br/>
        <w:t>sobre la materia y se han adjuntado copias de diligencias judiciales,  todos</w:t>
        <w:br/>
        <w:t>los cuales demuestran que  el  tema  del  no  agotamiento  de  los  recursos</w:t>
        <w:br/>
        <w:t>internos se relaciona con la cuestión de fondo, porque  tiene  que  ver  con</w:t>
        <w:br/>
        <w:t>los  recursos  judiciales  existentes  en  Nicaragua,  su  aplicabilidad   y</w:t>
        <w:br/>
        <w:t>efectividad. Esta Corte dijo en otra oportunidad que</w:t>
        <w:br/>
        <w:br/>
        <w:t xml:space="preserve">      [e]n estos casos, dada la imbricación del  problema  de  los  recursos</w:t>
        <w:br/>
        <w:t xml:space="preserve">      internos con la violación misma de derechos humanos, es  evidente  que</w:t>
        <w:br/>
        <w:t xml:space="preserve">      la cuestión de su previo agotamiento debe ser considerada junto con la</w:t>
        <w:br/>
        <w:t xml:space="preserve">      cuestión de fondo (Caso Velásquez Rodríguez, Excepciones Preliminares,</w:t>
        <w:br/>
        <w:t xml:space="preserve">      Sentencia de 26 de junio de 1987. Serie C No. 1, párr. 94; Caso Fairén</w:t>
        <w:br/>
        <w:t xml:space="preserve">      Garbi y Solís Corrales, Excepciones Preliminares, Sentencia de  26  de</w:t>
        <w:br/>
        <w:t xml:space="preserve">      junio de  1987.  Serie  C  No.  2,  párr.  93  y  Caso  Godínez  Cruz,</w:t>
        <w:br/>
        <w:t xml:space="preserve">      Excepciones Preliminares, Sentencia de 26 de junio de  1987.  Serie  C</w:t>
        <w:br/>
        <w:t xml:space="preserve">      No. 3, párr. 96).</w:t>
        <w:br/>
        <w:br/>
        <w:t>31.   En  estas  circunstancias  y  por  las  razones  expuestas,  la  Corte</w:t>
        <w:br/>
        <w:t>acumulará esta excepción a la cuestión de fondo.</w:t>
        <w:br/>
        <w:br/>
        <w:t>32.   La tercera excepción ha  sido  planteada  por  Nicaragua  en  términos</w:t>
        <w:br/>
        <w:t>genéricos, como “errores procesales de la Comisión  en  la  tramitación  del</w:t>
        <w:br/>
        <w:t>caso y en la demanda”. El Gobierno menciona en ella cuatro “errores” que  la</w:t>
        <w:br/>
        <w:t>Corte analizará a continuación separadamente.</w:t>
        <w:br/>
        <w:br/>
        <w:t>33.   En el primer  punto  de  esta  excepción  el  Gobierno  alega  que  la</w:t>
        <w:br/>
        <w:t>Comisión “[n]o inadmitió la petición o comunicación a pesar  de  existir  la</w:t>
        <w:br/>
        <w:t>plena prueba de que la investigación criminal y  el  proceso  penal  estaban</w:t>
        <w:br/>
        <w:t>siguiendo su curso normal conforme a la legislación vigente en Nicaragua”.</w:t>
        <w:br/>
        <w:br/>
        <w:t>34.   La Comisión afirma que  su  práctica  ha  sido  la  de  considerar  la</w:t>
        <w:br/>
        <w:t>admisibilidad de una petición juntamente con el fondo de la denuncia y  que,</w:t>
        <w:br/>
        <w:t>en el presente  caso,  su  decisión  respecto  de  la  admisibilidad  de  la</w:t>
        <w:br/>
        <w:t>petición estuvo dentro de los límites legales que le permiten la  Convención</w:t>
        <w:br/>
        <w:t>y su Reglamento. La Comisión estimó  que  la  información  que  recibió  por</w:t>
        <w:br/>
        <w:t>parte del peticionario era suficiente  en  su  momento  para  establecer  su</w:t>
        <w:br/>
        <w:t>competencia.</w:t>
        <w:br/>
        <w:br/>
        <w:t>35.    Al  plantear  este  “error”  el  Gobierno  no  cita  artículo  alguno</w:t>
        <w:br/>
        <w:t>aplicable a la circunstancia que menciona ni fundamenta de  otra  manera  su</w:t>
        <w:br/>
        <w:t>objeción. Si  la  alegación  del  Gobierno  se  refiere  al  agotamiento  de</w:t>
        <w:br/>
        <w:t>recursos, la Corte ya ha resuelto anteriormente acumular  esa  excepción  al</w:t>
        <w:br/>
        <w:t>fondo. Si, en cambio, se refiere a la  admisibilidad,  sea  porque  no  hubo</w:t>
        <w:br/>
        <w:t>declaración expresa o porque aquella se hizo  implícitamente  junto  con  el</w:t>
        <w:br/>
        <w:t>fondo, la Corte reitera lo que ya dijo en  otra  oportunidad  al  manifestar</w:t>
        <w:br/>
        <w:t>que</w:t>
        <w:br/>
        <w:br/>
        <w:t xml:space="preserve">      el hecho de que la Comisión no haya efectuado una declaración  expresa</w:t>
        <w:br/>
        <w:t xml:space="preserve">      de la admisibilidad de la petición presentada ante ella, no constituye</w:t>
        <w:br/>
        <w:t xml:space="preserve">      en este caso un extremo capaz de  impedir  el  normal  desarrollo  del</w:t>
        <w:br/>
        <w:t xml:space="preserve">      procedimiento ante la Comisión y, por consiguiente,  su  consideración</w:t>
        <w:br/>
        <w:t xml:space="preserve">      por la Corte (arts. 46-51 y 61.2 de  la  Convención)  (Caso  Velásquez</w:t>
        <w:br/>
        <w:t xml:space="preserve">      Rodríguez, Excepciones Preliminares, supra 30, párr. 41;  Caso  Fairén</w:t>
        <w:br/>
        <w:t xml:space="preserve">      Garbi y Solís Corrales, Excepciones Preliminares, supra 30, párr. 46 y</w:t>
        <w:br/>
        <w:t xml:space="preserve">      Caso Godínez Cruz, Excepciones Preliminares, supra 30, párr. 44).</w:t>
        <w:br/>
        <w:br/>
        <w:t>36.   Es verdad que “[s]i la admisión no requiere un acto expreso y  formal,</w:t>
        <w:br/>
        <w:t>la inadmisibilidad, en cambio,  sí  lo  exige”  (Caso  Velásquez  Rodríguez,</w:t>
        <w:br/>
        <w:t>Excepciones Preliminares, supra 30, párr. 40;  Caso  Fairén  Garbi  y  Solís</w:t>
        <w:br/>
        <w:t>Corrales, Excepciones Preliminares, supra 30, párr. 45 y Caso Godínez  Cruz,</w:t>
        <w:br/>
        <w:t>Excepciones Preliminares, supra  30,  párr.  43).  La  Convención  determina</w:t>
        <w:br/>
        <w:t>cuáles son los requisitos que debe reunir una petición o  comunicación  para</w:t>
        <w:br/>
        <w:t>ser admitida por la Comisión (art. 46); igualmente determina  los  casos  de</w:t>
        <w:br/>
        <w:t>inadmisibilidad (art.  47).  De  la  argumentación  del  Gobierno  parecería</w:t>
        <w:br/>
        <w:t>desprenderse que éste entiende que, por “existir la plena prueba de  que  la</w:t>
        <w:br/>
        <w:t>investigación criminal y el proceso penal estaban siguiendo  su  curso”,  la</w:t>
        <w:br/>
        <w:t>petición ante la  Comisión  era  “manifiestamente  infundada”  o  totalmente</w:t>
        <w:br/>
        <w:t>improcedente en los términos  del  artículo  47.c  (“La  Comisión  declarará</w:t>
        <w:br/>
        <w:t>inadmisible toda petición o  comunicación  presentada  de  acuerdo  con  los</w:t>
        <w:br/>
        <w:t>artículos 44 ó  45  cuando:...  c)  resulte  de  la  exposición  del  propio</w:t>
        <w:br/>
        <w:t>peticionario  o  del  Estado  manifiestamente  infundada   la   petición   o</w:t>
        <w:br/>
        <w:t>comunicación o sea evidente su total improcedencia”). Sin embargo,  el  tema</w:t>
        <w:br/>
        <w:t>de la investigación y del proceso penal son parte del fondo del  asunto,  de</w:t>
        <w:br/>
        <w:t>manera que resulta claro  que,  para  la  Comisión,  no  era  “evidente”  ni</w:t>
        <w:br/>
        <w:t>“manifiesto” que existieran argumentos para declarar  inadmisible  el  caso.</w:t>
        <w:br/>
        <w:t>Los términos del artículo 47.c descartan cualquier apariencia y  exigen  una</w:t>
        <w:br/>
        <w:t>“certeza clara, manifiesta y tan perceptible que nadie  puede  racionalmente</w:t>
        <w:br/>
        <w:t>dudar de ella” (Real Academia Española, Diccionario de la Lengua  Española),</w:t>
        <w:br/>
        <w:t>lo cual no se da en este caso.</w:t>
        <w:br/>
        <w:br/>
        <w:t>37.   En el segundo  punto  de  la  tercera  excepción  preliminar  dice  el</w:t>
        <w:br/>
        <w:t>Gobierno que la Comisión, al determinar que el presente caso “[d]ebido a  la</w:t>
        <w:br/>
        <w:t>naturaleza de los hechos... no [era] susceptible de una solución  amistosa”,</w:t>
        <w:br/>
        <w:t>restringió el alcance de esta norma de la Convención (art.  48.1.f)  que  no</w:t>
        <w:br/>
        <w:t>distingue entre asuntos susceptibles de solución amistosa y asuntos  que  no</w:t>
        <w:br/>
        <w:t>lo son. Con base en la opinión  de  la  Corte  en  la  sentencia  sobre  las</w:t>
        <w:br/>
        <w:t>excepciones  preliminares  del  caso  Caballero  Delgado  y  Santana   (Caso</w:t>
        <w:br/>
        <w:t>Caballero Delgado y Santana, Excepciones Preliminares, Sentencia  de  21  de</w:t>
        <w:br/>
        <w:t>enero de 1994. Serie C No. 17), el Gobierno argumenta  que  la  Comisión  no</w:t>
        <w:br/>
        <w:t>fundamentó debidamente su negativa a la solución amistosa.</w:t>
        <w:br/>
        <w:br/>
        <w:t>38.   La Comisión respondió, entre otras argumentaciones, que  el  mecanismo</w:t>
        <w:br/>
        <w:t>de  conciliación   no   es   de   carácter   obligatorio   y   es   aplicado</w:t>
        <w:br/>
        <w:t>discrecionalmente por ella, no en forma arbitraria  sino  atendiendo  a  las</w:t>
        <w:br/>
        <w:t>necesidades y caracteres del caso; que Nicaragua no  tuvo  la  intención  de</w:t>
        <w:br/>
        <w:t>solicitar el procedimiento de  solución  amistosa,  pues  siempre  negó  ser</w:t>
        <w:br/>
        <w:t>responsable por los hechos ocurridos en  el  presente  caso.  Además,  “[l]a</w:t>
        <w:br/>
        <w:t>simple lectura del  artículo  45  del  Reglamento  de  la  Comisión  permite</w:t>
        <w:br/>
        <w:t>entender que tanto el gobierno como el denunciante pueden, en todo  momento,</w:t>
        <w:br/>
        <w:t>solicitar a la Comisión que inicie un procedimiento de conciliación”.</w:t>
        <w:br/>
        <w:br/>
        <w:t>39.   En el desarrollo jurisprudencial sobre esta  materia  (Caso  Caballero</w:t>
        <w:br/>
        <w:t>Delgado y  Santana,  Excepciones  Preliminares,  supra  párr.  37),  que  es</w:t>
        <w:br/>
        <w:t>posterior a la fecha del informe de  la  Comisión  al  cual  se  refiere  el</w:t>
        <w:br/>
        <w:t>Gobierno,  esta  Corte  ha  dicho  que  la  Comisión  no  tiene   facultades</w:t>
        <w:br/>
        <w:t>arbitrarias sobre el particular sino que, excepcionalmente y con razones  de</w:t>
        <w:br/>
        <w:t>fondo,  puede  omitir  el  procedimiento  conciliatorio.  En  este  caso  la</w:t>
        <w:br/>
        <w:t>Comisión se limitó a invocar la “naturaleza” del  asunto.  Sin  embargo,  la</w:t>
        <w:br/>
        <w:t>omisión del procedimiento para buscar una solución amistosa no perjudica  al</w:t>
        <w:br/>
        <w:t>Gobierno, porque éste puede solicitarlo en cualquier  momento.  Es  evidente</w:t>
        <w:br/>
        <w:t>que,  para  llegar  a  una  conciliación,  es  indispensable   la   decidida</w:t>
        <w:br/>
        <w:t>intervención de las partes involucradas en ella, en  particular  Gobierno  y</w:t>
        <w:br/>
        <w:t>víctimas, cuya disposición de conciliar es fundamental. Si  bien  es  cierto</w:t>
        <w:br/>
        <w:t>que la Comisión debió jugar un papel activo, estaba en  manos  del  Gobierno</w:t>
        <w:br/>
        <w:t>solicitar él mismo la conciliación y no lo hizo. Mal puede entonces  objetar</w:t>
        <w:br/>
        <w:t>la actuación de la Comisión. En virtud  de  lo  dicho,  la  Corte  considera</w:t>
        <w:br/>
        <w:t>infundado este razonamiento del Gobierno.</w:t>
        <w:br/>
        <w:br/>
        <w:t>40.   El tercer punto que alega el Gobierno en  esta  excepción  es  que  la</w:t>
        <w:br/>
        <w:t>Comisión  realizó  una  aplicación  incorrecta  del  artículo   51   de   la</w:t>
        <w:br/>
        <w:t>Convención, tal como dicho precepto ha  sido  interpretado  por  esta  Corte</w:t>
        <w:br/>
        <w:t>(Ciertas atribuciones de la  Comisión  Interamericana  de  Derechos  Humanos</w:t>
        <w:br/>
        <w:t>(arts. 41, 42, 44, 46,  47,  50  y  51  de  la  Convención  Americana  sobre</w:t>
        <w:br/>
        <w:t>Derechos Humanos), Opinión Consultiva OC-13/93 del  16  de  julio  de  1993.</w:t>
        <w:br/>
        <w:t>Serie A No. 13). Estima el Gobierno que  la  Comisión  consideró  de  manera</w:t>
        <w:br/>
        <w:t>equivocada, en el objeto de la demanda, que la  Corte  debía  declarar,  con</w:t>
        <w:br/>
        <w:t>base en el principio pacta sunt servanda, que el Gobierno había  violado  el</w:t>
        <w:br/>
        <w:t>artículo 51.2 de la Convención al incumplir las  recomendaciones  formuladas</w:t>
        <w:br/>
        <w:t>por la misma. En opinión del Gobierno, “[e]sta petición  es  improcedente  y</w:t>
        <w:br/>
        <w:t>hace inepta la demanda” pues el artículo 51 de la Convención es  inaplicable</w:t>
        <w:br/>
        <w:t>al ser sometido el caso a la Corte.</w:t>
        <w:br/>
        <w:br/>
        <w:t>41.   La Comisión afirma que no aplicó incorrectamente lo dispuesto por  los</w:t>
        <w:br/>
        <w:t>artículos 50 y 51 de la Convención pues, si bien cita  dichos  preceptos  en</w:t>
        <w:br/>
        <w:t>la demanda nunca elaboró el segundo informe, que  se  hace  sólo  cuando  el</w:t>
        <w:br/>
        <w:t>caso no se envía a la Corte.</w:t>
        <w:br/>
        <w:br/>
        <w:t>42.   Según la parte pertinente del Acta Nº  5  de  la  Comisión  del  7  de</w:t>
        <w:br/>
        <w:t>octubre de 1993 “[l]a Comisión Interamericana decidió confirmar  el  Informe</w:t>
        <w:br/>
        <w:t>Nº 2/93 relativo al Caso de Jean Paul Genie Lacayo y  enviarlo  a  la  Corte</w:t>
        <w:br/>
        <w:t>Interamericana de Derechos  Humanos”  (subrayado  de  la  Corte).  La  Corte</w:t>
        <w:br/>
        <w:t>encuentra, entonces, que no existe el informe de que trata  el  artículo  51</w:t>
        <w:br/>
        <w:t>de la Convención.</w:t>
        <w:br/>
        <w:br/>
        <w:t>43.   No obstante, sí hay en la demanda una petición a la Corte para  “[q]ue</w:t>
        <w:br/>
        <w:t>declare, en base al principio  pacta  sunt  servanda,  que  el  Gobierno  de</w:t>
        <w:br/>
        <w:t>Nicaragua ha violado  el  artículo  51.2  de  la  Convención  Americana,  al</w:t>
        <w:br/>
        <w:t>incumplir las recomendaciones formuladas  por  la  Comisión”.  La  Corte  no</w:t>
        <w:br/>
        <w:t>halla procedente pronunciarse aquí, porque no es cuestión preliminar,  sobre</w:t>
        <w:br/>
        <w:t>si los gobiernos violan la norma pacta sunt servanda o la Convención  al  no</w:t>
        <w:br/>
        <w:t>atender las “recomendaciones” de la Comisión. Se trata de una  petición  que</w:t>
        <w:br/>
        <w:t>la Corte deberá resolver en el fondo. Pronunciarse  sobre  si  esa  petición</w:t>
        <w:br/>
        <w:t>está o no debidamente fundada no es procedente en esta etapa.</w:t>
        <w:br/>
        <w:br/>
        <w:t>44.   El cuarto punto que alega el Gobierno en esta excepción preliminar  es</w:t>
        <w:br/>
        <w:t>que existe una</w:t>
        <w:br/>
        <w:br/>
        <w:t xml:space="preserve">      [i]ncongruencia entre la conclusión prevista  en  el  número  6.1  del</w:t>
        <w:br/>
        <w:t xml:space="preserve">      Informe 2/93 de 10 de marzo de 1993 que se refiere a la violación  del</w:t>
        <w:br/>
        <w:t xml:space="preserve">      derecho a la vida de Jean Paul Genie Lacayo de que trata el artículo 4</w:t>
        <w:br/>
        <w:t xml:space="preserve">      de la Convención, y en cambio en la demanda prescinde de solicitar que</w:t>
        <w:br/>
        <w:t xml:space="preserve">      la Corte se pronuncie sobre la presunta transgresión del artículo 4 de</w:t>
        <w:br/>
        <w:t xml:space="preserve">      la Convención.</w:t>
        <w:br/>
        <w:br/>
        <w:t>45.   La Comisión, en su respuesta, dice que  “la  demanda  de  la  Comisión</w:t>
        <w:br/>
        <w:t>está referida estrictamente a la violación  de  derechos  vinculados  a  las</w:t>
        <w:br/>
        <w:t>garantías y protección judiciales previstas en los artículos 8 y  25  de  la</w:t>
        <w:br/>
        <w:t>Convención y artículo 2 de la misma, todos  ellos  en  concordancia  con  el</w:t>
        <w:br/>
        <w:t>artículo 1.1” y que “[e]n consecuencia, no existe... ‘incongruencia’ ”.</w:t>
        <w:br/>
        <w:br/>
        <w:t>46.   La Corte observa que en la conclusión 6.1 del informe Nº 2/93  del  10</w:t>
        <w:br/>
        <w:t>de marzo de 1993 efectivamente se dice que el Gobierno es responsable de  la</w:t>
        <w:br/>
        <w:t>violación del derecho a la vida y se cita el artículo 4 (Derecho a la  Vida)</w:t>
        <w:br/>
        <w:t>de la Convención junto  con  los  artículos  8  (Garantías  Judiciales),  24</w:t>
        <w:br/>
        <w:t>(Igualdad ante la Ley) y 25 (Protección Judicial). En  la  demanda  se  hace</w:t>
        <w:br/>
        <w:t>referencia sólo a estos tres últimos y se omite el 4. El informe Nº 2/93  de</w:t>
        <w:br/>
        <w:t>la Comisión es aquel al cual se refiere el artículo  50  de  la  Convención.</w:t>
        <w:br/>
        <w:t>Cae dentro de las atribuciones de la Comisión en su función “de promover  la</w:t>
        <w:br/>
        <w:t>observancia y la defensa de los  derechos  humanos”  en  virtud  de  lo  que</w:t>
        <w:br/>
        <w:t>establece el artículo 41 de la Convención (cfr. Ciertas atribuciones  de  la</w:t>
        <w:br/>
        <w:t>Comisión Interamericana de Derechos Humanos, supra 40, párr.  23)  que,  por</w:t>
        <w:br/>
        <w:t>supuesto, incluye todos los  derechos  protegidos,  y  debe  producirse  aun</w:t>
        <w:br/>
        <w:t>cuando los Estados  no  hayan  aceptado  la  competencia  de  la  Corte.  Su</w:t>
        <w:br/>
        <w:t>propósito es el de que el Estado involucrado adopte las recomendaciones  que</w:t>
        <w:br/>
        <w:t>el informe sugiere. Cuando la Comisión tomó la decisión de enviar el caso  a</w:t>
        <w:br/>
        <w:t>la  Corte,  lo  que  hizo  precisamente  porque,  en   su   opinión,   tales</w:t>
        <w:br/>
        <w:t>recomendaciones no fueron adoptadas, suprimió la  violación  al  artículo  4</w:t>
        <w:br/>
        <w:t>porque estaba consciente de que los hechos relacionados con  este  precepto,</w:t>
        <w:br/>
        <w:t>por la fecha en que sucedieron, escapaban a  la  competencia  de  la  Corte.</w:t>
        <w:br/>
        <w:t>Esto,  en  opinión  de  la  Corte,  no  constituye  incongruencia  ni  puede</w:t>
        <w:br/>
        <w:t>aceptarse como excepción preliminar.</w:t>
        <w:br/>
        <w:br/>
        <w:t>47.   La cuarta excepción la fundamenta el Gobierno en que  la  petición  de</w:t>
        <w:br/>
        <w:t>la Comisión para que se declare que la vigencia de los Decretos  591  y  600</w:t>
        <w:br/>
        <w:t>es incompatible con el  objeto  y  fin  de  la  Convención,  constituye  una</w:t>
        <w:br/>
        <w:t>solicitud de opinión consultiva que, según el  artículo  64.2,  sólo  podría</w:t>
        <w:br/>
        <w:t>ser solicitada por el Gobierno, que carece de los  requisitos  exigidos  por</w:t>
        <w:br/>
        <w:t>el Reglamento y no puede ser acumulada a un caso contencioso.</w:t>
        <w:br/>
        <w:br/>
        <w:t>48.    La  Comisión  ha  alegado  que  es  competente   y   que   tiene   la</w:t>
        <w:br/>
        <w:t>responsabilidad de velar por el respeto  de  la  Convención;  que  Nicaragua</w:t>
        <w:br/>
        <w:t>está obligada a ajustar su legislación a la Convención  y  que  el  artículo</w:t>
        <w:br/>
        <w:t>64.2 de ésta no es la única  manera  de  examinar  la  compatibilidad  entre</w:t>
        <w:br/>
        <w:t>ambas.</w:t>
        <w:br/>
        <w:br/>
        <w:t>49.   En ocasión anterior esta Corte ha dicho que “[s]on muchas las  maneras</w:t>
        <w:br/>
        <w:t>como un Estado puede  violar...  la  Convención...  También,  por  supuesto,</w:t>
        <w:br/>
        <w:t>dictando disposiciones que no estén en conformidad con lo que de  él  exigen</w:t>
        <w:br/>
        <w:t>sus obligaciones dentro de la Convención” y que la Comisión, por su  función</w:t>
        <w:br/>
        <w:t>de promoción de la observancia y defensa  de  los  derechos  humanos,  tiene</w:t>
        <w:br/>
        <w:t>“facultad para dictaminar que una norma de derecho interno,  como  cualquier</w:t>
        <w:br/>
        <w:t>otro hecho, puede ser violatoria de la Convención...” (Ciertas  atribuciones</w:t>
        <w:br/>
        <w:t>de la Comisión, supra 40, párrs. 26 y  37).  Sin  embargo,  en  el  presente</w:t>
        <w:br/>
        <w:t>caso, la compatibilidad en abstracto, tal como lo ha planteado  la  Comisión</w:t>
        <w:br/>
        <w:t>en el “Objeto de la demanda”, de los referidos decretos con  la  Convención,</w:t>
        <w:br/>
        <w:t>tiene que ver con la competencia consultiva de la Corte  (art.  64.2)  y  no</w:t>
        <w:br/>
        <w:t>con la contenciosa (art. 62.3).</w:t>
        <w:br/>
        <w:br/>
        <w:t>50.   La competencia  contenciosa  de  la  Corte  no  tiene  por  objeto  la</w:t>
        <w:br/>
        <w:t>revisión de las legislaciones nacionales en abstracto, sino que es  ejercida</w:t>
        <w:br/>
        <w:t>para resolver casos concretos en que se  alegue  que  un  acto  del  Estado,</w:t>
        <w:br/>
        <w:t>ejecutado contra personas determinadas, es contrario  a  la  Convención.  La</w:t>
        <w:br/>
        <w:t>Corte, al conocer del fondo del asunto, tendrá que examinar si  la  conducta</w:t>
        <w:br/>
        <w:t>del Gobierno se ajustó o no a la Convención, pues, como ya ha dicho:</w:t>
        <w:br/>
        <w:br/>
        <w:t xml:space="preserve">      tendría que considerar y resolver si el acto que se imputa  al  Estado</w:t>
        <w:br/>
        <w:t xml:space="preserve">      constituye una violación de los derechos y libertades  protegidos  por</w:t>
        <w:br/>
        <w:t xml:space="preserve">      la Convención, independientemente de que esté o no de acuerdo  con  la</w:t>
        <w:br/>
        <w:t xml:space="preserve">      legislación interna del Estado... (Responsabilidad  internacional  por</w:t>
        <w:br/>
        <w:t xml:space="preserve">      expedición y aplicación de leyes violatorias de la Convención (arts. 1</w:t>
        <w:br/>
        <w:t xml:space="preserve">      y 2 Convención Americana sobre Derechos Humanos),  Opinión  Consultiva</w:t>
        <w:br/>
        <w:t xml:space="preserve">      OC-14/94 del 9 de diciembre de 1994. Serie A No. 14, párr. 48).</w:t>
        <w:br/>
        <w:br/>
        <w:t>51.   De acuerdo con lo anterior, esta excepción presentada por el  Gobierno</w:t>
        <w:br/>
        <w:t>es admisible  únicamente  respecto  a  la  petición  de  la  Comisión  sobre</w:t>
        <w:br/>
        <w:t>compatibilidad en abstracto entre los Decretos 591 y 600  y  la  Convención,</w:t>
        <w:br/>
        <w:t>pero la competencia de la  Corte  respecto  de  los  otros  aspectos  de  la</w:t>
        <w:br/>
        <w:t>demanda queda inalterable en virtud de que esta  cuestión  es  independiente</w:t>
        <w:br/>
        <w:t>de las restantes peticiones de la  Comisión.  Sin  embargo,  esta  Corte  se</w:t>
        <w:br/>
        <w:t>reserva la facultad de examinar en el fondo del asunto  los  efectos  de  la</w:t>
        <w:br/>
        <w:t>aplicación de los citados Decretos en  relación  con  los  derechos  humanos</w:t>
        <w:br/>
        <w:t>protegidos por la Convención e involucrados en este caso.</w:t>
        <w:br/>
        <w:br/>
        <w:br/>
        <w:t xml:space="preserve">                                      V</w:t>
        <w:br/>
        <w:br/>
        <w:t>52.   En lo relativo a las costas solicitadas  por  el  Gobierno  contra  la</w:t>
        <w:br/>
        <w:t>Comisión, la Corte no considera procedente decretarlas.</w:t>
        <w:br/>
        <w:br/>
        <w:br/>
        <w:t xml:space="preserve">                                     VI</w:t>
        <w:br/>
        <w:br/>
        <w:t>53.   Por tanto,</w:t>
        <w:br/>
        <w:br/>
        <w:br/>
        <w:t>LA CORTE,</w:t>
        <w:br/>
        <w:br/>
        <w:br/>
        <w:t>por unanimidad</w:t>
        <w:br/>
        <w:br/>
        <w:t>1.    Declara que es competente para  conocer  del  presente  caso,  excepto</w:t>
        <w:br/>
        <w:t>para pronunciarse sobre la compatibilidad en abstracto de los  Decretos  591</w:t>
        <w:br/>
        <w:t>y 600 de Nicaragua con la Convención Americana sobre Derechos Humanos.</w:t>
        <w:br/>
        <w:br/>
        <w:t>2.    Rechaza las excepciones  preliminares  opuestas  por  el  Gobierno  de</w:t>
        <w:br/>
        <w:t>Nicaragua, salvo la de  no  agotamiento  de  los  recursos  de  jurisdicción</w:t>
        <w:br/>
        <w:t>interna que será resuelta junto con el fondo del asunto.</w:t>
        <w:br/>
        <w:br/>
        <w:t>3.     Considera  que  las  objeciones  del  Gobierno  de  Nicaragua  a  los</w:t>
        <w:br/>
        <w:t>planteamientos de la demanda  de  la  Comisión  Interamericana  de  Derechos</w:t>
        <w:br/>
        <w:t>Humanos, referentes a la obligatoriedad de las recomendaciones de  ésta,  no</w:t>
        <w:br/>
        <w:t>son excepciones preliminares  sino  cuestiones  de  fondo  que  deberán  ser</w:t>
        <w:br/>
        <w:t>resueltas en su oportunidad.</w:t>
        <w:br/>
        <w:t>4.    No considera procedente decretar costas.</w:t>
        <w:br/>
        <w:br/>
        <w:t>5.    Resuelve continuar con el conocimiento del presente caso.</w:t>
        <w:br/>
        <w:br/>
        <w:t>Redactada en castellano y en inglés, haciendo fe  el  texto  en  castellano.</w:t>
        <w:br/>
        <w:t>Leída en sesión pública en la sede de la Corte en San José, Costa  Rica,  el</w:t>
        <w:br/>
        <w:t>día 27 de enero de 1995.</w:t>
        <w:br/>
        <w:br/>
        <w:br/>
        <w:br/>
        <w:br/>
        <w:br/>
        <w:t xml:space="preserve">                             Héctor Fix-Zamudio</w:t>
        <w:br/>
        <w:t xml:space="preserve">                                 Presidente</w:t>
        <w:br/>
        <w:br/>
        <w:br/>
        <w:t xml:space="preserve">      Hernán Salgado Pesantes     Rafael Nieto Navia</w:t>
        <w:br/>
        <w:br/>
        <w:br/>
        <w:t xml:space="preserve">      Alejandro Montiel Argüello  Máximo Pacheco Gómez</w:t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t>Comuníquese y ejecútese,</w:t>
        <w:br/>
        <w:t xml:space="preserve">      Héctor Fix-Zamudio</w:t>
        <w:br/>
        <w:t xml:space="preserve">            Presidente</w:t>
        <w:br/>
        <w:t xml:space="preserve">      Manuel E. Ventura Robles</w:t>
        <w:br/>
        <w:t xml:space="preserve">      Secretario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