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  <w:br/>
        <w:br/>
        <w:br/>
        <w:t xml:space="preserve">                  CORTE INTERAMERICANA DE DERECHOS HUMANOS</w:t>
        <w:br/>
        <w:br/>
        <w:br/>
        <w:br/>
        <w:br/>
        <w:br/>
        <w:t xml:space="preserve">               CASO CABRERA GARCÍA Y MONTIEL FLORES VS. MÉXICO</w:t>
        <w:br/>
        <w:br/>
        <w:br/>
        <w:br/>
        <w:br/>
        <w:t xml:space="preserve">                    SENTENCIA DE 26 DE NOVIEMBRE DE 2010</w:t>
        <w:br/>
        <w:t xml:space="preserve">            (Excepción Preliminar, Fondo, Reparaciones y Costas)</w:t>
        <w:br/>
        <w:br/>
        <w:br/>
        <w:br/>
        <w:t>En el caso Cabrera García y Montiel Flores,</w:t>
        <w:br/>
        <w:br/>
        <w:t>la  Corte  Interamericana  de  Derechos  Humanos  (en  adelante  “la   Corte</w:t>
        <w:br/>
        <w:t>Interamericana”, “la Corte” o “el Tribunal”), integrada por  los  siguientes</w:t>
        <w:br/>
        <w:t>jueces:</w:t>
        <w:br/>
        <w:br/>
        <w:t xml:space="preserve">      Diego García-Sayán, Presidente;</w:t>
        <w:br/>
        <w:t xml:space="preserve">      Leonardo A. Franco, Vicepresidente;</w:t>
        <w:br/>
        <w:t xml:space="preserve">      Manuel E. Ventura Robles, Juez;</w:t>
        <w:br/>
        <w:t xml:space="preserve">      Margarette May Macaulay, Jueza;</w:t>
        <w:br/>
        <w:t xml:space="preserve">      Rhadys Abreu Blondet, Jueza;</w:t>
        <w:br/>
        <w:t xml:space="preserve">      Alberto Pérez Pérez, Juez;</w:t>
        <w:br/>
        <w:t xml:space="preserve">      Eduardo Vio Grossi, Juez, y</w:t>
        <w:br/>
        <w:t xml:space="preserve">      Eduardo Ferrer Mac-Gregor Poisot, Juez ad hoc;</w:t>
        <w:br/>
        <w:br/>
        <w:t>presentes, además,</w:t>
        <w:br/>
        <w:br/>
        <w:t xml:space="preserve">      Pablo Saavedra Alessandri, Secretario, y</w:t>
        <w:br/>
        <w:t xml:space="preserve">      Emilia Segares Rodríguez, Secretaria adjunta,</w:t>
        <w:br/>
        <w:br/>
        <w:t>de conformidad con los artículos 62.3 y  63.1  de  la  Convención  Americana</w:t>
        <w:br/>
        <w:t>sobre Derechos  Humanos  (en  adelante  “la  Convención”  o  “la  Convención</w:t>
        <w:br/>
        <w:t>Americana”) y con los artículos 30, 32, 38, 56, 57, 58 y 61  del  Reglamento</w:t>
        <w:br/>
        <w:t>de la Corte[1] (en adelante “el Reglamento”), dicta  la  presente  Sentencia</w:t>
        <w:br/>
        <w:t>que se estructura en el siguiente orden:</w:t>
        <w:br/>
        <w:br/>
        <w:t>|  I.     INTRODUCCIÓN DE LA CAUSA Y OBJETO DE LA            |párrs. 1-6|</w:t>
        <w:br/>
        <w:t>|CONTROVERSIA                                                |          |</w:t>
        <w:br/>
        <w:t>|                                                            |          |</w:t>
        <w:br/>
        <w:t>|II.    PROCEDIMIENTO ANTE LA CORTE                          |párrs.    |</w:t>
        <w:br/>
        <w:t>|                                                            |7-11      |</w:t>
        <w:br/>
        <w:t>|                                                            |          |</w:t>
        <w:br/>
        <w:t>|III.   EXCEPCION PRELIMINAR DE “CUARTA INSTANCIA”           |párrs.    |</w:t>
        <w:br/>
        <w:t>|                                                            |12-22     |</w:t>
        <w:br/>
        <w:t>|                                                            |          |</w:t>
        <w:br/>
        <w:t>|IV.    COMPETENCIA                                          |párr.  23 |</w:t>
        <w:br/>
        <w:t>|                                                            |          |</w:t>
        <w:br/>
        <w:t>|V.      PRUEBA                                              |párr.  24 |</w:t>
        <w:br/>
        <w:t>|1. Prueba testimonial y pericial                            |párrs.    |</w:t>
        <w:br/>
        <w:t>|                                                            |25-26     |</w:t>
        <w:br/>
        <w:t>|2. Admisión de la prueba documental                         |párrs.    |</w:t>
        <w:br/>
        <w:t>|                                                            |27-36     |</w:t>
        <w:br/>
        <w:t>|3. Valoración de las declaraciones de las presuntas         |párrs.    |</w:t>
        <w:br/>
        <w:t>|víctimas, de la prueba testimonial y pericial               |37-48     |</w:t>
        <w:br/>
        <w:t>|4. Consideraciones sobre alegada “prueba superviniente”     |párrs.    |</w:t>
        <w:br/>
        <w:t>|                                                            |49-51     |</w:t>
        <w:br/>
        <w:t>|                                                            |          |</w:t>
        <w:br/>
        <w:t>|VI.     CONSIDERACIONES PREVIAS                             |          |</w:t>
        <w:br/>
        <w:t>|1. Hechos no planteados por la Comisión en su demanda       |párrs.    |</w:t>
        <w:br/>
        <w:t>|                                                            |52-60     |</w:t>
        <w:br/>
        <w:t>|2. Alegados hechos de contexto                              |párrs.    |</w:t>
        <w:br/>
        <w:t>|                                                            |61-65     |</w:t>
        <w:br/>
        <w:t>|                                                            |          |</w:t>
        <w:br/>
        <w:t>|DERECHO A LA LIBERTAD PERSONAL EN RELACIÓN CON LAS          |          |</w:t>
        <w:br/>
        <w:t>|OBLIGACIONES                                                |          |</w:t>
        <w:br/>
        <w:t>|DE RESPETAR Y GARANTIZAR LOS DERECHOS                       |          |</w:t>
        <w:br/>
        <w:t>|1. Descripción general de los procesos e instancias que     |párr.  66 |</w:t>
        <w:br/>
        <w:t>|valoraron los hechos en el ámbito interno                   |          |</w:t>
        <w:br/>
        <w:t>|1.1.  Hechos no controvertidos en relación con la detención |párrs.    |</w:t>
        <w:br/>
        <w:t>|de los señores Cabrera y Montiel                            |67-68     |</w:t>
        <w:br/>
        <w:t>|1.2.  Proceso judicial que condujo a la condena de los      |párrs.    |</w:t>
        <w:br/>
        <w:t>|señores Cabrera y Montiel                                   |69-70     |</w:t>
        <w:br/>
        <w:t>|1.3.  Procesos de amparo iniciados por los señores Cabrera y|párrs.    |</w:t>
        <w:br/>
        <w:t>|Montiel mediante los cuales se impugnó la decisión del      |71-73     |</w:t>
        <w:br/>
        <w:t>|Primer Tribunal Unitario                                    |          |</w:t>
        <w:br/>
        <w:t>|1.4.  Investigación iniciada por las denuncias de actos de  |párrs.    |</w:t>
        <w:br/>
        <w:t>|tortura en contra de las presuntas víctimas. Actuaciones del|74-76     |</w:t>
        <w:br/>
        <w:t>|Ministerio Público Militar y de la Comisión Nacional de los |          |</w:t>
        <w:br/>
        <w:t>|Derechos Humanos                                            |          |</w:t>
        <w:br/>
        <w:t>|2.  Alegada violación del derecho a la seguridad personal   |párrs.    |</w:t>
        <w:br/>
        <w:t>|                                                            |77-89     |</w:t>
        <w:br/>
        <w:t>|3.  Falta de remisión sin demora ante un juez u otro        |párrs.    |</w:t>
        <w:br/>
        <w:t>|funcionario autorizado por la ley para ejercer funciones    |90-102    |</w:t>
        <w:br/>
        <w:t>|judiciales                                                  |          |</w:t>
        <w:br/>
        <w:t>|4.  Alegada falta de información de las razones de detención|párrs.    |</w:t>
        <w:br/>
        <w:t>|y de notificación sin demora del cargo o cargos formulados  |103-106   |</w:t>
        <w:br/>
        <w:t>|                                                            |          |</w:t>
        <w:br/>
        <w:t>|VIII.  DERECHO A LA INTEGRIDAD PERSONAL EN RELACIÓN CON LAS |párrs.    |</w:t>
        <w:br/>
        <w:t>|OBLIGACIONES DE RESPETAR Y GARANTIZAR LOS DERECHOS Y  LAS   |107-110   |</w:t>
        <w:br/>
        <w:t>|OBLIGACIONES CONTENIDAS EN LA CONVENCIÓN INTERAMERICANA PARA|          |</w:t>
        <w:br/>
        <w:t>|PREVENIR Y SANCIONAR LA TORTURA                             |          |</w:t>
        <w:br/>
        <w:t>|1. Hechos probados                                          |          |</w:t>
        <w:br/>
        <w:t>|1.1    Declaraciones rendidas por las víctimas              |párrs.    |</w:t>
        <w:br/>
        <w:t>|                                                            |111-113   |</w:t>
        <w:br/>
        <w:t>|1.2    Certificados médicos obrantes en el expediente       |párrs.    |</w:t>
        <w:br/>
        <w:t>|                                                            |114-120   |</w:t>
        <w:br/>
        <w:t>|1.3    Peritajes dirigidos específicamente a verificar los  |párrs.    |</w:t>
        <w:br/>
        <w:t>|alegados actos de tortura                                   |121-125   |</w:t>
        <w:br/>
        <w:t>|2. Deber de investigar alegados actos de tortura            |párrs.    |</w:t>
        <w:br/>
        <w:t>|                                                            |126-132   |</w:t>
        <w:br/>
        <w:t>|3. Calificación jurídica                                    |párrs.    |</w:t>
        <w:br/>
        <w:t>|                                                            |133-137   |</w:t>
        <w:br/>
        <w:t>|                                                            |          |</w:t>
        <w:br/>
        <w:t>|IX.  GARANTÍAS JUDICIALES Y PROTECCIÓN JUDICIAL EN RELACIÓN |párrs.    |</w:t>
        <w:br/>
        <w:t>|CON LAS OBLIGACIONES DE RESPETAR Y GARANTIZAR LOS DERECHOS, |138-151   |</w:t>
        <w:br/>
        <w:t>|EL DEBER DE ADOPTAR DISPOSICIONES DE DERECHO INTERNO Y LAS  |          |</w:t>
        <w:br/>
        <w:t>|OBLIGACIONES CONTENIDAS EN LA CONVENCIÓN INTERAMERICANA PARA|          |</w:t>
        <w:br/>
        <w:t>|PREVENIR Y SANCIONAR LA TORTURA                             |          |</w:t>
        <w:br/>
        <w:t>|A. Proceso penal llevado a cabo en contra de los señores    |          |</w:t>
        <w:br/>
        <w:t>|Cabrera y Montiel                                           |          |</w:t>
        <w:br/>
        <w:t>|1. Derecho a la defensa                                     |párrs.    |</w:t>
        <w:br/>
        <w:t>|                                                            |152-162   |</w:t>
        <w:br/>
        <w:t>|2. Exclusión de las pruebas obtenidas mediante coacción     |párrs.    |</w:t>
        <w:br/>
        <w:t>|                                                            |163-177   |</w:t>
        <w:br/>
        <w:t>|3.  Principio de presunción de inocencia                    |párrs.    |</w:t>
        <w:br/>
        <w:t>|                                                            |178-186   |</w:t>
        <w:br/>
        <w:t>| B. Proceso penal para investigar la alegada tortura sufrida|párrs.    |</w:t>
        <w:br/>
        <w:t>|por los señores Cabrera y Montiel                           |187-189   |</w:t>
        <w:br/>
        <w:t>|1. La investigación de oficio en el fuero ordinario         |párrs.    |</w:t>
        <w:br/>
        <w:t>|                                                            |190-193   |</w:t>
        <w:br/>
        <w:t>|2. Competencia de la jurisdicción penal militar             |párrs.    |</w:t>
        <w:br/>
        <w:t>|                                                            |194-201   |</w:t>
        <w:br/>
        <w:t>|3. Recurso judicial efectivo en la jurisdicción penal       |párrs.    |</w:t>
        <w:br/>
        <w:t>|militar                                                     |202-204   |</w:t>
        <w:br/>
        <w:t>|4. Adecuación del derecho interno mexicano respecto a la    |párrs.    |</w:t>
        <w:br/>
        <w:t>|intervención de la jurisdicción penal militar               |205-207   |</w:t>
        <w:br/>
        <w:t>|                                                            |          |</w:t>
        <w:br/>
        <w:t>|X.    REPARACIONES                                          |párrs.    |</w:t>
        <w:br/>
        <w:t>|                                                            |208-210   |</w:t>
        <w:br/>
        <w:t>|A. Parte lesionada                                          |párrs.    |</w:t>
        <w:br/>
        <w:t>|                                                            |211-212   |</w:t>
        <w:br/>
        <w:t>|B. Obligación de investigar los hechos e identificar, juzgar|párrs.    |</w:t>
        <w:br/>
        <w:t>|y, en su caso, sancionar a los responsables                 |213-215   |</w:t>
        <w:br/>
        <w:t>|C. Medidas de satisfacción, rehabilitación y garantías de no|          |</w:t>
        <w:br/>
        <w:t>|repetición                                                  |          |</w:t>
        <w:br/>
        <w:t>|c.1 Medidas de satisfacción                                 |          |</w:t>
        <w:br/>
        <w:t>|i) Publicación de la Sentencia                              |párrs.    |</w:t>
        <w:br/>
        <w:t>|                                                            |216-217   |</w:t>
        <w:br/>
        <w:t>|c.2 Medidas de Rehabilitación                               |          |</w:t>
        <w:br/>
        <w:t>|i) Atención médica y psicológica                            |párrs.    |</w:t>
        <w:br/>
        <w:t>|                                                            |218-221   |</w:t>
        <w:br/>
        <w:t>|ii) Eliminar los nombres de las víctimas de todo registro de|párrs.    |</w:t>
        <w:br/>
        <w:t>|delincuentes                                                |222-223   |</w:t>
        <w:br/>
        <w:t>|c.3 Garantías de no repetición                              |          |</w:t>
        <w:br/>
        <w:t>|i) Adecuación del derecho interno a los estándares          |párrs.    |</w:t>
        <w:br/>
        <w:t>|internacionales en materia de justicia                      |224-235   |</w:t>
        <w:br/>
        <w:t>|ii) Adecuación del derecho interno a los estándares         |párr.  236|</w:t>
        <w:br/>
        <w:t>|internacionales en materia de tortura                       |          |</w:t>
        <w:br/>
        <w:t>|iii) Adopción de un mecanismo de registro de detenidos      |párrs.    |</w:t>
        <w:br/>
        <w:t>|público y accesible                                         |237-243   |</w:t>
        <w:br/>
        <w:t>|iv) Programas de formación de funcionarios                  |párrs.    |</w:t>
        <w:br/>
        <w:t>|                                                            |244-245   |</w:t>
        <w:br/>
        <w:t>|v) Otras medidas solicitadas                                |párrs.    |</w:t>
        <w:br/>
        <w:t>|                                                            |246-247   |</w:t>
        <w:br/>
        <w:t>|D. Indemnizaciones compensatorias                           |          |</w:t>
        <w:br/>
        <w:t>|   D.1 Daño material                                        |párrs.    |</w:t>
        <w:br/>
        <w:t>|                                                            |248-254   |</w:t>
        <w:br/>
        <w:t>|D.2 Daño inmaterial                                         |párrs.    |</w:t>
        <w:br/>
        <w:t>|                                                            |255-261   |</w:t>
        <w:br/>
        <w:t>|E.  Costas y gastos                                         |párrs.    |</w:t>
        <w:br/>
        <w:t>|                                                            |262-267   |</w:t>
        <w:br/>
        <w:t>|F. Modalidad de cumplimiento de los pagos ordenados         |párrs.    |</w:t>
        <w:br/>
        <w:t>|                                                            |268-273   |</w:t>
        <w:br/>
        <w:t>|                                                            |          |</w:t>
        <w:br/>
        <w:t>|XI.     PUNTOS RESOLUTIVOS                                  |párr. 274 |</w:t>
        <w:br/>
        <w:t>|                                                            |          |</w:t>
        <w:br/>
        <w:t>|Voto razonado del Juez ad hoc Eduardo Ferrer Mac-Gregor     |          |</w:t>
        <w:br/>
        <w:t>|Poisot                                                      |          |</w:t>
        <w:br/>
        <w:br/>
        <w:br/>
        <w:br/>
        <w:t xml:space="preserve">                                      I</w:t>
        <w:br/>
        <w:br/>
        <w:br/>
        <w:t xml:space="preserve">            INTRODUCCIÓN DE LA CAUSA Y OBJETO DE LA CONTROVERSIA</w:t>
        <w:br/>
        <w:br/>
        <w:br/>
        <w:br/>
        <w:br/>
        <w:br/>
        <w:t>El 24 de junio de 2009 la Comisión Interamericana de  Derechos  Humanos  (en</w:t>
        <w:br/>
        <w:t>adelante,  la  “Comisión  Interamericana”  o  la  “Comisión”)  presentó,  de</w:t>
        <w:br/>
        <w:t>conformidad con los artículos 51 y 61  de  la  Convención,  una  demanda  en</w:t>
        <w:br/>
        <w:t>contra de  México  (en  adelante,  el  “Estado”,  el  “Estado  mexicano”,  o</w:t>
        <w:br/>
        <w:t>“México”)  en  relación  con  el  caso  12.449.  La  petición  inicial   fue</w:t>
        <w:br/>
        <w:t>presentada ante la Comisión el 25 de  octubre  de  2001  por  Ubalda  Cortés</w:t>
        <w:br/>
        <w:t>Salgado,  Ventura  López  y  las  organizaciones  Sierra  Club,   Greenpeace</w:t>
        <w:br/>
        <w:t>International, el Centro de Derechos Humanos Miguel  Agustín  Pro  Juárez  –</w:t>
        <w:br/>
        <w:t>PRODH y el Centro por la Justicia y  el  Derecho  Internacional.  El  27  de</w:t>
        <w:br/>
        <w:t>febrero de 2004 la Comisión adoptó el Informe 11/04, en el cual  declaró  la</w:t>
        <w:br/>
        <w:t>admisibilidad del caso[2]. El 30 de octubre de 2008 la  Comisión  aprobó  el</w:t>
        <w:br/>
        <w:t>Informe de Fondo 88/08, elaborado en  observancia  del  artículo  50  de  la</w:t>
        <w:br/>
        <w:t>Convención[3].  Tras  considerar  que   México   no   había   adoptado   las</w:t>
        <w:br/>
        <w:t>recomendaciones incluidas en dicho informe, la Comisión decidió  someter  el</w:t>
        <w:br/>
        <w:t>presente caso a la jurisdicción  de  la  Corte.  La  Comisión  designó  como</w:t>
        <w:br/>
        <w:t>delegados a los señores Florentín Meléndez, Comisionado,  y  a  Santiago  A.</w:t>
        <w:br/>
        <w:t>Cantón, Secretario Ejecutivo de la Comisión Interamericana, y como  asesores</w:t>
        <w:br/>
        <w:t>legales a Elizabeth Abi-Mershed, Secretaria Ejecutiva Adjunta,  y  a  Isabel</w:t>
        <w:br/>
        <w:t>Madariaga, Juan Pablo Albán Alencastro y  Marisol  Blanchard,  especialistas</w:t>
        <w:br/>
        <w:t>de la Secretaría Ejecutiva.</w:t>
        <w:br/>
        <w:br/>
        <w:br/>
        <w:t>La demanda se relaciona con la alegada responsabilidad  del  Estado  por  el</w:t>
        <w:br/>
        <w:t>sometimiento de los señores Teodoro Cabrera García y Rodolfo Montiel  Flores</w:t>
        <w:br/>
        <w:t>(en adelante, los  señores  “Cabrera  García”  y  “Montiel  Flores”  o  “los</w:t>
        <w:br/>
        <w:t>señores Cabrera y Montiel”) “a  tratos  crueles,  inhumanos  y  degradantes,</w:t>
        <w:br/>
        <w:t>mientras se encontraban detenidos y bajo custodia de miembros  del  Ejército</w:t>
        <w:br/>
        <w:t>mexicano, por su falta de presentación  sin  demora  ante  un  juez  u  otro</w:t>
        <w:br/>
        <w:t>funcionario autorizado para ejercer funciones judiciales que  controlara  la</w:t>
        <w:br/>
        <w:t>legalidad de la  detención,  y  por  las  irregularidades  acaecidas  en  el</w:t>
        <w:br/>
        <w:t>proceso penal que se adelantó en su contra”. Además, la demanda  se  refiere</w:t>
        <w:br/>
        <w:t>a la supuesta falta de debida diligencia en la investigación  y  sanción  de</w:t>
        <w:br/>
        <w:t>los responsables de los hechos, la falta de investigación  adecuada  de  las</w:t>
        <w:br/>
        <w:t>alegaciones  de  tortura,  y  la  utilización  del  fuero  militar  para  la</w:t>
        <w:br/>
        <w:t>investigación y juzgamiento  de  violaciones  a  los  derechos  humanos.  La</w:t>
        <w:br/>
        <w:t>detención de los señores Cabrera y Montiel tuvo lugar el 2 de mayo de 1999.</w:t>
        <w:br/>
        <w:br/>
        <w:br/>
        <w:t>La  Comisión  solicitó  a  la  Corte  que  declarara  al   Estado   mexicano</w:t>
        <w:br/>
        <w:t>responsable de la violación de los derechos  consagrados  en  los  artículos</w:t>
        <w:br/>
        <w:t>5.1 y 5.2 (Integridad Personal), 7.5 (Libertad Personal),  8.1,  8.2.g,  8.3</w:t>
        <w:br/>
        <w:t>(Garantías  Judiciales)  y  25  (Protección  Judicial)  de   la   Convención</w:t>
        <w:br/>
        <w:t>Americana; del incumplimiento de las obligaciones generales establecidas  en</w:t>
        <w:br/>
        <w:t>los artículos 1.1 (Obligación de  Respetar  los  Derechos)  y  2  (Deber  de</w:t>
        <w:br/>
        <w:t>Adoptar Disposiciones de Derecho  Interno)  del  mismo  instrumento;  y  del</w:t>
        <w:br/>
        <w:t>incumplimiento de las obligaciones bajo los artículos 1, 6, 8  y  10  de  la</w:t>
        <w:br/>
        <w:t>Convención  Interamericana  para  Prevenir  y  Sancionar  la   Tortura,   en</w:t>
        <w:br/>
        <w:t>perjuicio de los señores Cabrera y Montiel. Asimismo, la  Comisión  solicitó</w:t>
        <w:br/>
        <w:t>al Tribunal que  ordenara  al  Estado  la  adopción  de  varias  medidas  de</w:t>
        <w:br/>
        <w:t>reparación.</w:t>
        <w:br/>
        <w:br/>
        <w:br/>
        <w:t>El 2 de noviembre de 2009 el Centro de Derechos Humanos Miguel  Agustín  Pro</w:t>
        <w:br/>
        <w:t>Juárez A.C.[4] (en adelante  también  “Centro  Prodh”),  el  Centro  por  la</w:t>
        <w:br/>
        <w:t>Justicia y el Derecho Internacional[5] (en adelante también  “CEJIL”)  y  el</w:t>
        <w:br/>
        <w:t>Centro de Derechos Humanos de la Montaña Tlachinollan A.C.[6]  (todos  ellos</w:t>
        <w:br/>
        <w:t>en adelante “los representantes”) presentaron  su  escrito  de  solicitudes,</w:t>
        <w:br/>
        <w:t>argumentos y pruebas (en adelante, “escrito de solicitudes  y  argumentos”).</w:t>
        <w:br/>
        <w:t>Además  de  los  derechos  alegados  por  la  Comisión,  los  representantes</w:t>
        <w:br/>
        <w:t>alegaron que en el presente caso existió tortura, la violación del  artículo</w:t>
        <w:br/>
        <w:t>5 (Integridad Personal) en perjuicio de  los  familiares  de  las  presuntas</w:t>
        <w:br/>
        <w:t>víctimas, por “el sufrimiento causado por las violaciones  en  perjuicio  de</w:t>
        <w:br/>
        <w:t>sus seres queridos y la impunidad en que éstas se mantienen”;  la  violación</w:t>
        <w:br/>
        <w:t>del artículo 16 (Libertad de  Asociación)  de  la  Convención  Americana  en</w:t>
        <w:br/>
        <w:t>perjuicio de los señores Cabrera y Montiel, debido  a  que  las  violaciones</w:t>
        <w:br/>
        <w:t>cometidas en su contra se dieron como “una represalia a su participación  en</w:t>
        <w:br/>
        <w:t>una organización dedicada a la  defensa  del  medio  ambiente  y  porque  el</w:t>
        <w:br/>
        <w:t>Estado no garantizó que pudieran llevar a cabo su labor  en  condiciones  de</w:t>
        <w:br/>
        <w:t>seguridad”. En  el  marco  de  lo  anterior  extendieron  la  violación  del</w:t>
        <w:br/>
        <w:t>artículo 7 (Libertad Personal) a los incisos 7.1,  7.2,  7.3  y  7.4  de  la</w:t>
        <w:br/>
        <w:t>Convención  Americana.  Finalmente,  los   representantes   solicitaron   al</w:t>
        <w:br/>
        <w:t>Tribunal  que  ordenara  al  Estado  la  adopción  de  varias   medidas   de</w:t>
        <w:br/>
        <w:t>reparación.</w:t>
        <w:br/>
        <w:br/>
        <w:br/>
        <w:t>El 7 de febrero de 2010 el Estado presentó su escrito  de  interposición  de</w:t>
        <w:br/>
        <w:t>excepción preliminar, contestación de la demanda y observaciones al  escrito</w:t>
        <w:br/>
        <w:t>de solicitudes y argumentos (en adelante, “contestación de la demanda”).  En</w:t>
        <w:br/>
        <w:t>dicho escrito el Estado interpuso la  excepción  preliminar  relativa  a  la</w:t>
        <w:br/>
        <w:t>“[i]ncompetencia de la Corte para conocer de los méritos de la  […]  demanda</w:t>
        <w:br/>
        <w:t>a la luz del principio de cuarta instancia”. Asimismo,  el  Estado  negó  su</w:t>
        <w:br/>
        <w:t>responsabilidad internacional respecto  de  la  violación  de  los  derechos</w:t>
        <w:br/>
        <w:t>alegados por las demás partes. El Estado  designó  a  la  señora  Embajadora</w:t>
        <w:br/>
        <w:t>Zadalinda González y Reynero como Agente.</w:t>
        <w:br/>
        <w:br/>
        <w:br/>
        <w:t>De conformidad con el artículo 38.4 del Reglamento, el 2 de  abril  de  2010</w:t>
        <w:br/>
        <w:t>la Comisión y los representantes presentaron sus  alegatos  a  la  excepción</w:t>
        <w:br/>
        <w:t>preliminar interpuesta por el Estado.</w:t>
        <w:br/>
        <w:br/>
        <w:br/>
        <w:t xml:space="preserve">                                     II</w:t>
        <w:br/>
        <w:t xml:space="preserve">                         PROCEDIMIENTO ANTE LA CORTE</w:t>
        <w:br/>
        <w:br/>
        <w:br/>
        <w:t>La demanda de la Comisión fue notificada a los representantes  y  al  Estado</w:t>
        <w:br/>
        <w:t>el 2 de septiembre de 2009. Ese mismo día,  siguiendo  instrucciones  de  la</w:t>
        <w:br/>
        <w:t>Presidencia de la  Corte  y  de  acuerdo  con  el  Reglamento  de  la  Corte</w:t>
        <w:br/>
        <w:t>aplicable, se consultó al Estado sobre su propósito de designar un  juez  ad</w:t>
        <w:br/>
        <w:t>hoc para el presente caso[7]. El 15 de octubre de 2009 el Estado  designó  a</w:t>
        <w:br/>
        <w:t>Eduardo Ferrer Mac-Gregor Poisot en tal calidad.</w:t>
        <w:br/>
        <w:br/>
        <w:br/>
        <w:t>Mediante Resolución de 2 de julio de 2010 el  Presidente  de  la  Corte  (en</w:t>
        <w:br/>
        <w:t>adelante “el Presidente”) convocó a una audiencia  pública  en  el  presente</w:t>
        <w:br/>
        <w:t>caso y ordenó requerir ciertas declaraciones a través de  fedatario  público</w:t>
        <w:br/>
        <w:t>y otras en dicha audiencia[8]. Las partes tuvieron oportunidad de  presentar</w:t>
        <w:br/>
        <w:t>observaciones a las declaraciones rendidas ante fedatario público.</w:t>
        <w:br/>
        <w:br/>
        <w:br/>
        <w:t>Por otra parte, el Tribunal recibió  doce  escritos  en  calidad  de  amicus</w:t>
        <w:br/>
        <w:t>curiae de  las  siguientes  personas,  instituciones  y  organizaciones:  La</w:t>
        <w:br/>
        <w:t>Clínica de Derechos Humanos del Programa de Derechos Humanos de  la  Escuela</w:t>
        <w:br/>
        <w:t>de Derecho de la Universidad de Harvard[9], respecto a la  admisibilidad  de</w:t>
        <w:br/>
        <w:t>los  argumentos  de  presuntas  víctimas  relativos  a  la  duración  de  la</w:t>
        <w:br/>
        <w:t>detención ilegal y los abusos sufridos durante su detención; la  Clínica  de</w:t>
        <w:br/>
        <w:t>Derechos Humanos de la Universidad de Texas[10], sobre la vulnerabilidad  de</w:t>
        <w:br/>
        <w:t>las personas detenidas sin orden judicial y la  necesidad  de  ser  llevados</w:t>
        <w:br/>
        <w:t>sin  demora  ante  un  juez;  Gustavo  Fondevila,  profesor  del  Centro  de</w:t>
        <w:br/>
        <w:t>Investigación y Docencia Económicas (CIDE)[11], respecto a  las  detenciones</w:t>
        <w:br/>
        <w:t>ilegales del Ejército mexicano y la  legalización  de  la  tortura  bajo  la</w:t>
        <w:br/>
        <w:t>figura de la confesión coaccionada; la Asociación para la Prevención  de  la</w:t>
        <w:br/>
        <w:t>Tortura[12], respecto a la exclusión de pruebas obtenidas mediante  tortura;</w:t>
        <w:br/>
        <w:t>Miguel  Sarre,  profesor  del  Instituto  Tecnológico  Autónomo  de   México</w:t>
        <w:br/>
        <w:t>(ITAM)[13], respecto a la obligación del Estado de reglamentar  un  registro</w:t>
        <w:br/>
        <w:t>de detención como medida de no repetición; la Clínica  de  Derechos  Humanos</w:t>
        <w:br/>
        <w:t>de la Escuela Libre de Derecho[14], sobre el deber de  protección,  garantía</w:t>
        <w:br/>
        <w:t>y de proporcionar un recurso efectivo a los defensores de  derechos  humanos</w:t>
        <w:br/>
        <w:t>y del medio ambiente; la Comisión Mexicana de Defensa  y  Promoción  de  los</w:t>
        <w:br/>
        <w:t>Derechos Humanos A.C[15], sobre la amplia discrecionalidad con que actúa  el</w:t>
        <w:br/>
        <w:t>Ministerio  Público  Mexicano  durante  la  conducción  de  la  averiguación</w:t>
        <w:br/>
        <w:t>previa; el Centro Mexicano de Derecho  Ambiental  (CEMDA)  y  la  Asociación</w:t>
        <w:br/>
        <w:t>Interamericana para la Defensa  del  Medio  Ambiente  (AIDA)[16],  sobre  la</w:t>
        <w:br/>
        <w:t>importancia de los defensores del medio ambiente en México,  las  agresiones</w:t>
        <w:br/>
        <w:t>sufridas y su derecho a la asociación; el Programa de  Derechos  Humanos  de</w:t>
        <w:br/>
        <w:t>la Universidad Iberoamericana[17], respecto  a  la  prohibición  de  valorar</w:t>
        <w:br/>
        <w:t>pruebas  obtenidas  bajo  tortura  y  sin  control  judicial;  el   Programa</w:t>
        <w:br/>
        <w:t>Internacional Forense de  Physicians  for  Human  Rights[18],  sobre  el  no</w:t>
        <w:br/>
        <w:t>cumplimiento de los requisitos internacionales respecto  a  las  pruebas  de</w:t>
        <w:br/>
        <w:t>rodizonato  de  sodio;  EarthRights  International[19],  sobre   abusos   de</w:t>
        <w:br/>
        <w:t>derechos humanos en el contexto de resistencia  de  comunidades  contra  las</w:t>
        <w:br/>
        <w:t>industrias de extracción, y el Environmental Defender Law Center[20],  sobre</w:t>
        <w:br/>
        <w:t>la  grave  situación   de   los   defensores   ambientales   mexicanos,   el</w:t>
        <w:br/>
        <w:t>reconocimiento internacional de los defensores ambientales  y  la  violación</w:t>
        <w:br/>
        <w:t>de los derechos de los señores Cabrera y Montiel.</w:t>
        <w:br/>
        <w:br/>
        <w:br/>
        <w:t>La audiencia pública fue celebrada los días  26  y  27  de  agosto  de  2010</w:t>
        <w:br/>
        <w:t>durante el LXXXVIII Período Ordinario de Sesiones de la Corte,  en  la  Sede</w:t>
        <w:br/>
        <w:t>del Tribunal[21]. Durante la celebración de la audiencia pública los  jueces</w:t>
        <w:br/>
        <w:t>hicieron diversas preguntas y solicitaron prueba para mejor resolver[22].</w:t>
        <w:br/>
        <w:br/>
        <w:t>El 11 de octubre de 2010 la Comisión Interamericana, los  representantes[23]</w:t>
        <w:br/>
        <w:t>y el Estado remitieron sus alegatos  finales  escritos,  los  cuales  fueron</w:t>
        <w:br/>
        <w:t>transmitidos a las partes para que hicieran las observaciones que  estimaran</w:t>
        <w:br/>
        <w:t>pertinentes sobre determinados documentos acompañados por México y  por  los</w:t>
        <w:br/>
        <w:t>representantes con aquellos escritos. En dichos alegatos finales las  partes</w:t>
        <w:br/>
        <w:t>presentaron alegatos y prueba en relación con las preguntas  y  prueba  para</w:t>
        <w:br/>
        <w:t>mejor resolver solicitadas por la Corte.</w:t>
        <w:br/>
        <w:br/>
        <w:br/>
        <w:br/>
        <w:br/>
        <w:t xml:space="preserve">                                     III</w:t>
        <w:br/>
        <w:br/>
        <w:br/>
        <w:t xml:space="preserve">                 EXCEPCIÓN PRELIMINAR DE “CUARTA  INSTANCIA”</w:t>
        <w:br/>
        <w:br/>
        <w:br/>
        <w:br/>
        <w:br/>
        <w:br/>
        <w:t xml:space="preserve">     1. Alegatos de las partes</w:t>
        <w:br/>
        <w:br/>
        <w:br/>
        <w:t>El Estado opuso como excepción preliminar la  “incompetencia”  de  la  Corte</w:t>
        <w:br/>
        <w:t>“para conocer de los méritos de la presente demanda a la luz  del  principio</w:t>
        <w:br/>
        <w:t>de cuarta instancia”. El Estado sostuvo que “la Corte  no  puede  determinar</w:t>
        <w:br/>
        <w:t>si los tribunales nacionales aplicaron correctamente el  derecho  interno  o</w:t>
        <w:br/>
        <w:t>si el fallo  emitido  fue  equivocado  o  injusto”  y  que  sólo  “debe[ría]</w:t>
        <w:br/>
        <w:t>determinar” si el proceso judicial penal  “se  apegó  a  los  principios  de</w:t>
        <w:br/>
        <w:t>garantía y protección judicial consagrados en la Convención Americana  o  si</w:t>
        <w:br/>
        <w:t>existe algún error judicial comprobable y comprobado que acredite una  grave</w:t>
        <w:br/>
        <w:t>injusticia”. El Estado afirmó que esto  último  no  habría  sucedido  en  el</w:t>
        <w:br/>
        <w:t>presente caso dado que los  señores  Cabrera  y  Montiel  interpusieron  “un</w:t>
        <w:br/>
        <w:t>recurso para inconformarse por la formal prisión en su contra,  recurso  con</w:t>
        <w:br/>
        <w:t>el que  obtuvieron  resultados  parcialmente  favorables”,  y  que  “también</w:t>
        <w:br/>
        <w:t>tuvieron  acceso  a  instancias  en  las  que  pudieron  apelar   el   fallo</w:t>
        <w:br/>
        <w:t>condenatorio  de  primera  instancia  y  a  otras  más  para  recurrir   las</w:t>
        <w:br/>
        <w:t>determinaciones  posteriores,  recursos   con   los   que   también   fueron</w:t>
        <w:br/>
        <w:t>beneficiados”, incluso mediante la aceptación de una  prueba  presentada  en</w:t>
        <w:br/>
        <w:t>forma extemporánea. En efecto, México sostiene  que  “la  totalidad  de  los</w:t>
        <w:br/>
        <w:t>actos u omisiones del Estado” aducidos como “violatorios  de  la  Convención</w:t>
        <w:br/>
        <w:t>Americana, incluso los de carácter procesal y  procedimental,  ya  han  sido</w:t>
        <w:br/>
        <w:t>valorados y determinados por órganos judiciales mexicanos  independientes  e</w:t>
        <w:br/>
        <w:t>imparciales a través de recursos efectivos y eficaces” y “con pleno  respeto</w:t>
        <w:br/>
        <w:t>al derecho de garantía y protección judicial”.</w:t>
        <w:br/>
        <w:br/>
        <w:br/>
        <w:t>El Estado añadió que la Corte “ha sido constante en  declarar  improcedentes</w:t>
        <w:br/>
        <w:t>las  excepciones  preliminares  sustentadas  en  un   criterio   de   cuarta</w:t>
        <w:br/>
        <w:t>instancia”. Sin embargo, este caso sería excepcional  porque  en  los  casos</w:t>
        <w:br/>
        <w:t>anteriores los demandantes no habían pretendido obtener “la revisión de  los</w:t>
        <w:br/>
        <w:t>fallos o decisiones de los tribunales internos”, sino  la  determinación  de</w:t>
        <w:br/>
        <w:t>“si un acto u omisión del Estado ha[bía] resultado violatorio de un  derecho</w:t>
        <w:br/>
        <w:t>protegido por la Convención Americana”, mientras que  en  el  presente  caso</w:t>
        <w:br/>
        <w:t>“se buscaría revisar lo ya decidido por  los  tribunales  domésticos”,  pues</w:t>
        <w:br/>
        <w:t>éstos habrían ejercido “efectivamente el ‘control  de  convencionalidad’  ex</w:t>
        <w:br/>
        <w:t>officio, que debe imperar  para  ser  procedente  una  excepción  de  cuarta</w:t>
        <w:br/>
        <w:t>instancia”. En consecuencia,  el  Estado  solicitó  a  la  Corte  declararse</w:t>
        <w:br/>
        <w:t>incompetente debido a que “la totalidad de los méritos del caso  […]  fueron</w:t>
        <w:br/>
        <w:t>analizados judicialmente” en instancias judiciales en las que se  “determinó</w:t>
        <w:br/>
        <w:t>la inexistencia  de  tortura”  y  “en  juicio  apegado  al  respeto  de  las</w:t>
        <w:br/>
        <w:t>garantías  judiciales  […]  acreditó  la  responsabilidad  penal   de   [las</w:t>
        <w:br/>
        <w:t>presuntas víctimas]”. Por  último,  solicitó  que,  en  caso  de  declararse</w:t>
        <w:br/>
        <w:t>improcedente esta excepción, la Corte se  pronuncie  “sobre  los  criterios,</w:t>
        <w:br/>
        <w:t>fundamentos jurídicos y condiciones en las que, aun  cuando  los  tribunales</w:t>
        <w:br/>
        <w:t>nacionales ejerzan un control de convencionalidad”, la Corte “puede  conocer</w:t>
        <w:br/>
        <w:t>de los asuntos sometidos a su jurisdicción”.</w:t>
        <w:br/>
        <w:br/>
        <w:br/>
        <w:t>La Comisión alegó que “no pretende presentar cuestiones  vinculadas  con  la</w:t>
        <w:br/>
        <w:t>interpretación o aplicación del derecho interno del Estado a los hechos”  de</w:t>
        <w:br/>
        <w:t>este juicio, “sino que solicita que la Corte declare que el Estado  mexicano</w:t>
        <w:br/>
        <w:t>es  responsable  de  la  violación”  de  algunos  derechos  estipulados   en</w:t>
        <w:br/>
        <w:t>instrumentos interamericanos. Además, la Comisión resaltó  que  ella  habría</w:t>
        <w:br/>
        <w:t>analizado “oportuna y debidamente las  cuestiones  de  admisibilidad  en  el</w:t>
        <w:br/>
        <w:t>presente caso”, y que en el informe de fondo y en la  demanda,  concluyó  la</w:t>
        <w:br/>
        <w:t>“falta de investigación y substanciación de la denuncia interpuesta por  los</w:t>
        <w:br/>
        <w:t>alegados actos de tortura”  y  “las  irregularidades  acaecidas  dentro  del</w:t>
        <w:br/>
        <w:t>proceso penal en contra de las [presuntas]  víctimas”.  Por  último,  señaló</w:t>
        <w:br/>
        <w:t>que “la excepción interpuesta por el Estado de México es  infundada,  puesto</w:t>
        <w:br/>
        <w:t>que los argumentos estatales presuponen una  evaluación  de  la  materia  de</w:t>
        <w:br/>
        <w:t>fondo de la demanda y de las  evidencias  presentadas  en  relación  con  el</w:t>
        <w:br/>
        <w:t>sistema judicial y las decisiones de los tribunales internos en este  caso”.</w:t>
        <w:br/>
        <w:br/>
        <w:br/>
        <w:br/>
        <w:t>Por su parte, los representantes señalaron  que  “el  argumento  estatal  no</w:t>
        <w:br/>
        <w:t>puede ser considerado como una excepción preliminar, en tanto  el  mismo  se</w:t>
        <w:br/>
        <w:t>basa en la compatibilidad de las actuaciones de sus órganos internos con  la</w:t>
        <w:br/>
        <w:t>Convención Americana”, razón por la cual “constituye un alegato  de  fondo”.</w:t>
        <w:br/>
        <w:t>Además,  sostuvieron  que  no  solicitan  revisar  “la  manera  en  que  los</w:t>
        <w:br/>
        <w:t>tribunales mexicanos aplicaron su  legislación  interna  o  sus  decisiones”</w:t>
        <w:br/>
        <w:t>sino “alegadas violaciones de  instrumentos  interamericanos”,  teniendo  en</w:t>
        <w:br/>
        <w:t>cuenta que el Estado es  internacionalmente  responsable  por  los  actos  u</w:t>
        <w:br/>
        <w:t>omisiones de cualquiera de sus poderes u órganos, incluidos los  tribunales.</w:t>
        <w:br/>
        <w:t>Agregaron que también  se  solicita  declarar  la  “incompatibilidad  de  la</w:t>
        <w:br/>
        <w:t>competencia  de  los  tribunales  militares  para  investigar   los   hechos</w:t>
        <w:br/>
        <w:t>denunciados de tortura con las  disposiciones  convencionales  mencionadas”.</w:t>
        <w:br/>
        <w:t>Frente al argumento de  que  la  excepción  de  “cuarta  instancia”  procede</w:t>
        <w:br/>
        <w:t>porque  todas  las  violaciones  alegadas  ante  la  Corte  ya  habían  sido</w:t>
        <w:br/>
        <w:t>valoradas y consideradas por órganos judiciales, los representantes  afirman</w:t>
        <w:br/>
        <w:t>que ello no sería efectivo, pues “varias  de  las  violaciones  de  derechos</w:t>
        <w:br/>
        <w:t>humanos objeto de estudio en el presente caso  nunca  fueron  valoradas  por</w:t>
        <w:br/>
        <w:t>tribunales internos o, si lo [fueron], fue  de  manera  [in]adecuada”,  como</w:t>
        <w:br/>
        <w:t>habría  sucedido  con  la  alegada  tortura.  Respecto  al  alegato  de  que</w:t>
        <w:br/>
        <w:t>procedería la excepción preliminar de “cuarta  instancia”  porque  el  Poder</w:t>
        <w:br/>
        <w:t>Judicial interno habría ejercido “el control de convencionalidad ex  officio</w:t>
        <w:br/>
        <w:t>que  debe  imperar   para   hacer   procedente   [dicha]   excepción”,   los</w:t>
        <w:br/>
        <w:t>representantes  señalaron  que  la  evaluación  del  cumplimiento  de  dicho</w:t>
        <w:br/>
        <w:t>control “compete, al igual que la del resto de las obligaciones  que  emanan</w:t>
        <w:br/>
        <w:t>del tratado, a la Corte Interamericana”. Además, hicieron presente  que  “no</w:t>
        <w:br/>
        <w:t>es cierto que dicho ‘control de convencionalidad’ realmente se haya  hecho”.</w:t>
        <w:br/>
        <w:br/>
        <w:br/>
        <w:br/>
        <w:br/>
        <w:br/>
        <w:br/>
        <w:t xml:space="preserve">      2. Consideraciones de la Corte</w:t>
        <w:br/>
        <w:br/>
        <w:br/>
        <w:t>Este  Tribunal  ha  establecido  que  la  jurisdicción  internacional  tiene</w:t>
        <w:br/>
        <w:t>carácter subsidiario[24], coadyuvante y  complementario[25],  razón  por  la</w:t>
        <w:br/>
        <w:t>cual no desempeña funciones de tribunal de “cuarta instancia”. Ello  implica</w:t>
        <w:br/>
        <w:t>que la Corte no es un tribunal de alzada o de  apelación  para  dirimir  los</w:t>
        <w:br/>
        <w:t>desacuerdos que tengan las partes sobre algunos alcances  de  la  valoración</w:t>
        <w:br/>
        <w:t>de prueba o de la aplicación del derecho interno en aspectos  que  no  estén</w:t>
        <w:br/>
        <w:t>directamente   relacionados   con   el    cumplimiento    de    obligaciones</w:t>
        <w:br/>
        <w:t>internacionales  en  derechos  humanos.  Es  por  ello  que  esta  Corte  ha</w:t>
        <w:br/>
        <w:t>sostenido que, en principio, “corresponde a los  tribunales  del  Estado  el</w:t>
        <w:br/>
        <w:t>examen  de  los  hechos  y   las   pruebas   presentadas   en   las   causas</w:t>
        <w:br/>
        <w:t>particulares”[26]. Lo anterior implica que al valorarse el  cumplimiento  de</w:t>
        <w:br/>
        <w:t>ciertas  obligaciones  internacionales,  como  la  de  garantizar  que   una</w:t>
        <w:br/>
        <w:t>detención fue legal, existe una intrínseca interrelación entre  el  análisis</w:t>
        <w:br/>
        <w:t>de derecho internacional y de derecho interno.</w:t>
        <w:br/>
        <w:br/>
        <w:br/>
        <w:t>La Corte ha afirmado que las excepciones preliminares son actos  que  buscan</w:t>
        <w:br/>
        <w:t>impedir el  análisis  del  fondo  de  un  asunto  cuestionado,  mediante  la</w:t>
        <w:br/>
        <w:t>objeción de la admisibilidad de una demanda o la  competencia  del  Tribunal</w:t>
        <w:br/>
        <w:t>para conocer de un determinado caso o de alguno de sus aspectos, ya  sea  en</w:t>
        <w:br/>
        <w:t>razón de la persona, materia,  tiempo  o  lugar,  siempre  y  cuando  dichos</w:t>
        <w:br/>
        <w:t>planteamientos tengan el carácter de preliminares[27].  Si  estos  actos  no</w:t>
        <w:br/>
        <w:t>pudieran ser revisados sin entrar a analizar  previamente  el  fondo  de  un</w:t>
        <w:br/>
        <w:t>caso, no pueden ser analizados mediante una excepción preliminar[28].</w:t>
        <w:br/>
        <w:br/>
        <w:br/>
        <w:t>Atendido lo anterior, puede afirmarse que, si se pretendiera  que  la  Corte</w:t>
        <w:br/>
        <w:t>ejerza como tribunal de alzada  sobre  los  alcances  de  la  prueba  y  del</w:t>
        <w:br/>
        <w:t>derecho interno, se le estaría sometiendo una  materia  sobre  la  cual,  en</w:t>
        <w:br/>
        <w:t>virtud de la  competencia  subsidiaria  de  un  tribunal  internacional,  no</w:t>
        <w:br/>
        <w:t>podría pronunciarse y es incompetente. No obstante, para que esta  excepción</w:t>
        <w:br/>
        <w:t>fuese procedente, sería necesario que el solicitante  busque  que  la  Corte</w:t>
        <w:br/>
        <w:t>revise  el  fallo  de  un  tribunal  interno  en  virtud  de  su  incorrecta</w:t>
        <w:br/>
        <w:t>apreciación de la prueba, los hechos o el derecho interno,  sin  que,  a  la</w:t>
        <w:br/>
        <w:t>vez, se  alegue  que  tal  fallo  incurrió  en  una  violación  de  tratados</w:t>
        <w:br/>
        <w:t>internacionales respecto de los que tenga competencia el Tribunal.</w:t>
        <w:br/>
        <w:br/>
        <w:br/>
        <w:t>Por el  contrario,  sí  compete  a  la  Corte  verificar  si  en  los  pasos</w:t>
        <w:br/>
        <w:t>efectivamente  dados  a  nivel  interno  se  violaron  o   no   obligaciones</w:t>
        <w:br/>
        <w:t>internacionales del Estado derivadas  de  los  instrumentos  interamericanos</w:t>
        <w:br/>
        <w:t>que  le  otorgan  competencia  al  Tribunal.  Por  ello,  la  jurisprudencia</w:t>
        <w:br/>
        <w:t>reiterada de la Corte señala que la determinación de si las  actuaciones  de</w:t>
        <w:br/>
        <w:t>órganos judiciales constituyen  o  no  una  violación  de  las  obligaciones</w:t>
        <w:br/>
        <w:t>internacionales del Estado, puede conducir a que la Corte deba  ocuparse  de</w:t>
        <w:br/>
        <w:t>examinar   los   respectivos   procesos   internos   para   establecer    su</w:t>
        <w:br/>
        <w:t>compatibilidad con la Convención Americana[29]. Ello sucede  porque,  si  se</w:t>
        <w:br/>
        <w:t>reclama que un fallo ha sido  incorrecto  en  virtud  de  la  violación  del</w:t>
        <w:br/>
        <w:t>debido proceso, la Corte no podrá referirse a esta solicitud en la forma  de</w:t>
        <w:br/>
        <w:t>una excepción preliminar, ya que deberá considerar el  fondo  del  asunto  y</w:t>
        <w:br/>
        <w:t>determinar si este derecho convencional fue o no violado.</w:t>
        <w:br/>
        <w:br/>
        <w:br/>
        <w:t>Teniendo  en  cuenta  lo  anterior,  la  Corte  observa  que  la   excepción</w:t>
        <w:br/>
        <w:t>preliminar presentada por el Estado toma como punto de  partida  que  no  ha</w:t>
        <w:br/>
        <w:t>existido ninguna violación de derechos humanos en el presente  caso,  cuando</w:t>
        <w:br/>
        <w:t>es precisamente ello lo que se debatirá en el fondo del asunto.  Al  valorar</w:t>
        <w:br/>
        <w:t>el mérito  de  la  petición  la  Corte  determinará  si  los  procedimientos</w:t>
        <w:br/>
        <w:t>internos, tal como alega el Estado,  respondieron  a  la  totalidad  de  los</w:t>
        <w:br/>
        <w:t>actos reclamados por la Comisión y los representantes ante este  Tribunal  y</w:t>
        <w:br/>
        <w:t>si en ese ejercicio  se  respetaron  las  obligaciones  internacionales  del</w:t>
        <w:br/>
        <w:t>Estado.</w:t>
        <w:br/>
        <w:br/>
        <w:br/>
        <w:t>De otra parte, la conclusión anterior no se modifica por el hecho de que  el</w:t>
        <w:br/>
        <w:t>Estado alegue que los tribunales nacionales hayan  ejercido  ex  officio  un</w:t>
        <w:br/>
        <w:t>“control de convencionalidad” entre las  normas  internas  y  la  Convención</w:t>
        <w:br/>
        <w:t>Americana. En efecto, será en la etapa de fondo en la que se determinará  si</w:t>
        <w:br/>
        <w:t>el presunto control de convencionalidad que alegó  el  Estado  involucró  un</w:t>
        <w:br/>
        <w:t>respeto de las obligaciones internacionales del  Estado,  a  la  luz  de  la</w:t>
        <w:br/>
        <w:t>jurisprudencia de este Tribunal y del derecho internacional aplicable.</w:t>
        <w:br/>
        <w:br/>
        <w:br/>
        <w:t>En  razón  de  todo  lo  dispuesto  anteriormente,  la  Corte  desestima  la</w:t>
        <w:br/>
        <w:t>excepción preliminar interpuesta por México.</w:t>
        <w:br/>
        <w:br/>
        <w:br/>
        <w:br/>
        <w:br/>
        <w:br/>
        <w:t xml:space="preserve">                                     IV</w:t>
        <w:br/>
        <w:br/>
        <w:br/>
        <w:t xml:space="preserve">                                 COMPETENCIA</w:t>
        <w:br/>
        <w:br/>
        <w:br/>
        <w:t>La Corte Interamericana es competente, en los términos del artículo 62.3  de</w:t>
        <w:br/>
        <w:t>la Convención, para conocer el presente caso, en  razón  de  que  México  es</w:t>
        <w:br/>
        <w:t>Estado Parte en la Convención Americana desde el  24  de  marzo  de  1981  y</w:t>
        <w:br/>
        <w:t>reconoció la competencia contenciosa de la  Corte  el  16  de  diciembre  de</w:t>
        <w:br/>
        <w:t>1998.  El  2  de  noviembre  de   1987   México   ratificó   la   Convención</w:t>
        <w:br/>
        <w:t>Interamericana para Prevenir y Sancionar la Tortura (en adelante “CIPST”).</w:t>
        <w:br/>
        <w:br/>
        <w:br/>
        <w:br/>
        <w:br/>
        <w:br/>
        <w:t xml:space="preserve">                                      V</w:t>
        <w:br/>
        <w:br/>
        <w:br/>
        <w:t xml:space="preserve">                                   PRUEBA</w:t>
        <w:br/>
        <w:br/>
        <w:br/>
        <w:t>Con base en lo establecido en los artículos 46  y  47  del  Reglamento,  así</w:t>
        <w:br/>
        <w:t>como  en  la  jurisprudencia  del  Tribunal  respecto  de  la  prueba  y  su</w:t>
        <w:br/>
        <w:t>apreciación[30], la Corte procederá  a  examinar  y  valorar  los  elementos</w:t>
        <w:br/>
        <w:t>probatorios documentales remitidos por las partes en diversas  oportunidades</w:t>
        <w:br/>
        <w:t>procesales, así como las declaraciones rendidas  mediante  affidávit  y  las</w:t>
        <w:br/>
        <w:t>recibidas en audiencia pública. Para ello, el  Tribunal  se  atendrá  a  los</w:t>
        <w:br/>
        <w:t>principios de la sana crítica, dentro del marco legal correspondiente[31].</w:t>
        <w:br/>
        <w:br/>
        <w:br/>
        <w:br/>
        <w:br/>
        <w:br/>
        <w:t xml:space="preserve">               Prueba testimonial y pericial</w:t>
        <w:br/>
        <w:br/>
        <w:br/>
        <w:t>El Tribunal  recibió  las  declaraciones  rendidas  ante  fedatario  público</w:t>
        <w:br/>
        <w:t>(affidávit) por los siguientes testigos y peritos:</w:t>
        <w:br/>
        <w:br/>
        <w:t xml:space="preserve">   1) Teodoro Cabrera García, presunta víctima, testigo  propuesto  por  los</w:t>
        <w:br/>
        <w:t xml:space="preserve">      representantes, quien declaró sobre: i) “el proceso organizativo de la</w:t>
        <w:br/>
        <w:t xml:space="preserve">      Organización de Campesinos Ecologistas de  la  Sierra  de  Petatlán  y</w:t>
        <w:br/>
        <w:t xml:space="preserve">      Coyuca de Catalán (OCESP), y su participación  en  esa  organización”;</w:t>
        <w:br/>
        <w:t xml:space="preserve">      ii) los hechos de las presuntas violaciones cometidas, “así  como  las</w:t>
        <w:br/>
        <w:t xml:space="preserve">      [alegadas]  persistentes   afectaciones   en   su   salud   física   y</w:t>
        <w:br/>
        <w:t xml:space="preserve">      psicológica”; iii) “las [presuntas] afectaciones a los miembros de  su</w:t>
        <w:br/>
        <w:t xml:space="preserve">      familia derivadas de las violaciones denunciadas”, y iv) “las  medidas</w:t>
        <w:br/>
        <w:t xml:space="preserve">      que el Estado tendría que adoptar para reparar el daño”;</w:t>
        <w:br/>
        <w:br/>
        <w:br/>
        <w:t xml:space="preserve">   2) Miguel Olivar López, hijo de crianza del señor Cabrera García, testigo</w:t>
        <w:br/>
        <w:t xml:space="preserve">      propuesto  por  los  representantes,  quien  declaró  sobre:  i)   las</w:t>
        <w:br/>
        <w:t xml:space="preserve">      presuntas afectaciones a la familia Cabrera  López  derivadas  de  “la</w:t>
        <w:br/>
        <w:t xml:space="preserve">      [alegada] detención ilegal  y  arbitraria,  tortura,  encarcelamiento,</w:t>
        <w:br/>
        <w:t xml:space="preserve">      proceso penal y falta de justicia en el caso  de  su  padre”;  ii)  la</w:t>
        <w:br/>
        <w:t xml:space="preserve">      forma  cómo  “las  [presuntas]   violaciones   de   derechos   humanos</w:t>
        <w:br/>
        <w:t xml:space="preserve">      denunciadas impactaron en la capacidad de la  familia  de  ganarse  la</w:t>
        <w:br/>
        <w:t xml:space="preserve">      vida sembrando la tierra de su antigua  parcela  en  [la]  comunidad”;</w:t>
        <w:br/>
        <w:t xml:space="preserve">      iii) las alegadas afectaciones en la salud y bienestar en los miembros</w:t>
        <w:br/>
        <w:t xml:space="preserve">      de la familia; iv) “la [presunta] imposibilidad de que regresen  a  su</w:t>
        <w:br/>
        <w:t xml:space="preserve">      comunidad”; v) “la [alegada] persistente afectación  [a  su]  familia,</w:t>
        <w:br/>
        <w:t xml:space="preserve">      debid[o] tanto a la [supuesta] falta de reconocimiento de la inocencia</w:t>
        <w:br/>
        <w:t xml:space="preserve">      de su padre como a la [alegada] inefectiva investigación de los  actos</w:t>
        <w:br/>
        <w:t xml:space="preserve">      de tortura y otros abusos cometidos en su contra”; vi)  “la  situación</w:t>
        <w:br/>
        <w:t xml:space="preserve">      actual de Teodoro Cabrera y su familia”, y vii) “las  medidas  que  el</w:t>
        <w:br/>
        <w:t xml:space="preserve">      Estado debe adoptar para reparar el daño en el presente caso”;</w:t>
        <w:br/>
        <w:br/>
        <w:br/>
        <w:t xml:space="preserve">   3) Ubalda Cortés Salgado,  esposa  de  Rodolfo  Montiel  Flores,  testigo</w:t>
        <w:br/>
        <w:t xml:space="preserve">      propuesta por los representantes, quien declaró sobre: i) “el  proceso</w:t>
        <w:br/>
        <w:t xml:space="preserve">      organizativo de la OCESP[,] así como el trabajo y su lucha en  defensa</w:t>
        <w:br/>
        <w:t xml:space="preserve">      de los bosques, en particular de los señores [Cabrera García y Montiel</w:t>
        <w:br/>
        <w:t xml:space="preserve">      Flores]”; ii) “las circunstancias de la [alegada] detención  ilegal  y</w:t>
        <w:br/>
        <w:t xml:space="preserve">      arbitraria de [las presuntas víctimas] y detall[ó] las afectaciones en</w:t>
        <w:br/>
        <w:t xml:space="preserve">      la salud de su esposo a raíz de  [los  presuntos  hechos  acaecidos]”;</w:t>
        <w:br/>
        <w:t xml:space="preserve">      iii) “las afectaciones que en su propio bienestar y de los miembros de</w:t>
        <w:br/>
        <w:t xml:space="preserve">      su familia tuvieron las [alegadas] violaciones”, y iv) “las medidas de</w:t>
        <w:br/>
        <w:t xml:space="preserve">      reparación necesarias y adecuadas en el presente caso”;</w:t>
        <w:br/>
        <w:br/>
        <w:br/>
        <w:t xml:space="preserve">   4) Mario Ernesto Patrón Sánchez, abogado de las presuntas víctimas en  el</w:t>
        <w:br/>
        <w:t xml:space="preserve">      proceso interno,  testigo  propuesto  por  los  representantes,  quien</w:t>
        <w:br/>
        <w:t xml:space="preserve">      declaró sobre: i)  los  supuestos  vicios  e  irregularidades  que  se</w:t>
        <w:br/>
        <w:t xml:space="preserve">      presentaron en el proceso penal interno,  seguido  en  contra  de  los</w:t>
        <w:br/>
        <w:t xml:space="preserve">      señores Cabrera y Montiel, a los  cuales  representó  como  abogado  y</w:t>
        <w:br/>
        <w:t xml:space="preserve">      defensor de  derechos  humanos;  ii)  la  forma  cómo  las  instancias</w:t>
        <w:br/>
        <w:t xml:space="preserve">      judiciales locales  supuestamente  obstaculizaron  la  presentación  o</w:t>
        <w:br/>
        <w:t xml:space="preserve">      consideración de pruebas de la alegada tortura  sufrida  por  las  dos</w:t>
        <w:br/>
        <w:t xml:space="preserve">      presuntas  víctimas;  iii)  los  alegados  impedimentos  jurídicos   y</w:t>
        <w:br/>
        <w:t xml:space="preserve">      prácticos que enfrentó durante el ejercicio de su defensa, y  iv)  “la</w:t>
        <w:br/>
        <w:t xml:space="preserve">      [supuesta] fabricación de pruebas que constató en los procesos penales</w:t>
        <w:br/>
        <w:t xml:space="preserve">      internos, tanto locales y federales como militares”;</w:t>
        <w:br/>
        <w:br/>
        <w:br/>
        <w:t xml:space="preserve">   5) Celsa  Valdovinos  Ríos,  defensora  de  los  bosques  de  Petatlán  y</w:t>
        <w:br/>
        <w:t xml:space="preserve">      acreedora del premio ambiental “Chico Mendes” por su labor en pro  del</w:t>
        <w:br/>
        <w:t xml:space="preserve">      medio ambiente en el estado de Guerrero,  testigo  propuesto  por  los</w:t>
        <w:br/>
        <w:t xml:space="preserve">      representantes, quien declaró sobre: i) “el  contexto  de  devastación</w:t>
        <w:br/>
        <w:t xml:space="preserve">      ambiental en los bosques de la región”; ii) “el proceso  de  fundación</w:t>
        <w:br/>
        <w:t xml:space="preserve">      de la OCESP, haciendo alusión al  [supuesto]  hostigamiento  y  a  los</w:t>
        <w:br/>
        <w:t xml:space="preserve">      ataques en contra de los defensores  del  medio  ambiente”;  iii)  las</w:t>
        <w:br/>
        <w:t xml:space="preserve">      actividades de la OCESP, incluidas las de las presuntas  víctimas  del</w:t>
        <w:br/>
        <w:t xml:space="preserve">      presente caso; iv) los  alegados  ataques  y  actos  de  hostigamiento</w:t>
        <w:br/>
        <w:t xml:space="preserve">      posteriores a la detención y encarcelamiento de los señores Cabrera  y</w:t>
        <w:br/>
        <w:t xml:space="preserve">      Montiel, y v) las presuntas afectaciones que estos hechos tuvieron  en</w:t>
        <w:br/>
        <w:t xml:space="preserve">      el “proceso organizativo de la OCESP y en la capacidad de sus miembros</w:t>
        <w:br/>
        <w:t xml:space="preserve">      de asociarse libremente”;</w:t>
        <w:br/>
        <w:br/>
        <w:br/>
        <w:t xml:space="preserve">   6) Héctor Magallón Larson, coordinador de la Campaña de Bosques y  Selvas</w:t>
        <w:br/>
        <w:t xml:space="preserve">      de Greenpeace, México, experto en temas ambientales y  en  materia  de</w:t>
        <w:br/>
        <w:t xml:space="preserve">      deforestación, testigo propuesto por los representantes, quien declaró</w:t>
        <w:br/>
        <w:t xml:space="preserve">      sobre:  i)  el  “conocimiento  que  Greenpeace-México  tuvo  sobre  la</w:t>
        <w:br/>
        <w:t xml:space="preserve">      [supuesta] deforestación de los bosques del [e]stado de Guerrero y, en</w:t>
        <w:br/>
        <w:t xml:space="preserve">      particular, en la  región  de  la  Sierra  de  Petatlán  y  Coyuca  de</w:t>
        <w:br/>
        <w:t xml:space="preserve">      Catalán”;  ii)  las  razones  que  motivaron  el  involucramiento   de</w:t>
        <w:br/>
        <w:t xml:space="preserve">      Greenpeace en la campaña  de  liberación  de  los  señores  Cabrera  y</w:t>
        <w:br/>
        <w:t xml:space="preserve">      Montiel, y iii) “[el] panorama sobre las [alegadas]  adversidades  que</w:t>
        <w:br/>
        <w:t xml:space="preserve">      enfrentan en México los defensores comunitarios  del  medio  ambiente,</w:t>
        <w:br/>
        <w:t xml:space="preserve">      enfatizando la [supuesta] desprotección de campesinos e indígenas  que</w:t>
        <w:br/>
        <w:t xml:space="preserve">      luchan por preservar los ecosistemas de sus comunidades”;</w:t>
        <w:br/>
        <w:br/>
        <w:br/>
        <w:t xml:space="preserve">   7) Miguel Carbonell Sánchez,  investigador  de  la  Universidad  Nacional</w:t>
        <w:br/>
        <w:t xml:space="preserve">      Autónoma de México, perito propuesto por la  Comisión  Interamericana,</w:t>
        <w:br/>
        <w:t xml:space="preserve">      quien declaró sobre: i) “la intervención de la justicia militar en  la</w:t>
        <w:br/>
        <w:t xml:space="preserve">      investigación y juzgamiento de delitos que no son de función  y/o  que</w:t>
        <w:br/>
        <w:t xml:space="preserve">      podrían constituir violaciones a los derechos humanos”; ii) “las tesis</w:t>
        <w:br/>
        <w:t xml:space="preserve">      de la Suprema Corte de Justicia mexicana en relación con  [el]  ámbito</w:t>
        <w:br/>
        <w:t xml:space="preserve">      de aplicación de la justicia militar en México”, y iii) “la regulación</w:t>
        <w:br/>
        <w:t xml:space="preserve">      constitucional y legal del ámbito de aplicación de la justicia militar</w:t>
        <w:br/>
        <w:t xml:space="preserve">      en México”;</w:t>
        <w:br/>
        <w:br/>
        <w:br/>
        <w:t xml:space="preserve">   8) Ernesto López Portillo  Vargas,  experto  en  políticas  de  seguridad</w:t>
        <w:br/>
        <w:t xml:space="preserve">      pública, Director Ejecutivo del  Instituto  para  la  Seguridad  y  la</w:t>
        <w:br/>
        <w:t xml:space="preserve">      Democracia A.C. (Insyde)  y  Consejero  de  la  Comisión  de  Derechos</w:t>
        <w:br/>
        <w:t xml:space="preserve">      Humanos del Distrito Federal, perito propuesto por los representantes,</w:t>
        <w:br/>
        <w:t xml:space="preserve">      quien declaró sobre: i) “las políticas de seguridad implementadas  por</w:t>
        <w:br/>
        <w:t xml:space="preserve">      el Estado […] mediante las cuales se ha [supuestamente] involucrado  a</w:t>
        <w:br/>
        <w:t xml:space="preserve">      las fuerzas armadas en tareas de  seguridad  pública  y  la  [alegada]</w:t>
        <w:br/>
        <w:t xml:space="preserve">      falta de controles adecuados, internos o civiles, sobre  la  actuación</w:t>
        <w:br/>
        <w:t xml:space="preserve">      de dichas fuerzas”; ii) “el perfil que debería reunir una instancia de</w:t>
        <w:br/>
        <w:t xml:space="preserve">      funcionarios  encargados  de  hacer  cumplir  la  ley”,  y  iii)   los</w:t>
        <w:br/>
        <w:t xml:space="preserve">      estándares mínimos de control necesarios para garantizar una  adecuada</w:t>
        <w:br/>
        <w:t xml:space="preserve">      rendición  de  cuentas  por  parte  de   dichas   corporaciones,   las</w:t>
        <w:br/>
        <w:t xml:space="preserve">      consecuencias en la actuación de las  mismas  y  el  respeto  por  los</w:t>
        <w:br/>
        <w:t xml:space="preserve">      derechos humanos de la población civil ante la  falta  de  un  control</w:t>
        <w:br/>
        <w:t xml:space="preserve">      adecuado;</w:t>
        <w:br/>
        <w:br/>
        <w:br/>
        <w:t xml:space="preserve">   9) José Luis Piñeyro, sociólogo  e  investigador,  Profesor  Titular  del</w:t>
        <w:br/>
        <w:t xml:space="preserve">      Departamento de Sociología de la  Universidad  Autónoma  Metropolitana</w:t>
        <w:br/>
        <w:t xml:space="preserve">      Plantel Azcapotzalco, perito propuesto por los  representantes,  quien</w:t>
        <w:br/>
        <w:t xml:space="preserve">      declaró sobre: i) “el contexto particular de la militarización [en  el</w:t>
        <w:br/>
        <w:t xml:space="preserve">      estado] de Guerrero”; ii) “el motivo y el impacto de la  presencia  de</w:t>
        <w:br/>
        <w:t xml:space="preserve">      las Fuerzas Armadas en las comunidades rurales guerrerenses  y  en  el</w:t>
        <w:br/>
        <w:t xml:space="preserve">      movimiento  campesino,   destacando   los   [alegados]   patrones   de</w:t>
        <w:br/>
        <w:t xml:space="preserve">      violaciones  a  los  derechos  humanos  cometidas  por  los  elementos</w:t>
        <w:br/>
        <w:t xml:space="preserve">      castrenses  a  los  civiles”;  iii)  “los  aspectos  de  la  [alegada]</w:t>
        <w:br/>
        <w:t xml:space="preserve">      militarización en Guerrero que son particulares  al  contexto  de  ese</w:t>
        <w:br/>
        <w:t xml:space="preserve">      [e]stado y que [serían] fundamentales para entender los motivos de los</w:t>
        <w:br/>
        <w:t xml:space="preserve">      elementos militares para [presuntamente] detener, torturar y  fabricar</w:t>
        <w:br/>
        <w:t xml:space="preserve">      delitos en contra de las [presuntas] víctimas y la manera [en] la cual</w:t>
        <w:br/>
        <w:t xml:space="preserve">      tuvieron lugar los hechos descritos”;  iv)  “la  situación  actual  en</w:t>
        <w:br/>
        <w:t xml:space="preserve">      Guerrero en lo referente a la [alegada] militarización y  los  efectos</w:t>
        <w:br/>
        <w:t xml:space="preserve">      de la lucha antinarcóticos en las  comunidades  rurales”,  y  v)  “las</w:t>
        <w:br/>
        <w:t xml:space="preserve">      medidas de reparación que el Estado mexicano  debería  adoptar  en  el</w:t>
        <w:br/>
        <w:t xml:space="preserve">      presente caso”;</w:t>
        <w:br/>
        <w:br/>
        <w:br/>
        <w:t xml:space="preserve">  10) Ana C. Deutsch, experta en Psicología Clínica con  experiencia  en  la</w:t>
        <w:br/>
        <w:t xml:space="preserve">      evaluación  de  víctimas  de  tortura,  perito   propuesto   por   los</w:t>
        <w:br/>
        <w:t xml:space="preserve">      representantes,  quien  declaró  sobre:  i)  “los  resultados  de  una</w:t>
        <w:br/>
        <w:t xml:space="preserve">      evaluación psicológica practicada a los  señores  Montiel  y  Cabrera,</w:t>
        <w:br/>
        <w:t xml:space="preserve">      detallando los efectos persistentes de las violaciones de  las  cuales</w:t>
        <w:br/>
        <w:t xml:space="preserve">      [alegadamente]  fueron  víctimas”,  y  ii)  los  resultados   de   las</w:t>
        <w:br/>
        <w:t xml:space="preserve">      evaluaciones realizadas a algunos de los  familiares  de  los  señores</w:t>
        <w:br/>
        <w:t xml:space="preserve">      Cabrera y Montiel, a fin de evidenciar las afectaciones  causadas  por</w:t>
        <w:br/>
        <w:t xml:space="preserve">      las supuestas  violaciones  de  derechos  humanos  padecidas  por  las</w:t>
        <w:br/>
        <w:t xml:space="preserve">      presuntas víctimas;</w:t>
        <w:br/>
        <w:br/>
        <w:br/>
        <w:t xml:space="preserve">  11)  José  Quiroga,  Co-fundador  y  Director  Médico  del   Programa   de</w:t>
        <w:br/>
        <w:t xml:space="preserve">      Rehabilitación de Víctimas de Tortura en Los  Ángeles,  California,  y</w:t>
        <w:br/>
        <w:t xml:space="preserve">      Vicepresidente del Consejo Internacional de Rehabilitación de Víctimas</w:t>
        <w:br/>
        <w:t xml:space="preserve">      de Tortura, perito propuesto por  los  representantes,  quien  declaró</w:t>
        <w:br/>
        <w:t xml:space="preserve">      sobre: i) “una evaluación del estado de salud física de  [los  señores</w:t>
        <w:br/>
        <w:t xml:space="preserve">      Cabrera y Montiel], detallando los [supuestos] persistentes efectos de</w:t>
        <w:br/>
        <w:t xml:space="preserve">      las torturas y demás violaciones de  derechos  humanos  [alegadamente]</w:t>
        <w:br/>
        <w:t xml:space="preserve">      sufrid[o]s”, y</w:t>
        <w:br/>
        <w:br/>
        <w:br/>
        <w:t xml:space="preserve">  12)  Carlos  Castresana  Fernández,  ex   Comisionado   de   la   Comisión</w:t>
        <w:br/>
        <w:t xml:space="preserve">      Internacional contra la Impunidad en Guatemala (CICIG) y ex Fiscal del</w:t>
        <w:br/>
        <w:t xml:space="preserve">      Tribunal  Supremo  de  España,  perito  propuesto  por   la   Comisión</w:t>
        <w:br/>
        <w:t xml:space="preserve">      Interamericana, quien declaró sobre: i) “[el] principio de  inmediatez</w:t>
        <w:br/>
        <w:t xml:space="preserve">      en materia procesal penal”; ii) “la obtención de confesiones  mediante</w:t>
        <w:br/>
        <w:t xml:space="preserve">      el uso de tratos crueles, inhumanos y degradantes o tortura”,  y  iii)</w:t>
        <w:br/>
        <w:t xml:space="preserve">      “la validez de tales confesiones como prueba en procesos judiciales”.</w:t>
        <w:br/>
        <w:br/>
        <w:br/>
        <w:t>En cuanto a la prueba rendida en audiencia pública,  la  Corte  escuchó  las</w:t>
        <w:br/>
        <w:t>declaraciones de las siguientes personas:</w:t>
        <w:br/>
        <w:br/>
        <w:t xml:space="preserve">   1) Rodolfo Montiel Flores, presunta víctima, testigo  propuesto  por  los</w:t>
        <w:br/>
        <w:t xml:space="preserve">      representantes, quien declaró sobre: i) “su labor como defensor de los</w:t>
        <w:br/>
        <w:t xml:space="preserve">      bosques, describiendo el  proceso  organizativo  de  la  [OCESP]  para</w:t>
        <w:br/>
        <w:t xml:space="preserve">      frenar  la  [alegada]  tala  inmoderada  de  la  región  por  empresas</w:t>
        <w:br/>
        <w:t xml:space="preserve">      trasnacionales y locales”; ii) “el  contexto  de  ataques  contra  los</w:t>
        <w:br/>
        <w:t xml:space="preserve">      miembros de la OCESP en la década de los noventa”; iii) las  presuntas</w:t>
        <w:br/>
        <w:t xml:space="preserve">      “violaciones concretas [que habrían sido] padecidas por él  y  por  el</w:t>
        <w:br/>
        <w:t xml:space="preserve">      señor Teodoro Cabrera[,] a partir de mayo de 1999” y “los  efectos  de</w:t>
        <w:br/>
        <w:t xml:space="preserve">      dichas [alegadas] violaciones en su salud física y  psicológica”;  iv)</w:t>
        <w:br/>
        <w:t xml:space="preserve">      “las [supuestas] afectaciones a los miembros de su  familia  derivadas</w:t>
        <w:br/>
        <w:t xml:space="preserve">      de los hechos descritos”, y v) “las medidas que el Estado tendría  que</w:t>
        <w:br/>
        <w:t xml:space="preserve">      adoptar para reparar el daño”;</w:t>
        <w:br/>
        <w:br/>
        <w:br/>
        <w:t xml:space="preserve">   2) Fernando Coronado Franco, especialista en  derecho  penal  mexicano  y</w:t>
        <w:br/>
        <w:t xml:space="preserve">      consultor general de la Comisión  de  Derechos  Humanos  del  Distrito</w:t>
        <w:br/>
        <w:t xml:space="preserve">      Federal, perito  presentado  por  los  representantes,  quien  declaró</w:t>
        <w:br/>
        <w:t xml:space="preserve">      sobre: i) la  forma  “cómo  el  marco  legal  mexicano  [alegadamente]</w:t>
        <w:br/>
        <w:t xml:space="preserve">      permitía y permite que se otorgue valor probatorio a  declaraciones  y</w:t>
        <w:br/>
        <w:t xml:space="preserve">      confesiones rendidas  en  ausencia  de  control  judicial”;  ii)  “los</w:t>
        <w:br/>
        <w:t xml:space="preserve">      efectos prácticos del  marco  legal  referido  en  el  actuar  de  las</w:t>
        <w:br/>
        <w:t xml:space="preserve">      autoridades ministeriales y  judiciales”,  comentando  las  líneas  de</w:t>
        <w:br/>
        <w:t xml:space="preserve">      jurisprudencia  interna  más  relevantes  sobre  el  tema;  iii)   “la</w:t>
        <w:br/>
        <w:t xml:space="preserve">      [supuesta] práctica de […] detenciones arbitrarias  e  ilegales  y  la</w:t>
        <w:br/>
        <w:t xml:space="preserve">      [alegada] falta de controles adecuados en  la  cadena  de  custodia  y</w:t>
        <w:br/>
        <w:t xml:space="preserve">      puesta a disposición [ante los jueces] de las personas detenidas”; iv)</w:t>
        <w:br/>
        <w:t xml:space="preserve">      “la [supuesta] práctica de omisión o falsificación  de  datos  en  los</w:t>
        <w:br/>
        <w:t xml:space="preserve">      certificados médicos oficiales emitidos en  relación  a  las  personas</w:t>
        <w:br/>
        <w:t xml:space="preserve">      detenidas”; v) la alegada distancia  entre  el  diseño  normativo  del</w:t>
        <w:br/>
        <w:t xml:space="preserve">      proceso penal en México y las  prácticas  recurrentes;  vi)  la  forma</w:t>
        <w:br/>
        <w:t xml:space="preserve">      “cómo el carácter escrito  de  los  procesos  penales  mexicanos,  sus</w:t>
        <w:br/>
        <w:t xml:space="preserve">      aspectos inquisitoriales y las  amplias  facultades  del  [M]inisterio</w:t>
        <w:br/>
        <w:t xml:space="preserve">      [P]úblico, [aparentemente] posibilitan y alientan  la  fabricación  de</w:t>
        <w:br/>
        <w:t xml:space="preserve">      diligencias y que se otorgue valor probatorio a pruebas o  diligencias</w:t>
        <w:br/>
        <w:t xml:space="preserve">      obtenidas  sin  controles  adecuados[,  y]  sin  llevar  a  cabo   una</w:t>
        <w:br/>
        <w:t xml:space="preserve">      investigación de cualquier denuncia  de  tortura  hecha  por  personas</w:t>
        <w:br/>
        <w:t xml:space="preserve">      imputadas en procesos penales”; vii) “las implicaciones de la  reforma</w:t>
        <w:br/>
        <w:t xml:space="preserve">      Constitucional en materia de justicia penal aprobada en junio de  2008</w:t>
        <w:br/>
        <w:t xml:space="preserve">      para las [supuestas] prácticas violatorias referidas”,  y  viii)  “las</w:t>
        <w:br/>
        <w:t xml:space="preserve">      reformas actualmente necesarias para poner fin a la  admisión  de  las</w:t>
        <w:br/>
        <w:t xml:space="preserve">      declaraciones obtenidas sin control judicial en procesos penales”;</w:t>
        <w:br/>
        <w:br/>
        <w:br/>
        <w:t xml:space="preserve">   3) Christian Tramsen, antiguo asesor de la  organización  Physicians  for</w:t>
        <w:br/>
        <w:t xml:space="preserve">      Human Rights – Denmark (PHR), quien realizó un examen a las  presuntas</w:t>
        <w:br/>
        <w:t xml:space="preserve">      víctimas, en julio de 2000, para determinar si habían sido  objeto  de</w:t>
        <w:br/>
        <w:t xml:space="preserve">      tortura, perito presentado por los representantes,  quien  emitió  una</w:t>
        <w:br/>
        <w:t xml:space="preserve">      opinión técnica sobre: i) el estado de salud física y  psicológica  de</w:t>
        <w:br/>
        <w:t xml:space="preserve">      los señores Cabrera y Montiel en julio de 2000; ii) “la relación entre</w:t>
        <w:br/>
        <w:t xml:space="preserve">      los síntomas encontrados y los hechos  que  las  [presuntas]  víctimas</w:t>
        <w:br/>
        <w:t xml:space="preserve">      expusieron a los médicos de PHR”; iii) la  metodología  empleada  para</w:t>
        <w:br/>
        <w:t xml:space="preserve">      realizar el examen médico y cómo  dicho  método  alegadamente  permite</w:t>
        <w:br/>
        <w:t xml:space="preserve">      detectar la tortura un año después de ocurridos los supuestos  hechos;</w:t>
        <w:br/>
        <w:t xml:space="preserve">      iv) “la metodología aceptada internacionalmente  que  se  debe  seguir</w:t>
        <w:br/>
        <w:t xml:space="preserve">      para la determinación de la tortura”, y v) “los estándares mínimos  en</w:t>
        <w:br/>
        <w:t xml:space="preserve">      las  revisiones  médicas  realizadas  a  personas  detenidas  bajo  la</w:t>
        <w:br/>
        <w:t xml:space="preserve">      jurisdicción del Estado en un  proceso  penal,  analizando  desde  esa</w:t>
        <w:br/>
        <w:t xml:space="preserve">      óptica el contenido de los  certificados  médicos  emitidos  sobre  el</w:t>
        <w:br/>
        <w:t xml:space="preserve">      estado de salud de los señores Montiel y Cabrera por médicos  legistas</w:t>
        <w:br/>
        <w:t xml:space="preserve">      del Estado”[32], y</w:t>
        <w:br/>
        <w:br/>
        <w:br/>
        <w:t xml:space="preserve">   4) Juana Ma.  del  Carmen  Gutiérrez  Hernández,  perita  médica  legista</w:t>
        <w:br/>
        <w:t xml:space="preserve">      oficial de la Procuraduría General de la República, perita  presentada</w:t>
        <w:br/>
        <w:t xml:space="preserve">      por el Estado, quien emitió una  opinión  técnica  en  materia  médico</w:t>
        <w:br/>
        <w:t xml:space="preserve">      forense sobre las siguientes valoraciones  médicas:  i)  los  exámenes</w:t>
        <w:br/>
        <w:t xml:space="preserve">      practicados a las presuntas víctimas, durante los días siguientes a la</w:t>
        <w:br/>
        <w:t xml:space="preserve">      ocurrencia de los hechos del presente caso; ii) el examen  que  sirvió</w:t>
        <w:br/>
        <w:t xml:space="preserve">      de base para la excarcelación de las presuntas  víctimas,  y  iii)  el</w:t>
        <w:br/>
        <w:t xml:space="preserve">      examen realizado por la organización Physicians  for  Human  Rights  –</w:t>
        <w:br/>
        <w:t xml:space="preserve">      Denmark, así como sobre la relación  que  estas  valoraciones  médicas</w:t>
        <w:br/>
        <w:t xml:space="preserve">      guardan con el trámite penal del asunto en cuestión.</w:t>
        <w:br/>
        <w:br/>
        <w:br/>
        <w:br/>
        <w:br/>
        <w:br/>
        <w:t xml:space="preserve">   1. Admisión de la prueba documental</w:t>
        <w:br/>
        <w:br/>
        <w:br/>
        <w:br/>
        <w:br/>
        <w:br/>
        <w:br/>
        <w:t>En el presente  caso,  como  en  otros[33],  el  Tribunal  admite  el  valor</w:t>
        <w:br/>
        <w:t>probatorio de aquellos documentos remitidos por  las  partes  en  la  debida</w:t>
        <w:br/>
        <w:t>oportunidad procesal, que no fueron controvertidos  ni  objetados,  ni  cuya</w:t>
        <w:br/>
        <w:t>autenticidad fue puesta en duda. En relación con  los  documentos  remitidos</w:t>
        <w:br/>
        <w:t>como respuesta a solicitud de prueba para mejor resolver (supra  párr.  10),</w:t>
        <w:br/>
        <w:t>la Corte los incorpora al acervo probatorio, en aplicación de  lo  dispuesto</w:t>
        <w:br/>
        <w:t>en el artículo 47.2 del Reglamento.</w:t>
        <w:br/>
        <w:br/>
        <w:br/>
        <w:t>Por otra parte, la Corte  examinará,  en  primer  lugar,  las  observaciones</w:t>
        <w:br/>
        <w:t>realizadas por  México  respecto  de  algunos  documentos  ofrecidos  en  la</w:t>
        <w:br/>
        <w:t>demanda y en el escrito de solicitudes y argumentos y luego  se  pronunciará</w:t>
        <w:br/>
        <w:t>sobre aquellos que fueron aportados por los representantes y el  Estado  con</w:t>
        <w:br/>
        <w:t>posterioridad a sus escritos de solicitudes y argumentos y  de  contestación</w:t>
        <w:br/>
        <w:t>de la demanda, respectivamente.</w:t>
        <w:br/>
        <w:br/>
        <w:br/>
        <w:t>El Estado solicitó que “cualquier anexo o constancia  que  la  C[omisión]  o</w:t>
        <w:br/>
        <w:t>los peticionarios hayan agregado a sus  respectivos  escritos,  relacionados</w:t>
        <w:br/>
        <w:t>con el referido proceso, sean cotejados contra las constancias  certificadas</w:t>
        <w:br/>
        <w:t>[del proceso penal]” para así “evitar todo  tipo  de  descontextualizaciones</w:t>
        <w:br/>
        <w:t>de los hechos o actos relativos al proceso”.  El  Estado  indicó  que  “toda</w:t>
        <w:br/>
        <w:t>aquella constancia que haga referencia  al  proceso  penal  y  que  no  esté</w:t>
        <w:br/>
        <w:t>integrado a las constancias del mismo, deberá ser  tomada  en  consideración</w:t>
        <w:br/>
        <w:t>como una mera interpretación u  opinión  personal”.  Sobre  este  punto,  la</w:t>
        <w:br/>
        <w:t>Corte observa que el Estado no impugnó  la  admisibilidad  de  la  prueba  y</w:t>
        <w:br/>
        <w:t>considera que el alegato sobre los alcances de la documentación  que  no  se</w:t>
        <w:br/>
        <w:t>encuentra incorporada en el expediente penal interno es una cuestión que  se</w:t>
        <w:br/>
        <w:t>relaciona  con  el  peso  probatorio  de  dicha  documentación,  asunto  que</w:t>
        <w:br/>
        <w:t>corresponde dirimir en el fondo teniendo en cuenta lo alegado por el  Estado</w:t>
        <w:br/>
        <w:t>y la demás prueba obrante en el expediente.</w:t>
        <w:br/>
        <w:br/>
        <w:br/>
        <w:t>El Estado solicitó a la Corte que “otorgue a las  publicaciones  e  informes</w:t>
        <w:br/>
        <w:t>de  particulares,  el  valor  que  proceda  [con]  base  en  los  estándares</w:t>
        <w:br/>
        <w:t>internacionales procurando que el contenido de las mismas  se  apegue  a  la</w:t>
        <w:br/>
        <w:t>justa dimensión del asunto que nos ocupa”.  Este  Tribunal  observa  que  el</w:t>
        <w:br/>
        <w:t>Estado no impugnó la admisibilidad de  dichos  informes  de  particulares  y</w:t>
        <w:br/>
        <w:t>ponderará lo derivado de ellos con el resto del acervo probatorio.</w:t>
        <w:br/>
        <w:br/>
        <w:br/>
        <w:t>Respecto a los documentos presentados por  los  representantes  en  relación</w:t>
        <w:br/>
        <w:t>con “la cuestión ecológica o ecologista”, el  Estado  solicitó  a  la  Corte</w:t>
        <w:br/>
        <w:t>“que se ciña al motivo primordial de la litis, que sería corroborar  que  el</w:t>
        <w:br/>
        <w:t>actuar  de  las  autoridades  mexicanas   se   ajustó   a   los   estándares</w:t>
        <w:br/>
        <w:t>internacionales  en  materia  de  derechos  humanos”.  Además,   el   Estado</w:t>
        <w:br/>
        <w:t>“cuestión[ó] la consideración de pruebas y de elementos ajenos  al  caso”  y</w:t>
        <w:br/>
        <w:t>solicitó que sean “desechadas de plano” aquellas “probanzas” respecto a  “la</w:t>
        <w:br/>
        <w:t>situación general de los derechos humanos en Guerrero,  ni  la  situación  o</w:t>
        <w:br/>
        <w:t>actividad” que los señores Cabrera y Montiel “realizaran como ecologistas  u</w:t>
        <w:br/>
        <w:t>otras cuestiones”.  La  Corte  observa  que  corresponde  determinar  en  la</w:t>
        <w:br/>
        <w:t>consideración previa de esta  Sentencia  (infra  párr.  60)  si  los  hechos</w:t>
        <w:br/>
        <w:t>relacionados con esos documentos hacen parte o no del objeto del caso.  Para</w:t>
        <w:br/>
        <w:t>ello tendrá en cuenta  los  alegatos  del  Estado  y  el  resto  del  acervo</w:t>
        <w:br/>
        <w:t>probatorio.</w:t>
        <w:br/>
        <w:br/>
        <w:br/>
        <w:t>Por otra parte, en cuanto a los documentos aportados por los  representantes</w:t>
        <w:br/>
        <w:t>y el Estado con posterioridad a la remisión del  escrito  de  solicitudes  y</w:t>
        <w:br/>
        <w:t>argumentos y de la contestación de la  demanda,  respectivamente,  la  Corte</w:t>
        <w:br/>
        <w:t>estima oportuno recordar que el artículo 46 del Reglamento,  que  regula  la</w:t>
        <w:br/>
        <w:t>admisión de la prueba, establece que:</w:t>
        <w:br/>
        <w:br/>
        <w:t xml:space="preserve">      1. Las pruebas promovidas por las partes sólo serán admitidas  si  son</w:t>
        <w:br/>
        <w:t xml:space="preserve">      ofrecidas  en  la  demanda  de  la  Comisión,  en  las  solicitudes  y</w:t>
        <w:br/>
        <w:t xml:space="preserve">      argumentos de las presuntas víctimas,  y  en  la  contestación  de  la</w:t>
        <w:br/>
        <w:t xml:space="preserve">      demanda y observaciones a las solicitudes y argumentos presentada  por</w:t>
        <w:br/>
        <w:t xml:space="preserve">      el Estado, y en su caso, en el escrito de excepciones  preliminares  y</w:t>
        <w:br/>
        <w:t xml:space="preserve">      en su contestación.</w:t>
        <w:br/>
        <w:br/>
        <w:t xml:space="preserve">      […]</w:t>
        <w:br/>
        <w:br/>
        <w:t xml:space="preserve">      3. Excepcionalmente la Corte podrá admitir una prueba si alguna de las</w:t>
        <w:br/>
        <w:t xml:space="preserve">      partes  alegare  fuerza  mayor,  un   impedimento   grave   o   hechos</w:t>
        <w:br/>
        <w:t xml:space="preserve">      supervinientes en momento distinto a los antes señalados, siempre  que</w:t>
        <w:br/>
        <w:t xml:space="preserve">      se garantice a las partes contrarias el derecho de defensa.</w:t>
        <w:br/>
        <w:br/>
        <w:t>Durante el transcurso de la audiencia pública los representantes  entregaron</w:t>
        <w:br/>
        <w:t>cierta documentación en  relación  con  las  controversias  en  el  presente</w:t>
        <w:br/>
        <w:t>caso[34]. Por resultar pertinente  y  útil  para  la  determinación  de  los</w:t>
        <w:br/>
        <w:t>hechos del presente caso y sus eventuales consecuencias, de conformidad  con</w:t>
        <w:br/>
        <w:t>el artículo 47 del Reglamento, la Corte decide admitir dicha documentación.</w:t>
        <w:br/>
        <w:br/>
        <w:br/>
        <w:t>Asimismo, también en el  transcurso  de  la  audiencia  pública,  el  perito</w:t>
        <w:br/>
        <w:t>Coronado Franco y la perito Gutiérrez Hernández entregaron por  escrito  sus</w:t>
        <w:br/>
        <w:t>dictámenes[35]. Además, la perito Gutiérrez  Hernández  presentó  documentos</w:t>
        <w:br/>
        <w:t>anexos a su peritaje. Por su parte, el perito Tramsen y la perito  Gutiérrez</w:t>
        <w:br/>
        <w:t>Hernández entregaron las presentaciones en power  point  correspondientes  a</w:t>
        <w:br/>
        <w:t>las exposiciones que desarrollaron durante la audiencia[36]. Los  anteriores</w:t>
        <w:br/>
        <w:t>documentos fueron distribuidos  a  las  partes.  El  Tribunal  admite  estos</w:t>
        <w:br/>
        <w:t>documentos en lo que se refieran al objeto  oportunamente  definido,  porque</w:t>
        <w:br/>
        <w:t>son complementarios y se enmarcan dentro  de  los  parámetros  de  tiempo  y</w:t>
        <w:br/>
        <w:t>forma del objeto para el cual fueron convocados.</w:t>
        <w:br/>
        <w:br/>
        <w:br/>
        <w:t>Por  otra  parte,  tanto  el  Estado  como  los  representantes   remitieron</w:t>
        <w:br/>
        <w:t>documentos acompañando sus alegatos finales escritos. Algunos  de  ellos  se</w:t>
        <w:br/>
        <w:t>dirigían a responder a las preguntas formuladas por el Tribunal como  prueba</w:t>
        <w:br/>
        <w:t>para mejor resolver (supra párr. 10), razón por la  cual  se  incorporan  al</w:t>
        <w:br/>
        <w:t>conjunto del acervo probatorio, así como las observaciones  que  las  partes</w:t>
        <w:br/>
        <w:t>formularon a los mismos. Por su parte, los representantes remitieron,  entre</w:t>
        <w:br/>
        <w:t>otros documentos, comprobantes  de  gastos  correspondientes  a  erogaciones</w:t>
        <w:br/>
        <w:t>posteriores a su escrito de solicitudes y argumentos. Estas  pruebas  fueron</w:t>
        <w:br/>
        <w:t>sometidas a observaciones del Estado y su admisibilidad  no  fue  rechazada,</w:t>
        <w:br/>
        <w:t>razón por la cual se incorporan al expediente.</w:t>
        <w:br/>
        <w:br/>
        <w:br/>
        <w:t>Los representantes indicaron que  uno  de  los  anexos  presentados  por  el</w:t>
        <w:br/>
        <w:t>Estado a su escrito de alegatos finales, relacionado  con  una  “tarjeta  de</w:t>
        <w:br/>
        <w:t>identificación” de los doctores Christian Tramsen y Morris Tidball Binz,  se</w:t>
        <w:br/>
        <w:t>presenta en forma “extemporánea”. Al respecto, la Corte admite dicha  prueba</w:t>
        <w:br/>
        <w:t>por considerarla útil y la ponderará con el  resto  del  acervo  probatorio,</w:t>
        <w:br/>
        <w:t>particularmente al valorar los diversos alegatos del Estado en relación  con</w:t>
        <w:br/>
        <w:t>el peritaje del señor Tramsen.</w:t>
        <w:br/>
        <w:br/>
        <w:br/>
        <w:br/>
        <w:br/>
        <w:br/>
        <w:t xml:space="preserve">        2. Valoración de las declaraciones de las presuntas víctimas, de la</w:t>
        <w:br/>
        <w:t xml:space="preserve">           prueba testimonial y pericial</w:t>
        <w:br/>
        <w:br/>
        <w:br/>
        <w:br/>
        <w:br/>
        <w:br/>
        <w:br/>
        <w:t>En cuanto a las declaraciones de las presuntas víctimas, de los  testigos  y</w:t>
        <w:br/>
        <w:t>a los dictámenes rendidos en la audiencia pública y  mediante  declaraciones</w:t>
        <w:br/>
        <w:t>juradas, la Corte los estima pertinentes  sólo  en  lo  que  se  ajusten  al</w:t>
        <w:br/>
        <w:t>objeto que fue definido por el Presidente del Tribunal en la  Resolución  en</w:t>
        <w:br/>
        <w:t>la cual se ordenó recibirlos (supra párr. 8) y en  conjunto  con  los  demás</w:t>
        <w:br/>
        <w:t>elementos  del  acervo  probatorio,  tomando  en  cuenta  las  observaciones</w:t>
        <w:br/>
        <w:t>formuladas por las partes[37].</w:t>
        <w:br/>
        <w:br/>
        <w:br/>
        <w:t>En lo que atañe a las declaraciones de las  presuntas  víctimas,  el  Estado</w:t>
        <w:br/>
        <w:t>expresó, de manera general, que los testigos Cabrera García y  Olivar  López</w:t>
        <w:br/>
        <w:t>y  la  testigo  Cortés  Salgado  incurren  en  “múltiples  y   considerables</w:t>
        <w:br/>
        <w:t>contradicciones, e incluso adiciones, que se presentan no  solo  respecto  a</w:t>
        <w:br/>
        <w:t>los supuestos actos de tortura infringidos en contra de  los  peticionarios,</w:t>
        <w:br/>
        <w:t>sino también sobre los hechos planteados por los  representantes”.  Respecto</w:t>
        <w:br/>
        <w:t>al testigo Montiel Flores el Estado también alegó que  existirían  numerosas</w:t>
        <w:br/>
        <w:t>contradicciones. Al respecto, el Tribunal valorará en el  fondo  del  asunto</w:t>
        <w:br/>
        <w:t>si lo dicho por estos testigos encuentra sustento probatorio.</w:t>
        <w:br/>
        <w:br/>
        <w:br/>
        <w:t>Conforme a la jurisprudencia de este Tribunal,  las  declaraciones  rendidas</w:t>
        <w:br/>
        <w:t>por las presuntas víctimas, por tener un interés  directo  en  el  caso,  no</w:t>
        <w:br/>
        <w:t>pueden ser valoradas aisladamente sino dentro del conjunto  de  las  pruebas</w:t>
        <w:br/>
        <w:t>del proceso[38], ya que son útiles en la medida en que  pueden  proporcionar</w:t>
        <w:br/>
        <w:t>mayor información sobre las presuntas violaciones y  sus  consecuencias.  La</w:t>
        <w:br/>
        <w:t>Corte observa que las objeciones del Estado apuntan a desacreditar el  valor</w:t>
        <w:br/>
        <w:t>probatorio de las declaraciones de las presuntas  víctimas  rendidas  en  el</w:t>
        <w:br/>
        <w:t>presente proceso. Fundamentalmente,  refiere  que  las  mismas  presentarían</w:t>
        <w:br/>
        <w:t>diferencias  con  las  declaraciones  anteriores  rendidas  en  el   derecho</w:t>
        <w:br/>
        <w:t>interno, o bien, que dos presuntas  víctimas  no  presenciaron  determinados</w:t>
        <w:br/>
        <w:t>hechos sobre los cuales deponen o que se refieren a  hechos  que  no  forman</w:t>
        <w:br/>
        <w:t>parte del objeto del caso. El Tribunal considera que  dichas  objeciones  no</w:t>
        <w:br/>
        <w:t>impugnan la admisibilidad de dichas pruebas, sino que apuntan  a  cuestionar</w:t>
        <w:br/>
        <w:t>su entidad probatoria. Teniendo en cuenta lo anterior, la Corte  admite  las</w:t>
        <w:br/>
        <w:t>declaraciones mencionadas, sin perjuicio de  que  su  valor  probatorio  sea</w:t>
        <w:br/>
        <w:t>considerado únicamente respecto de aquello que efectivamente  se  ajuste  al</w:t>
        <w:br/>
        <w:t>objeto delimitado oportunamente por el Presidente de la Corte (supra  párrs.</w:t>
        <w:br/>
        <w:t>25 y 26), por lo que se considerará el conjunto del acervo  probatorio,  las</w:t>
        <w:br/>
        <w:t>observaciones del Estado y las reglas de la sana crítica.</w:t>
        <w:br/>
        <w:br/>
        <w:br/>
        <w:t>En cuanto a la declaración del testigo Patrón Sánchez, el Estado señaló  que</w:t>
        <w:br/>
        <w:t>“la parte inicial de [su] declaración” era “absolutamente  parcial”  ya  que</w:t>
        <w:br/>
        <w:t>refiere “hechos  y  circunstancias  que  como  el  mismo  manifiesta  no  le</w:t>
        <w:br/>
        <w:t>constan”. Por ello, el Estado solicitó que el Tribunal “las desestime en  su</w:t>
        <w:br/>
        <w:t>totalidad”. Asimismo, en relación con las demás consideraciones  hechas  por</w:t>
        <w:br/>
        <w:t>el testigo, el Estado, de manera general,  “se  limit[ó]  a  remitir  a  los</w:t>
        <w:br/>
        <w:t>expedientes judiciales para corroborar la falsedad con la que se conduce  el</w:t>
        <w:br/>
        <w:t>declarante”  y  agregó  que  “las  irregularidades  referidas  debieron  ser</w:t>
        <w:br/>
        <w:t>presentadas en el escrito de argumentos, solicitudes y  pruebas  y  no  como</w:t>
        <w:br/>
        <w:t>meras observaciones sin sustento y fundamento” además de que “en el  sistema</w:t>
        <w:br/>
        <w:t>jurídico existen los recursos para  impugnar  las  irregularidades  aludidas</w:t>
        <w:br/>
        <w:t>por el testigo”. Al respecto, el Tribunal valorará en el  fondo  del  asunto</w:t>
        <w:br/>
        <w:t>si lo dicho por este testigo encuentra sustento probatorio. De  otra  parte,</w:t>
        <w:br/>
        <w:t>la Corte recuerda que la evaluación sobre parcialidad o imparcialidad no  se</w:t>
        <w:br/>
        <w:t>predica en relación  con  los  testigos,  respecto  de  quienes  corresponde</w:t>
        <w:br/>
        <w:t>evaluar la fuerza probatoria de su dicho, lo cual se realizará en  la  etapa</w:t>
        <w:br/>
        <w:t>de fondo al ponderar la declaración con el restante acervo probatorio.</w:t>
        <w:br/>
        <w:br/>
        <w:br/>
        <w:t>En relación con la declaración de  la  testigo  Valdovino  Ríos,  el  Estado</w:t>
        <w:br/>
        <w:t>señaló que “hace  referencia  a  hechos  que  no  guardan  relación  con  el</w:t>
        <w:br/>
        <w:t>presente  caso,  concretamente,   en   lo   relacionado   con   experiencias</w:t>
        <w:br/>
        <w:t>presuntamente vividas por el  señor  Felipe  Arreaga  en  fechas  previas  y</w:t>
        <w:br/>
        <w:t>posteriores a la detención” de los  señores  Cabrera  y  Montiel.  Por  esta</w:t>
        <w:br/>
        <w:t>razón, solicitó se desestimen los pronunciamientos no  relacionados  con  el</w:t>
        <w:br/>
        <w:t>caso. De otra parte, el Estado  señaló  que  la  testigo  “realiza  diversas</w:t>
        <w:br/>
        <w:t>consideraciones en relación a  diversas  actividades  desarrolladas  por  el</w:t>
        <w:br/>
        <w:t>señor Felipe Arreaga y los señores Rodolfo Montiel y Teodoro Cabrera que  no</w:t>
        <w:br/>
        <w:t>le constan y de las cuales no tuvo conocimiento directo”. Además, el  Estado</w:t>
        <w:br/>
        <w:t>señaló que la señora Valdovinos reconoció que  “su  conocimiento  sobre  las</w:t>
        <w:br/>
        <w:t>circunstancias en las que se dio la detención”  de  los  señores  Cabrera  y</w:t>
        <w:br/>
        <w:t>Montiel  “ha[bía]  sido  adquirido  por  fuentes  meramente  referenciales”.</w:t>
        <w:br/>
        <w:t>Concluyó el  Estado  que  las  declaraciones  de  la  testigo  “se  aprecian</w:t>
        <w:br/>
        <w:t>sumamente generales y sin fundamento alguno”. Por ello el Estado solicitó  a</w:t>
        <w:br/>
        <w:t>la Corte que “desestime las alegaciones de la señora Valdovinos  respecto  a</w:t>
        <w:br/>
        <w:t>la condición legal actual” de los señores Cabrera y  Montiel.  Al  respecto,</w:t>
        <w:br/>
        <w:t>el Tribunal valorará en el fondo del asunto  si  lo  dicho  por  la  testigo</w:t>
        <w:br/>
        <w:t>encuentra sustento probatorio.</w:t>
        <w:br/>
        <w:br/>
        <w:br/>
        <w:t>En cuanto a la declaración del testigo Magallón  Larson,  el  Estado  señaló</w:t>
        <w:br/>
        <w:t>que “formula ciertas aseveraciones poco documentadas en  relación  al  nivel</w:t>
        <w:br/>
        <w:t>de deforestación en México y, particularmente, sobre la situación  que  vive</w:t>
        <w:br/>
        <w:t>la comunidad de Petatlán”. En cuanto  a  la  “supuesta  complicidad  de  las</w:t>
        <w:br/>
        <w:t>autoridades gubernamentales en lo relativo  a  la  tala  clandestina  en  la</w:t>
        <w:br/>
        <w:t>sierra de  Petatlán”,  el  Estado  alegó  que  “el  testigo  no  proporciona</w:t>
        <w:br/>
        <w:t>fundamento alguno para sus afirmaciones”. De otra parte,  el  Estado  señaló</w:t>
        <w:br/>
        <w:t>que el “testigo reconoce que no tuvo  un  involucramiento  directo  con  los</w:t>
        <w:br/>
        <w:t>hechos del caso y que la labor de  asesoría  brindada  por  la  organización</w:t>
        <w:br/>
        <w:t>Greenpeace a las presuntas víctimas inició mucho tiempo después”, razón  por</w:t>
        <w:br/>
        <w:t>la cual el Estado solicitó se tome en cuenta “única  y  exclusivamente”  las</w:t>
        <w:br/>
        <w:t>afirmaciones relacionadas  con  el  período  en  el  que  “el  testigo  tuvo</w:t>
        <w:br/>
        <w:t>participación [directa] en el caso”. Respecto a  estos  aspectos,  la  Corte</w:t>
        <w:br/>
        <w:t>considera que no comprometen la admisibilidad del testimonio,  dado  que  el</w:t>
        <w:br/>
        <w:t>mismo Estado reconoce la participación del testigo en el  caso.  El  alcance</w:t>
        <w:br/>
        <w:t>de la declaración testimonial será  ponderado,  en  lo  pertinente,  con  el</w:t>
        <w:br/>
        <w:t>resto del acervo probatorio, teniendo en cuenta lo señalado por el Estado  y</w:t>
        <w:br/>
        <w:t>teniendo en cuenta el objeto de la litis.</w:t>
        <w:br/>
        <w:br/>
        <w:br/>
        <w:t>La Corte  observa  que  el  Estado  impugnó  algunas  de  las  declaraciones</w:t>
        <w:br/>
        <w:t>testimoniales principalmente con base en que  los  testigos  se  refieren  a</w:t>
        <w:br/>
        <w:t>hechos que serían ajenos al objeto del presente caso,  o  bien  que  obraría</w:t>
        <w:br/>
        <w:t>prueba en contra de sus afirmaciones. Dichas observaciones  se  refieren  al</w:t>
        <w:br/>
        <w:t>fondo de la controversia, por lo que la  Corte  apreciará,  en  el  apartado</w:t>
        <w:br/>
        <w:t>correspondiente de la Sentencia, el contenido de las  declaraciones  de  los</w:t>
        <w:br/>
        <w:t>testigos en cuanto se ajusten al objeto que fue definido  oportunamente  por</w:t>
        <w:br/>
        <w:t>el Presidente del Tribunal (supra párr. 8), de  conformidad  con  el  objeto</w:t>
        <w:br/>
        <w:t>del litigio, teniendo en cuenta  el  conjunto  del  acervo  probatorio,  las</w:t>
        <w:br/>
        <w:t>observaciones del Estado y las reglas de la sana crítica.</w:t>
        <w:br/>
        <w:br/>
        <w:br/>
        <w:t>En cuanto a los peritajes, en relación con el del señor Tramsen,  el  Estado</w:t>
        <w:br/>
        <w:t>consideró que no era admisible recabarlo dado que  ya  había  sido  valorado</w:t>
        <w:br/>
        <w:t>por  las  diversas  instancias  judiciales,  en  decisiones  que  no  fueron</w:t>
        <w:br/>
        <w:t>recurridas por  los  representantes  de  los  ahora  peticionarios,  que  lo</w:t>
        <w:br/>
        <w:t>anterior implicaría una revisión  de  las  actuaciones  de  las  autoridades</w:t>
        <w:br/>
        <w:t>judiciales nacionales, y que no tiene metodología,  entre  otros  argumentos</w:t>
        <w:br/>
        <w:t>sobre sus insuficiencias. La Corte resalta que el Estado reiteró  argumentos</w:t>
        <w:br/>
        <w:t>sobre la admisibilidad del  peritaje  que  ya  han  sido  valorados  por  el</w:t>
        <w:br/>
        <w:t>Tribunal en la resolución que rechazó la  solicitud  de  reconsideración  al</w:t>
        <w:br/>
        <w:t>respecto (supra párr.  26.3).  En  consecuencia,  la  Corte  ya  dirimió  la</w:t>
        <w:br/>
        <w:t>controversia sobre la admisibilidad de este peritaje y  valorará  los  demás</w:t>
        <w:br/>
        <w:t>argumentos en contra de esta prueba al resolver sobre el fondo del caso.</w:t>
        <w:br/>
        <w:br/>
        <w:br/>
        <w:t>Respecto del peritaje  del  señor  Carbonell,  el  Estado  señaló  que  “fue</w:t>
        <w:br/>
        <w:t>elaborado con motivo de otro caso” que “no guard[a] relación alguna” con  el</w:t>
        <w:br/>
        <w:t>presente.  Según  el  Estado,  “esta   práctica   propicia   la   repetición</w:t>
        <w:br/>
        <w:t>innecesaria de argumentos”, por lo cual solicitó que el testimonio  de  este</w:t>
        <w:br/>
        <w:t>perito sea desestimado “al no  haberse  formulado  específicamente  para  el</w:t>
        <w:br/>
        <w:t>caso que nos  ocupa  y,  por  tanto,  al  no  contar  con  la  especificidad</w:t>
        <w:br/>
        <w:t>necesaria que requiere todo  análisis  pericial”.  Además,  se  solicitó  no</w:t>
        <w:br/>
        <w:t>considerar la declaración “toda vez que los planteamientos desarrollados  en</w:t>
        <w:br/>
        <w:t>la misma ya han sido valorados in extenso” en el caso  Radilla  Pacheco.  Al</w:t>
        <w:br/>
        <w:t>respecto,  la  Corte  observa  que   dichos   argumentos   no   impiden   la</w:t>
        <w:br/>
        <w:t>admisibilidad del peritaje y el Tribunal determinará en el  fondo  del  caso</w:t>
        <w:br/>
        <w:t>hasta qué punto el dictamen es relevante para resolver algunos temas  de  la</w:t>
        <w:br/>
        <w:t>controversia.</w:t>
        <w:br/>
        <w:br/>
        <w:br/>
        <w:t>En lo que atañe al peritaje del señor Castresana, el Estado indicó que  “las</w:t>
        <w:br/>
        <w:t>manifestaciones vertidas por  el  declarante  en  el  capítulo  VIII  de  su</w:t>
        <w:br/>
        <w:t>escrito no sólo se encuentran evidentemente fuera del objetivo para  el  que</w:t>
        <w:br/>
        <w:t>se solicitó su declaración,  sino  demuestran  la  parcialidad  y  falta  de</w:t>
        <w:br/>
        <w:t>objetividad del documento”, razón por la cual  se  solicitó  el  rechazo  de</w:t>
        <w:br/>
        <w:t>esas  manifestaciones.  El  Estado   agregó   que   “el   perito   introdujo</w:t>
        <w:br/>
        <w:t>alevosamente su punto de vista sobre los informes que ha emitido  el  Comité</w:t>
        <w:br/>
        <w:t>contra la Tortura de las  Naciones  Unidas”  lo  cual  “no  se  ajust[a]  al</w:t>
        <w:br/>
        <w:t>propósito de su declaración” y la “vici[a] aún más”. Con relación al  perito</w:t>
        <w:br/>
        <w:t>Piñeyro, el Estado indicó que “en el peritaje se hacen afirmaciones  que  no</w:t>
        <w:br/>
        <w:t>cuentan con sustento alguno […],  hace  generalizaciones  que  muestran  una</w:t>
        <w:br/>
        <w:t>seria falta de objetividad” y que “el perito hace imputaciones graves a  las</w:t>
        <w:br/>
        <w:t>Fuerzas Armadas las cuales tampoco tienen sustento ya que  no  se  acreditan</w:t>
        <w:br/>
        <w:t>con ningún elemento de convicción”. Respecto al  peritaje  del  señor  López</w:t>
        <w:br/>
        <w:t>Portillo Vargas el Estado señaló que “es falso” y que “el  país  cuenta  con</w:t>
        <w:br/>
        <w:t>estándares de control necesarios para sancionar y castigar  cualquier  abuso</w:t>
        <w:br/>
        <w:t>de cualquier autoridad, incluidas las de las Fuerzas Armadas  en  tareas  de</w:t>
        <w:br/>
        <w:t>seguridad”.</w:t>
        <w:br/>
        <w:br/>
        <w:br/>
        <w:t>En cuanto a los peritajes de la señora  Deutsch  y  del  señor  Quiroga,  el</w:t>
        <w:br/>
        <w:t>Estado presentó  diversos  alegatos  sobre  la  metodología  que  emplearon,</w:t>
        <w:br/>
        <w:t>alegadas insuficiencias y errores en los que incurrirían, entre otros  temas</w:t>
        <w:br/>
        <w:t>dirigidos a desvirtuar su peso probatorio.</w:t>
        <w:br/>
        <w:br/>
        <w:br/>
        <w:t>Respecto a los alegatos contra los peritos respecto a los  problemas  en  la</w:t>
        <w:br/>
        <w:t>metodología que emplean y sus demás insuficiencias,  el  Tribunal  considera</w:t>
        <w:br/>
        <w:t>pertinente señalar que, a diferencia de los testigos, quienes  deben  evitar</w:t>
        <w:br/>
        <w:t>dar opiniones personales, los  peritos  proporcionan  opiniones  técnicas  o</w:t>
        <w:br/>
        <w:t>personales en cuanto se relacionen con  su  especial  saber  o  experiencia.</w:t>
        <w:br/>
        <w:t>Además, los peritos se pueden referir  tanto  a  puntos  específicos  de  la</w:t>
        <w:br/>
        <w:t>litis como a cualquier otro punto relevante del litigio,  siempre  y  cuando</w:t>
        <w:br/>
        <w:t>se circunscriban  al  objeto  para  el  cual  fueron  convocados[39]  y  sus</w:t>
        <w:br/>
        <w:t>conclusiones estén suficientemente fundadas. En primer  lugar,  el  Tribunal</w:t>
        <w:br/>
        <w:t>nota que los  peritajes  se  refieren  al  objeto  para  los  cuales  fueron</w:t>
        <w:br/>
        <w:t>ordenados (supra párrs. 25 y 26). Adicionalmente,  sobre  los  peritajes  de</w:t>
        <w:br/>
        <w:t>los señores Castresana, López Portillo, Piñeyro,  Quiroga  y  de  la  señora</w:t>
        <w:br/>
        <w:t>Deutsch, la Corte observa que las manifestaciones de México se  refieren  al</w:t>
        <w:br/>
        <w:t>fondo del caso y al peso probatorio de los  dictámenes,  asuntos  que  serán</w:t>
        <w:br/>
        <w:t>considerados, en lo pertinente, en  los  apartados  correspondientes  de  la</w:t>
        <w:br/>
        <w:t>Sentencia, en el marco específico del objeto para el cual fueron  convocados</w:t>
        <w:br/>
        <w:t>y teniendo en cuenta lo señalado por el Estado.</w:t>
        <w:br/>
        <w:br/>
        <w:br/>
        <w:br/>
        <w:br/>
        <w:br/>
        <w:br/>
        <w:t xml:space="preserve">        3. Consideraciones sobre alegada “prueba superviniente”</w:t>
        <w:br/>
        <w:br/>
        <w:br/>
        <w:br/>
        <w:br/>
        <w:br/>
        <w:br/>
        <w:t>El  28  de  mayo  de  2010  los  representantes   remitieron   como   prueba</w:t>
        <w:br/>
        <w:t>superviniente tres documentos: las Observaciones Finales emitidas  el  7  de</w:t>
        <w:br/>
        <w:t>abril de 2010  por  el  Comité  de  Derechos  Humanos  respecto  al  informe</w:t>
        <w:br/>
        <w:t>presentado por México en virtud del Pacto Internacional de Derechos  Civiles</w:t>
        <w:br/>
        <w:t>y Políticos[40], el Informe emitido el 27 de mayo de 2009 sobre la visita  a</w:t>
        <w:br/>
        <w:t>México del Subcomité para la Prevención de  la  Tortura  y  otros  Tratos  o</w:t>
        <w:br/>
        <w:t>Penas Crueles, Inhumanos o Degradantes[41] y una Resolución  emitida  el  24</w:t>
        <w:br/>
        <w:t>de marzo de 2010 por  el  Instituto  Federal  de  Acceso  a  la  Información</w:t>
        <w:br/>
        <w:t>Pública  mediante  la  cual  se  ordenó  la  publicación  del  informe   del</w:t>
        <w:br/>
        <w:t>mencionado Subcomité[42].</w:t>
        <w:br/>
        <w:br/>
        <w:br/>
        <w:t>El Estado alegó que dichos documentos “no guardan  relación  alguna  con  la</w:t>
        <w:br/>
        <w:t>litis del asunto”, “ni aportan elemento alguno” para  “mejor  resolver  este</w:t>
        <w:br/>
        <w:t>procedimiento contencioso internacional”. Agregó que en dichos  informes  no</w:t>
        <w:br/>
        <w:t>se hace ningún pronunciamiento “sobre una práctica sistemática  y  reiterada</w:t>
        <w:br/>
        <w:t>de la tortura” en México. Respecto a las Observaciones  Finales  del  Comité</w:t>
        <w:br/>
        <w:t>de Derechos Humanos, el Estado señaló que no hace  “referencia  al  caso  de</w:t>
        <w:br/>
        <w:t>los señores” Cabrera y Montiel “o a algún otro  caso  específico”.  Respecto</w:t>
        <w:br/>
        <w:t>al informe del Subcomité para la Prevención de la Tortura, el  Estado  alegó</w:t>
        <w:br/>
        <w:t>que “se limitó a detectar posibles factores de riesgo para  la  comisión  de</w:t>
        <w:br/>
        <w:t>tortura” a través de “visitas a algunos centros de detención” y  “no  así  a</w:t>
        <w:br/>
        <w:t>formular conclusiones sobre la situación de todos los centros de  detención”</w:t>
        <w:br/>
        <w:t>en México. En particular, el Estado resaltó que el Subcomité “no realizó  su</w:t>
        <w:br/>
        <w:t>estudio en el estado de Guerrero y mucho menos en los centros  de  detención</w:t>
        <w:br/>
        <w:t>a los que fueron remitidos las presuntas víctimas del presente caso”.</w:t>
        <w:br/>
        <w:br/>
        <w:br/>
        <w:t>La Corte ha utilizado diversos  pronunciamientos  de  los  Comités  y  demás</w:t>
        <w:br/>
        <w:t>mecanismos de supervisión del Sistema de  Naciones  Unidas  en  lo  que  sea</w:t>
        <w:br/>
        <w:t>pertinente para un determinado caso. Ello  se  relaciona  con  aspectos  del</w:t>
        <w:br/>
        <w:t>fondo de  cada  caso  concreto  y  el  Tribunal  no  tiene  ningún  tipo  de</w:t>
        <w:br/>
        <w:t>restricción formal para incorporar al expediente información que  constituya</w:t>
        <w:br/>
        <w:t>hechos notorios  o  de  público  conocimiento.  Por  tal  motivo,  la  Corte</w:t>
        <w:br/>
        <w:t>incorpora  estos  documentos  no  como  prueba   superviniente   sino   como</w:t>
        <w:br/>
        <w:t>información que considera complementaria y de utilidad  según  lo  dispuesto</w:t>
        <w:br/>
        <w:t>por  el  artículo  47  del  Reglamento.  El  Tribunal   resalta   que   hubo</w:t>
        <w:br/>
        <w:t>contradictorio para las partes en relación  con  dichos  pronunciamientos  y</w:t>
        <w:br/>
        <w:t>considerará la información allí indicada en lo que sea  pertinente  para  el</w:t>
        <w:br/>
        <w:t>presente caso y teniendo en cuenta los argumentos expuestos  por  el  Estado</w:t>
        <w:br/>
        <w:t>respecto al contenido de dichos documentos.</w:t>
        <w:br/>
        <w:br/>
        <w:br/>
        <w:br/>
        <w:br/>
        <w:br/>
        <w:t xml:space="preserve">                                     VI</w:t>
        <w:br/>
        <w:br/>
        <w:t xml:space="preserve">                           CONSIDERACIONES PREVIAS</w:t>
        <w:br/>
        <w:br/>
        <w:br/>
        <w:t xml:space="preserve">      Hechos no planteados por la Comisión en su demanda</w:t>
        <w:br/>
        <w:br/>
        <w:br/>
        <w:br/>
        <w:br/>
        <w:br/>
        <w:t>Los representantes alegaron que los señores Cabrera y Montiel  “a  causa  de</w:t>
        <w:br/>
        <w:t>su  activismo”  en  defensa   del   medio   ambiente,   fueron   “ilegal   y</w:t>
        <w:br/>
        <w:t>arbitrariamente  detenidos,  y  luego  torturados”.  Precisaron  que   estas</w:t>
        <w:br/>
        <w:t>agresiones  “no  han  podido  ser  sino  una  represalia  por  su  activismo</w:t>
        <w:br/>
        <w:t>ambientalista”. Además, señalaron que dicha represalia se  enmarcaba  en  un</w:t>
        <w:br/>
        <w:t>patrón de ataques contra defensores del medio  ambiente  y,  en  particular,</w:t>
        <w:br/>
        <w:t>contra la Asociación Civil Organización  de  Campesinos  Ecologistas  de  la</w:t>
        <w:br/>
        <w:t>Sierra de Petatlán y Coyuca de Catalán (en adelante “OCESP”).  A  partir  de</w:t>
        <w:br/>
        <w:t>ello, de acuerdo con los representantes, “los militares de  la  zona  tenían</w:t>
        <w:br/>
        <w:t>información sobre el paradero” del señor Montiel Flores y sus  acompañantes.</w:t>
        <w:br/>
        <w:t>De otra parte, los representantes indicaron que “[l]a forma en  que  ocurrió</w:t>
        <w:br/>
        <w:t>la detención, el abuso físico y  mental  al  que  fueron  sometid[o]s  l[o]s</w:t>
        <w:br/>
        <w:t>[señores Cabrera y Montiel], la prolongación en la detención y la  falta  de</w:t>
        <w:br/>
        <w:t>información sobre [su] paradero […], provocó en sus familiares  sentimientos</w:t>
        <w:br/>
        <w:t>de desesperación y angustia profunda que continúan afectándoles  al  día  de</w:t>
        <w:br/>
        <w:t>hoy”.</w:t>
        <w:br/>
        <w:br/>
        <w:br/>
        <w:t>En su informe de fondo la Comisión, al  valorar  diversos  alegatos  de  los</w:t>
        <w:br/>
        <w:t>representantes respecto a si lo ocurrido a los  señores  Cabrera  y  Montiel</w:t>
        <w:br/>
        <w:t>constituía una represalia por sus actividades en defensa de  los  bosques  y</w:t>
        <w:br/>
        <w:t>si ello se insertaría en  un  patrón  de  similares  represalias  y  ataques</w:t>
        <w:br/>
        <w:t>contra  defensores  del  medio  ambiente,  “observ[ó]  que   las   presuntas</w:t>
        <w:br/>
        <w:t>violaciones a los derechos consagrados en  los  artículos  13  [libertad  de</w:t>
        <w:br/>
        <w:t>expresión], 15 [derecho de reunión] y 16 [libertad de asociación] no  fueron</w:t>
        <w:br/>
        <w:t>alegad[a]s por los peticionarios durante la etapa  de  admisibilidad”.  Así,</w:t>
        <w:br/>
        <w:t>en su demanda, la Comisión sólo mencionó que en 1998 los señores  Cabrera  y</w:t>
        <w:br/>
        <w:t>Montiel establecieron, junto con otros campesinos, la  OCESP  “para  detener</w:t>
        <w:br/>
        <w:t>las operaciones de tala en los bosques de las montañas de Guerrero  que,  en</w:t>
        <w:br/>
        <w:t>su opinión, amenaza[ba]n el medio ambiente y el sustento de las  comunidades</w:t>
        <w:br/>
        <w:t>campesinas locales”.</w:t>
        <w:br/>
        <w:br/>
        <w:br/>
        <w:t>El  Estado  alegó  que  la  Comisión  “jamás  h[izo]  alusión  a  actos   de</w:t>
        <w:br/>
        <w:t>hostigamiento en contra de miembros de [la OCESP]” y  que  “[e]sta  cuestión</w:t>
        <w:br/>
        <w:t>nunca fue señalada en el informe de la [Comisión]” y tampoco  “fue  señalada</w:t>
        <w:br/>
        <w:t>por los peticionarios durante la etapa de admisibilidad”. Además, el  Estado</w:t>
        <w:br/>
        <w:t>indicó que “conscientes de que las  supuestas  amenazas  en  contra  de  los</w:t>
        <w:br/>
        <w:t>miembros de la OCESP no se encuentran circunscritas dentro de la  litis  del</w:t>
        <w:br/>
        <w:t>caso sub judice”, los representantes  “realizaron  dolosamente  valoraciones</w:t>
        <w:br/>
        <w:t>sin sustento alguno para procurar relacionar el proceso penal  abierto”  con</w:t>
        <w:br/>
        <w:t>los “supuestos actos de violencia y hostigamiento en contra de la OCESP”,  a</w:t>
        <w:br/>
        <w:t>pesar de que “en ninguno de los  expedientes  judiciales”  se  sostiene  que</w:t>
        <w:br/>
        <w:t>ello “haya ocurrido con motivo de su participación como miembros  de  [dicha</w:t>
        <w:br/>
        <w:t>organización]” y que, además, “no existe en las instancias internas  ninguna</w:t>
        <w:br/>
        <w:t>denuncia relacionada con amenazas en  contra  de  las  presuntas  víctimas”.</w:t>
        <w:br/>
        <w:t>Asimismo, el Estado señaló que “tampoco es posible alegar que los  supuestos</w:t>
        <w:br/>
        <w:t>actos de hostigamiento son hechos supervinientes”.</w:t>
        <w:br/>
        <w:br/>
        <w:br/>
        <w:t>Los representantes señalaron que  “[c]ontrariamente  a  lo  alegado  por  el</w:t>
        <w:br/>
        <w:t>Estado, la demanda de la Comisión refiere  que  las  víctimas  directas  del</w:t>
        <w:br/>
        <w:t>presente caso eran miembros de la OCESP” y “además refiere que las  víctimas</w:t>
        <w:br/>
        <w:t>han sido premiadas por su  labor  en  defensa  del  medio  ambiente  [...]”.</w:t>
        <w:br/>
        <w:t>Asimismo, “no solicita[ron] que la Corte “decida sobre la base del  contexto</w:t>
        <w:br/>
        <w:t>en que sucedieron los hechos del caso”, sino que tal como  lo  ha  hecho  en</w:t>
        <w:br/>
        <w:t>otros casos “tenga en cuenta el contexto para apreciar los hechos”. En  este</w:t>
        <w:br/>
        <w:t>sentido, sostuvieron  que  “se  equivoca  el  Estado  al  señalar  que  [los</w:t>
        <w:br/>
        <w:t>representantes buscan] incluir en la litis del caso  actos  de  violencia  y</w:t>
        <w:br/>
        <w:t>hostigamiento en contra de los miembros de la OCESP”, pues su  intención  al</w:t>
        <w:br/>
        <w:t>referirse al contexto del caso no  es  introducir  “hechos  diversos  a  los</w:t>
        <w:br/>
        <w:t>señalados por  la  Comisión  en  su  demanda,  sino  solo  desarro[llarlos],</w:t>
        <w:br/>
        <w:t>expli[carlos] y acla[rarlos]”. Además, alegaron  que  “el  modo  en  que  se</w:t>
        <w:br/>
        <w:t>llevó a cabo la detención (incluidos los  tratos  durante  la  misma)  y  el</w:t>
        <w:br/>
        <w:t>proceso  penal  contra  las  víctimas”,  y  tales  hechos,  “así  como   las</w:t>
        <w:br/>
        <w:t>circunstancias en que ocurrieron, surgen de la demanda de la Comisión”.</w:t>
        <w:br/>
        <w:br/>
        <w:br/>
        <w:t>Es jurisprudencia reiterada de la Corte  que  las  presuntas  víctimas,  sus</w:t>
        <w:br/>
        <w:t>familiares o sus representantes  en  los  procesos  contenciosos  ante  este</w:t>
        <w:br/>
        <w:t>Tribunal pueden invocar la violación de otros derechos distintos  a  los  ya</w:t>
        <w:br/>
        <w:t>comprendidos en la demanda, mientras no  aleguen  hechos  nuevos  a  los  ya</w:t>
        <w:br/>
        <w:t>contenidos  en  ella[43],  dado  que  constituye  el   marco   fáctico   del</w:t>
        <w:br/>
        <w:t>proceso[44]. A su vez, puesto que un caso contencioso es sustancialmente  un</w:t>
        <w:br/>
        <w:t>litigio entre un Estado y un  peticionario  o  presunta  víctima[45],  éstas</w:t>
        <w:br/>
        <w:t>pueden referirse a hechos que permitan explicar, contextualizar,  aclarar  o</w:t>
        <w:br/>
        <w:t>desestimar los que han sido mencionados en la demanda, o bien,  responder  a</w:t>
        <w:br/>
        <w:t>las pretensiones del Estado[46], en función de lo que aleguen  y  la  prueba</w:t>
        <w:br/>
        <w:t>que aporten, sin que ello perjudique el equilibrio procesal o  el  principio</w:t>
        <w:br/>
        <w:t>del contradictorio, pues el Estado cuenta con las  oportunidades  procesales</w:t>
        <w:br/>
        <w:t>para responder a esos alegatos en todas las etapas  del  proceso.  Por  otro</w:t>
        <w:br/>
        <w:t>lado, en cualquier estado del proceso anterior al dictado  de  la  sentencia</w:t>
        <w:br/>
        <w:t>se podrán señalar al Tribunal  hechos  supervinientes[47],  siempre  que  se</w:t>
        <w:br/>
        <w:t>encuentren ligados a los hechos del  proceso[48].  Corresponde  a  la  Corte</w:t>
        <w:br/>
        <w:t>determinar en cada caso la necesidad de  establecer  los  hechos,  tal  como</w:t>
        <w:br/>
        <w:t>fueron presentados por las partes o tomando en cuenta  otros  elementos  del</w:t>
        <w:br/>
        <w:t>acervo probatorio[49], siempre que se respete el derecho de defensa  de  las</w:t>
        <w:br/>
        <w:t>partes y el objeto de la litis.</w:t>
        <w:br/>
        <w:br/>
        <w:br/>
        <w:t>En el presente caso, la Corte constata que en su  informe  de  admisibilidad</w:t>
        <w:br/>
        <w:t>la Comisión reseñó expresamente que los  peticionarios  alegaban  que  todas</w:t>
        <w:br/>
        <w:t>las presuntas violaciones  que  habrían  sufrido  eran  consecuencia  de  su</w:t>
        <w:br/>
        <w:t>trabajo en defensa del medio ambiente[50]. Sin embargo,  en  su  informe  de</w:t>
        <w:br/>
        <w:t>fondo, la Comisión consideró que esos alegatos “no estaban conectados  legal</w:t>
        <w:br/>
        <w:t>ni fácticamente con su informe de admisibilidad”[51]. Posteriormente, en  su</w:t>
        <w:br/>
        <w:t>demanda –que fija el marco fáctico del  caso-,  la  Comisión  sólo  mencionó</w:t>
        <w:br/>
        <w:t>como hechos del caso que los señores Cabrera  y  Montiel  pertenecían  a  la</w:t>
        <w:br/>
        <w:t>OCESP, que habían ganado cuatro premios  relacionados  con  la  defensa  del</w:t>
        <w:br/>
        <w:t>medio ambiente, que, tras su liberación, las presuntas víctimas  no  habrían</w:t>
        <w:br/>
        <w:t>regresado a Guerrero, y que una de ellas habría solicitado asilo en un  país</w:t>
        <w:br/>
        <w:t>extranjero[52].</w:t>
        <w:br/>
        <w:br/>
        <w:br/>
        <w:t>Además, a diferencia de otros referentes de contexto que sí fueron  alegados</w:t>
        <w:br/>
        <w:t>por la Comisión y que serán valorados posteriormente (infra  párr.  65),  la</w:t>
        <w:br/>
        <w:t>Comisión no asumió que el trabajo de los  señores  Cabrera  y  Montiel,  las</w:t>
        <w:br/>
        <w:t>amenazas que habrían sufrido y la represión a defensores del medio  ambiente</w:t>
        <w:br/>
        <w:t>se relacionasen con el objeto de  la  controversia  o  fueran  un  asunto  a</w:t>
        <w:br/>
        <w:t>dirimir por la Corte y,  por  consiguiente,  que  las  violaciones  alegadas</w:t>
        <w:br/>
        <w:t>tengan como fundamento dichas amenazas y represión. De  otra  parte,  en  su</w:t>
        <w:br/>
        <w:t>demanda, la Comisión no incluyó hechos relacionados con la  desesperación  y</w:t>
        <w:br/>
        <w:t>angustia que habrían sufrido los familiares de las presuntas  víctimas  como</w:t>
        <w:br/>
        <w:t>consecuencia de las violaciones alegadas. Bajo ningún concepto  la  Comisión</w:t>
        <w:br/>
        <w:t>incluyó a los familiares como presuntas víctimas ni en su informe  de  fondo</w:t>
        <w:br/>
        <w:t>ni en la demanda.</w:t>
        <w:br/>
        <w:br/>
        <w:br/>
        <w:t>Al respecto, en ocasiones anteriores el Tribunal ha dirimido en el fondo  la</w:t>
        <w:br/>
        <w:t>cuestión de si un determinado caso se inserta en  un  contexto,  llegando  a</w:t>
        <w:br/>
        <w:t>considerar que “no hay antecedentes suficientes en el  expediente  para  que</w:t>
        <w:br/>
        <w:t>el Tribunal pueda decidir que el […] caso se inscrib[a] en la situación  [de</w:t>
        <w:br/>
        <w:t>contexto] aludida” por la Comisión[53]. Sin embargo, para llevar a  cabo  un</w:t>
        <w:br/>
        <w:t>análisis de ese  tipo,  es  necesario  que  la  Comisión  haya  desarrollado</w:t>
        <w:br/>
        <w:t>alegatos específicos según los cuales el caso respectivo se  inserta  en  un</w:t>
        <w:br/>
        <w:t>contexto particular, cuestión que  no  ocurrió  en  el  presente  asunto  en</w:t>
        <w:br/>
        <w:t>cuanto a los hechos  de  amenaza  y  represión  por  la  defensa  del  medio</w:t>
        <w:br/>
        <w:t>ambiente. Por tal motivo, en otro caso, la Corte rechazó pronunciarse  sobre</w:t>
        <w:br/>
        <w:t>ciertos hechos que  si  bien  se  habían  presentado  como  un  “antecedente</w:t>
        <w:br/>
        <w:t>contextual concerniente a la historia de la  controversia”,  fue  verificado</w:t>
        <w:br/>
        <w:t>que no fueron presentados ante el Tribunal “como una cuestión para  resolver</w:t>
        <w:br/>
        <w:t>por la Corte”[54]. Distinto es el caso cuando frente a  un  hecho  que  toma</w:t>
        <w:br/>
        <w:t>como  probado  el  Tribunal,  la  Comisión  considera  que  no  genera   una</w:t>
        <w:br/>
        <w:t>determinada  violación  u  omite  pronunciarse  sobre   si   genera   alguna</w:t>
        <w:br/>
        <w:t>violación. En esos casos, la Corte  ha  aplicado  el  principio  iura  novit</w:t>
        <w:br/>
        <w:t>curia para declarar una violación no alegada por la Comisión.</w:t>
        <w:br/>
        <w:br/>
        <w:br/>
        <w:t>Por  todo  lo  anterior,  el  Tribunal  considera  que  no  le   corresponde</w:t>
        <w:br/>
        <w:t>pronunciarse respecto a  hechos  alegados  por  los  representantes  que  no</w:t>
        <w:br/>
        <w:t>fueron planteados como hechos  en  la  demanda  de  la  Comisión,  esto  es,</w:t>
        <w:br/>
        <w:t>respecto a las amenazas que habrían sufrido los señores  Cabrera  y  Montiel</w:t>
        <w:br/>
        <w:t>antes de su detención y después de su  salida  de  la  cárcel,  la  presunta</w:t>
        <w:br/>
        <w:t>represión que habrían sufrido por su trabajo en defensa del  medio  ambiente</w:t>
        <w:br/>
        <w:t>y el  sufrimiento  que  habrían  tenido  los  familiares  de  las  presuntas</w:t>
        <w:br/>
        <w:t>víctimas. En  similar  sentido,  no  procede  pronunciarse  respecto  a  las</w:t>
        <w:br/>
        <w:t>alegadas violaciones a los artículos 5 y 16 de la  Convención  Americana  en</w:t>
        <w:br/>
        <w:t>relación con dichos hechos.</w:t>
        <w:br/>
        <w:br/>
        <w:br/>
        <w:br/>
        <w:t xml:space="preserve">      Alegados hechos de contexto</w:t>
        <w:br/>
        <w:br/>
        <w:br/>
        <w:br/>
        <w:t>La Comisión y los representantes aludieron a diversos  hechos  de  contexto,</w:t>
        <w:br/>
        <w:t>particularmente  a  “los  abusos  cometidos  por   las   fuerzas   militares</w:t>
        <w:br/>
        <w:t>destacadas en el Estado de Guerrero”, algunos patrones de uso de la  tortura</w:t>
        <w:br/>
        <w:t>en México y el impacto que ello tiene en los procesos judiciales,  así  como</w:t>
        <w:br/>
        <w:t>la “utilización del fuero militar para la  investigación  y  juzgamiento  de</w:t>
        <w:br/>
        <w:t>violaciones de derechos humanos”.</w:t>
        <w:br/>
        <w:br/>
        <w:br/>
        <w:t>El Estado negó la relación del presente caso con el  contexto  mencionado  e</w:t>
        <w:br/>
        <w:t>indicó que se encuentra fuera del objeto del presente caso. Solicitó que  la</w:t>
        <w:br/>
        <w:t>Corte se basara únicamente en  el  expediente  judicial  del  proceso  penal</w:t>
        <w:br/>
        <w:t>seguido contra las presuntas víctimas como única  referencia  objetiva  para</w:t>
        <w:br/>
        <w:t>determinar lo ocurrido respecto a los señores Cabrera y Montiel. Indicó  que</w:t>
        <w:br/>
        <w:t>“cualquier otra caracterización” de lo ocurrido “no es más que  la  búsqueda</w:t>
        <w:br/>
        <w:t>inapropiada de la apertura de la litis  a  cuestiones  que  escapan  de  los</w:t>
        <w:br/>
        <w:t>hechos del asunto”. Sin perjuicio de lo anterior, y en el evento de  que  la</w:t>
        <w:br/>
        <w:t>Corte considerara  valorar  dicho  contexto,  el  Estado  presentó  diversos</w:t>
        <w:br/>
        <w:t>argumentos para desvirtuar lo que considera generalizaciones sin  fundamento</w:t>
        <w:br/>
        <w:t>que no tendrían proyección específica en los hechos concretos del caso.</w:t>
        <w:br/>
        <w:br/>
        <w:br/>
        <w:t>La Corte ha considerado que en casos de alta complejidad fáctica en los  que</w:t>
        <w:br/>
        <w:t>se alega la existencia de patrones o prácticas de  violaciones  de  derechos</w:t>
        <w:br/>
        <w:t>humanos de carácter masivo, sistemático o estructural, es difícil  pretender</w:t>
        <w:br/>
        <w:t>una  delimitación  estricta  de  los  hechos.  De  tal  manera,  el  litigio</w:t>
        <w:br/>
        <w:t>presentado ante el Tribunal no puede  estudiarse  de  manera  fragmentada  o</w:t>
        <w:br/>
        <w:t>pretendiendo excluir aquellos elementos contextuales que puedan ilustrar  al</w:t>
        <w:br/>
        <w:t>juez internacional acerca  de  las  circunstancias  históricas,  materiales,</w:t>
        <w:br/>
        <w:t>temporales y espaciales en que ocurrieron los hechos  alegados.  Tampoco  es</w:t>
        <w:br/>
        <w:t>necesario realizar una distinción  o  categorización  de  cada  uno  de  los</w:t>
        <w:br/>
        <w:t>hechos alegados, pues la litis planteada sólo puede ser  dirimida  a  partir</w:t>
        <w:br/>
        <w:t>de una valoración conjunta de todas las circunstancias propuestas[55], a  la</w:t>
        <w:br/>
        <w:t>luz del acervo probatorio.</w:t>
        <w:br/>
        <w:br/>
        <w:br/>
        <w:t>Asimismo, el Tribunal ha considerado que, al valorar elementos de  contexto,</w:t>
        <w:br/>
        <w:t>en términos generales, no  pretende  emitir  un  pronunciamiento  sobre  los</w:t>
        <w:br/>
        <w:t>fenómenos globales relacionados con  un  determinado  caso,  ni  juzgar  las</w:t>
        <w:br/>
        <w:t>diversas  circunstancias  comprendidas  en  ese  contexto[56].  Tampoco   le</w:t>
        <w:br/>
        <w:t>corresponde pronunciarse sobre la variedad de hechos, alegados tanto por  el</w:t>
        <w:br/>
        <w:t>Estado como por los representantes, o de  políticas  públicas  adoptadas  en</w:t>
        <w:br/>
        <w:t>diferentes momentos para contrarrestar aspectos que escapen  a  lo  ocurrido</w:t>
        <w:br/>
        <w:t>en un determinado caso. Por el contrario, la  Corte  toma  en  consideración</w:t>
        <w:br/>
        <w:t>estos hechos como parte de lo alegado  por  las  partes  en  función  de  su</w:t>
        <w:br/>
        <w:t>litigio.</w:t>
        <w:br/>
        <w:br/>
        <w:br/>
        <w:t>La  Corte  observa  que  tanto  en  su  informe  de  fondo[57]  como  en  la</w:t>
        <w:br/>
        <w:t>demanda[58], la Comisión enmarcó las violaciones de  derechos  ocurridas  en</w:t>
        <w:br/>
        <w:t>el presente caso en  un  contexto  sobre  alegados  abusos  de  las  fuerzas</w:t>
        <w:br/>
        <w:t>militares en Guerrero, algunos  patrones  sobre  el  uso  de  tortura  y  su</w:t>
        <w:br/>
        <w:t>impacto en los procesos  judiciales,  así  como  la  utilización  del  fuero</w:t>
        <w:br/>
        <w:t>militar para la investigación de casos por violación  de  derechos  humanos.</w:t>
        <w:br/>
        <w:t>Por consiguiente, dicho contexto es materia de la presente  litis  y  guarda</w:t>
        <w:br/>
        <w:t>relación con los hechos alegados. En el mérito del caso y la eventual  etapa</w:t>
        <w:br/>
        <w:t>de reparaciones, la Corte analizará los alcances de este contexto  planteado</w:t>
        <w:br/>
        <w:t>y los complementos respectivos presentados por los representantes.</w:t>
        <w:br/>
        <w:br/>
        <w:br/>
        <w:br/>
        <w:t xml:space="preserve">                                     VII</w:t>
        <w:br/>
        <w:br/>
        <w:br/>
        <w:t xml:space="preserve"> derecho a la Libertad Personal en relación con las Obligaciones de Respetar</w:t>
        <w:br/>
        <w:t xml:space="preserve">                          y garantizar los Derechos</w:t>
        <w:br/>
        <w:br/>
        <w:br/>
        <w:br/>
        <w:br/>
        <w:t xml:space="preserve">   Descripción general de los procesos e instancias que valoraron los hechos</w:t>
        <w:br/>
        <w:t xml:space="preserve">      en el ámbito interno</w:t>
        <w:br/>
        <w:br/>
        <w:br/>
        <w:br/>
        <w:t>Con el fin de determinar si se vulneró el artículo 7[59],  en  relación  con</w:t>
        <w:br/>
        <w:t>el artículo 1.1[60]  de la Convención Americana, a lo largo de los  próximos</w:t>
        <w:br/>
        <w:t>capítulos la Corte expondrá en detalle las controversias de hecho entre  las</w:t>
        <w:br/>
        <w:t>partes  y  las  diligencias  llevadas  a  cabo  dentro   de   los   procesos</w:t>
        <w:br/>
        <w:t>relacionados con el presente caso. Sin embargo, a  manera  introductoria  se</w:t>
        <w:br/>
        <w:t>expondrán: 1.1) los hechos no controvertidos relacionados con  la  detención</w:t>
        <w:br/>
        <w:t>de las presuntas víctimas; 1.2.) el proceso judicial penal que condujo a  la</w:t>
        <w:br/>
        <w:t>condena de las presuntas víctimas; 1.3) los  procesos  de  amparo  iniciados</w:t>
        <w:br/>
        <w:t>por los señores Cabrera y Montiel, y 1.4) las actuaciones de los  tribunales</w:t>
        <w:br/>
        <w:t>militares y de la Comisión Nacional de Derechos los Humanos respecto  a  las</w:t>
        <w:br/>
        <w:t>denuncias sobre la posible tortura.</w:t>
        <w:br/>
        <w:br/>
        <w:br/>
        <w:t>1 Hechos no controvertidos en relación  con  la  detención  de  los  señores</w:t>
        <w:br/>
        <w:t xml:space="preserve">      Cabrera y Montiel</w:t>
        <w:br/>
        <w:br/>
        <w:br/>
        <w:br/>
        <w:br/>
        <w:t>El 2 de mayo de 1999 el señor Montiel Flores se encontraba fuera de la  casa</w:t>
        <w:br/>
        <w:t>del señor Cabrera García, junto con éste y tres personas más, además  de  su</w:t>
        <w:br/>
        <w:t>esposa e hija[61], en la comunidad de Pizotla, Municipio de  Ajuchitlán  del</w:t>
        <w:br/>
        <w:t>Progreso, estado de Guerrero. Ese mismo día, alrededor de  las  9:30  horas,</w:t>
        <w:br/>
        <w:t>aproximadamente 40 miembros del 40º  Batallón  de  Infantería  del  Ejército</w:t>
        <w:br/>
        <w:t>Mexicano entraron en la comunidad, en el marco  de  un  operativo  de  lucha</w:t>
        <w:br/>
        <w:t>contra el narcotráfico[62], que verificaba información respecto a  un  grupo</w:t>
        <w:br/>
        <w:t>señalado como  “gavilla”[63]  presuntamente  encabezado  por  Ramiro  "N"  y</w:t>
        <w:br/>
        <w:t>Eduardo García Santana[64]. En dicho contexto,  un  disparo  proveniente  de</w:t>
        <w:br/>
        <w:t>una de las armas de los efectivos  militares  impactó  en  el  señor  Salomé</w:t>
        <w:br/>
        <w:t>Sánchez, quien perdió la vida en el acto[65]. Los señores Cabrera y  Montiel</w:t>
        <w:br/>
        <w:t>se escondieron entre arbustos y  rocas,  y  permanecieron  allí  por  varias</w:t>
        <w:br/>
        <w:t>horas.  Aproximadamente  a  las  16:30  horas  de  ese  mismo   día   fueron</w:t>
        <w:br/>
        <w:t>detenidos[66].</w:t>
        <w:br/>
        <w:br/>
        <w:br/>
        <w:t>Las fuerzas militares mantuvieron detenidos a los señores Cabrera y  Montiel</w:t>
        <w:br/>
        <w:t>a orillas del Río Pizotla hasta  el  4  de  mayo[67].  Ese  día,  pasado  el</w:t>
        <w:br/>
        <w:t>mediodía, los trasladaron en un helicóptero hasta las instalaciones del  40º</w:t>
        <w:br/>
        <w:t>Batallón de Infantería, ubicado  en  la  ciudad  de  Altamirano,  Estado  de</w:t>
        <w:br/>
        <w:t>Guerrero[68].</w:t>
        <w:br/>
        <w:br/>
        <w:br/>
        <w:t>2 Proceso judicial que condujo  a  la  condena  de  los  señores  Cabrera  y</w:t>
        <w:br/>
        <w:t xml:space="preserve">      Montiel</w:t>
        <w:br/>
        <w:br/>
        <w:br/>
        <w:br/>
        <w:br/>
        <w:br/>
        <w:t>A raíz de la denuncia  presentada  por  ciertos  miembros  del  Ejército  en</w:t>
        <w:br/>
        <w:t>contra de  los  señores  Cabrera  y  Montiel[69]  por  la  comisión  de  los</w:t>
        <w:br/>
        <w:t>presuntos delitos de portación de  armas  de  fuego  de  uso  exclusivo  del</w:t>
        <w:br/>
        <w:t>Ejército y sin licencia y siembra de  amapola  y  marihuana,  el  Ministerio</w:t>
        <w:br/>
        <w:t>Público del Fuero Común  de  Arcelia,  Guerrero,  inició  una  investigación</w:t>
        <w:br/>
        <w:t>penal[70]. El 4 de mayo de 1999 dicho órgano decretó la legal  retención  de</w:t>
        <w:br/>
        <w:t>los señores Cabrera  y  Montiel[71].  Por  tratarse  de  delitos  del  orden</w:t>
        <w:br/>
        <w:t>federal, el Ministerio  Público  del  Fuero  Común  de  Arcelia,  estado  de</w:t>
        <w:br/>
        <w:t>Guerrero, remitió la indagatoria al Ministerio Público Federal de Coyuca  de</w:t>
        <w:br/>
        <w:t>Catalán[72]. El 12 de mayo de 1999 el  proceso  pasó  por  incompetencia  al</w:t>
        <w:br/>
        <w:t>Juez de Primera Instancia del Ramo Penal del Distrito Judicial de  Mina,  el</w:t>
        <w:br/>
        <w:t>cual  notificó  el  auto  de  formal  prisión  a  los  señores   Cabrera   y</w:t>
        <w:br/>
        <w:t>Montiel[73]. Este juzgado de Mina declinó su competencia y el  proceso  pasó</w:t>
        <w:br/>
        <w:t>al Juez Quinto de  Distrito  del  Vigésimo  Primer  Circuito  en  Coyuca  de</w:t>
        <w:br/>
        <w:t>Catalán (en adelante “el Juez Quinto de Distrito”)[74]. El 28 de  agosto  de</w:t>
        <w:br/>
        <w:t>2000 este juzgado dictó sentencia contra los señores Cabrera  y  Montiel,  y</w:t>
        <w:br/>
        <w:t>los condenó a penas privativas de libertad de 6 años y 8 meses  de  duración</w:t>
        <w:br/>
        <w:t>en el caso del señor Cabrera García y de 10 años de duración en el caso  del</w:t>
        <w:br/>
        <w:t>señor Montiel Flores[75].</w:t>
        <w:br/>
        <w:br/>
        <w:br/>
        <w:t>El señor Montiel Flores fue condenado por los delitos de porte de  armas  de</w:t>
        <w:br/>
        <w:t>fuego sin licencia y de uso exclusivo del Ejército, Armada y Fuerza Aérea  y</w:t>
        <w:br/>
        <w:t>por el delito contra la salud en la modalidad de siembra  de  marihuana[76].</w:t>
        <w:br/>
        <w:t>Por su parte, el señor Cabrera García fue condenado por  porte  de  arma  de</w:t>
        <w:br/>
        <w:t>fuego de uso exclusivo del Ejército, Armada y Fuerza Aérea[77].  Después  de</w:t>
        <w:br/>
        <w:t>interponer recursos de apelación,  el  26  de  octubre  de  2000  el  Primer</w:t>
        <w:br/>
        <w:t>Tribunal Unitario del Vigésimo  Primer  Circuito  (en  adelante  “el  Primer</w:t>
        <w:br/>
        <w:t>Tribunal Unitario”) confirmó los  fallos  condenatorios  en  contra  de  los</w:t>
        <w:br/>
        <w:t>señores Cabrera  y  Montiel[78].  En  el  año  2001  fueron  liberados  para</w:t>
        <w:br/>
        <w:t>continuar cumpliendo la sanción que se les impuso en su domicilio, debido  a</w:t>
        <w:br/>
        <w:t>su estado de salud (infra párr. 117).</w:t>
        <w:br/>
        <w:br/>
        <w:br/>
        <w:t>3 Procesos de amparo iniciados por los señores Cabrera  y  Montiel  mediante</w:t>
        <w:br/>
        <w:t xml:space="preserve">      los cuales se impugnó la decisión del Primer Tribunal Unitario</w:t>
        <w:br/>
        <w:br/>
        <w:br/>
        <w:br/>
        <w:t>El 9 de marzo de 2001 las presuntas  víctimas  presentaron  una  demanda  de</w:t>
        <w:br/>
        <w:t>amparo ante el Segundo Tribunal Colegiado del Vigésimo Primer  Circuito  (en</w:t>
        <w:br/>
        <w:t>adelante, “el Segundo Tribunal Colegiado”), con el  objeto  de  impugnar  la</w:t>
        <w:br/>
        <w:t>decisión establecida por el Primer Tribunal Unitario[79]. En dicha  demanda,</w:t>
        <w:br/>
        <w:t>entre los varios argumentos que expusieron los defensores, se alegó  que  la</w:t>
        <w:br/>
        <w:t>sentencia de apelación no tuvo en cuenta un dictamen médico que concluía  la</w:t>
        <w:br/>
        <w:t>comisión de tortura contra los señores  Cabrera  y  Montiel.  Este  dictamen</w:t>
        <w:br/>
        <w:t>médico fue emitido por los expertos  forenses  Christian  Tramsen  y  Morris</w:t>
        <w:br/>
        <w:t>Tidball-Binz por encargo de la sección danesa de  la  organización  “Médicos</w:t>
        <w:br/>
        <w:t>por los Derechos Humanos” (Physicians for Human Rights- Denmark)[80].</w:t>
        <w:br/>
        <w:br/>
        <w:br/>
        <w:t>El 9 de mayo 2001 el Segundo Tribunal Colegiado otorgó el amparo,  y  ordenó</w:t>
        <w:br/>
        <w:t>al Primer Tribunal Unitario emitir una nueva sentencia de  apelación  en  la</w:t>
        <w:br/>
        <w:t>que admitiera dicha prueba pericial ofrecida por la defensa[81].  El  16  de</w:t>
        <w:br/>
        <w:t>julio de 2001, luego  de  valorar  dicha  prueba,  ésta  instancia  judicial</w:t>
        <w:br/>
        <w:t>confirmó la sentencia condenatoria que  había  dictado  el  Juez  Quinto  de</w:t>
        <w:br/>
        <w:t>Distrito contra los señores Cabrera y Montiel[82].  Contra  esta  sentencia,</w:t>
        <w:br/>
        <w:t>el 24 de octubre de 2001  la  defensa  de  los  señores  Cabrera  y  Montiel</w:t>
        <w:br/>
        <w:t>presentó una nueva demanda de amparo directo[83].</w:t>
        <w:br/>
        <w:br/>
        <w:br/>
        <w:t>El 14 de agosto de 2002 el Segundo Tribunal Colegiado resolvió  este  amparo</w:t>
        <w:br/>
        <w:t>y lo negó en  relación  al  señor  Cabrera  García[84].  Respecto  al  señor</w:t>
        <w:br/>
        <w:t>Montiel  Flores,  se  rechazó  el  amparo  en  relación  con  las   alegadas</w:t>
        <w:br/>
        <w:t>irregularidades en la condena por porte de armas, razón por  la  cual  quedó</w:t>
        <w:br/>
        <w:t>firme su condena. Sin  embargo,  dicho  Tribunal  Colegiado  ordenó  que  se</w:t>
        <w:br/>
        <w:t>“determine que las probanzas aportadas al juicio natural  son  insuficientes</w:t>
        <w:br/>
        <w:t>e ineficaces  para  acreditar  los  elementos  del  delito”  de  siembra  de</w:t>
        <w:br/>
        <w:t>marihuana y del delito de portación de  arma  sin  licencia  respecto  a  un</w:t>
        <w:br/>
        <w:t>rifle[85].</w:t>
        <w:br/>
        <w:br/>
        <w:br/>
        <w:t>4 Investigación iniciada por las denuncias de actos de tortura en contra  de</w:t>
        <w:br/>
        <w:t xml:space="preserve">      las presuntas víctimas. Actuaciones del Ministerio Público  Militar  y</w:t>
        <w:br/>
        <w:t xml:space="preserve">      de la Comisión Nacional de los Derechos Humanos</w:t>
        <w:br/>
        <w:br/>
        <w:br/>
        <w:br/>
        <w:br/>
        <w:br/>
        <w:t>En el proceso penal llevado a cabo  en  contra  de  los  señores  Cabrera  y</w:t>
        <w:br/>
        <w:t>Montiel, el 26 de agosto de 1999 su  defensa  solicitó  al  Juez  Quinto  de</w:t>
        <w:br/>
        <w:t>Distrito que ordenara al Ministerio  Público  investigar  las  denuncias  de</w:t>
        <w:br/>
        <w:t>tortura, incomunicación y  detención  ilegal  que  habrían  sufrido  en  las</w:t>
        <w:br/>
        <w:t>instalaciones del Ejército[86]. Como consecuencia de la anterior  solicitud,</w:t>
        <w:br/>
        <w:t>el 31 de agosto de 1999 el Juez Quinto  de  Distrito  ordenó  al  Ministerio</w:t>
        <w:br/>
        <w:t>Público investigar los hechos denunciados[87]. El 1 de octubre  de  1999  el</w:t>
        <w:br/>
        <w:t>Ministerio  Público  Federal  adscrito  a  Coyuca  de  Catalán,  estado   de</w:t>
        <w:br/>
        <w:t>Guerrero, dio entonces inicio a la Averiguación  Previa  por  las  denuncias</w:t>
        <w:br/>
        <w:t>presentadas por los señores Cabrera y Montiel[88].  El  5  de  noviembre  de</w:t>
        <w:br/>
        <w:t>1999 la Procuraduría General de la República (en adelante “PGR”) se  declaró</w:t>
        <w:br/>
        <w:t>incompetente para investigar el delito de tortura y cedió la  competencia  a</w:t>
        <w:br/>
        <w:t>la Procuraduría General de Justicia Militar  (en  adelante  “PGJM”)[89],  ya</w:t>
        <w:br/>
        <w:t>que se argumentó que los posibles responsables eran  militares  actuando  en</w:t>
        <w:br/>
        <w:t>servicio[90]. El 13 de junio de 2000 la  Procuraduría  Militar  resolvió  la</w:t>
        <w:br/>
        <w:t>indagación sobre tortura con un  “auto  de  reserva  de  archivo”,  bajo  el</w:t>
        <w:br/>
        <w:t>criterio  del  investigador  militar  de  que  no  existían  elementos   que</w:t>
        <w:br/>
        <w:t>acreditaran la tortura[91].</w:t>
        <w:br/>
        <w:br/>
        <w:br/>
        <w:t>Paralelo a lo anterior, los señores Cabrera y Montiel presentaron el  14  de</w:t>
        <w:br/>
        <w:t>mayo de 1999 un escrito de queja sobre los hechos del presente caso ante  la</w:t>
        <w:br/>
        <w:t>Comisión Nacional de los Derechos Humanos (en adelante  “CNDH”).  El  14  de</w:t>
        <w:br/>
        <w:t>julio de 2000 la CNDH determinó que el “personal militar  trasgredió  a  los</w:t>
        <w:br/>
        <w:t>señores Rodolfo Montiel y Teodoro Cabrera García, el principio de  legalidad</w:t>
        <w:br/>
        <w:t>y su derecho a la libertad; [...] [y debido] al silencio  reiterado  [de  la</w:t>
        <w:br/>
        <w:t>PGJM][92], tuvo por ciertos los alegados hechos de tortura  de  acuerdo  con</w:t>
        <w:br/>
        <w:t>los artículos 38[93] y 70[94] de la Ley  de  la  CNDH[95],  por  lo  que  se</w:t>
        <w:br/>
        <w:t>recomendó que “la Unidad de Inspección  y  Contraloría  del  Ejército  y  la</w:t>
        <w:br/>
        <w:t>Fuerza Aérea Mexicana inici[ara] una investigación administrativa en  contra</w:t>
        <w:br/>
        <w:t>de los miembros  del  Ejército  [m]exicano  que  autorizaron,  supervisaron,</w:t>
        <w:br/>
        <w:t>implementaron y ejecutaron el operativo del 1 al 4  de  mayo  de  1999”[96].</w:t>
        <w:br/>
        <w:t>También recomendó  a  la  Procuraduría  General  de  Justicia  Mexicana  que</w:t>
        <w:br/>
        <w:t>iniciara una investigación previa en contra de  los  miembros  del  Ejército</w:t>
        <w:br/>
        <w:t>mexicano  que  autorizaron,  supervisaron,  implantaron  y   ejecutaron   el</w:t>
        <w:br/>
        <w:t>operativo. En igual sentido,  exhortó  al  Procurador  General  de  Justicia</w:t>
        <w:br/>
        <w:t>Militar  a  dictar  las  medidas  correspondientes,  tendientes  a  que   se</w:t>
        <w:br/>
        <w:t>integrara y se emitiera a  la  brevedad  la  resolución  que  correspondiera</w:t>
        <w:br/>
        <w:t>dentro de  la  averiguación  previa  relativa  a  la  investigación  de  los</w:t>
        <w:br/>
        <w:t>presuntos actos tortura[97].</w:t>
        <w:br/>
        <w:br/>
        <w:br/>
        <w:t>En virtud de las recomendaciones de la CNDH, el 29 de septiembre de 2000  la</w:t>
        <w:br/>
        <w:t>PGJM inició una nueva Averiguación  Previa  por  los  presuntos  delitos  de</w:t>
        <w:br/>
        <w:t>tortura, detención prolongada  y  otros.  El  3  de  noviembre  de  2001  el</w:t>
        <w:br/>
        <w:t>Ministerio Público Militar resolvió remitir  la  indagatoria  al  Procurador</w:t>
        <w:br/>
        <w:t>General de Justicia Militar “proponiendo el no ejercicio de la acción  penal</w:t>
        <w:br/>
        <w:t>y el archivo de la indagatoria con las reservas de ley”, en atención  a  que</w:t>
        <w:br/>
        <w:t>en la investigación no se determinaron  hechos  de  tortura  infringidos  en</w:t>
        <w:br/>
        <w:t>contra de los señores Cabrera y Montiel[98].</w:t>
        <w:br/>
        <w:br/>
        <w:br/>
        <w:br/>
        <w:t xml:space="preserve">    Alegada violación del derecho a la seguridad personal</w:t>
        <w:br/>
        <w:br/>
        <w:br/>
        <w:br/>
        <w:br/>
        <w:br/>
        <w:t>Los representantes alegaron “que el derecho a  la  seguridad  personal,  aun</w:t>
        <w:br/>
        <w:t>íntimamente ligado a la libertad personal, tiene  un  contenido  específico”</w:t>
        <w:br/>
        <w:t>relacionado con “crear un ambiente propicio y adecuado para  la  convivencia</w:t>
        <w:br/>
        <w:t>pacífica  de  las  personas”.  Según  los  representantes,  “[m]ientras  los</w:t>
        <w:br/>
        <w:t>incisos 2 a 7 del citado artículo 7  constitu[irían]  garantías  específicas</w:t>
        <w:br/>
        <w:t>que establecen pautas en relación al modo en que válidamente puede  privarse</w:t>
        <w:br/>
        <w:t>de la libertad a un individuo, el derecho a  la  seguridad  tutela[ría]  las</w:t>
        <w:br/>
        <w:t>condiciones en que la libertad física se encuentra  asegurada,  o  libre  de</w:t>
        <w:br/>
        <w:t>amenazas”. Al respecto, los representantes indicaron que “el papel  ejercido</w:t>
        <w:br/>
        <w:t>por el Ejército en tareas de seguridad  pública  […]  propició  un  ambiente</w:t>
        <w:br/>
        <w:t>contrario a una efectiva protección de derechos  humanos”.  De  esta  forma,</w:t>
        <w:br/>
        <w:t>los representantes sostuvieron “que la manera en que  el  ejército  mexicano</w:t>
        <w:br/>
        <w:t>operaba en Guerrero al momento de los hechos del caso, implicó una acción  o</w:t>
        <w:br/>
        <w:t>política estatal que conllevó la generación  de  un  riesgo  a  la  libertad</w:t>
        <w:br/>
        <w:t>física de [las presuntas] víctimas, […] violentando en  forma  conjunta  los</w:t>
        <w:br/>
        <w:t>artículos 1.1 y 7.1 de la Convención Americana”.</w:t>
        <w:br/>
        <w:br/>
        <w:br/>
        <w:t>La Comisión y el Estado no presentaron alegatos  referidos  a  la  violación</w:t>
        <w:br/>
        <w:t>del derecho a la seguridad personal. Sin perjuicio de ello, el Estado  alegó</w:t>
        <w:br/>
        <w:t>que la participación de las fuerzas armadas en  la  estrategia  integral  de</w:t>
        <w:br/>
        <w:t>seguridad se encuentra respaldada por el marco  jurídico  mexicano,  que  ha</w:t>
        <w:br/>
        <w:t>determinado que esa “participación es de carácter  subsidiario,  temporal  y</w:t>
        <w:br/>
        <w:t>únicamente  a  petición  de  autoridades  civiles”,  a  fin  de   “prevenir,</w:t>
        <w:br/>
        <w:t>disuadir,  investigar  y  perseguir  delitos  de  alto  impacto,   como   el</w:t>
        <w:br/>
        <w:t>narcotráfico, la delincuencia organizada y la utilización de armas de  fuego</w:t>
        <w:br/>
        <w:t>de alto calibre”.</w:t>
        <w:br/>
        <w:br/>
        <w:br/>
        <w:t>Este Tribunal  recuerda  que,  respecto  al  artículo  7  de  la  Convención</w:t>
        <w:br/>
        <w:t>Americana, la Corte ha reiterado que éste tiene dos  tipos  de  regulaciones</w:t>
        <w:br/>
        <w:t>bien diferenciadas entre sí, una general y otra específica.  La  general  se</w:t>
        <w:br/>
        <w:t>encuentra en el primer numeral:  “[t]oda  persona  tiene  el  derecho  a  la</w:t>
        <w:br/>
        <w:t>libertad y a la seguridad  personales”.  Mientras  que  la  específica  está</w:t>
        <w:br/>
        <w:t>compuesta por una serie de garantías  que  protegen  el  derecho  a  no  ser</w:t>
        <w:br/>
        <w:t>privado de la libertad ilegalmente (art. 7.2) o arbitrariamente (art.  7.3),</w:t>
        <w:br/>
        <w:t>a conocer las razones de la detención y los cargos formulados en contra  del</w:t>
        <w:br/>
        <w:t>detenido (art. 7.4), al control judicial de  la  privación  de  la  libertad</w:t>
        <w:br/>
        <w:t>(art. 7.5) y a  impugnar  la  legalidad  de  la  detención  (art.  7.6)[99].</w:t>
        <w:br/>
        <w:t>Cualquier violación de los numerales 2 al 7 del artículo 7 de la  Convención</w:t>
        <w:br/>
        <w:t>acarreará necesariamente la violación del artículo 7.1 de la misma[100].</w:t>
        <w:br/>
        <w:br/>
        <w:br/>
        <w:t>De otra parte, el  Tribunal  ha  señalado  que  la  seguridad  también  debe</w:t>
        <w:br/>
        <w:t>entenderse como la protección contra toda interferencia ilegal o  arbitraria</w:t>
        <w:br/>
        <w:t>de la libertad física[101]. Asimismo, con la protección de  la  libertad  se</w:t>
        <w:br/>
        <w:t>pueden salvaguardar tanto la libertad  física  de  los  individuos  como  la</w:t>
        <w:br/>
        <w:t>seguridad personal, en un contexto en el que la ausencia de garantías  puede</w:t>
        <w:br/>
        <w:t>resultar en la subversión de la regla de derecho y en  la  privación  a  los</w:t>
        <w:br/>
        <w:t>detenidos de las formas mínimas de protección legal[102]. Por su  parte,  el</w:t>
        <w:br/>
        <w:t>Tribunal Europeo de Derechos Humanos ha declarado que la seguridad  personal</w:t>
        <w:br/>
        <w:t>implica la protección respecto a la  libertad  física[103].  A  su  vez,  el</w:t>
        <w:br/>
        <w:t>Comité de Derechos Humanos  de  las  Naciones  Unidas  ha  señalado  que  el</w:t>
        <w:br/>
        <w:t>derecho a la seguridad no puede interpretarse en forma restringida, lo  cual</w:t>
        <w:br/>
        <w:t>implica que no pueden ignorarse las amenazas a la seguridad de  personas  no</w:t>
        <w:br/>
        <w:t>detenidas o presas[104].</w:t>
        <w:br/>
        <w:br/>
        <w:t>Los hechos del presente caso  se  producen  en  un  contexto  de  importante</w:t>
        <w:br/>
        <w:t>presencia militar en el  estado  de  Guerrero  en  los  años  90[105],  como</w:t>
        <w:br/>
        <w:t>respuesta estatal al narcotráfico  y  a  grupos  armados  como  el  Ejército</w:t>
        <w:br/>
        <w:t>Zapatista  de   Liberación   Nacional   (EZLN)   y   el   Ejército   Popular</w:t>
        <w:br/>
        <w:t>Revolucionario (EPR)[106]. Dicha respuesta consistió  en  el  despliegue  de</w:t>
        <w:br/>
        <w:t>fuerzas armadas en los estados en los cuales operaban estos grupos  y  donde</w:t>
        <w:br/>
        <w:t>se  desarrollaban  actividades  de  narcotráfico[107].  Por  esta  razón,  y</w:t>
        <w:br/>
        <w:t>teniendo en cuenta algunas de las  controversias  entre  las  partes  (infra</w:t>
        <w:br/>
        <w:t>párrs. 90 a 92), el Tribunal considera relevante precisar  algunos  alcances</w:t>
        <w:br/>
        <w:t>de las obligaciones convencionales en este tipo de circunstancias.</w:t>
        <w:br/>
        <w:br/>
        <w:br/>
        <w:t>En el marco de lo anterior, a partir de dicha década,  las  Fuerzas  Armadas</w:t>
        <w:br/>
        <w:t>asumieron funciones y tareas de seguridad pública en algunos estados,  entre</w:t>
        <w:br/>
        <w:t>ellos Guerrero, a través del establecimiento de patrullajes en carreteras  y</w:t>
        <w:br/>
        <w:t>caminos, instalación  de  retenes,  ocupación  de  poblados,  detenciones  e</w:t>
        <w:br/>
        <w:t>interrogatorios y cateo  de  domicilios  en  busca  de  uniformes,  armas  y</w:t>
        <w:br/>
        <w:t>documentos[108]. Guerrero es “de l[o]s poc[o]s [estados] que  concentra  dos</w:t>
        <w:br/>
        <w:t>zonas militares del total de 41” y, además, incluye una región militar,  “la</w:t>
        <w:br/>
        <w:t>IX, del total de XII regiones, región cuyo presupuesto  tuvo  un  incremento</w:t>
        <w:br/>
        <w:t>porcentual de 50.14% del año 2000 al 2009,  aumento  superior  a  todas  las</w:t>
        <w:br/>
        <w:t>otras regiones a excepción de la I”[109].</w:t>
        <w:br/>
        <w:br/>
        <w:br/>
        <w:t>En el caso concreto, la Corte observa que en  el  operativo  militar  en  la</w:t>
        <w:br/>
        <w:t>localidad de Pizotla realizado el 2 de mayo de 1999, en forma  previa  a  la</w:t>
        <w:br/>
        <w:t>detención de los señores Cabrera y Montiel, el grupo militar  que  intervino</w:t>
        <w:br/>
        <w:t>estuvo constituido por 43 elementos de  tropa[110].  Al  respecto,  la  CNDH</w:t>
        <w:br/>
        <w:t>constató que esta comisión militar se trasladó  a  dicha  localidad  con  la</w:t>
        <w:br/>
        <w:t>finalidad de verificar una  información  referida  a  una  “gavilla”  (supra</w:t>
        <w:br/>
        <w:t>párr. 67). La CNDH consideró acreditado que “el poblado  […]  fue  sitiado”,</w:t>
        <w:br/>
        <w:t>“se  manten[ía]  en  vigilancia”  y  que  “personal  militar  […]  efectu[ó]</w:t>
        <w:br/>
        <w:t>disparos de  arma  de  fuego,  atemorizando  a  la  población  civil  de  la</w:t>
        <w:br/>
        <w:t>comunidad de Pizotla[,] además de haber tratado con violencia a las  mujeres</w:t>
        <w:br/>
        <w:t>y   niños,   manteniendo   incomunicada   durante   dos   días   la   citada</w:t>
        <w:br/>
        <w:t>comunidad”[111]. La CNDH estableció que “la  conducta  desplegada  [por  los</w:t>
        <w:br/>
        <w:t>militares]  encargados  de  dirigir,  supervisar  y  autorizar   el   citado</w:t>
        <w:br/>
        <w:t>operativo, lesionaron los [d]erechos  [h]umanos  de  los  habitantes  de  la</w:t>
        <w:br/>
        <w:t>comunidad […] al impedirles, e incluso limitarles […] ejercer  su  [d]erecho</w:t>
        <w:br/>
        <w:t>a la [l]ibertad de [t]ránsito”[112].</w:t>
        <w:br/>
        <w:br/>
        <w:t>Por su parte la defensa de las  presuntas  víctimas  en  el  ámbito  interno</w:t>
        <w:br/>
        <w:t>señaló  que  el  Ejército  mexicano  no  es  autoridad  competente  para  la</w:t>
        <w:br/>
        <w:t>investigación y persecución de los delitos y “será  el  Ministerio  Público,</w:t>
        <w:br/>
        <w:t>la Policía Judicial a su mando o los  auxiliares  del  propio  Representante</w:t>
        <w:br/>
        <w:t>Social quienes podrán  verificar  [las]  molestias  [y  la  privación  a  la</w:t>
        <w:br/>
        <w:t>libertad]”[113]. Al respecto, el Segundo Tribunal  Colegiado  consideró  que</w:t>
        <w:br/>
        <w:t>el Ejército estaba facultado para detener  a  las  presuntas  víctimas  “con</w:t>
        <w:br/>
        <w:t>motivo de la portación de las armas de  fuego  de  uso  exclusivo  para  las</w:t>
        <w:br/>
        <w:t>Fuerzas Armadas”[114].</w:t>
        <w:br/>
        <w:br/>
        <w:t>Teniendo en cuenta estos elementos, el Tribunal considera  que  el  presente</w:t>
        <w:br/>
        <w:t>caso tiene  relación  con  jurisprudencia  previa  donde,  a  partir  de  un</w:t>
        <w:br/>
        <w:t>documento  oficial  del  Estado[115],  se  constató  que  la  presencia  del</w:t>
        <w:br/>
        <w:t>Ejército  cumpliendo  labores  policiales  en  Guerrero  ha  sido  un   tema</w:t>
        <w:br/>
        <w:t>controvertido en relación con  los  derechos  y  libertades  individuales  y</w:t>
        <w:br/>
        <w:t>comunitarias,  y  ha  colocado  a  la  población   en   una   situación   de</w:t>
        <w:br/>
        <w:t>vulnerabilidad[116].</w:t>
        <w:br/>
        <w:br/>
        <w:t>Al respecto, la Corte considera que, en algunos contextos y  circunstancias,</w:t>
        <w:br/>
        <w:t>la alta presencia militar acompañada de intervención de las Fuerzas  Armadas</w:t>
        <w:br/>
        <w:t>en actividades de seguridad pública, puede implicar la  introducción  de  un</w:t>
        <w:br/>
        <w:t>riesgo  para  los   derechos   humanos.   Así,   por   ejemplo,   organismos</w:t>
        <w:br/>
        <w:t>internacionales que han analizado las implicaciones de permitir que  cuerpos</w:t>
        <w:br/>
        <w:t>militares  realicen  funciones  de  policía  judicial,  como  el  Comité  de</w:t>
        <w:br/>
        <w:t>Derechos  Humanos  de  Naciones  Unidas  y  el  Relator  Especial  sobre  la</w:t>
        <w:br/>
        <w:t>Independencia de Magistrados y Abogados,  han  manifestado  su  preocupación</w:t>
        <w:br/>
        <w:t>por el hecho de  que  los  militares  ejerzan  funciones  de  investigación,</w:t>
        <w:br/>
        <w:t>arresto, detención e interrogatorio de  civiles[117],  y  han  indicado  que</w:t>
        <w:br/>
        <w:t>“[l]as funciones de la policía  judicial  deberían  estar  exclusivamente  a</w:t>
        <w:br/>
        <w:t>cargo  de  una  entidad  civil.  […]  De  esta  forma   se   respetaría   la</w:t>
        <w:br/>
        <w:t>independencia de las investigaciones y se mejoraría mucho  el  acceso  a  la</w:t>
        <w:br/>
        <w:t>justicia por parte de las víctimas y testigos  de  violaciones  de  derechos</w:t>
        <w:br/>
        <w:t>humanos, cuyas denuncias suelen ser investigadas actualmente por las  mismas</w:t>
        <w:br/>
        <w:t>instituciones a las que acusan de perpetrar esas violaciones”[118].</w:t>
        <w:br/>
        <w:br/>
        <w:br/>
        <w:t>De otra parte, esta Corte ya ha señalado que si  bien  el  Estado  tiene  el</w:t>
        <w:br/>
        <w:t>derecho y la obligación de garantizar  su  seguridad  y  mantener  el  orden</w:t>
        <w:br/>
        <w:t>público, su poder no es ilimitado, pues tiene el deber, en todo momento,  de</w:t>
        <w:br/>
        <w:t>aplicar procedimientos conformes a Derecho y  respetuosos  de  los  derechos</w:t>
        <w:br/>
        <w:t>fundamentales,   a   todo   individuo   que    se    encuentre    bajo    su</w:t>
        <w:br/>
        <w:t>jurisdicción”[119]. Así, el Tribunal ha enfatizado  en  el  extremo  cuidado</w:t>
        <w:br/>
        <w:t>que los  Estados  deben  observar  al  utilizar  las  Fuerzas  Armadas  como</w:t>
        <w:br/>
        <w:t>elemento de control de la protesta social,  disturbios  internos,  violencia</w:t>
        <w:br/>
        <w:t>interna, situaciones excepcionales y criminalidad común[120].</w:t>
        <w:br/>
        <w:br/>
        <w:br/>
        <w:t>Tal como ha señalado este Tribunal, los Estados deben limitar al  máximo  el</w:t>
        <w:br/>
        <w:t>uso de las Fuerzas Armadas para  el  control  de  la  criminalidad  común  o</w:t>
        <w:br/>
        <w:t>violencia interna, puesto que el entrenamiento que reciben está  dirigido  a</w:t>
        <w:br/>
        <w:t>derrotar un objetivo legítimo, y no a la protección y  control  de  civiles,</w:t>
        <w:br/>
        <w:t>entrenamiento que es propio de los entes  policiales[121].  El  deslinde  de</w:t>
        <w:br/>
        <w:t>las funciones militares y de policía debe  guiar  el  estricto  cumplimiento</w:t>
        <w:br/>
        <w:t>del deber de prevención y protección de los derechos en riesgo  a  cargo  de</w:t>
        <w:br/>
        <w:t>las autoridades internas[122].</w:t>
        <w:br/>
        <w:br/>
        <w:br/>
        <w:t>La Corte considera que la posibilidad  de  otorgar  a  las  Fuerzas  Armadas</w:t>
        <w:br/>
        <w:t>funciones dirigidas a la restricción de la  libertad  personal  de  civiles,</w:t>
        <w:br/>
        <w:t>además de atender a  los  requisitos  de  estricta  proporcionalidad  en  la</w:t>
        <w:br/>
        <w:t>restricción de un derecho, debe responder, a su vez, a  criterios  estrictos</w:t>
        <w:br/>
        <w:t>de excepcionalidad y debida diligencia en la salvaguarda  de  las  garantías</w:t>
        <w:br/>
        <w:t>convencionales, teniendo en cuenta, como ha sido señalado (supra  párrs.  86</w:t>
        <w:br/>
        <w:t>y 87), que el régimen propio de las fuerzas militares al  cual  difícilmente</w:t>
        <w:br/>
        <w:t>pueden sustraerse sus miembros, no se concilia con las funciones propias  de</w:t>
        <w:br/>
        <w:t>las autoridades civiles.</w:t>
        <w:br/>
        <w:br/>
        <w:br/>
        <w:br/>
        <w:br/>
        <w:br/>
        <w:t xml:space="preserve">      Falta  de  remisión  sin  demora  ante  un  juez  u  otro  funcionario</w:t>
        <w:br/>
        <w:t xml:space="preserve">      autorizado por la ley para ejercer funciones judiciales</w:t>
        <w:br/>
        <w:br/>
        <w:br/>
        <w:br/>
        <w:t>La Comisión  señaló  que  “una  vez  detenid[a]s  las  [presuntas  víctimas]</w:t>
        <w:br/>
        <w:t>debieron ser llevad[a]s […] sin demora ante el Ministerio Público  para  que</w:t>
        <w:br/>
        <w:t>éste l[a]s entregara a un juez”, lo cual “no sucedió  sino  hasta  al  menos</w:t>
        <w:br/>
        <w:t>cuatro días después de su detención”, sin que  “del  expediente  ni  de  los</w:t>
        <w:br/>
        <w:t>argumentos del Estado se  desprendan  razones  suficientes  que  justifiquen</w:t>
        <w:br/>
        <w:t>[esta tardanza]”. Por otra  parte,  la  Comisión  expresó  en  la  audiencia</w:t>
        <w:br/>
        <w:t>pública que “no incorporó [en su informe de  fondo  y  en  su  demanda]  una</w:t>
        <w:br/>
        <w:t>conclusión fáctica sobre la ocurrencia de la flagrancia”.</w:t>
        <w:br/>
        <w:br/>
        <w:br/>
        <w:t>Para los representantes, las presuntas víctimas  estuvieron  detenidas  “por</w:t>
        <w:br/>
        <w:t>48 horas en el puesto de mando militar que se improvisó a  orillas  del  río</w:t>
        <w:br/>
        <w:t>Pizotla […], luego fueron trasladad[a]s al Batallón [donde  estuvieron]  dos</w:t>
        <w:br/>
        <w:t>días más, hasta el viernes 7 de mayo [que] fueron  puest[a]s  a  disposición</w:t>
        <w:br/>
        <w:t>de un juez”. De acuerdo con  los  representantes,  “esta  demora  resulta  a</w:t>
        <w:br/>
        <w:t>todas luces injustificada puesto que desde la detención de  las  [presuntas]</w:t>
        <w:br/>
        <w:t>víctimas   estaba   disponible   un   helicóptero   para    su    traslado”.</w:t>
        <w:br/>
        <w:t>Adicionalmente, los representantes hicieron notar que “los  militares  nunca</w:t>
        <w:br/>
        <w:t>pusieron a las [presuntas] víctimas a  disposición  del  Ministerio  Público</w:t>
        <w:br/>
        <w:t>del Fuero Común ni tampoco estuvieron en Arcelia, sino que en algún  momento</w:t>
        <w:br/>
        <w:t>ciertos funcionarios de tal localidad se apersonaron  en  el  Batallón  para</w:t>
        <w:br/>
        <w:t>levantar un acta de armas y posiblemente expedir otros documentos que  luego</w:t>
        <w:br/>
        <w:t>serían presentados en el proceso penal[,] como  por  ejemplo  la  prueba  de</w:t>
        <w:br/>
        <w:t>rodizonato de sodio”. Por  ello,  “tomando  en  cuenta  que  [el  Ministerio</w:t>
        <w:br/>
        <w:t>Público en Coyuca de Catalán] no recibió a  las  [presuntas]  víctimas  sino</w:t>
        <w:br/>
        <w:t>hasta el jueves  6  según  los  documentos  oficiales,  como  mínimo  [sería</w:t>
        <w:br/>
        <w:t>posible] concluir que duraron en el  Batallón  hasta  ese  mismo  día”.  Los</w:t>
        <w:br/>
        <w:t>representantes agregaron que “la intervención del Ministerio Público […]  no</w:t>
        <w:br/>
        <w:t>suple ni equivale a la autoridad judicial”. Igualmente,  los  representantes</w:t>
        <w:br/>
        <w:t>indicaron que los señores Cabrera y Montiel fueron detenidos de modo  ilegal</w:t>
        <w:br/>
        <w:t>sin orden de aprehensión y sin  que  estuvieran  cometiendo  delito  alguno.</w:t>
        <w:br/>
        <w:t>Además, que la causa de la detención se realizó “a manera de  represalia  en</w:t>
        <w:br/>
        <w:t>contra de [éstos] por su defensa de los bosques”, “con uso  excesivo  de  la</w:t>
        <w:br/>
        <w:t>fuerza” y “para torturarlos y obligarles a firmar confesiones  falsas”,  sin</w:t>
        <w:br/>
        <w:t>que los militares tuvieran autorización de funcionarios civiles  para  estar</w:t>
        <w:br/>
        <w:t>en la zona.</w:t>
        <w:br/>
        <w:br/>
        <w:br/>
        <w:t>Por su parte,  el  Estado  subrayó  que  “1)  desde  que  los  peticionarios</w:t>
        <w:br/>
        <w:t>atacaron con armas de fuego a elementos de las fuerzas armadas  y  antes  de</w:t>
        <w:br/>
        <w:t>que tuviera verificativo  su  detención,  el  personal  militar  informó  al</w:t>
        <w:br/>
        <w:t>Cuartel General de la 35ª Zona Militar sobre la situación; 2) al poblado  de</w:t>
        <w:br/>
        <w:t>Pizotla en donde ocurrieron los hechos se trasladaron diversas  autoridades,</w:t>
        <w:br/>
        <w:t>distintas a la militar, el día 3  de  mayo.  Estas  autoridades  fueron:  un</w:t>
        <w:br/>
        <w:t>subprocurador de  la  Procuraduría  General  de  Justicia  del  [e]stado  de</w:t>
        <w:br/>
        <w:t>Guerrero, un auxiliar del Ministerio Público  de  Coyuca  de  Catalán  y  un</w:t>
        <w:br/>
        <w:t>perito en materia de criminalística de  campo,  quienes  pudieron  constatar</w:t>
        <w:br/>
        <w:t>las condiciones de la detención de los peticionarios; 3)  que  la  ubicación</w:t>
        <w:br/>
        <w:t>geográfica del poblado de Pizotla, la inseguridad imperante en la  región  y</w:t>
        <w:br/>
        <w:t>la hora en que se consumó la detención  no  permitían  el  traslado  de  los</w:t>
        <w:br/>
        <w:t>detenidos a las oficinas de la autoridad competente o de ésta  al  lugar  de</w:t>
        <w:br/>
        <w:t>los hechos [sino] hasta la noche del 3 de mayo”, y “4) como los  expedientes</w:t>
        <w:br/>
        <w:t>muestran,  durante  todo  el  tiempo  que   los   peticionarios   estuvieron</w:t>
        <w:br/>
        <w:t>resguardados  por  elementos  militares,  estuvieron  a  la  vista  de   sus</w:t>
        <w:br/>
        <w:t>familiares e incluso tuvieron comunicación con ellos”. Por  otra  parte,  el</w:t>
        <w:br/>
        <w:t>Estado indicó que para establecer el plazo  en  que  un  detenido  debe  ser</w:t>
        <w:br/>
        <w:t>puesto a disposición de autoridad judicial, se debe analizar “la conducta  a</w:t>
        <w:br/>
        <w:t>la luz de los preceptos previstos en la Constitución  [mexicana],  así  como</w:t>
        <w:br/>
        <w:t>el marco normativo general  en  la  materia”.  De  esta  manera,  el  Estado</w:t>
        <w:br/>
        <w:t>enfatizó que las presuntas víctimas “fueron custodiad[a]s por los  elementos</w:t>
        <w:br/>
        <w:t>militares del 2 de mayo de 1999 a las 16:30 horas al 4 de mayo a  las  18:00</w:t>
        <w:br/>
        <w:t>horas, hasta  ser  puest[a]s  formalmente  a  disposición  de  la  autoridad</w:t>
        <w:br/>
        <w:t>competente” y alegó que el Ministerio Público,  como  autoridad  competente,</w:t>
        <w:br/>
        <w:t>“consignó la investigación al órgano judicial el 6 de mayo  de  1999  a  las</w:t>
        <w:br/>
        <w:t>18:06 horas, excediendo por [sólo] seis minutos  el  plazo  constitucional”.</w:t>
        <w:br/>
        <w:t>Por último, el Estado indicó que  “los  señores  Montiel  y  Cabrera  fueron</w:t>
        <w:br/>
        <w:t>detenidos en posesión flagrante de armas prohibidas [utilizadas]  por  ellos</w:t>
        <w:br/>
        <w:t>en contra de sus aprehensores”.</w:t>
        <w:br/>
        <w:br/>
        <w:br/>
        <w:t>Respecto a los anteriores  alegatos,  el  Tribunal  recuerda  que  la  parte</w:t>
        <w:br/>
        <w:t>inicial del artículo 7.5 de la Convención dispone que la  detención  de  una</w:t>
        <w:br/>
        <w:t>persona debe ser sometida sin demora a revisión judicial. En  este  sentido,</w:t>
        <w:br/>
        <w:t>la Corte ha señalado  que  el  control  judicial  inmediato  es  una  medida</w:t>
        <w:br/>
        <w:t>tendiente a  evitar  la  arbitrariedad  o  ilegalidad  de  las  detenciones,</w:t>
        <w:br/>
        <w:t>tomando en cuenta que en  un  Estado  de  Derecho  corresponde  al  juzgador</w:t>
        <w:br/>
        <w:t>garantizar los derechos del  detenido,  autorizar  la  adopción  de  medidas</w:t>
        <w:br/>
        <w:t>cautelares o de coerción cuando sea estrictamente necesario y  procurar,  en</w:t>
        <w:br/>
        <w:t>general, que se trate al inculpado de manera consecuente con  la  presunción</w:t>
        <w:br/>
        <w:t>de inocencia[123].</w:t>
        <w:br/>
        <w:br/>
        <w:br/>
        <w:t>En relación con  las  formalidades  que  deben  cumplirse  al  realizar  una</w:t>
        <w:br/>
        <w:t>detención, el artículo 16 de la Constitución Mexicana,  al  momento  de  los</w:t>
        <w:br/>
        <w:t>hechos del caso, establecía lo siguiente[124]:</w:t>
        <w:br/>
        <w:br/>
        <w:br/>
        <w:t xml:space="preserve">      Nadie puede ser molestado en su persona, familia, domicilio, papeles o</w:t>
        <w:br/>
        <w:t xml:space="preserve">      posesiones, sino en virtud de  mandamiento  escrito  de  la  autoridad</w:t>
        <w:br/>
        <w:t xml:space="preserve">      competente, que funde y motive la causa legal del procedimiento.</w:t>
        <w:br/>
        <w:br/>
        <w:br/>
        <w:t xml:space="preserve">      […]</w:t>
        <w:br/>
        <w:br/>
        <w:br/>
        <w:t xml:space="preserve">      En los casos de delito flagrante, cualquier persona puede  detener  al</w:t>
        <w:br/>
        <w:t xml:space="preserve">      indiciado  poniéndolo  sin  demora  a  disposición  de  la   autoridad</w:t>
        <w:br/>
        <w:t xml:space="preserve">      inmediata y ésta, con la misma prontitud, a la del Ministerio Público.</w:t>
        <w:br/>
        <w:br/>
        <w:br/>
        <w:br/>
        <w:br/>
        <w:t xml:space="preserve">      […]</w:t>
        <w:br/>
        <w:br/>
        <w:br/>
        <w:t xml:space="preserve">      En casos de urgencia o flagrancia, el juez que reciba la  consignación</w:t>
        <w:br/>
        <w:t xml:space="preserve">      del detenido deberá inmediatamente ratificar la detención  o  decretar</w:t>
        <w:br/>
        <w:t xml:space="preserve">      la libertad con las reservas de ley.</w:t>
        <w:br/>
        <w:br/>
        <w:br/>
        <w:t xml:space="preserve">      […]</w:t>
        <w:br/>
        <w:br/>
        <w:br/>
        <w:t xml:space="preserve">      Ningún indiciado podrá ser retenido por el Ministerio Público por  más</w:t>
        <w:br/>
        <w:t xml:space="preserve">      de cuarenta y ocho horas, plazo en que deberá ordenarse su libertad  o</w:t>
        <w:br/>
        <w:t xml:space="preserve">      ponérsele a disposición de la autoridad judicial. […]</w:t>
        <w:br/>
        <w:br/>
        <w:br/>
        <w:t>En el supuesto de flagrancia,  según  el  texto  constitucional,  “cualquier</w:t>
        <w:br/>
        <w:t>persona” podría detener a otra, siempre que ponga al indiciado sin demora  a</w:t>
        <w:br/>
        <w:t>disposición de la autoridad más cercana. Por su parte, el artículo  193  del</w:t>
        <w:br/>
        <w:t>Código Federal de Procedimientos Penales, concerniente al aseguramiento  del</w:t>
        <w:br/>
        <w:t>inculpado, establece que[125]:</w:t>
        <w:br/>
        <w:br/>
        <w:br/>
        <w:t xml:space="preserve">      Artículo 193.- Cualquier persona podrá detener al indiciado:</w:t>
        <w:br/>
        <w:br/>
        <w:br/>
        <w:t xml:space="preserve">      I. En el momento de estar cometiendo el delito;</w:t>
        <w:br/>
        <w:br/>
        <w:br/>
        <w:t xml:space="preserve">      II. Cuando sea perseguido material e inmediatamente después de cometer</w:t>
        <w:br/>
        <w:t xml:space="preserve">      el delito, o</w:t>
        <w:br/>
        <w:br/>
        <w:br/>
        <w:t xml:space="preserve">      III. Inmediatamente después de cometer el delito,  cuando  la  persona</w:t>
        <w:br/>
        <w:t xml:space="preserve">      sea señalada por la víctima, algún testigo presencial de los hechos  o</w:t>
        <w:br/>
        <w:t xml:space="preserve">      quien hubiere intervenido con ella en la comisión del delito, o cuando</w:t>
        <w:br/>
        <w:t xml:space="preserve">      existan  objetos  o  indicios  que  hagan  presumir  fundadamente  que</w:t>
        <w:br/>
        <w:t xml:space="preserve">      intervino en el delito. Además de estos indicios se considerarán otros</w:t>
        <w:br/>
        <w:t xml:space="preserve">      elementos técnicos.</w:t>
        <w:br/>
        <w:br/>
        <w:br/>
        <w:t xml:space="preserve">      […]</w:t>
        <w:br/>
        <w:br/>
        <w:br/>
        <w:t xml:space="preserve">      La detención por flagrancia deberá ser registrada de inmediato por  la</w:t>
        <w:br/>
        <w:t xml:space="preserve">      autoridad competente.</w:t>
        <w:br/>
        <w:br/>
        <w:br/>
        <w:t>Al margen de si en el presente  caso  existió  o  no  flagrancia,  en  dicho</w:t>
        <w:br/>
        <w:t>supuesto, cuando la detención ocurre por parte de una autoridad, el  derecho</w:t>
        <w:br/>
        <w:t>mexicano distingue entre dos momentos para valorar el  alcance  del  control</w:t>
        <w:br/>
        <w:t>sobre  la  detención.  El  primer  momento  se  relaciona  con  la  remisión</w:t>
        <w:br/>
        <w:t>inmediata ante autoridad competente por parte de la autoridad  que  detiene.</w:t>
        <w:br/>
        <w:t>El  segundo  momento  corresponde  a  la  remisión  que  debe  efectuar   el</w:t>
        <w:br/>
        <w:t>Ministerio Público a un juez en el plazo de 48 horas.</w:t>
        <w:br/>
        <w:br/>
        <w:br/>
        <w:t>En el presente caso  de  acuerdo  con  la  documentación  en  el  expediente</w:t>
        <w:br/>
        <w:t>judicial y sin adelantar un juicio sobre  las  alegadas  irregularidades  en</w:t>
        <w:br/>
        <w:t>relación con algunas pruebas que sustentarían los siguientes  hechos  (infra</w:t>
        <w:br/>
        <w:t>párrs. 143 a 149), la cronología de la detención de los  señores  Cabrera  y</w:t>
        <w:br/>
        <w:t>Montiel y  la  posterior  presentación  de  los  mismos  ante  la  autoridad</w:t>
        <w:br/>
        <w:t>competente se habría desarrollado de la siguiente manera:</w:t>
        <w:br/>
        <w:br/>
        <w:br/>
        <w:t xml:space="preserve">     a) el domingo 2 de mayo de 1999 a las 16:30 horas, los señores Cabrera</w:t>
        <w:br/>
        <w:t xml:space="preserve">        y Montiel fueron privados de su libertad, cuando  supuestamente  se</w:t>
        <w:br/>
        <w:t xml:space="preserve">        encontraban en flagrancia respecto a la comisión de los delitos  de</w:t>
        <w:br/>
        <w:t xml:space="preserve">        portación de armas prohibidas y sin licencia, y siembra y  posesión</w:t>
        <w:br/>
        <w:t xml:space="preserve">        de amapola y marihuana[126];</w:t>
        <w:br/>
        <w:br/>
        <w:br/>
        <w:t xml:space="preserve">     b) el martes 4 de mayo de 1999 a las 08:00  horas,  la  autoridad  del</w:t>
        <w:br/>
        <w:t xml:space="preserve">        Ministerio Público de Arcelia se presentó al lugar  de  los  hechos</w:t>
        <w:br/>
        <w:t xml:space="preserve">        para dar fe del cadáver de Salomé Sánchez Ortiz, sin tomar custodia</w:t>
        <w:br/>
        <w:t xml:space="preserve">        de las presuntas víctimas[127]. Posteriormente, pasado el mediodía,</w:t>
        <w:br/>
        <w:t xml:space="preserve">        miembros del Ejército trasladaron a los señores Cabrera  y  Montiel</w:t>
        <w:br/>
        <w:t xml:space="preserve">        en un helicóptero de la misma institución hasta  las  instalaciones</w:t>
        <w:br/>
        <w:t xml:space="preserve">        del  40º  Batallón  de  Infantería  ubicado   en   la   ciudad   de</w:t>
        <w:br/>
        <w:t xml:space="preserve">        Altamirano[128]. Según el expediente judicial a las 18:00 horas  de</w:t>
        <w:br/>
        <w:t xml:space="preserve">        ese mismo día los señores Cabrera y Montiel habrían sido puestos  a</w:t>
        <w:br/>
        <w:t xml:space="preserve">        disposición de la respectiva autoridad del  Ministerio  Público  de</w:t>
        <w:br/>
        <w:t xml:space="preserve">        Arcelia[129];</w:t>
        <w:br/>
        <w:br/>
        <w:br/>
        <w:t xml:space="preserve">     c) el miércoles 5 de mayo de 1999 a las  16:00  horas,  el  Ministerio</w:t>
        <w:br/>
        <w:t xml:space="preserve">        Público de Arcelia remitió la  indagatoria  al  Ministerio  Público</w:t>
        <w:br/>
        <w:t xml:space="preserve">        Federal de Coyuca de Catalán por incompetencia[130];</w:t>
        <w:br/>
        <w:br/>
        <w:br/>
        <w:t xml:space="preserve">     d) el jueves 6 de mayo de 1999 los señores Cabrera y  Montiel  habrían</w:t>
        <w:br/>
        <w:t xml:space="preserve">        sido  transportados  hasta  las  oficinas  del  Ministerio  Público</w:t>
        <w:br/>
        <w:t xml:space="preserve">        Federal, en la ciudad de Coyuca de Catalán[131]. Ese mismo  día,  a</w:t>
        <w:br/>
        <w:t xml:space="preserve">        las 03:00 y a las  04:00  horas,  las  presuntas  víctimas  habrían</w:t>
        <w:br/>
        <w:t xml:space="preserve">        realizado una segunda declaración ante el Ministerio  Público[132].</w:t>
        <w:br/>
        <w:t xml:space="preserve">        De esta manera,  el  Agente  del  Ministerio  Público  consignó  la</w:t>
        <w:br/>
        <w:t xml:space="preserve">        averiguación  previa  33/CC/999,  mediante  la  cual  resolvió  que</w:t>
        <w:br/>
        <w:t xml:space="preserve">        existían elementos para acreditar la probable responsabilidad penal</w:t>
        <w:br/>
        <w:t xml:space="preserve">        de las presuntas víctimas[133]. A las 18:06 horas habrían quedado a</w:t>
        <w:br/>
        <w:t xml:space="preserve">        disposición del Juez de Primera Instancia del Distrito Judicial  de</w:t>
        <w:br/>
        <w:t xml:space="preserve">        Mina, el cual inició el expediente 03/999 y calificó como legal  la</w:t>
        <w:br/>
        <w:t xml:space="preserve">        detención de los señores Cabrera y Montiel[134], y</w:t>
        <w:br/>
        <w:br/>
        <w:br/>
        <w:t xml:space="preserve">     e) el viernes 7 de mayo de 1999  el  Juez  de  Primera  Instancia  del</w:t>
        <w:br/>
        <w:t xml:space="preserve">        Distrito Judicial de Mina  ordenó  el  traslado  de  las  presuntas</w:t>
        <w:br/>
        <w:t xml:space="preserve">        víctimas  a  su  despacho  para  que  rindieran  las  declaraciones</w:t>
        <w:br/>
        <w:t xml:space="preserve">        preparatorias[135].</w:t>
        <w:br/>
        <w:br/>
        <w:br/>
        <w:t>Al respecto, en  la  Recomendación  8/2000  la  CNDH  cuestionó  la  alegada</w:t>
        <w:br/>
        <w:t>imposibilidad de los agentes militares para poder  llevar  a  las  presuntas</w:t>
        <w:br/>
        <w:t>víctimas sin demora ante la  autoridad  competente,  ya  que  constaban  las</w:t>
        <w:br/>
        <w:t>bitácoras de vuelo de helicópteros de la Fuerza Aérea durante el 3  y  4  de</w:t>
        <w:br/>
        <w:t>mayo de 1999 que brindaron apoyo a la 35/a Zona Militar,  así  como  por  el</w:t>
        <w:br/>
        <w:t>hecho de que el personal militar que partió hacia Pizotla  disponía  de  una</w:t>
        <w:br/>
        <w:t>estación de radio y 4 vehículos orgánicos[136]. Así, a modo  de  conclusión,</w:t>
        <w:br/>
        <w:t>la  CNDH  señaló  que  si  los  agentes  militares  realmente  se   hubiesen</w:t>
        <w:br/>
        <w:t>encontrado impedidos física y materialmente de  trasladar  a  las  presuntas</w:t>
        <w:br/>
        <w:t>víctimas “pud[ieron] suplir esa deficiencia al momento en que el agente  del</w:t>
        <w:br/>
        <w:t>Ministerio Público del Fuero Común  llegó  a  esa  comunidad  auxiliado  por</w:t>
        <w:br/>
        <w:t>elementos de la Policía Judicial a su mando; o en su defecto,  se  los  pudo</w:t>
        <w:br/>
        <w:t>dejar a disposición cuando llegaron a sus instalaciones militares en  Ciudad</w:t>
        <w:br/>
        <w:t>Altamirano, Guerrero”[137].</w:t>
        <w:br/>
        <w:br/>
        <w:br/>
        <w:t>Adicionalmente, es  importante  tener  en  cuenta  que  la  defensa  de  las</w:t>
        <w:br/>
        <w:t>presuntas víctimas, en el  marco  del  proceso  penal  interno,  planteó  el</w:t>
        <w:br/>
        <w:t>incumplimiento del plazo razonable para remitir a éstas  ante  la  autoridad</w:t>
        <w:br/>
        <w:t>competente y que los señores Cabrera y Montiel en ningún momento  estuvieron</w:t>
        <w:br/>
        <w:t>en la sede del Ministerio Público del Fuero Común de  Arcelia,  por  lo  que</w:t>
        <w:br/>
        <w:t>cuestionaron la autenticidad del registro de dicho hecho  en  el  expediente</w:t>
        <w:br/>
        <w:t>judicial (infra párr. 149). Concretamente,  los  representantes  sostuvieron</w:t>
        <w:br/>
        <w:t>que las  autoridades  “simularon  realizar  actuaciones  para  justificar  a</w:t>
        <w:br/>
        <w:t>posteriori la detención de los [señores  Cabrera  y  Montiel]  e  imputarles</w:t>
        <w:br/>
        <w:t>delitos  que  no  cometieron”,  en  particular  lo  que  concierne  “a   las</w:t>
        <w:br/>
        <w:t>actuaciones realizadas por el agente del Ministerio Público del Fuero  Común</w:t>
        <w:br/>
        <w:t>[de Arcelia el 4 de mayo de 1999], ya que los [señores  Cabrera  y  Montiel]</w:t>
        <w:br/>
        <w:t>nunca  [habrían  sido]  llevados  físicamente  a  las  dependencias  de  tal</w:t>
        <w:br/>
        <w:t>autoridad”.</w:t>
        <w:br/>
        <w:br/>
        <w:br/>
        <w:t>La Corte observa que en el ámbito interno  algunos  jueces  se  pronunciaron</w:t>
        <w:br/>
        <w:t>sobre dichos alegatos[138]. Con  independencia  de  lo  mencionado  por  los</w:t>
        <w:br/>
        <w:t>jueces internos, el Tribunal considera que el argumento  estatal  basado  en</w:t>
        <w:br/>
        <w:t>la especial orografía de Pizotla como justificación para  la  demora  en  la</w:t>
        <w:br/>
        <w:t>remisión de los detenidos a la autoridad competente no  resulta  contundente</w:t>
        <w:br/>
        <w:t>ya que: i) constan las bitácoras de vuelo  de  algunos  helicópteros  de  la</w:t>
        <w:br/>
        <w:t>Fuerza Aérea que realizaron actividades en la zona el 3  de  mayo  de  1999;</w:t>
        <w:br/>
        <w:t>ii) el personal militar responsable del operativo contó con una estación  de</w:t>
        <w:br/>
        <w:t>radio y 4 vehículos orgánicos, y iii) dada la presencia militar  en  Pizotla</w:t>
        <w:br/>
        <w:t>debieron ser mayores las exigencias de mecanismos de control respecto a  las</w:t>
        <w:br/>
        <w:t>actividades de detención que pudieran llevar a cabo los agentes militares.</w:t>
        <w:br/>
        <w:br/>
        <w:br/>
        <w:t>Consecuentemente, la Corte constata que desde el momento de la detención  de</w:t>
        <w:br/>
        <w:t>las presuntas víctimas los agentes del  Ejército  contaron  con  más  de  un</w:t>
        <w:br/>
        <w:t>medio  para  transportarlas  y  llevarlas  sin  demora,  primero   ante   el</w:t>
        <w:br/>
        <w:t>Ministerio Público y, posteriormente, ante la  autoridad  judicial,  por  lo</w:t>
        <w:br/>
        <w:t>menos el día 3 de mayo de 1999. Además, cabe reiterar que la  autoridad  del</w:t>
        <w:br/>
        <w:t>Ministerio Público de Arcelia se presentó al  lugar  de  los  hechos  a  las</w:t>
        <w:br/>
        <w:t>08:00 horas del 4 de mayo  de  1999  y,  no  obstante  ello,  no  asumió  la</w:t>
        <w:br/>
        <w:t>custodia de las presuntas víctimas (supra párr. 97).</w:t>
        <w:br/>
        <w:br/>
        <w:br/>
        <w:t>Siguiendo la  jurisprudencia  del  Tribunal  (supra  párr.  93)  en  lo  que</w:t>
        <w:br/>
        <w:t>concierne a la autoridad  competente  para  la  remisión  sin  demora,  este</w:t>
        <w:br/>
        <w:t>Tribunal reitera que los señores Cabrera y  Montiel  debieron  ser  llevados</w:t>
        <w:br/>
        <w:t>ante el juez lo más pronto posible y, en este caso,  ello  no  ocurrió  sino</w:t>
        <w:br/>
        <w:t>hasta casi 5 días después de su  detención.  En  ese  sentido,  el  Tribunal</w:t>
        <w:br/>
        <w:t>observa que los señores Cabrera y Montiel fueron puestos  a  disposición  de</w:t>
        <w:br/>
        <w:t>la autoridad competente excediendo el término establecido en  la  Convención</w:t>
        <w:br/>
        <w:t>Americana, que claramente exige la remisión “sin  demora”  ante  el  juez  o</w:t>
        <w:br/>
        <w:t>funcionario autorizado por la ley para ejercer  funciones  judiciales  sobre</w:t>
        <w:br/>
        <w:t>control de la libertad. Al respecto, la Corte reitera que en zonas  de  alta</w:t>
        <w:br/>
        <w:t>presencia militar, donde los  miembros  de  la  institución  militar  asumen</w:t>
        <w:br/>
        <w:t>control  de  la  seguridad  interna,  la  remisión  sin  demora   ante   las</w:t>
        <w:br/>
        <w:t>autoridades judiciales cobra mayor  importancia  con  el  fin  de  minimizar</w:t>
        <w:br/>
        <w:t>cualquier tipo de riesgo de violación a los derechos de  la  persona  (supra</w:t>
        <w:br/>
        <w:t>párr. 89). En consecuencia, la Corte considera que se  vulneró  el  artículo</w:t>
        <w:br/>
        <w:t>7.5 de la Convención  Americana  en  perjuicio  de  los  señores  Cabrera  y</w:t>
        <w:br/>
        <w:t>Montiel. Además, dada la falta de remisión  sin  demora  ante  la  autoridad</w:t>
        <w:br/>
        <w:t>competente, el Tribunal considera que esta irregularidad en  el  control  de</w:t>
        <w:br/>
        <w:t>la detención la transformó  en  arbitraria  y  no  estima  pertinente  hacer</w:t>
        <w:br/>
        <w:t>ningún tipo de pronunciamiento sobre la causa  que  originó  la  misma.  Por</w:t>
        <w:br/>
        <w:t>tanto, la Corte declara la violación del artículo 7.3, en  relación  con  el</w:t>
        <w:br/>
        <w:t>artículo 1.1 de la Convención Americana.</w:t>
        <w:br/>
        <w:br/>
        <w:br/>
        <w:br/>
        <w:br/>
        <w:t xml:space="preserve">      Alegada falta  de  información  de  las  razones  de  detención  y  de</w:t>
        <w:br/>
        <w:t xml:space="preserve">      notificación sin demora del cargo o cargos formulados</w:t>
        <w:br/>
        <w:br/>
        <w:br/>
        <w:br/>
        <w:t>Los representantes señalaron que “[n]o ha  sido  controvertido  que  Teodoro</w:t>
        <w:br/>
        <w:t>Cabrera y Rodolfo  Montiel  no  fueron  informados  de  las  razones  de  su</w:t>
        <w:br/>
        <w:t>detención cuando ésta se realizó. Asimismo, como  ha  quedado  probado,  las</w:t>
        <w:br/>
        <w:t>víctimas no [habrían sido] informadas del derecho que  les  asiste,  […]  de</w:t>
        <w:br/>
        <w:t>‘establecer contacto con una tercera persona, por ejemplo, un  familiar  [o]</w:t>
        <w:br/>
        <w:t>un abogado’”.</w:t>
        <w:br/>
        <w:br/>
        <w:t>En sus alegatos sobre la presunta violación del derecho  a  la  defensa,  el</w:t>
        <w:br/>
        <w:t>Estado alegó que las víctimas fueron informadas de los motivos de  detención</w:t>
        <w:br/>
        <w:t>y de los cargos en su contra.</w:t>
        <w:br/>
        <w:br/>
        <w:br/>
        <w:t>Esta Corte ha establecido que, a la luz del artículo 7.4  de  la  Convención</w:t>
        <w:br/>
        <w:t>Americana, la información de los “motivos y razones” de  la  detención  debe</w:t>
        <w:br/>
        <w:t>darse “cuando ésta se produce”, lo cual constituye un mecanismo para  evitar</w:t>
        <w:br/>
        <w:t>detenciones ilegales o arbitrarias desde el momento mismo  de  la  privación</w:t>
        <w:br/>
        <w:t>de  libertad  y,  a  su  vez,  garantiza   el   derecho   de   defensa   del</w:t>
        <w:br/>
        <w:t>individuo[139]. Asimismo, esta Corte ha señalado que el agente que  lleva  a</w:t>
        <w:br/>
        <w:t>cabo  la  detención  debe  informar  en  un  lenguaje   simple,   libre   de</w:t>
        <w:br/>
        <w:t>tecnicismos, los hechos y bases jurídicas esenciales en los que se  basa  la</w:t>
        <w:br/>
        <w:t>detención. No se satisface el artículo 7.4  de  la  Convención  si  sólo  se</w:t>
        <w:br/>
        <w:t>menciona la base legal[140].</w:t>
        <w:br/>
        <w:br/>
        <w:t>Al respecto, la Corte observa que el artículo 7.4 de la Convención  alude  a</w:t>
        <w:br/>
        <w:t>dos aspectos: i) la información en forma oral o escrita  sobre  las  razones</w:t>
        <w:br/>
        <w:t>de la detención, y ii) la notificación, que debe ser  por  escrito,  de  los</w:t>
        <w:br/>
        <w:t>cargos. En el expediente no consta que al  efectuar  la  detención  se  haya</w:t>
        <w:br/>
        <w:t>informado a las víctimas sobre las razones  en  las  que  se  fundamentó  su</w:t>
        <w:br/>
        <w:t>detención, razón por la cual se vulneró el artículo  7.4  de  la  Convención</w:t>
        <w:br/>
        <w:t>Americana en perjuicio de los señores Cabrera y Montiel.</w:t>
        <w:br/>
        <w:br/>
        <w:br/>
        <w:t xml:space="preserve">                                    VIII</w:t>
        <w:br/>
        <w:t xml:space="preserve">    derecho a la integridad personal en relación con LAS obligaciOnES de</w:t>
        <w:br/>
        <w:t xml:space="preserve">   respetar Y GARANTIZAR los derechos y lAS OBLIGACIONES CONTENIDAS EN LA</w:t>
        <w:br/>
        <w:t xml:space="preserve">       CONVENCIÓN INTERAMERICANA PARA PREVENIR Y SANCIONAR LA TORTURA</w:t>
        <w:br/>
        <w:br/>
        <w:t>En relación con el artículo 5 de la Convención Americana[141],  la  Comisión</w:t>
        <w:br/>
        <w:t>consideró en su demanda que “la prueba respecto de la […] comisión de  actos</w:t>
        <w:br/>
        <w:t>de tortura en perjuicio de las víctimas no es  concluyente”,  aunque  señaló</w:t>
        <w:br/>
        <w:t>que “no afirma ni […]  niega  [su]  existencia”.  Sin  embargo,  indicó  que</w:t>
        <w:br/>
        <w:t>“existen suficientes elementos de convicción que permiten  inferir  […]  que</w:t>
        <w:br/>
        <w:t>las víctimas fueron objeto de tratos crueles, inhumanos y  degradantes”.  En</w:t>
        <w:br/>
        <w:t>sus alegatos finales la Comisión señaló  que  “con  base  en  los  elementos</w:t>
        <w:br/>
        <w:t>probatorios aportados en el proceso ante la Corte [se] puede determinar  con</w:t>
        <w:br/>
        <w:t>mayor precisión los actos  contrarios  a  la  integridad  personal”  de  los</w:t>
        <w:br/>
        <w:t>señores Cabrera y Montiel.</w:t>
        <w:br/>
        <w:br/>
        <w:t>Los representantes indicaron que  existe  tortura  porque  se  trató  de  un</w:t>
        <w:br/>
        <w:t>conjunto de actos perpetrados sistemáticamente durante varios  días  con  el</w:t>
        <w:br/>
        <w:t>propósito de hacer que  las   víctimas  aceptaran  los  cargos  que  se  les</w:t>
        <w:br/>
        <w:t>presentaron y  que  firmaran  confesiones  autoinculpatorias,  lo  cual  les</w:t>
        <w:br/>
        <w:t>ocasionó un grave sufrimiento. A  su  vez,  agregaron  que  “las  instancias</w:t>
        <w:br/>
        <w:t>nacionales descartaron las denuncias de tortura” basándose  en  certificados</w:t>
        <w:br/>
        <w:t>médicos que “no cumple[n] con ningún estándar, mucho menos  [d]el  Protocolo</w:t>
        <w:br/>
        <w:t>de  Estambul”.  La  Comisión  y  los  representantes   señalaron   que   las</w:t>
        <w:br/>
        <w:t>declaraciones  de  los  señores  Cabrera  y   Montiel   fueron   constantes,</w:t>
        <w:br/>
        <w:t>coincidentes, y no se contradicen.</w:t>
        <w:br/>
        <w:br/>
        <w:t>El  Estado  alegó  que  diversos  certificados  médicos  y  peritajes   “son</w:t>
        <w:br/>
        <w:t>idóne[o]s  y  suficientes  para  desacreditar  las   pretensiones   de   los</w:t>
        <w:br/>
        <w:t>peticionarios”. Asimismo, indicó que  las  autoridades  judiciales  internas</w:t>
        <w:br/>
        <w:t>desvirtuaron exhaustivamente las denuncias de las presuntas víctimas, y  que</w:t>
        <w:br/>
        <w:t>éstas incurrieron en inconsistencias que “son sustanciales y no se deben  al</w:t>
        <w:br/>
        <w:t>mero uso del lenguaje”. Igualmente,  agregó  que  “los  quince  certificados</w:t>
        <w:br/>
        <w:t>médicos” fueron practicados “en los  momentos  ideales  para,  en  su  caso,</w:t>
        <w:br/>
        <w:t>determinar la existencia de alguna irregularidad”.  Asimismo,  subrayó  “que</w:t>
        <w:br/>
        <w:t>quizá […] por las condiciones en que e[l] examen [de los señores  Tramsen  y</w:t>
        <w:br/>
        <w:t>Tidball-Binz] fue realizado [su] opinión […] no cumple  con  los  estándares</w:t>
        <w:br/>
        <w:t>científicos técnicos básicos [y no]  cuestiona  el  cúmulo  de  valoraciones</w:t>
        <w:br/>
        <w:t>médicas presentadas”, a lo cual agregó la falta de parcialidad por parte  de</w:t>
        <w:br/>
        <w:t>dichos médicos.</w:t>
        <w:br/>
        <w:br/>
        <w:t>La Corte se referirá a continuación,  en  primer  lugar,  a  algunos  hechos</w:t>
        <w:br/>
        <w:t>probados en relación con: i) las declaraciones rendidas  por  las  víctimas;</w:t>
        <w:br/>
        <w:t>ii)  los  certificados  médicos  obrantes  en  el  expediente,  y  iii)  los</w:t>
        <w:br/>
        <w:t>peritajes que en el proceso interno y ante la Corte tuvieron  como  objetivo</w:t>
        <w:br/>
        <w:t>analizar si existió tortura en  el  presente  caso.  En  segundo  lugar,  se</w:t>
        <w:br/>
        <w:t>analizará el cumplimiento de la obligación de  investigar  en  relación  con</w:t>
        <w:br/>
        <w:t>dichos hechos, y por último se determinará la calificación jurídica  de  los</w:t>
        <w:br/>
        <w:t>hechos del presente caso.</w:t>
        <w:br/>
        <w:br/>
        <w:br/>
        <w:t xml:space="preserve">      Hechos probados</w:t>
        <w:br/>
        <w:br/>
        <w:br/>
        <w:br/>
        <w:br/>
        <w:br/>
        <w:br/>
        <w:t xml:space="preserve">      7 Declaraciones rendidas por las víctimas</w:t>
        <w:br/>
        <w:br/>
        <w:br/>
        <w:t>A lo largo del proceso penal interno, ante  la  Comisión  y  ante  la  Corte</w:t>
        <w:br/>
        <w:t>Interamericana, los señores Cabrera y Montiel hicieron  declaraciones  sobre</w:t>
        <w:br/>
        <w:t>los alegados hechos de tortura cometidos en  su  contra.  Se  trata  de  las</w:t>
        <w:br/>
        <w:t>siguientes declaraciones: i) ante  el  Agente  del  Ministerio  Público  del</w:t>
        <w:br/>
        <w:t>Fuero Común en Arcelia, Guerrero[142]; ii) ante  el  Agente  del  Ministerio</w:t>
        <w:br/>
        <w:t>Público  del  Fuero  Federal  en  Coyuca  de  Catalán,  Guerrero[143];  iii)</w:t>
        <w:br/>
        <w:t>declaración  preparatoria  ante  el  Juez  de  Primera  Instancia  en  Mina,</w:t>
        <w:br/>
        <w:t>Guerrero[144]; iv) la 1ª ampliación  de  declaración  preparatoria  ante  el</w:t>
        <w:br/>
        <w:t>Juez  Quinto  de  Distrito[145];  v)  la  2ª   ampliación   de   declaración</w:t>
        <w:br/>
        <w:t>preparatoria ante el Juez Quinto de Distrito[146], y vi)  las  declaraciones</w:t>
        <w:br/>
        <w:t>ante la Comisión y la Corte  Interamericana.  En  dichas  declaraciones  los</w:t>
        <w:br/>
        <w:t>señores Cabrera y Montiel  hicieron  mención  a  supuestos  tratos  crueles,</w:t>
        <w:br/>
        <w:t>inhumanos y degradantes o alegados actos de tortura de los que habrían  sido</w:t>
        <w:br/>
        <w:t>víctimas durante los días en que permanecieron bajo detención.</w:t>
        <w:br/>
        <w:br/>
        <w:br/>
        <w:t>Del análisis de dichas declaraciones de los señores Cabrera y Montiel en  el</w:t>
        <w:br/>
        <w:t>transcurso  del  proceso  penal,  en  términos  generales,  consta  que   se</w:t>
        <w:br/>
        <w:t>denunciaron: i) jalones en  los  testículos;  ii)  toques  eléctricos;  iii)</w:t>
        <w:br/>
        <w:t>golpes en distintas partes del cuerpo, como los hombros,  el  abdomen  y  la</w:t>
        <w:br/>
        <w:t>cabeza; iv) que fueron vendados y  amarrados;  v)  que  fueron  situados  en</w:t>
        <w:br/>
        <w:t>forma de cruz según la ubicación del sol; vi) que  fueron  encandilados  por</w:t>
        <w:br/>
        <w:t>una luz brillante; vii) que recibieron amenazas mediante armas, y viii)  que</w:t>
        <w:br/>
        <w:t>se utilizó el “tehuacán”  para  introducirles  agua  gaseosa  en  las  fosas</w:t>
        <w:br/>
        <w:t>nasales[147].</w:t>
        <w:br/>
        <w:br/>
        <w:br/>
        <w:t>La Corte observa  que  los  tribunales  internos  consideraron  incoherentes</w:t>
        <w:br/>
        <w:t>entre sí los testimonios de los señores Cabrera y Montiel y  por  tanto  les</w:t>
        <w:br/>
        <w:t>restaron valor a los mismos[148]. Sin embargo,  el  Tribunal  considera  que</w:t>
        <w:br/>
        <w:t>las diferencias entre cada testimonio rendido  por  los  señores  Cabrera  y</w:t>
        <w:br/>
        <w:t>Montiel  no  pueden  ser  consideradas  como  contradicciones  que   denotan</w:t>
        <w:br/>
        <w:t>falsedad o falta de veracidad  en  el  testimonio[149].  En  particular,  la</w:t>
        <w:br/>
        <w:t>Corte observa que, dentro de las distintas declaraciones  rendidas  por  los</w:t>
        <w:br/>
        <w:t>señores Cabrera y Montiel,  las  circunstancias  principales  coinciden.  En</w:t>
        <w:br/>
        <w:t>este sentido, lo que observa este Tribunal es que, a medida  que  se  fueron</w:t>
        <w:br/>
        <w:t>ampliando las declaraciones, las  víctimas  señalaron  más  detalles  de  la</w:t>
        <w:br/>
        <w:t>alegada tortura, pero el marco general  de  su  recuento  es  consistente  a</w:t>
        <w:br/>
        <w:t>partir de las declaraciones realizadas el 7 de mayo de 1999 ante el juez  de</w:t>
        <w:br/>
        <w:t>instancia. Por tanto, con el objetivo de examinar cada una de  las  alegadas</w:t>
        <w:br/>
        <w:t>torturas que fueron denunciadas por los señores Cabrera  y  Montiel  durante</w:t>
        <w:br/>
        <w:t>sus declaraciones, la Corte continúa con el  análisis  de  los  certificados</w:t>
        <w:br/>
        <w:t>médicos y peritajes que obran en el expediente.</w:t>
        <w:br/>
        <w:br/>
        <w:br/>
        <w:t xml:space="preserve">      1.2.  Certificados médicos obrantes en el expediente</w:t>
        <w:br/>
        <w:br/>
        <w:br/>
        <w:t>La Corte destaca que en  el  presente  caso  se  emitieron  14  certificados</w:t>
        <w:br/>
        <w:t>médicos respecto a los señores  Cabrera  y  Montiel  en  tres  momentos:  al</w:t>
        <w:br/>
        <w:t>inicio de la investigación penal, durante el proceso penal  desarrollado  en</w:t>
        <w:br/>
        <w:t>contra de aquellos y cuando se concedió la liberación  a  las  víctimas  por</w:t>
        <w:br/>
        <w:t>razones  humanitarias.  Dichos  certificados  tuvieron  tres  objetivos:  la</w:t>
        <w:br/>
        <w:t>certificación de la integridad física, la verificación del estado  físico  y</w:t>
        <w:br/>
        <w:t>mental en el cumplimiento de la pena y  la  compatibilidad  entre  la  edad,</w:t>
        <w:br/>
        <w:t>salud y constitución  física  de  los  señores  Cabrera  y  Montiel  con  el</w:t>
        <w:br/>
        <w:t>cumplimiento de la pena impuesta.</w:t>
        <w:br/>
        <w:br/>
        <w:t>En efecto, como  parte  del  proceso  penal  seguido  contra  las  víctimas,</w:t>
        <w:br/>
        <w:t>determinados  funcionarios  civiles  y  militares   emitieron   certificados</w:t>
        <w:br/>
        <w:t>médicos  o  constancias  sobre  la  integridad   física   de   aquéllas.   A</w:t>
        <w:br/>
        <w:t>continuación, se hace un recuento de los certificados: a) certificado  de  4</w:t>
        <w:br/>
        <w:t>de mayo de 1999 emitido por un auxiliar médico cirujano militar adscrito  al</w:t>
        <w:br/>
        <w:t>Hospital Militar Regional de Chilpancingo, Guerrero[150]  y  por  un  médico</w:t>
        <w:br/>
        <w:t>legista del Distrito Judicial en Arcelia, Guerrero[151]; b)  certificado  de</w:t>
        <w:br/>
        <w:t>6 de mayo de 1999  emitido  por  un  médico  legista  adscrito  al  Distrito</w:t>
        <w:br/>
        <w:t>Judicial de Mina, con residencia en Coyuca  de  Catalán,  Guerrero[152];  c)</w:t>
        <w:br/>
        <w:t>constancia de 15 de mayo de 1999 emitida por una visitadora de  la  Comisión</w:t>
        <w:br/>
        <w:t>de Defensa de  los  Derechos  Humanos  en  Guerrero  (Coddehum)[153],  y  d)</w:t>
        <w:br/>
        <w:t>certificado de 4 de junio de 1999 emitido por un perito médico  de  la  CNDH</w:t>
        <w:br/>
        <w:t>que se hizo presente en las instalaciones del Centro  Preventivo  de  Coyuca</w:t>
        <w:br/>
        <w:t>de Catalán, Guerrero[154].</w:t>
        <w:br/>
        <w:br/>
        <w:t>Durante el proceso penal en el que fueron condenados los señores  Cabrera  y</w:t>
        <w:br/>
        <w:t>Montiel se expidieron tres (3) certificaciones en relación con su  situación</w:t>
        <w:br/>
        <w:t>de salud: a) de 23 de septiembre de 1999 de un  perito  médico  de  la  CNDH</w:t>
        <w:br/>
        <w:t>respecto del señor Montiel Flores[155]; b) de 19  de  mayo  de  2000  de  un</w:t>
        <w:br/>
        <w:t>perito médico de la CNDH[156], y c) de 6 de  julio  de  2000  de  un  perito</w:t>
        <w:br/>
        <w:t>médico de la CNDH respecto del señor Montiel Flores[157].</w:t>
        <w:br/>
        <w:br/>
        <w:t>Finalmente,  con  base  ”en  lo  dispuesto  por  los  artículos  18  de   la</w:t>
        <w:br/>
        <w:t>Constitución Política […], 75 y 77 del Código Penal Federal, 26 y 30 […]  de</w:t>
        <w:br/>
        <w:t>la Ley Orgánica de la Administración Federal [y] del Reglamento  Interno  de</w:t>
        <w:br/>
        <w:t>la Secretaría de Seguridad Pública”[158], el 7 de  octubre  de  2001  cuando</w:t>
        <w:br/>
        <w:t>los señores Cabrera y Montiel continuaban cumpliendo su pena  en  el  Centro</w:t>
        <w:br/>
        <w:t>de Internamiento de Prevención y Readaptación  Social,  un  médico  cirujano</w:t>
        <w:br/>
        <w:t>del Servicio Médico de aquel Centro realizó un (1) nuevo examen a  cada  uno</w:t>
        <w:br/>
        <w:t>e indicó que su estado de salud resultaba incompatible con  el  cumplimiento</w:t>
        <w:br/>
        <w:t>de sus respectivas sentencias[159]. En virtud de  los  resultados  de  dicho</w:t>
        <w:br/>
        <w:t>examen, el 8 de noviembre de 2001 el Poder Ejecutivo Federal,  a  través  de</w:t>
        <w:br/>
        <w:t>la  Dirección  General  de  Prevención  y  Readaptación  Social,  otorgó  la</w:t>
        <w:br/>
        <w:t>libertad a los señores Cabrera[160] y Montiel[161].</w:t>
        <w:br/>
        <w:br/>
        <w:t>En relación lo expuesto, cabe destacar que la  perito  Gutiérrez  Hernández,</w:t>
        <w:br/>
        <w:t>en su dictamen rendido en audiencia pública en el presente caso, señaló  que</w:t>
        <w:br/>
        <w:br/>
        <w:br/>
        <w:t xml:space="preserve">       “cuando […] la persona [es] detenida o las personas [son]  detenidas,</w:t>
        <w:br/>
        <w:t xml:space="preserve">      el Ministerio Público […] gira una petición para llevar  a  cabo  un[a</w:t>
        <w:br/>
        <w:t xml:space="preserve">      certificación] de integridad física o de lesiones de  la  persona,  en</w:t>
        <w:br/>
        <w:t xml:space="preserve">      ese sentido el médico lo que  tiene  que  hacer  es  certificar  a  la</w:t>
        <w:br/>
        <w:t xml:space="preserve">      persona, que le conste lo que él está viendo en cuanto  a  lesiones  y</w:t>
        <w:br/>
        <w:t xml:space="preserve">      describirlas”. “Ahora bien, si derivado  de  una  declaración  ya  por</w:t>
        <w:br/>
        <w:t xml:space="preserve">      parte de estas personas o  cualquier  otra  se  hace  la  denuncia  de</w:t>
        <w:br/>
        <w:t xml:space="preserve">      tortura entonces el Ministerio Público  […]  solicita  específicamente</w:t>
        <w:br/>
        <w:t xml:space="preserve">      que se indague sobre las  lesiones  que  se  presentan,  pero  con  el</w:t>
        <w:br/>
        <w:t xml:space="preserve">      enfoque de documentación médico legal y entonces  es  cuando  ya  [se]</w:t>
        <w:br/>
        <w:t xml:space="preserve">      t[iene] que cumplir con las  directrices  que  marcan  los  estándares</w:t>
        <w:br/>
        <w:t xml:space="preserve">      internacionales para documentar tortura.  A  manera  de  resumen,  los</w:t>
        <w:br/>
        <w:t xml:space="preserve">      quince certificados médicos [sic] que se  hicieron  fueron  únicamente</w:t>
        <w:br/>
        <w:t xml:space="preserve">      para certificar [la] integridad física [de las  víctimas]  y  no  para</w:t>
        <w:br/>
        <w:t xml:space="preserve">      documentar tortura”[162].</w:t>
        <w:br/>
        <w:br/>
        <w:br/>
        <w:t>Dicho pronunciamiento coincide con lo indicado por el propio  Estado,  según</w:t>
        <w:br/>
        <w:t>el cual existe una diferencia con “[o]tro tipo de intervención que tiene  el</w:t>
        <w:br/>
        <w:t>médico legista  o  forense  en  México,  […]  respecto  a  la  dictaminación</w:t>
        <w:br/>
        <w:t>pericial  de  tortura  física,  cuyas   directrices   de   investigación   y</w:t>
        <w:br/>
        <w:t>documentación se encuentran contenidas en  el  Acuerdo  A/057/2003,  vigente</w:t>
        <w:br/>
        <w:t>desde el mes de septiembre de 2003, con motivo de la  Contextualización  del</w:t>
        <w:br/>
        <w:t>Protocolo de Estambul […] en el país.  Esta  intervención  médica,  para  su</w:t>
        <w:br/>
        <w:t>ejecución, al igual que en todas las que llev[a] a cabo el médico legista  o</w:t>
        <w:br/>
        <w:t>forense, requiere de  la  petición  expresa  por  escrito  de  la  autoridad</w:t>
        <w:br/>
        <w:t>solicitante,  judicial  y/o  ministerial,  y  de  los  supuestos   para   su</w:t>
        <w:br/>
        <w:t>aplicación”.</w:t>
        <w:br/>
        <w:br/>
        <w:t>Por tanto, la Corte concluye que, dada su  finalidad,  los  14  certificados</w:t>
        <w:br/>
        <w:t>médicos mencionados no son suficientes, por sí solos,  para  fundamentar  el</w:t>
        <w:br/>
        <w:t>rechazo o la aceptación de los alegatos de tortura en el presente  caso.  No</w:t>
        <w:br/>
        <w:t>obstante, en relación con la posible violación del derecho a  la  integridad</w:t>
        <w:br/>
        <w:t>personal, el Tribunal resalta ciertos certificados médicos como  el  emitido</w:t>
        <w:br/>
        <w:t>el 15 de mayo de 1999, en el cual se dejó  constancia  de  la  presencia  de</w:t>
        <w:br/>
        <w:t>hematomas  que  presuntamente  habían  sido  el  resultado  de  los   golpes</w:t>
        <w:br/>
        <w:t>recibidos por los señores Cabrera y Montiel durante su detención[163]  o  el</w:t>
        <w:br/>
        <w:t>certificado expedido el 4 de junio de 1999, en el que  se  aseveró  que  las</w:t>
        <w:br/>
        <w:t>lesiones habían sido producidas aproximadamente 30 días atrás[164].</w:t>
        <w:br/>
        <w:br/>
        <w:br/>
        <w:t xml:space="preserve">     1.3.  Peritajes dirigidos específicamente a verificar los alegados</w:t>
        <w:br/>
        <w:t xml:space="preserve">                              actos de tortura</w:t>
        <w:br/>
        <w:br/>
        <w:br/>
        <w:br/>
        <w:t>La Corte observa que el 29 de julio de  2000,  cuando  las  víctimas  ya  se</w:t>
        <w:br/>
        <w:t>encontraban en el Centro de Rehabilitación Social de  Iguala,  los  doctores</w:t>
        <w:br/>
        <w:t>Christian Tramsen  y  Morris  Tidball-Binz,  a  nombre  de  la  Organización</w:t>
        <w:br/>
        <w:t>“Médicos por los Derechos Humanos-Dinamarca”, llevaron a  cabo  una  pericia</w:t>
        <w:br/>
        <w:t>médica con la específica finalidad de determinar si los  señores  Cabrera  y</w:t>
        <w:br/>
        <w:t>Montiel habían sido víctimas de tortura. Dicho dictamen fue emitido  más  de</w:t>
        <w:br/>
        <w:t>un (1) año después de la detención de los señores  Cabrera  y  Montiel[165].</w:t>
        <w:br/>
        <w:t>Así,  concluyeron  que  “[l]os  resultados  físicos  coinciden   de   manera</w:t>
        <w:br/>
        <w:t>contundente con las declaraciones en  cuanto  al  tiempo  y  métodos  de  la</w:t>
        <w:br/>
        <w:t>tortura sufrida [por los señores Cabrera y Montiel].  Más  aún  la  historia</w:t>
        <w:br/>
        <w:t>médica de los examinados coincide con el desarrollo correspondiente  de  los</w:t>
        <w:br/>
        <w:t>síntomas  descritos  por  la  ciencia  médica”[166].   No   obstante   ello,</w:t>
        <w:br/>
        <w:t>recomendaron que “de cualquier manera […] se realicen  exámenes  adicionales</w:t>
        <w:br/>
        <w:t>a ambos individuos con el objeto de establecer […] la repercusión total  del</w:t>
        <w:br/>
        <w:t>daño  físico  y  psicológico  producido  por  la  tortura  y   proponer   el</w:t>
        <w:br/>
        <w:t>tratamiento correspondiente[167]”.</w:t>
        <w:br/>
        <w:br/>
        <w:t>Los tribunales internos y el Estado[168]  consideraron  que  dicho  peritaje</w:t>
        <w:br/>
        <w:t>era insuficiente para acreditar la tortura, ya que: i) se alegó la  ausencia</w:t>
        <w:br/>
        <w:t>de imparcialidad de  los  médicos  Tramsen  y  Tidball-Binz  al  haber  sido</w:t>
        <w:br/>
        <w:t>reconocidos por las víctimas  como  defensores  de  confianza  y  que  “para</w:t>
        <w:br/>
        <w:t>lograr  al  acceso  al  centro  de  reclusión,  los  representantes   “[los]</w:t>
        <w:br/>
        <w:t>acreditaron […] como integrantes del área jurídica de  su  organización  [lo</w:t>
        <w:br/>
        <w:t>cual no era necesario, ya que] existen procedimientos de  autorización  para</w:t>
        <w:br/>
        <w:t>la valoración médica […] de personas recluidas”;  ii)  las  conclusiones  de</w:t>
        <w:br/>
        <w:t>los peritos constituían apreciaciones  imprecisas  y  generalizadas,  no  se</w:t>
        <w:br/>
        <w:t>habían  tomado  en  cuenta  los  elementos  de  prueba  existentes   en   el</w:t>
        <w:br/>
        <w:t>procedimiento penal, además de que  las  conclusiones  del  peritaje  no  se</w:t>
        <w:br/>
        <w:t>sustentaron  con  algún  estudio  científico  sino  sólo  en  una   revisión</w:t>
        <w:br/>
        <w:t>corporal[169], y iii) se efectuó  un  año  más  tarde.  Respecto  al  primer</w:t>
        <w:br/>
        <w:t>alegato, la Corte reitera lo establecido en su Resolución de  23  de  agosto</w:t>
        <w:br/>
        <w:t>de 2010, en el sentido de que “en el derecho mexicano  la  sola  designación</w:t>
        <w:br/>
        <w:t>de  ‘persona  de  confianza’  no  implica  necesariamente  la   ‘realización</w:t>
        <w:br/>
        <w:t>material de la defensa’” y que “no existe  constancia  que  acredite  alguna</w:t>
        <w:br/>
        <w:t>actuación de defensa por  parte  del  señor  Tramsen,  y  en  cambio  sí  se</w:t>
        <w:br/>
        <w:t>demuestra que la actuación se limitó  a  emitir  una  opinión  como  médico”</w:t>
        <w:br/>
        <w:t>(supra párr. 26). En segundo lugar,  la  Corte  considera  que  los  señores</w:t>
        <w:br/>
        <w:t>Tramsen y Tidball-Binz cumplieron con las  exigencias  mínimas  establecidas</w:t>
        <w:br/>
        <w:t>en el Protocolo de Estambul respecto a que redactaron un  informe  fiel  que</w:t>
        <w:br/>
        <w:t>contenía las circunstancias de la entrevista,  historial,  examen  físico  y</w:t>
        <w:br/>
        <w:t>psicológico, opinión y autoría[170]. Finalmente, la Corte hace notar que  el</w:t>
        <w:br/>
        <w:t>citado Protocolo  señala  que  “[e]s  particularmente  importante  que  [el]</w:t>
        <w:br/>
        <w:t>examen se haga en el momento más oportuno” y que  “[d]e  todas  formas  debe</w:t>
        <w:br/>
        <w:t>realizarse independientemente del tiempo  que  haya  transcurrido  desde  el</w:t>
        <w:br/>
        <w:t>momento de la tortura”[171], con lo cual la realización del examen a más  de</w:t>
        <w:br/>
        <w:t>un año de los hechos no cuestiona su validez.</w:t>
        <w:br/>
        <w:br/>
        <w:t>Además de escuchar en audiencia pública al señor Tramsen, la  Corte  recibió</w:t>
        <w:br/>
        <w:t>tres dictámenes relacionados con los alegatos de  tortura,  presentados  por</w:t>
        <w:br/>
        <w:t>las peritos Gutiérrez Hernández y Deutsch y el perito Quiroga (supra  párrs.</w:t>
        <w:br/>
        <w:t>25 y 26). En relación con el dictamen emitido  por  los  peritos  Tramsen  y</w:t>
        <w:br/>
        <w:t>Tidball-Binz,  la  perito  Gutiérrez  Hernández  concluyó  que   aquél   “es</w:t>
        <w:br/>
        <w:t>básicamente una opinión que prescindió del  necesario  sustento  científico,</w:t>
        <w:br/>
        <w:t>que solo aportó elementos irreales y subjetivos referentes a la materia  que</w:t>
        <w:br/>
        <w:t>les  fue  solicitada”  y  que   “tampoco   cumplió   con   las   directrices</w:t>
        <w:br/>
        <w:t>internacionales que establece el Protocolo de Estambul”[172].</w:t>
        <w:br/>
        <w:br/>
        <w:t>Por su parte, el  perito  Quiroga  concluyó  que  “[l]os  métodos  violentos</w:t>
        <w:br/>
        <w:t>usados durante [la] detención e interrogación  [de  los  señores  Cabrera  y</w:t>
        <w:br/>
        <w:t>Montiel] y los hallazgos en el examen físico son consistentes  entre  sí,  y</w:t>
        <w:br/>
        <w:t>consistentes con tortura”[173].  El  Estado  alegó  que  esta  investigación</w:t>
        <w:br/>
        <w:t>médica se habría efectuado “11 años con 28 días después de los hechos”,  “no</w:t>
        <w:br/>
        <w:t>tomó  en  cuenta  los  informes  o  certificados  médicos  preexistentes   y</w:t>
        <w:br/>
        <w:t>contemporáneos a los hechos de la detención de los  hoy  inculpados”,  y  no</w:t>
        <w:br/>
        <w:t>valoró ciertos factores como “[l]a probable  resistencia  física  llevada  a</w:t>
        <w:br/>
        <w:t>cabo por los detenidos durante la detención” y las  contradicciones  en  sus</w:t>
        <w:br/>
        <w:t>declaraciones.</w:t>
        <w:br/>
        <w:br/>
        <w:t>En el informe psicológico de la perito Ana Deutsch  rendido  ante  fedatario</w:t>
        <w:br/>
        <w:t>público se diagnosticó que los señores Cabrera y Montiel tenían síntomas  de</w:t>
        <w:br/>
        <w:t>estrés post traumático y de depresión  mayor,  presuntamente  vinculados  al</w:t>
        <w:br/>
        <w:t>daño físico  derivado  de  la  alegada  tortura  de  la  cual  habrían  sido</w:t>
        <w:br/>
        <w:t>víctimas[174].</w:t>
        <w:br/>
        <w:br/>
        <w:t xml:space="preserve">   1. Deber de investigar alegados actos de tortura</w:t>
        <w:br/>
        <w:br/>
        <w:t>La Corte ha  señalado  que,  de  conformidad  con  el  artículo  1.1  de  la</w:t>
        <w:br/>
        <w:t>Convención Americana, la obligación de garantizar los  derechos  reconocidos</w:t>
        <w:br/>
        <w:t>en los artículos 5.1 y 5.2 de la Convención Americana implica el  deber  del</w:t>
        <w:br/>
        <w:t>Estado de investigar posibles actos  de  tortura  u  otros  tratos  crueles,</w:t>
        <w:br/>
        <w:t>inhumanos o degradantes[175]. Esta obligación de investigar se ve  reforzada</w:t>
        <w:br/>
        <w:t>por lo dispuesto en los artículos 1, 6  y  8  de  la  Convención  contra  la</w:t>
        <w:br/>
        <w:t>Tortura[176], que obligan al  Estado  a  “tomar[…]  medidas  efectivas  para</w:t>
        <w:br/>
        <w:t>prevenir y sancionar la tortura en el ámbito de su jurisdicción”,  así  como</w:t>
        <w:br/>
        <w:t>a “prevenir y sancionar […]  otros  tratos  o  penas  crueles,  inhumanos  o</w:t>
        <w:br/>
        <w:t>degradantes”. Además, de acuerdo con lo dispuesto en el artículo 8  de  esta</w:t>
        <w:br/>
        <w:t>Convención, los Estados Parte garantizarán:</w:t>
        <w:br/>
        <w:br/>
        <w:br/>
        <w:t xml:space="preserve">      […] a toda persona que denuncie haber sido sometida a  tortura  en  el</w:t>
        <w:br/>
        <w:t xml:space="preserve">      ámbito de su jurisdicción el derecho  a  que  el  caso  sea  examinado</w:t>
        <w:br/>
        <w:t xml:space="preserve">      imparcialmente[, y]</w:t>
        <w:br/>
        <w:br/>
        <w:br/>
        <w:t xml:space="preserve">      [c]uando exista denuncia o razón fundada para creer que se ha cometido</w:t>
        <w:br/>
        <w:t xml:space="preserve">      un acto de tortura en el  ámbito  de  su  jurisdicción,  […]  que  sus</w:t>
        <w:br/>
        <w:t xml:space="preserve">      respectivas autoridades procederán de oficio y de inmediato a realizar</w:t>
        <w:br/>
        <w:t xml:space="preserve">      una investigación sobre el caso y a iniciar,  cuando  corresponda,  el</w:t>
        <w:br/>
        <w:t xml:space="preserve">      respectivo proceso penal.</w:t>
        <w:br/>
        <w:br/>
        <w:br/>
        <w:t>Esta  obligación  de  investigar  se  sustenta  en  los  hechos   analizados</w:t>
        <w:br/>
        <w:t>previamente (supra párrs. 111 a 125).  En  efecto,  respecto  a  la  alegada</w:t>
        <w:br/>
        <w:t>tracción de los testículos de las  víctimas,  en  sus  declaraciones  en  el</w:t>
        <w:br/>
        <w:t>proceso penal interno, tanto el señor Cabrera García como el  señor  Montiel</w:t>
        <w:br/>
        <w:t>Flores indicaron que agentes militares  se  los  habían  jaloneado  mientras</w:t>
        <w:br/>
        <w:t>estuvieron  detenidos  a  orillas  del  río  de   Pizotla[177].   Sobre   el</w:t>
        <w:br/>
        <w:t>particular, la Corte  observa  que  si  bien  en  los  certificados  médicos</w:t>
        <w:br/>
        <w:t>emitidos por las autoridades mexicanas respecto a la  integridad  física  de</w:t>
        <w:br/>
        <w:t>las víctimas se hace mención a alguna lesión  en  los  testículos  de  éstas</w:t>
        <w:br/>
        <w:t>como consecuencia de la detención (supra párrs. 114 a 120), el  peritaje  de</w:t>
        <w:br/>
        <w:t>los señores Tramsen  y  Tidball-Binz  concluyó  respecto  al  señor  Cabrera</w:t>
        <w:br/>
        <w:t>García que “[e]l testículo derecho está retraído y reducido a la  mitad  del</w:t>
        <w:br/>
        <w:t>tamaño del testículo izquierdo”[178], mientras que  en  el  caso  del  señor</w:t>
        <w:br/>
        <w:t>Montiel  Flores  señaló  que  sus  testículos  se  encontraban   en   estado</w:t>
        <w:br/>
        <w:t>normal[179]. Asimismo, cabe resaltar que las conclusiones  del  dictamen  de</w:t>
        <w:br/>
        <w:t>los peritos Tramsen y Tidball-Binz coinciden  de  manera  significativa  con</w:t>
        <w:br/>
        <w:t>aquéllas contenidas en el examen emitido al liberar a los señores Cabrera  y</w:t>
        <w:br/>
        <w:t>Montiel (supra párr. 117) y con  el  dictamen  pericial  presentado  por  el</w:t>
        <w:br/>
        <w:t>perito Quiroga[180], ya  que  este  último  indicó  que  “el  examen  médico</w:t>
        <w:br/>
        <w:t>demuestra una atrofia del testículo derecho que fue previamente descrita  en</w:t>
        <w:br/>
        <w:t>el examen físico de Physicians for Human Rights en julio de  2000”[181].  No</w:t>
        <w:br/>
        <w:t>obstante lo anterior, la perito Gutiérrez  Hernández  asoció  estas  últimas</w:t>
        <w:br/>
        <w:t>conclusiones a problemas degenerativos propios de la edad de las víctimas  y</w:t>
        <w:br/>
        <w:t>a problemáticas relacionadas con el colesterol[182].</w:t>
        <w:br/>
        <w:br/>
        <w:t>Por otra parte, la Corte observa que en el proceso  penal  interno  sólo  el</w:t>
        <w:br/>
        <w:t>señor Montiel Flores indicó “que lo mojaban para darle  toques  [eléctricos]</w:t>
        <w:br/>
        <w:t>por períodos cortos”[183].  No  obstante  lo  anterior,  los  representantes</w:t>
        <w:br/>
        <w:t>manifestaron que el señor Cabrera García recibió choques  eléctricos  en  el</w:t>
        <w:br/>
        <w:t>muslo izquierdo. Al respecto, el Tribunal resalta que los toques  eléctricos</w:t>
        <w:br/>
        <w:t>son un método de tortura que se diferencia de otros debido a que es  difícil</w:t>
        <w:br/>
        <w:t>determinar la  realización  de  los  mismos,  ya  que  es  posible  utilizar</w:t>
        <w:br/>
        <w:t>mecanismos para que no queden huellas visibles del hecho[184]. En el  examen</w:t>
        <w:br/>
        <w:t>médico que se le realizó a las víctimas al salir de  la  cárcel,  se  indicó</w:t>
        <w:br/>
        <w:t>que en el caso del señor Montiel Flores existe una “zona  de  dermatoma  con</w:t>
        <w:br/>
        <w:t>insensibilidad”, de “5 cm”  en  el  muslo  derecho”[185].  Asimismo,  en  el</w:t>
        <w:br/>
        <w:t>dictamen de los señores Tramsen  y  Tidball-Binz  se  indicó  que  “[e]n  el</w:t>
        <w:br/>
        <w:t>centro del lado superior  lateral  del  muslo  derecho  [del  señor  Montiel</w:t>
        <w:br/>
        <w:t>Flores existe] un tumor subcutáneo de 5 cm. de largo por  3  cm.  de  ancho,</w:t>
        <w:br/>
        <w:t>sin despigmentación cutánea. No hay sensibilidad  en  esta  área”[186].  Por</w:t>
        <w:br/>
        <w:t>otra parte, respecto al señor Cabrera García certificaron que en  el  “muslo</w:t>
        <w:br/>
        <w:t>izquierdo existe un tumor subcutáneo de aproximadamente 3 cm. de  largo  por</w:t>
        <w:br/>
        <w:t>2 cm de ancho”[187]. La  perito  Gutiérrez  Hernández  no  se  pronunció  en</w:t>
        <w:br/>
        <w:t>relación con los alegados toques eléctricos. Además, la  Corte  observa  que</w:t>
        <w:br/>
        <w:t>en la  declaración  ante  fedatario  público  rendida  por  el  perito  José</w:t>
        <w:br/>
        <w:t>Quiroga, éste aludió a la disminución de sensibilidad en el muslo del  señor</w:t>
        <w:br/>
        <w:t>Montiel Flores[188].</w:t>
        <w:br/>
        <w:br/>
        <w:t>Sobre los alegados golpes en diferentes partes del cuerpo  y  las  amenazas,</w:t>
        <w:br/>
        <w:t>los señores Cabrera y Montiel describieron diferentes momentos  en  los  que</w:t>
        <w:br/>
        <w:t>esto habría ocurrido[189]. Los exámenes llevados a cabo por las  autoridades</w:t>
        <w:br/>
        <w:t>mexicanas respecto a la  integridad  de  las  víctimas  encontraron,  en  su</w:t>
        <w:br/>
        <w:t>mayoría, que su estado de salud física era bueno o normal (supra párrs.  115</w:t>
        <w:br/>
        <w:t>a 117). No obstante ello, el peritaje de los señores Tramsen y  Tidball-Binz</w:t>
        <w:br/>
        <w:t>concluyó que las víctimas  presentaban  cicatrices  y  dolor  localizado  en</w:t>
        <w:br/>
        <w:t>varias partes del cuerpo[190]. En relación con este  tipo  de  argumentos  y</w:t>
        <w:br/>
        <w:t>pruebas relacionadas con el dolor generado por algunos golpes  y  el  efecto</w:t>
        <w:br/>
        <w:t>de las amenazas, la perito Gutiérrez Hernández señaló que “el dolor  […]  es</w:t>
        <w:br/>
        <w:t>un dato subjetivo que no se ve”[191]. Respecto  a  la  anterior  afirmación,</w:t>
        <w:br/>
        <w:t>este Tribunal se remite a lo señalado en el Protocolo de Estambul, según  el</w:t>
        <w:br/>
        <w:t>cual el dolor es un síntoma y se debe anotar “la  intensidad,  frecuencia  y</w:t>
        <w:br/>
        <w:t>duración” del mismo”[192].</w:t>
        <w:br/>
        <w:br/>
        <w:t>Por  último,  la  Corte  observa  que  en  las   instancias   nacionales   e</w:t>
        <w:br/>
        <w:t>interamericanas las víctimas y otros testigos[193] declararon  que  mientras</w:t>
        <w:br/>
        <w:t>los señores Cabrera y  Montiel  estuvieron  detenidos  en  el  municipio  de</w:t>
        <w:br/>
        <w:t>Pizotla, no habrían tenido oportunidad de comunicarse con  su  familia  para</w:t>
        <w:br/>
        <w:t>informar   en   qué   estado   se   encontraban   o   hacia   dónde   serían</w:t>
        <w:br/>
        <w:t>trasladados[194]. Asimismo, en el proceso ante este  Tribunal  las  víctimas</w:t>
        <w:br/>
        <w:t>indicaron que “a la noche de[l día de la detención] no  toma[ron]  agua,  no</w:t>
        <w:br/>
        <w:t>[les] dieron de comer, no dejaban pasar a los que llevaban comida, todo  eso</w:t>
        <w:br/>
        <w:t>en el río”[195].</w:t>
        <w:br/>
        <w:br/>
        <w:t>A pesar de lo expuesto, el Tribunal constata que  en  el  presente  caso  la</w:t>
        <w:br/>
        <w:t>investigación fue iniciada más de tres meses después de que  se  hiciera  la</w:t>
        <w:br/>
        <w:t>primera mención sobre las alegadas  torturas  cometidas  en  contra  de  los</w:t>
        <w:br/>
        <w:t>señores Cabrera y Montiel el día  7  de  mayo  de  1999  (supra  párr.  74).</w:t>
        <w:br/>
        <w:t>Además, la Corte observa  que  se  dio  inicio  a  dicha  investigación  por</w:t>
        <w:br/>
        <w:t>petición expresa de los denunciantes realizada  el  26  de  agosto  de  1999</w:t>
        <w:br/>
        <w:t>dentro del proceso penal que se llevó a cabo en su contra[196]. Si  bien  en</w:t>
        <w:br/>
        <w:t>el transcurso del proceso  penal  desarrollado  en  contra  de  los  señores</w:t>
        <w:br/>
        <w:t>Cabrera y Montiel los tribunales internos valoraron y estudiaron  tanto  los</w:t>
        <w:br/>
        <w:t>certificados médicos como los peritajes realizados con el  fin  de  analizar</w:t>
        <w:br/>
        <w:t>las alegadas torturas, la Corte observa que dicho proceso poseía  un  objeto</w:t>
        <w:br/>
        <w:t>distinto al de investigar a los presuntos responsables de  la  denuncia,  ya</w:t>
        <w:br/>
        <w:t>que paralelamente se estaba juzgando a los señores Cabrera  y  Montiel.  Por</w:t>
        <w:br/>
        <w:t>tanto, el no haber llevado a cabo  una  investigación  autónoma  contra  los</w:t>
        <w:br/>
        <w:t>presuntos responsables  en  la  jurisdicción  ordinaria  impidió  disipar  y</w:t>
        <w:br/>
        <w:t>aclarar los alegatos de tortura. Por todo lo anterior, para el  Tribunal  es</w:t>
        <w:br/>
        <w:t>claro que el Estado incumplió su deber de investigar ex officio  los  hechos</w:t>
        <w:br/>
        <w:t>violatorios de los derechos humanos de los señores Cabrera y Montiel. En  el</w:t>
        <w:br/>
        <w:t>presente  caso,  resultaba  imprescindible  que  las  distintas   instancias</w:t>
        <w:br/>
        <w:t>judiciales  internas  ordenasen  nuevas  diligencias  para   esclarecer   la</w:t>
        <w:br/>
        <w:t>relación entre los signos encontrados en los cuerpos de las víctimas  y  los</w:t>
        <w:br/>
        <w:t>hechos que ellos alegaron hacer sufrido como tortura.</w:t>
        <w:br/>
        <w:br/>
        <w:t>Asimismo, el  Tribunal  considera  que  esa  obligación  de  investigar  los</w:t>
        <w:br/>
        <w:t>alegados actos de tortura era aún más relevante si se  tiene  en  cuenta  el</w:t>
        <w:br/>
        <w:t>contexto  que  antecedía  al  presente  caso  respecto  a  la  obtención  de</w:t>
        <w:br/>
        <w:t>confesiones y declaraciones  mediante  coacción  y  los  deberes  de  debida</w:t>
        <w:br/>
        <w:t>diligencia estricta que deben operar en  zonas  de  alta  presencia  militar</w:t>
        <w:br/>
        <w:t>(supra párrs. 86 a 89). Al respecto, el Relator Especial de Naciones  Unidas</w:t>
        <w:br/>
        <w:t>sobre la Tortura ha señalado que “por regla general, tanto los  jueces  como</w:t>
        <w:br/>
        <w:t>abogados, Ministerio Público y la propia policía  judicial  están  abrumados</w:t>
        <w:br/>
        <w:t>de trabajo, con lo que puede existir la tendencia a recurrir a la  confesión</w:t>
        <w:br/>
        <w:t>como manera rápida de resolver los casos”[197]. Por otra parte,  el  Relator</w:t>
        <w:br/>
        <w:t>Especial de Naciones Unidas sostuvo que,  “[…]  en  la  práctica  ordinaria,</w:t>
        <w:br/>
        <w:t>[existe] un gran margen de discrecionalidad para la aplicación de la ley  y,</w:t>
        <w:br/>
        <w:t>por tanto, el  gran  riesgo  de  que  las  averiguaciones  estén  falseadas,</w:t>
        <w:br/>
        <w:t>elaboradas mediante coacción, integradas fuera de los términos legales,  sin</w:t>
        <w:br/>
        <w:t>considerar  elementos  que   pudieran   ser   determinantes   o   bien,   la</w:t>
        <w:br/>
        <w:t>consideración para afectar  o  beneficiar  a  alguien,  llegando  incluso  a</w:t>
        <w:br/>
        <w:t>desaparecer evidencias de manera intencionada”[198].</w:t>
        <w:br/>
        <w:br/>
        <w:t xml:space="preserve">   2. Calificación jurídica</w:t>
        <w:br/>
        <w:br/>
        <w:t>Ahora bien, la Corte  ha  señalado  que  la  infracción  del  derecho  a  la</w:t>
        <w:br/>
        <w:t>integridad física y psíquica de las personas es una clase de  violación  que</w:t>
        <w:br/>
        <w:t>tiene diversas connotaciones de grado y que abarca desde  la  tortura  hasta</w:t>
        <w:br/>
        <w:t>otro tipo de vejámenes o  tratos  crueles,  inhumanos  o  degradantes  cuyas</w:t>
        <w:br/>
        <w:t>secuelas físicas  y  psíquicas  varían  de  intensidad  según  los  factores</w:t>
        <w:br/>
        <w:t>endógenos y exógenos (duración de los tratos, edad, sexo,  salud,  contexto,</w:t>
        <w:br/>
        <w:t>vulnerabilidad, entre otros) que deberán ser demostrados en  cada  situación</w:t>
        <w:br/>
        <w:t>concreta. Asimismo, el Tribunal ha indicado que todo uso de  la  fuerza  que</w:t>
        <w:br/>
        <w:t>no sea estrictamente necesario por el propio comportamiento  de  la  persona</w:t>
        <w:br/>
        <w:t>detenida constituye un atentado  a  la  dignidad  humana  en  violación  del</w:t>
        <w:br/>
        <w:t>artículo 5 de la Convención Americana[199].</w:t>
        <w:br/>
        <w:br/>
        <w:t>En el presente caso, la falta  de  una  investigación  dirigida  contra  los</w:t>
        <w:br/>
        <w:t>presuntos responsables de la violación a la integridad  personal  limita  la</w:t>
        <w:br/>
        <w:t>posibilidad de concluir sobre los alegatos de la presunta  tortura  cometida</w:t>
        <w:br/>
        <w:t>en contra de los señores Cabrera y Montiel. Sin perjuicio de ello, la  Corte</w:t>
        <w:br/>
        <w:t>ha señalado que el Estado es responsable, en su condición de garante de  los</w:t>
        <w:br/>
        <w:t>derechos consagrados en la Convención, de la observancia del  derecho  a  la</w:t>
        <w:br/>
        <w:t>integridad personal de todo individuo que se halla  bajo  su  custodia[200].</w:t>
        <w:br/>
        <w:t>La jurisprudencia de este Tribunal también ha señalado que siempre  que  una</w:t>
        <w:br/>
        <w:t>persona es detenida en un estado de salud normal  y  posteriormente  aparece</w:t>
        <w:br/>
        <w:t>con afectaciones a su salud, corresponde al Estado proveer  una  explicación</w:t>
        <w:br/>
        <w:t>creíble de esa situación[201]. En  consecuencia,  existe  la  presunción  de</w:t>
        <w:br/>
        <w:t>considerar responsable al Estado por las lesiones  que  exhibe  una  persona</w:t>
        <w:br/>
        <w:t>que  ha  estado  bajo  la  custodia  de  agentes  estatales[202].  En  dicho</w:t>
        <w:br/>
        <w:t>supuesto, recae en el  Estado  la  obligación  de  proveer  una  explicación</w:t>
        <w:br/>
        <w:t>satisfactoria y convincente de lo  sucedido  y  desvirtuar  las  alegaciones</w:t>
        <w:br/>
        <w:t>sobre su responsabilidad,  mediante  elementos  probatorios  adecuados[203].</w:t>
        <w:br/>
        <w:t>Por lo tanto, la Corte resalta que de la  prueba  aportada  en  el  caso  es</w:t>
        <w:br/>
        <w:t>posible concluir que se verificaron tratos crueles, inhumanos y  degradantes</w:t>
        <w:br/>
        <w:t>en contra de los señores Cabrera y Montiel.</w:t>
        <w:br/>
        <w:br/>
        <w:t>A la luz de lo anterior este Tribunal reitera  que,  en  todo  caso  en  que</w:t>
        <w:br/>
        <w:t>existan indicios de la ocurrencia de tortura, el Estado  deberá  iniciar  de</w:t>
        <w:br/>
        <w:t>oficio  y  de  inmediato  una  investigación  imparcial,   independiente   y</w:t>
        <w:br/>
        <w:t>minuciosa que permita determinar la naturaleza y el origen de  las  lesiones</w:t>
        <w:br/>
        <w:t>advertidas, identificar a los responsables e iniciar su  procesamiento[204].</w:t>
        <w:br/>
        <w:t>Es indispensable que el Estado actúe con  diligencia  para  evitar  alegados</w:t>
        <w:br/>
        <w:t>actos de tortura o tratos  crueles,  inhumanos  y  degradantes,  tomando  en</w:t>
        <w:br/>
        <w:t>cuenta, por otra parte, que la  víctima  suele  abstenerse,  por  temor,  de</w:t>
        <w:br/>
        <w:t>denunciar los hechos. Asimismo, a las autoridades judiciales corresponde  el</w:t>
        <w:br/>
        <w:t>deber de garantizar los derechos del detenido, lo que implica  la  obtención</w:t>
        <w:br/>
        <w:t>y el aseguramiento de toda prueba que  pueda  acreditar  alegados  actos  de</w:t>
        <w:br/>
        <w:t>tortura[205]. El  Estado  debe  garantizar  la  independencia  del  personal</w:t>
        <w:br/>
        <w:t>médico y  de  salud  encargado  de  examinar  y  prestar  asistencia  a  los</w:t>
        <w:br/>
        <w:t>detenidos  de  manera  que  puedan  practicar  libremente  las  evaluaciones</w:t>
        <w:br/>
        <w:t>médicas necesarias, respetando las normas establecidas en la práctica de  su</w:t>
        <w:br/>
        <w:t>profesión[206].</w:t>
        <w:br/>
        <w:br/>
        <w:t>Por otra parte, la Corte desea resaltar que en  los  casos  que  la  persona</w:t>
        <w:br/>
        <w:t>alegue dentro del proceso que su declaración o confesión  ha  sido  obtenida</w:t>
        <w:br/>
        <w:t>mediante coacción, los Estados tienen la obligación de verificar, en  primer</w:t>
        <w:br/>
        <w:t>lugar, la veracidad de dicha denuncia[207] a  través  de  una  investigación</w:t>
        <w:br/>
        <w:t>llevada a cabo con la debida diligencia. Asimismo, la  carga  probatoria  no</w:t>
        <w:br/>
        <w:t>puede recaer en el denunciante, sino que el Estado  debe  demostrar  que  la</w:t>
        <w:br/>
        <w:t>confesión fue voluntaria[208].</w:t>
        <w:br/>
        <w:br/>
        <w:br/>
        <w:t>De esta manera, la Corte concluye que el Estado es responsable:  a)  por  la</w:t>
        <w:br/>
        <w:t>violación del derecho a la integridad personal, consagrado en los  artículos</w:t>
        <w:br/>
        <w:t>5.1 y 5.2, en relación con el artículo 1.1 de la Convención  Americana,  por</w:t>
        <w:br/>
        <w:t>los tratos crueles, inhumanos y degradantes que  fueron  infringidos  a  los</w:t>
        <w:br/>
        <w:t>señores Cabrera y Montiel, y b) el incumplimiento de los artículos 1, 6 y  8</w:t>
        <w:br/>
        <w:t>de la Convención  Interamericana  para  Prevenir  y  Sancionar  la  Tortura,</w:t>
        <w:br/>
        <w:t>respecto de la obligación de investigar los alegados actos  de  tortura,  en</w:t>
        <w:br/>
        <w:t>perjuicio de los mismos.</w:t>
        <w:br/>
        <w:br/>
        <w:br/>
        <w:br/>
        <w:br/>
        <w:t xml:space="preserve">                                     IX</w:t>
        <w:br/>
        <w:br/>
        <w:br/>
        <w:t xml:space="preserve"> GARANTÍAS JUDICIALES Y PROTECCIÓN JUDICIAL EN RELACIÓN CON LAS OBLIGACIONES</w:t>
        <w:br/>
        <w:t xml:space="preserve"> DE RESPETAR Y GARANTIZAR LOS DERECHOS, EL DEBER DE ADOPTAR DISPOSICIONES DE</w:t>
        <w:br/>
        <w:t xml:space="preserve">       DERECHO INTERNO Y lAS OBLIGACIONES CONTENIDAS EN LA CONVENCIÓN</w:t>
        <w:br/>
        <w:t xml:space="preserve">             INTERAMERICANA PARA PREVENIR Y SANCIONAR LA TORTURA</w:t>
        <w:br/>
        <w:br/>
        <w:br/>
        <w:t>Respecto a la presunta violación de los artículos 8[209], 25[210]  y  2[211]</w:t>
        <w:br/>
        <w:t>de la Convención Americana, la Comisión y los  representantes  alegaron  que</w:t>
        <w:br/>
        <w:t>en el proceso penal seguido contra los señores Cabrera y Montiel  se  otorgó</w:t>
        <w:br/>
        <w:t>valor probatorio a declaraciones y confesiones  autoinculpatorias  obtenidas</w:t>
        <w:br/>
        <w:t>mediante coacción. Los representantes  añadieron  como  irregularidades,  la</w:t>
        <w:br/>
        <w:t>inversión de la carga de la  prueba  en  perjuicio  de  los  inculpados;  la</w:t>
        <w:br/>
        <w:t>presunción de su culpabilidad vinculada  a  la  admisión  de  una  serie  de</w:t>
        <w:br/>
        <w:t>pruebas viciadas o insuficientes,  y  la  ausencia  de  defensa  adecuada  y</w:t>
        <w:br/>
        <w:t>recursos efectivos. Sobre esto último, los representantes  alegaron  que  la</w:t>
        <w:br/>
        <w:t>impugnación  a  través  del  amparo  directo  fue  inefectiva,  entre  otros</w:t>
        <w:br/>
        <w:t>elementos, por la errónea aplicación del principio  de  inmediación,  la  no</w:t>
        <w:br/>
        <w:t>exclusión de la prueba obtenida mediante tortura y  porque  no  fue  posible</w:t>
        <w:br/>
        <w:t>controvertir tanto la  detención  como  la  incomunicación  de  los  señores</w:t>
        <w:br/>
        <w:t>Cabrera y Montiel ya que el juez consideró que “no era el  momento  procesal</w:t>
        <w:br/>
        <w:t>oportuno”.  Además,  la  Comisión  y  los  representantes  alegaron  que  la</w:t>
        <w:br/>
        <w:t>denuncia de las víctimas por los alegados actos de tortura en su  contra  no</w:t>
        <w:br/>
        <w:t>generó averiguaciones de oficio,  que  el  proceso  fue  conducido  por  una</w:t>
        <w:br/>
        <w:t>jurisdicción incompetente, en un plazo irrazonable, que se omitió  llevar  a</w:t>
        <w:br/>
        <w:t>cabo diligencias fundamentales, y que no  se  ofreció  un  recurso  efectivo</w:t>
        <w:br/>
        <w:t>para que las víctimas impugnaran el ejercicio de la jurisdicción militar.</w:t>
        <w:br/>
        <w:br/>
        <w:t>El Estado indicó que  en  el  proceso  contra  las  víctimas  se  respetaron</w:t>
        <w:br/>
        <w:t>estrictamente todas las garantías judiciales y que  la  defensa  tuvo  a  su</w:t>
        <w:br/>
        <w:t>alcance y utilizó exhaustivamente diversos recursos sencillos  y  expeditos.</w:t>
        <w:br/>
        <w:t>Agregó que los recursos fueron efectivos, ya que a través de ellos  lograron</w:t>
        <w:br/>
        <w:t>la exoneración en algunos cargos y,  además,  que  se  valorara  prueba  que</w:t>
        <w:br/>
        <w:t>inicialmente no fue tenida en cuenta.  Indicó  que  “el  hecho  de  que  las</w:t>
        <w:br/>
        <w:t>impugnaciones intentadas por la defensa no fueran resueltas, en general,  de</w:t>
        <w:br/>
        <w:t>manera favorable”, no implica que las víctimas “no h[ayan] tenido  acceso  a</w:t>
        <w:br/>
        <w:t>recursos efectivos”. En cuanto a la investigación por  la  alegada  tortura,</w:t>
        <w:br/>
        <w:t>el Estado señaló que los recursos interpuestos por la defensa  ante  órganos</w:t>
        <w:br/>
        <w:t>judiciales competentes, independientes e imparciales propiciaron un  espacio</w:t>
        <w:br/>
        <w:t>de profundo debate para dilucidar  la  presunta  tortura  y  que  no  existe</w:t>
        <w:br/>
        <w:t>elemento alguno que haga suponer la voluntad del juzgador o  de  algún  otro</w:t>
        <w:br/>
        <w:t>agente estatal de generar el retardo en la investigación.</w:t>
        <w:br/>
        <w:br/>
        <w:br/>
        <w:t>El artículo 8.1 de la  Convención  consagra  los  lineamientos  del  llamado</w:t>
        <w:br/>
        <w:t>“debido proceso legal”, que implica, entre otras cosas, el derecho  de  toda</w:t>
        <w:br/>
        <w:t>persona a ser oída con las debidas garantías y dentro de un plazo  razonable</w:t>
        <w:br/>
        <w:t>por un juez o tribunal competente, independiente  e  imparcial,  establecido</w:t>
        <w:br/>
        <w:t>con anterioridad por la ley para la determinación de sus derechos[212].</w:t>
        <w:br/>
        <w:br/>
        <w:br/>
        <w:t>Por su parte, el artículo 25.1  de  la  Convención  establece,  en  términos</w:t>
        <w:br/>
        <w:t>amplios, la obligación a cargo de  los  Estados  de  ofrecer,  a  todas  las</w:t>
        <w:br/>
        <w:t>personas sometidas a su jurisdicción, un recurso  judicial  efectivo  contra</w:t>
        <w:br/>
        <w:t>actos violatorios de sus derechos fundamentales[213].  En  particular,  este</w:t>
        <w:br/>
        <w:t>Tribunal ha considerado que los Estados  tienen  la  obligación  de  proveer</w:t>
        <w:br/>
        <w:t>recursos judiciales efectivos a las personas que  aleguen  ser  víctimas  de</w:t>
        <w:br/>
        <w:t>violaciones de derechos  humanos  (artículo  25),  recursos  que  deben  ser</w:t>
        <w:br/>
        <w:t>sustanciados  de  conformidad  con  las  reglas  del  debido  proceso  legal</w:t>
        <w:br/>
        <w:t>(artículo 8.1), todo ello dentro de la obligación general, a  cargo  de  los</w:t>
        <w:br/>
        <w:t>mismos Estados, de garantizar el libre y pleno  ejercicio  de  los  derechos</w:t>
        <w:br/>
        <w:t>reconocidos por la Convención a  toda  persona  que  se  encuentre  bajo  su</w:t>
        <w:br/>
        <w:t>jurisdicción (artículo 1.1)[214].</w:t>
        <w:br/>
        <w:br/>
        <w:br/>
        <w:t>En el mismo sentido,  la  Corte  ha  señalado  que  los  Estados  tienen  la</w:t>
        <w:br/>
        <w:t>responsabilidad  de  consagrar  normativamente  y  de  asegurar  la   debida</w:t>
        <w:br/>
        <w:t>aplicación de los recursos efectivos y de las garantías del  debido  proceso</w:t>
        <w:br/>
        <w:t>legal ante las autoridades competentes, que amparen  a  todas  las  personas</w:t>
        <w:br/>
        <w:t>bajo su jurisdicción contra actos que violen sus  derechos  fundamentales  o</w:t>
        <w:br/>
        <w:t>que  conlleven  a  la  determinación  de  los  derechos  y  obligaciones  de</w:t>
        <w:br/>
        <w:t>éstas[215]. También ha establecido que para que  el  Estado  cumpla  con  lo</w:t>
        <w:br/>
        <w:t>dispuesto en el artículo 25 de la Convención no basta con que  los  recursos</w:t>
        <w:br/>
        <w:t>existan formalmente, sino que es  preciso  que  tengan  efectividad  en  los</w:t>
        <w:br/>
        <w:t>términos del mismo[216], es decir que den  resultados  o  respuestas  a  las</w:t>
        <w:br/>
        <w:t>violaciones de  derechos  reconocidos,  ya  sea  en  la  Convención,  en  la</w:t>
        <w:br/>
        <w:t>Constitución o en la ley[217]. La Corte ha reiterado  que  dicha  obligación</w:t>
        <w:br/>
        <w:t>implica que el recurso sea idóneo para  combatir  la  violación  y  que  sea</w:t>
        <w:br/>
        <w:t>efectiva su aplicación por la autoridad competente[218].</w:t>
        <w:br/>
        <w:br/>
        <w:t>Sobre el particular, el Tribunal  resalta  que  se  ha  aludido  a  diversas</w:t>
        <w:br/>
        <w:t>irregularidades generales  con  las  que  se  afectarían  algunas  garantías</w:t>
        <w:br/>
        <w:t>judiciales[219]. Los representantes alegaron que aquéllas se relacionan  con</w:t>
        <w:br/>
        <w:t>la  prueba  producida  respecto  al  porte  y  uso  de  armas  de  fuego   y</w:t>
        <w:br/>
        <w:t>estupefacientes (inter alia, algunos dictámenes periciales y una  prueba  de</w:t>
        <w:br/>
        <w:t>rodizonato  de  sodio),  y  otras  alegadas   en   las   declaraciones   que</w:t>
        <w:br/>
        <w:t>inicialmente formularon las víctimas. La Corte estima oportuno  reseñar  las</w:t>
        <w:br/>
        <w:t>conclusiones finales de las instancias judiciales en torno a estos temas.</w:t>
        <w:br/>
        <w:br/>
        <w:br/>
        <w:t>En relación con las controversias sobre el  porte  de  armas  de  fuego,  la</w:t>
        <w:br/>
        <w:t>Corte observa que la sentencia del Segundo Tribunal Colegiado  rechazó  cada</w:t>
        <w:br/>
        <w:t>uno de los alegatos de la defensa de las  víctimas  indicando,  inter  alia,</w:t>
        <w:br/>
        <w:t>que:</w:t>
        <w:br/>
        <w:br/>
        <w:t xml:space="preserve">     a) en relación con el dictamen en materia  de  identificación  de  las</w:t>
        <w:br/>
        <w:t xml:space="preserve">        presuntas armas, “si bien [los peritos] no formularon  por  escrito</w:t>
        <w:br/>
        <w:t xml:space="preserve">        su aludido dictamen”[220], “no por dicha razón carece  de  validez”</w:t>
        <w:br/>
        <w:t xml:space="preserve">        dado que comparecieron y describieron las armas;</w:t>
        <w:br/>
        <w:t xml:space="preserve">     b) “carece de trascendencia  jurídica  el  que  los  […]  peritos  […]</w:t>
        <w:br/>
        <w:t xml:space="preserve">        hubiesen empleado un tiempo breve”, “lo que seguramente es producto</w:t>
        <w:br/>
        <w:t xml:space="preserve">        de la pericia que tienen” por su pertenencia a la Policía  Judicial</w:t>
        <w:br/>
        <w:t xml:space="preserve">        Federal;</w:t>
        <w:br/>
        <w:t xml:space="preserve">     c) “por lo general las armas de fuego tienen grabados [sus] datos”  lo</w:t>
        <w:br/>
        <w:t xml:space="preserve">        cual “facilita la clasificación legal de  las  mismas  sin  que  se</w:t>
        <w:br/>
        <w:t xml:space="preserve">        requiera exponer  las  operaciones  o  experimentos  en  que  hayan</w:t>
        <w:br/>
        <w:t xml:space="preserve">        sustentado su opinión”;</w:t>
        <w:br/>
        <w:t xml:space="preserve">     d) “no es dable imputar al personal  castrense  no  haber  puesto  sin</w:t>
        <w:br/>
        <w:t xml:space="preserve">        demora a los detenidos”, “menos  aún  resultaba  factible  poner  a</w:t>
        <w:br/>
        <w:t xml:space="preserve">        disposición los instrumentos y objetos del delito”, y</w:t>
        <w:br/>
        <w:t xml:space="preserve">     e) “de ninguna manera”  la  alegada  negligencia  “puede  acarrear  la</w:t>
        <w:br/>
        <w:t xml:space="preserve">        inexistencia de las armas”[221].</w:t>
        <w:br/>
        <w:br/>
        <w:t>La Corte resalta que  este  Segundo  Tribunal  Colegiado  exoneró  al  señor</w:t>
        <w:br/>
        <w:t>Montiel  Flores  del  delito  de  portación  del  “rifle  calibre  22  marca</w:t>
        <w:br/>
        <w:t>Remington”, dado que  en  una  de  sus  declaraciones  “negó  enfáticamente”</w:t>
        <w:br/>
        <w:t>llevar dicho rifle y porque el testimonio del señor  Cabrera  García  no  le</w:t>
        <w:br/>
        <w:t>incriminaba  al  respecto.  Pese  a  ello,  el  Segundo  Tribunal  Colegiado</w:t>
        <w:br/>
        <w:t>confirmó la responsabilidad penal de los señores Cabrera y  Montiel  por  el</w:t>
        <w:br/>
        <w:t>delito de portación de armas de fuego de uso exclusivo del Ejército,  Armada</w:t>
        <w:br/>
        <w:t>y Fuerza Aérea respecto a  las  armas  que  sí  reconocieron  portar  en  su</w:t>
        <w:br/>
        <w:t>declaración del 6 de mayo de 1999[222].</w:t>
        <w:br/>
        <w:br/>
        <w:t>Respecto a la prueba de rodizonato de  sodio  que  arrojó  positivo  en  las</w:t>
        <w:br/>
        <w:t>manos de las víctimas[223], el Primer  Tribunal  Unitario  indicó  que  esta</w:t>
        <w:br/>
        <w:t>prueba se había practicado según los requisitos legales y que no había  sido</w:t>
        <w:br/>
        <w:t>“desvirtuada”[224]. En cuanto a que “los [encausados] estuvieron tirados  en</w:t>
        <w:br/>
        <w:t>las aguas del río”, el Juzgado indicó que “solo [e]stos lo señalan  sin  que</w:t>
        <w:br/>
        <w:t>al efecto exista  dato  alguno  que  así  lo  acredite,  pues  si  bien  los</w:t>
        <w:br/>
        <w:t>militares aluden que los tuvieron tirados, […] en modo  alguno  exponen  que</w:t>
        <w:br/>
        <w:t>hayan estado  durante  ese  tiempo  en  contacto  con  el  agua  del  citado</w:t>
        <w:br/>
        <w:t>río”[225]. Posteriormente, el mismo Tribunal reiteró que solo  las  víctimas</w:t>
        <w:br/>
        <w:t>mencionaban que habían estado en contacto  con  el  agua  del  río  mientras</w:t>
        <w:br/>
        <w:t>estuvieron detenidos ese día[226].</w:t>
        <w:br/>
        <w:br/>
        <w:t>De otra parte, en relación con la posesión y siembra de estupefacientes,  el</w:t>
        <w:br/>
        <w:t>Primer Tribunal Unitario constató diversas irregularidades relacionadas  con</w:t>
        <w:br/>
        <w:t>la existencia y la destrucción del  plantío  de  marihuana.  Dicho  tribunal</w:t>
        <w:br/>
        <w:t>indicó  que  no  se  “aportaron  las  pruebas  idóneas  que  demostraran  su</w:t>
        <w:br/>
        <w:t>existencia material y jurídica, sino que por el contrario quedó  desvirtuada</w:t>
        <w:br/>
        <w:t>la […] confesión del acusado[227], con las restantes probanzas  rendidas  en</w:t>
        <w:br/>
        <w:t>el procedimiento natural”[228]. Finalmente, el  tribunal  concluyó  que  “no</w:t>
        <w:br/>
        <w:t>está demostrado en autos con prueba idónea alguna que  las  diligencias  que</w:t>
        <w:br/>
        <w:t>conforman  la  averiguación  previa,  se  hubieran  ‘prefabricado’  sin   la</w:t>
        <w:br/>
        <w:t>intervención de los inculpados de referencia; sino que en la especie lo  que</w:t>
        <w:br/>
        <w:t>sucedió es que resultó  deficiente  la  integración  de  las  averiguaciones</w:t>
        <w:br/>
        <w:t>previas”.  Teniendo  en  cuenta  lo  anterior,  se   revocó   la   sentencia</w:t>
        <w:br/>
        <w:t>condenatoria contra el señor Montiel Flores por  el  delito  de  siembra  de</w:t>
        <w:br/>
        <w:t>marihuana[229].</w:t>
        <w:br/>
        <w:br/>
        <w:t>Además de las presuntas irregularidades relacionadas con la posesión  y  uso</w:t>
        <w:br/>
        <w:t>de armas de fuego, estupefacientes y la prueba de rodizonato de  sodio,  los</w:t>
        <w:br/>
        <w:t>representantes solicitaron que se tomen como inexistentes las  declaraciones</w:t>
        <w:br/>
        <w:t>emitidas por las víctimas el 4 y el 6 de mayo  de  1999,  alegando  que  los</w:t>
        <w:br/>
        <w:t>señores Cabrera y García jamás salieron  del  batallón  militar  en  el  que</w:t>
        <w:br/>
        <w:t>presuntamente habrían sido detenidos durante esos días. En este sentido,  el</w:t>
        <w:br/>
        <w:t>alegato implica que además de las otras posibles irregularidades respecto  a</w:t>
        <w:br/>
        <w:t>las armas y el rodizonato de sodio, la flagrancia se habría  acreditado  con</w:t>
        <w:br/>
        <w:t>base en estas declaraciones que serían  fraudulentas  y,  además,  obtenidas</w:t>
        <w:br/>
        <w:t>bajo supuesta tortura. Por  esta  razón  los  representantes  criticaron  la</w:t>
        <w:br/>
        <w:t>Recomendación de la CNDH, afirmando que ésta “asentó sin análisis alguno  la</w:t>
        <w:br/>
        <w:t>versión de los hechos de  los  motivos  de  la  detención  [de  los  señores</w:t>
        <w:br/>
        <w:t>Cabrera y Montiel] narrada por los militares  captores”,  “descart[ando]  la</w:t>
        <w:br/>
        <w:t>totalidad  de  [las]  evidencias   [en   contrario,]   sin   valoración   ni</w:t>
        <w:br/>
        <w:t>explicación, para retomar la versión de los propios agentes  señalados  como</w:t>
        <w:br/>
        <w:t>responsables [en el presente caso]”.</w:t>
        <w:br/>
        <w:br/>
        <w:br/>
        <w:t>Además de la alegada tortura, el Tribunal observa  que  las  irregularidades</w:t>
        <w:br/>
        <w:t>específicas  que  los  representantes  resaltaron  en  relación  con  dichas</w:t>
        <w:br/>
        <w:t>declaraciones son:</w:t>
        <w:br/>
        <w:br/>
        <w:br/>
        <w:t xml:space="preserve">     a) la alegada inexistencia de defensa de oficio,  es  decir,  que  los</w:t>
        <w:br/>
        <w:t xml:space="preserve">        defensores de oficio firmaron esas declaraciones para  avalar  esos</w:t>
        <w:br/>
        <w:t xml:space="preserve">        documentos irregulares. Esta presunta irregularidad será  analizada</w:t>
        <w:br/>
        <w:t xml:space="preserve">        por el Tribunal en el acápite  relacionado  con  el  derecho  a  la</w:t>
        <w:br/>
        <w:t xml:space="preserve">        defensa (infra párrs. 152 a 162);</w:t>
        <w:br/>
        <w:t xml:space="preserve">     b) uno de los testigos de asistencia  de  la  declaración  ministerial</w:t>
        <w:br/>
        <w:t xml:space="preserve">        realizada el día 4 de mayo de 1999, a quien el señor Montiel Flores</w:t>
        <w:br/>
        <w:t xml:space="preserve">        reconoció como uno de sus presuntos torturadores y el cual  durante</w:t>
        <w:br/>
        <w:t xml:space="preserve">        el careo constitucional realizado en el  marco  del  proceso  penal</w:t>
        <w:br/>
        <w:t xml:space="preserve">        llevó consigo  una  nota  en  la  que  se  indicaban  los  detalles</w:t>
        <w:br/>
        <w:t xml:space="preserve">        específicos tanto de la declaración ministerial así como la  manera</w:t>
        <w:br/>
        <w:t xml:space="preserve">        de identificar a los señores Cabrera  y  Montiel[230].  Sobre  esta</w:t>
        <w:br/>
        <w:t xml:space="preserve">        irregularidad los tribunales internos manifestaron que lo  anterior</w:t>
        <w:br/>
        <w:t xml:space="preserve">        no restaba veracidad al testigo, por cuanto el señor Montiel Flores</w:t>
        <w:br/>
        <w:t xml:space="preserve">        lo había efectivamente reconocido  y  el  testigo  es  uno  de  los</w:t>
        <w:br/>
        <w:t xml:space="preserve">        empleados del Ministerio Público de Arcelia[231];</w:t>
        <w:br/>
        <w:t xml:space="preserve">     c) las alegadas contradicciones entre dos militares  que  participaron</w:t>
        <w:br/>
        <w:t xml:space="preserve">        en la detención y que no concuerdan en señalar si se remitió a  las</w:t>
        <w:br/>
        <w:t xml:space="preserve">        víctimas ante el Ministerio Público de Arcelia y en el  calibre  de</w:t>
        <w:br/>
        <w:t xml:space="preserve">        las armas que  se  les  incautaron.  Al  respecto,  los  tribunales</w:t>
        <w:br/>
        <w:t xml:space="preserve">        internos consideraron que si bien los militares no  concordaban  en</w:t>
        <w:br/>
        <w:t xml:space="preserve">        si los habían o no trasladado a Arcelia, en el expediente  judicial</w:t>
        <w:br/>
        <w:t xml:space="preserve">        constaban las actuaciones procesales  realizadas  ese  día  por  el</w:t>
        <w:br/>
        <w:t xml:space="preserve">        Ministerio Público[232], y</w:t>
        <w:br/>
        <w:t xml:space="preserve">     d) el alegado lenguaje formal que habrían usado los señores Cabrera  y</w:t>
        <w:br/>
        <w:t xml:space="preserve">        Montiel, a pesar de que al momento de los hechos no sabrían leer ni</w:t>
        <w:br/>
        <w:t xml:space="preserve">        escribir,  razón  por  la  cual  esas  declaraciones   no   podrían</w:t>
        <w:br/>
        <w:t xml:space="preserve">        atribuírseles[233]. Sobre este alegato, los tribunales internos  no</w:t>
        <w:br/>
        <w:t xml:space="preserve">        hicieron referencia expresa.</w:t>
        <w:br/>
        <w:br/>
        <w:br/>
        <w:t>En el análisis sobre el derecho a la libertad personal, el  Tribunal  señaló</w:t>
        <w:br/>
        <w:t>previamente   que   no   considera   pertinente   hacer   ningún   tipo   de</w:t>
        <w:br/>
        <w:t>pronunciamiento  sobre  las  causas  que  originaron  la  detención  de  las</w:t>
        <w:br/>
        <w:t>víctimas  (supra  párr.  102).  A  continuación,  y  en  lo  pertinente,  se</w:t>
        <w:br/>
        <w:t>analizará en algunas garantías el  específico  impacto  que  pudieron  haber</w:t>
        <w:br/>
        <w:t>tenido estas alegadas irregularidades.</w:t>
        <w:br/>
        <w:br/>
        <w:br/>
        <w:t>Con el fin de analizar las alegadas violaciones a los artículos 8  y  25  de</w:t>
        <w:br/>
        <w:t>la  Convención  Americana  y  supuestos  incumplimientos   de   obligaciones</w:t>
        <w:br/>
        <w:t>previstas en otros instrumentos interamericanos  relacionados  con  aquéllas</w:t>
        <w:br/>
        <w:t>la Corte analizará, respecto al proceso penal que se adelantó en  contra  de</w:t>
        <w:br/>
        <w:t>los señores Cabrera y Montiel, 1) el derecho a la defensa; 2) la  obligación</w:t>
        <w:br/>
        <w:t>de no considerar pruebas obtenidas mediante coacción, y 3) el  principio  de</w:t>
        <w:br/>
        <w:t>presunción de inocencia. En relación, con el proceso de investigación de  la</w:t>
        <w:br/>
        <w:t>alegada tortura que se  desarrolló  en  la  jurisdicción  penal  militar  el</w:t>
        <w:br/>
        <w:t>Tribunal estudiará: 1) la investigación de oficio; 2) la competencia  de  la</w:t>
        <w:br/>
        <w:t>jurisdicción  penal  militar;  3)  el  recurso  judicial  efectivo   en   la</w:t>
        <w:br/>
        <w:t>jurisdicción penal militar, y 4) la adecuación del derecho interno  mexicano</w:t>
        <w:br/>
        <w:t>respecto a la intervención de la jurisdicción penal militar.</w:t>
        <w:br/>
        <w:br/>
        <w:br/>
        <w:t xml:space="preserve">      Proceso penal llevado a cabo en contra de los señores Cabrera y</w:t>
        <w:br/>
        <w:t xml:space="preserve">      Montiel</w:t>
        <w:br/>
        <w:br/>
        <w:br/>
        <w:br/>
        <w:t xml:space="preserve">      Derecho a la defensa</w:t>
        <w:br/>
        <w:br/>
        <w:br/>
        <w:t>Los  representantes  alegaron  que  los  defensores  de  oficio   i)   “[n]o</w:t>
        <w:br/>
        <w:t>presentaron pruebas a favor de los [detenidos] ni [que] contrarrest[en]  las</w:t>
        <w:br/>
        <w:t>[…] presentadas en su contra”; ii) “[n]o les aconsejaron no declarar”;  iii)</w:t>
        <w:br/>
        <w:t>“[n]o impugnaron la falta de diligencia de  los  militares”;  iv)  “[n]o  se</w:t>
        <w:br/>
        <w:t>opusieron a los interrogatorios realizados […] en las  horas  posteriores  a</w:t>
        <w:br/>
        <w:t>la detención sin presencia de abogado”; v) “[n]o impugnaron  los  dictámenes</w:t>
        <w:br/>
        <w:t>periciales realizados por personas [no]  especializa[das  en  la  materia]”;</w:t>
        <w:br/>
        <w:t>vi) “[n]o exigieron las medidas necesarias  para  que  se  certificaran  las</w:t>
        <w:br/>
        <w:t>lesiones [en contra de las víctimas]”; vi) no se  entrevistaron  previamente</w:t>
        <w:br/>
        <w:t>con ellos, y vii) no denunciaron la supuesta tortura cometida en  contra  de</w:t>
        <w:br/>
        <w:t>los señores Cabrera y Montiel. Asimismo, indicaron  que  no  se  impugnó  el</w:t>
        <w:br/>
        <w:t>auto que declaró como legal la detención de las víctimas,  por  más  que  se</w:t>
        <w:br/>
        <w:t>había excedido el plazo de 48 horas para  presentarlos  ante  una  autoridad</w:t>
        <w:br/>
        <w:t>judicial.</w:t>
        <w:br/>
        <w:br/>
        <w:t>La Comisión no se pronunció respecto a este tema. El Estado señaló  que  los</w:t>
        <w:br/>
        <w:t>señores Cabrera y  Montiel  “contaron  con  la  correspondiente  asesoría  y</w:t>
        <w:br/>
        <w:t>asistencia jurídica pública”. Agregó que las  víctimas  siempre  mantuvieron</w:t>
        <w:br/>
        <w:t>contacto con los abogados para la preparación de su defensa.</w:t>
        <w:br/>
        <w:br/>
        <w:br/>
        <w:t>La Corte ha establecido anteriormente que  el  derecho  a  la  defensa  debe</w:t>
        <w:br/>
        <w:t>poder ejercerse desde que se señala a  una  persona  como  posible  autor  o</w:t>
        <w:br/>
        <w:t>partícipe  de  un  hecho  punible  y  sólo  culmina   cuando   finaliza   el</w:t>
        <w:br/>
        <w:t>proceso[234], incluyendo, en su caso, la etapa  de  ejecución  de  la  pena.</w:t>
        <w:br/>
        <w:t>Impedir que la persona ejerza su derecho de defensa desde que se  inicia  la</w:t>
        <w:br/>
        <w:t>investigación en su contra y  la  autoridad  dispone  o  ejecuta  actos  que</w:t>
        <w:br/>
        <w:t>implican afectación de derechos es potenciar los poderes investigativos  del</w:t>
        <w:br/>
        <w:t>Estado en desmedro de derechos fundamentales de la persona  investigada.  El</w:t>
        <w:br/>
        <w:t>derecho a la defensa obliga al Estado a tratar al individuo en todo  momento</w:t>
        <w:br/>
        <w:t>como un verdadero sujeto del proceso, en  el  más  amplio  sentido  de  este</w:t>
        <w:br/>
        <w:t>concepto, y no simplemente como objeto del mismo[235].</w:t>
        <w:br/>
        <w:br/>
        <w:br/>
        <w:t>En especial, la Corte resalta que la  defensa  suministrada  por  el  Estado</w:t>
        <w:br/>
        <w:t>debe ser efectiva, para lo cual el Estado debe  adoptar  todas  las  medidas</w:t>
        <w:br/>
        <w:t>adecuadas[236]. Si el derecho a la defensa surge desde el momento en que  se</w:t>
        <w:br/>
        <w:t>ordena investigar a una persona, el  investigado  debe  tener  acceso  a  la</w:t>
        <w:br/>
        <w:t>defensa técnica desde ese mismo momento, sobre todo en la diligencia  en  la</w:t>
        <w:br/>
        <w:t>que se recibe su declaración. Impedir a éste contar con la asistencia de  su</w:t>
        <w:br/>
        <w:t>abogado defensor es limitar severamente el derecho  a  la  defensa,  lo  que</w:t>
        <w:br/>
        <w:t>ocasiona desequilibrio procesal y deja al individuo  sin  tutela  frente  al</w:t>
        <w:br/>
        <w:t>ejercicio del poder punitivo[237]. Sin embargo, el nombrar  un  defensor  de</w:t>
        <w:br/>
        <w:t>oficio  con  el  sólo  objeto  de  cumplir  con  una  formalidad   procesal,</w:t>
        <w:br/>
        <w:t>equivaldría a no contar con defensa técnica, por lo  que  es  imperante  que</w:t>
        <w:br/>
        <w:t>dicho defensor actúe  de  manera  diligente  con  el  fin  de  proteger  las</w:t>
        <w:br/>
        <w:t>garantías procesales del acusado y  evite  así  que  sus  derechos  se  vean</w:t>
        <w:br/>
        <w:t>lesionados.</w:t>
        <w:br/>
        <w:br/>
        <w:br/>
        <w:t>Por otra parte, este Tribunal considera que una de las garantías  inherentes</w:t>
        <w:br/>
        <w:t>al derecho de defensa es contar con el tiempo y los  medios  adecuados  para</w:t>
        <w:br/>
        <w:t>preparar la defensa, lo cual obliga al  Estado  a  permitir  el  acceso  del</w:t>
        <w:br/>
        <w:t>inculpado al conocimiento del expediente llevado en su contra[238].</w:t>
        <w:br/>
        <w:br/>
        <w:t>En  el  presente  caso,  el  4  de  mayo  de  1999  se  habrían  tomado  las</w:t>
        <w:br/>
        <w:t>declaraciones ante el Ministerio Público de los señores  Cabrera  y  Montiel</w:t>
        <w:br/>
        <w:t>en  presencia  de  su   abogado   defensor   de   oficio   y   testigos   de</w:t>
        <w:br/>
        <w:t>asistencia[239]. Posteriormente, el 6 de mayo de 1999 los señores Cabrera  y</w:t>
        <w:br/>
        <w:t>Montiel habrían  rendido  una  segunda  declaración  ante  la  autoridad  de</w:t>
        <w:br/>
        <w:t>Ministerio Público en la que habría estado presente una defensora de  oficio</w:t>
        <w:br/>
        <w:t>del fuero federal[240]. El 12 de mayo de 1999 el juez de  primera  instancia</w:t>
        <w:br/>
        <w:t>dictó el auto  de  formal  prisión  en  contra  de  los  señores  Cabrera  y</w:t>
        <w:br/>
        <w:t>Montiel[241], el cual fue impugnado al día siguiente por las víctimas en  un</w:t>
        <w:br/>
        <w:t>recurso  donde  también  nombraron   a   otro   defensor   de   oficio[242].</w:t>
        <w:br/>
        <w:t>Posteriormente, el 13 de julio de 1999 un defensor particular  los  acompañó</w:t>
        <w:br/>
        <w:t>a una ampliación de declaración[243]. El 20 de agosto de  1999  los  señores</w:t>
        <w:br/>
        <w:t>Cabrera y Montiel designaron como defensores  particulares  a  los  abogados</w:t>
        <w:br/>
        <w:t>Digna Ochoa y Plácido, María  del  Pilar  Noriega  y  José  Cruz  Lavanderos</w:t>
        <w:br/>
        <w:t>Yañez[244]. A partir de este momento, el Centro de Derechos  Humanos  Miguel</w:t>
        <w:br/>
        <w:t>Agustín Pro Juárez asumió la defensa de los  señores  Cabrera  y  Montiel  y</w:t>
        <w:br/>
        <w:t>presentó diversos alegatos y recursos al respecto.</w:t>
        <w:br/>
        <w:br/>
        <w:t>Los representantes rechazan las actuaciones  de  los  defensores  de  oficio</w:t>
        <w:br/>
        <w:t>durante las diligencias del proceso, teniendo en  cuenta  que  al  no  haber</w:t>
        <w:br/>
        <w:t>impugnado ciertos eventos probatorios,  estos  habrían  adquirido  un  papel</w:t>
        <w:br/>
        <w:t>esencial para condenarlos posteriormente. En el ámbito  interno  la  defensa</w:t>
        <w:br/>
        <w:t>de las víctimas alegó que las declaraciones del 4 y 6 de mayo de 1999 no  se</w:t>
        <w:br/>
        <w:t>habrían realizado ante el Ministerio Público sino que habrían sido  firmadas</w:t>
        <w:br/>
        <w:t>en el batallón militar y que las víctimas siempre  estuvieron  bajo  control</w:t>
        <w:br/>
        <w:t>de  los  militares  durante  esos  días[245].  Los  representantes  alegaron</w:t>
        <w:br/>
        <w:t>entonces “que en algún momento ciertos  funcionarios  de  tal  localidad  se</w:t>
        <w:br/>
        <w:t>apersonaron en el Batallón para levantar un acta  de  armas  y  posiblemente</w:t>
        <w:br/>
        <w:t>expedir otros documentos que luego serían presentados en el  proceso  penal”</w:t>
        <w:br/>
        <w:t>y a los cuales los jueces darían validez. Se indicó que todo lo anterior  se</w:t>
        <w:br/>
        <w:t>habría dado con la connivencia de  los  defensores  de  oficio.  Los  jueces</w:t>
        <w:br/>
        <w:t>internos valoraron estos alegatos  y,  por  tal  razón,  el  defensor  y  la</w:t>
        <w:br/>
        <w:t>defensora  y  los  testigos  de  asistencia  que  fueron  parte   de   estas</w:t>
        <w:br/>
        <w:t>declaraciones  ante  el  Ministerio  Público  fueron   llamados   a   rendir</w:t>
        <w:br/>
        <w:t>testimonio[246]. Además, tuvieron careos procesales  con  las  víctimas[247]</w:t>
        <w:br/>
        <w:t>en los que sostuvieron que los habían asesorado adecuadamente.</w:t>
        <w:br/>
        <w:br/>
        <w:t>En las declaraciones que se habrían  rendido  el  4  de  mayo  de  1999  las</w:t>
        <w:br/>
        <w:t>víctimas aceptaron los hechos[248]  que  los  militares  presentaron  en  su</w:t>
        <w:br/>
        <w:t>informe de denuncia contra ellos[249].  No  obstante  ello,  las  instancias</w:t>
        <w:br/>
        <w:t>judiciales internas consideraron que en esa declaración los señores  Cabrera</w:t>
        <w:br/>
        <w:t>y Montiel “estuvieron debidamente enterados de sus  garantías  individuales,</w:t>
        <w:br/>
        <w:t>las que correspondió a su defensor de oficio velar que se acataran  como  el</w:t>
        <w:br/>
        <w:t>mismo [defensor] lo manifestó”[250]. Respecto a las  declaraciones  rendidas</w:t>
        <w:br/>
        <w:t>el 6 de mayo de 1999 la defensora de oficio precisó  que  sí  habló  con  el</w:t>
        <w:br/>
        <w:t>señor  Montiel  Flores  sin  recordar  qué  tiempo   aproximado   duró   tal</w:t>
        <w:br/>
        <w:t>comunicación, que le formuló preguntas en relación a la  forma  en  que  fue</w:t>
        <w:br/>
        <w:t>detenido y cuál fue el trato que recibió por parte de los militares  que  lo</w:t>
        <w:br/>
        <w:t>arrestaron[251]. Las instancias judiciales internas consideraron  que  estas</w:t>
        <w:br/>
        <w:t>declaraciones del 6 de mayo de 1999 fueron apegadas  a  la  ley  “y  con  la</w:t>
        <w:br/>
        <w:t>asistencia” de la defensora  de  oficio  “a  quien  los  propios  encausados</w:t>
        <w:br/>
        <w:t>designaron”  y  que  “en  las   propias   diligencias   se   contienen   las</w:t>
        <w:br/>
        <w:t>intervenciones que tuvo a favor de  los  acusados”[252].  Concretamente,  la</w:t>
        <w:br/>
        <w:t>sentencia emitida el 21 de agosto de 2002 por el  Primer  Tribunal  Unitario</w:t>
        <w:br/>
        <w:t>consideró que:</w:t>
        <w:br/>
        <w:br/>
        <w:t xml:space="preserve">      “el [señor Montiel] fu[e] asistid[o] en todas sus comparecencias  ante</w:t>
        <w:br/>
        <w:t xml:space="preserve">      el  Ministerio  Público  y  Juez  de  Distrito,  con  los  que  estuvo</w:t>
        <w:br/>
        <w:t xml:space="preserve">      debidamente comunicad[o] y se le  hicieron  saber  las  causas  de  la</w:t>
        <w:br/>
        <w:t xml:space="preserve">      acusación formulada en su contra, se  le  concedió  el  tiempo  y  los</w:t>
        <w:br/>
        <w:t xml:space="preserve">      medios adecuados para la preparación de su defensa, fue asesorado  por</w:t>
        <w:br/>
        <w:t xml:space="preserve">      sus defensores o personas de su confianza con los que  tuvo  la  libre</w:t>
        <w:br/>
        <w:t xml:space="preserve">      comunicación; se l[e] hizo de su conocimiento que podía defenderse por</w:t>
        <w:br/>
        <w:t xml:space="preserve">      sí mismo o si no contaba con los recursos necesarios o de no tener  un</w:t>
        <w:br/>
        <w:t xml:space="preserve">      defensor particular que designar se le nombraría uno Público  Federal,</w:t>
        <w:br/>
        <w:t xml:space="preserve">      tuv[o] el derecho  de  interrogar  a  los  testigos  presentes  en  el</w:t>
        <w:br/>
        <w:t xml:space="preserve">      Tribunal y se le otorgó ayuda para lograr la  comparecencia  de  todas</w:t>
        <w:br/>
        <w:t xml:space="preserve">      aquellas personas que podían arrojar luz  al  esclarecimiento  de  los</w:t>
        <w:br/>
        <w:t xml:space="preserve">      hechos, tan es así que tal beneficio lo  adoptó  también  su  defensor</w:t>
        <w:br/>
        <w:t xml:space="preserve">      quien interrogó a los testigos que depusieron  en  su  contra,  a  los</w:t>
        <w:br/>
        <w:t xml:space="preserve">      defensores que lo asistieron ministerialmente y en vía de preparatoria</w:t>
        <w:br/>
        <w:t xml:space="preserve">      y a los testigos de asistencia que presenciaron las  primeras,  se  le</w:t>
        <w:br/>
        <w:t xml:space="preserve">      hizo también de su conocimiento que no estaba obligado a  declarar  en</w:t>
        <w:br/>
        <w:t xml:space="preserve">      su  contra,  ni  a  declararse  culpable,  de  igual  forma   estuv[o]</w:t>
        <w:br/>
        <w:t xml:space="preserve">      debidamente enterad[o] de que podí[a] recurrir  los  fallos  del  Juez</w:t>
        <w:br/>
        <w:t xml:space="preserve">      ante el Tribunal Superior”[253].</w:t>
        <w:br/>
        <w:br/>
        <w:t>A partir de ello, el Tribunal Unitario consideró que los señores  Cabrera  y</w:t>
        <w:br/>
        <w:t>Montiel contaron con la defensa necesaria, ya que “el  hecho  de  que  estos</w:t>
        <w:br/>
        <w:t>aludieran que no reconocían  a  sus  defensores  de  oficio  […],  no  resta</w:t>
        <w:br/>
        <w:t>eficacia probatoria a las diligencias en las cuales estos intervinieron,  en</w:t>
        <w:br/>
        <w:t>virtud de que fueron contundentes en afirmar que s[í] los asesoraron  y  que</w:t>
        <w:br/>
        <w:t>velaron porque no se les  violaran  sus  garantías  individuales”[254].  Los</w:t>
        <w:br/>
        <w:t>tribunales  internos  que  conocieron  el  caso[255]  respondieron   a   las</w:t>
        <w:br/>
        <w:t>denuncias por irregularidades de la defensa de oficio en similar  sentido  a</w:t>
        <w:br/>
        <w:t>lo dispuesto por dicho Tribunal Unitario.</w:t>
        <w:br/>
        <w:br/>
        <w:t>De  otra  parte,  en  el  expediente  judicial  interno  consta  que  en  la</w:t>
        <w:br/>
        <w:t>declaración ante el Ministerio Público rendida por  los  señores  Cabrera  y</w:t>
        <w:br/>
        <w:t>Montiel el 7 de mayo de 1999 intervinieron tanto un defensor de oficio  como</w:t>
        <w:br/>
        <w:t>uno particular. El 12 de mayo de 1999 se dictó auto  de  formal  prisión  en</w:t>
        <w:br/>
        <w:t>contra de las víctimas y al  día  siguiente  éstas  apelaron  dicho  auto  y</w:t>
        <w:br/>
        <w:t>designaron  un  defensor  de  oficio  para  que  los  representara  en  este</w:t>
        <w:br/>
        <w:t>incidente procesal (supra párr. 69). El  29  de  junio  de  1999  el  Primer</w:t>
        <w:br/>
        <w:t>Tribunal Unitario resolvió el recurso de apelación y  confirmó  parcialmente</w:t>
        <w:br/>
        <w:t>el auto en contra del señor Montiel Flores[256], ya que revocó por falta  de</w:t>
        <w:br/>
        <w:t>elementos  para  procesar   lo   concerniente   a   las   imputaciones   por</w:t>
        <w:br/>
        <w:t>estupefacientes. En cuanto al señor Cabrera García, el Tribunal confirmó  en</w:t>
        <w:br/>
        <w:t>su totalidad el auto de formal  prisión.  Por  lo  anterior,  este  Tribunal</w:t>
        <w:br/>
        <w:t>observa que los señores Cabrera y Montiel sí contaron con  una  defensa  que</w:t>
        <w:br/>
        <w:t>impugnó esta decisión procesal y que dicha apelación surtió algunos  efectos</w:t>
        <w:br/>
        <w:t>positivos para los intereses de las víctimas.</w:t>
        <w:br/>
        <w:br/>
        <w:t>Teniendo en cuenta los elementos  anteriores,  la  Corte  considera  que  no</w:t>
        <w:br/>
        <w:t>existe suficiente prueba para concluir que, por sí  solas,  las  actuaciones</w:t>
        <w:br/>
        <w:t>de los defensores de oficio en las diligencias del 4, 6 y 7 de mayo de  1999</w:t>
        <w:br/>
        <w:t>hayan configurado una violación del derecho a la defensa.</w:t>
        <w:br/>
        <w:br/>
        <w:br/>
        <w:t xml:space="preserve">      2.    Exclusión de las pruebas obtenidas mediante coacción</w:t>
        <w:br/>
        <w:br/>
        <w:br/>
        <w:t>La Comisión y los representantes indicaron que las  víctimas,  “al  realizar</w:t>
        <w:br/>
        <w:t>sus declaraciones autoinculpatorias ante el Ministerio Público Federal y  el</w:t>
        <w:br/>
        <w:t>Juez del Distrito Judicial  de  Mina[,]  todavía  se  encontraban  bajo  los</w:t>
        <w:br/>
        <w:t>efectos del miedo, la angustia y sentimientos de  inferioridad,  puesto  que</w:t>
        <w:br/>
        <w:t>sólo habían  pasado  unos  cuantos  días  desde  su  detención  y  maltratos</w:t>
        <w:br/>
        <w:t>físicos”. La Comisión consideró que la falta de  “una  investigación  seria,</w:t>
        <w:br/>
        <w:t>exhaustiva e imparcial de los alegados hechos de tortura” generó que  no  se</w:t>
        <w:br/>
        <w:t>subsanaran “los posibles vicios de  las  confesiones  rendidas  […],  y  por</w:t>
        <w:br/>
        <w:t>tanto, el Estado no podía hacer  uso  de  dichas  declaraciones  como  medio</w:t>
        <w:br/>
        <w:t>probatorio”. Además, la Comisión  y  los  representantes  señalaron  que  la</w:t>
        <w:br/>
        <w:t>práctica de tortura se ve aumentada por la fuerza  jurídica  otorgada  a  la</w:t>
        <w:br/>
        <w:t>primera declaración del inculpado, la cual es realizada  por  el  Ministerio</w:t>
        <w:br/>
        <w:t>Público y no por un juez, a lo que añadió el valor primario otorgado a  esta</w:t>
        <w:br/>
        <w:t>declaración por los tribunales mexicanos. Por su parte,  los  representantes</w:t>
        <w:br/>
        <w:t>señalaron  que  “las  confesiones  de  las  víctimas  debieron  haber   sido</w:t>
        <w:br/>
        <w:t>excluidas  del  proceso  penal”  y  que  no  debió  tenerse  en  cuenta   la</w:t>
        <w:br/>
        <w:t>ratificación de las declaraciones ante el Juzgado, puesto  que  los  señores</w:t>
        <w:br/>
        <w:t>Cabrera y Montiel “aún se encontraban bajo  los  efectos  de  la  tortura  y</w:t>
        <w:br/>
        <w:t>amenazas y sin entender qué significado o alcances tenía  la  ratificación”.</w:t>
        <w:br/>
        <w:br/>
        <w:br/>
        <w:t>El Estado indicó que  la  sentencia  condenatoria  “no  había  sido  fundada</w:t>
        <w:br/>
        <w:t>exclusivamente en las confesiones hechas por los sentenciados”.  Agregó  que</w:t>
        <w:br/>
        <w:t>el juez de la causa “conoció,  valoró  y  adminiculó  la  totalidad  de  las</w:t>
        <w:br/>
        <w:t>pruebas y constancias integradas al expediente” y que si se  demostrara  que</w:t>
        <w:br/>
        <w:t>la sentencia “contra las […] víctimas se fundó en la confesión  obtenida  en</w:t>
        <w:br/>
        <w:t>las  circunstancias  destacadas,  ello  traería  como  consecuencia  que  la</w:t>
        <w:br/>
        <w:t>autoridad competente le reste eficacia probatoria  y  resuelva  conforme  al</w:t>
        <w:br/>
        <w:t>demás caudal probatorio lo que en derecho corresponda y  determine  entonces</w:t>
        <w:br/>
        <w:t>si tal violación dejó sin defensas al indiciado y  trascendió  al  resultado</w:t>
        <w:br/>
        <w:t>del fallo”.</w:t>
        <w:br/>
        <w:br/>
        <w:br/>
        <w:t>Al respecto,  la  Corte  observa  que  la  regla  de  exclusión  de  pruebas</w:t>
        <w:br/>
        <w:t>obtenidas mediante la tortura o tratos  crueles  e  inhumanos  (en  adelante</w:t>
        <w:br/>
        <w:t>“regla de exclusión”)  ha  sido  reconocida  por  diversos  tratados[257]  y</w:t>
        <w:br/>
        <w:t>órganos  internacionales  de  protección  de  derechos   humanos   que   han</w:t>
        <w:br/>
        <w:t>establecido que  dicha  regla  es  intrínseca  a  la  prohibición  de  tales</w:t>
        <w:br/>
        <w:t>actos[258]. Al respecto, la  Corte  considera  que  esta  regla  ostenta  un</w:t>
        <w:br/>
        <w:t>carácter absoluto e inderogable[259].</w:t>
        <w:br/>
        <w:br/>
        <w:t>En este sentido, la Corte  ha  sostenido  que  la  anulación  de  los  actos</w:t>
        <w:br/>
        <w:t>procesales derivados de la tortura o tratos crueles  constituye  una  medida</w:t>
        <w:br/>
        <w:t>efectiva  para  hacer  cesar  las  consecuencias  de  una  violación  a  las</w:t>
        <w:br/>
        <w:t>garantías judiciales[260]. Además, el Tribunal considera necesario  recalcar</w:t>
        <w:br/>
        <w:t>que la regla de exclusión no se aplica sólo a casos en los  cuales  se  haya</w:t>
        <w:br/>
        <w:t>cometido tortura o tratos crueles.  Al  respecto,  el  artículo  8.3  de  la</w:t>
        <w:br/>
        <w:t>Convención es claro al señalar que “[l]a confesión del  inculpado  solamente</w:t>
        <w:br/>
        <w:t>es válida si es hecha sin coacción de ninguna naturaleza”, es decir  que  no</w:t>
        <w:br/>
        <w:t>se limita el supuesto de hecho a que se haya perpetrado un acto  de  tortura</w:t>
        <w:br/>
        <w:t>o trato cruel, sino que  se  extiende  a  cualquier  tipo  de  coacción.  En</w:t>
        <w:br/>
        <w:t>efecto, al comprobarse cualquier tipo de coacción  capaz  de  quebrantar  la</w:t>
        <w:br/>
        <w:t>expresión  espontánea  de  la  voluntad  de   la   persona,   ello   implica</w:t>
        <w:br/>
        <w:t>necesariamente la obligación de excluir la evidencia respectiva del  proceso</w:t>
        <w:br/>
        <w:t>judicial. Esta anulación es un medio necesario para desincentivar el uso  de</w:t>
        <w:br/>
        <w:t>cualquier modalidad de coacción.</w:t>
        <w:br/>
        <w:br/>
        <w:t>Por otra parte, este Tribunal  considera  que  las  declaraciones  obtenidas</w:t>
        <w:br/>
        <w:t>mediante coacción no suelen ser veraces, ya que la persona intenta  aseverar</w:t>
        <w:br/>
        <w:t>lo necesario para lograr que los tratos crueles o la tortura cesen.  Por  lo</w:t>
        <w:br/>
        <w:t>anterior, para el Tribunal, aceptar o dar valor probatorio  a  declaraciones</w:t>
        <w:br/>
        <w:t>o confesiones obtenidas mediante coacción, que afecten a la persona o  a  un</w:t>
        <w:br/>
        <w:t>tercero, constituye  a  su  vez  una  infracción  a  un  juicio  justo[261].</w:t>
        <w:br/>
        <w:t>Asimismo, el carácter absoluto de la regla de exclusión se ve  reflejado  en</w:t>
        <w:br/>
        <w:t>la prohibición de otorgarle valor probatorio no sólo a  la  prueba  obtenida</w:t>
        <w:br/>
        <w:t>directamente  mediante  coacción,  sino  también  a  la  evidencia  que   se</w:t>
        <w:br/>
        <w:t>desprende de dicha acción. En consecuencia, la Corte considera  que  excluir</w:t>
        <w:br/>
        <w:t>la prueba que haya sido encontrada o derivada  de  la  información  obtenida</w:t>
        <w:br/>
        <w:t>mediante coacción, garantiza de manera adecuada la regla de exclusión.</w:t>
        <w:br/>
        <w:br/>
        <w:br/>
        <w:t>Algunos de estos elementos del derecho internacional se  ven  reflejados  en</w:t>
        <w:br/>
        <w:t>el derecho mexicano. El artículo 20 de la Constitución  vigente  al  momento</w:t>
        <w:br/>
        <w:t>de los hechos establecía que “[q]ueda prohibida y  será  sancionada  por  la</w:t>
        <w:br/>
        <w:t>ley  penal,  toda  incomunicación,  intimidación  o  tortura.  La  confesión</w:t>
        <w:br/>
        <w:t>rendida ante cualquier autoridad  distinta  del  Ministerio  Público  o  del</w:t>
        <w:br/>
        <w:t>juez, o ante éstos sin la asistencia de su defensor carecerá de  todo  valor</w:t>
        <w:br/>
        <w:t>probatorio”[262].</w:t>
        <w:br/>
        <w:br/>
        <w:t>Sin perjuicio de lo anterior, este Tribunal observa que el Comité contra  la</w:t>
        <w:br/>
        <w:t>Tortura, a partir de una visita realizada  a  México  en  2001,  indicó  que</w:t>
        <w:br/>
        <w:t>“[n]o obstante las  perentorias  disposiciones  constitucionales  y  legales</w:t>
        <w:br/>
        <w:t>[mexicanas]  sobre  la  inadmisibilidad  probatoria   de   una   declaración</w:t>
        <w:br/>
        <w:t>coaccionada, en los  hechos  resulta  extraordinariamente  difícil  para  el</w:t>
        <w:br/>
        <w:t>inculpado  lograr  la  exclusión  del  acervo  probatorio  de  la  confesión</w:t>
        <w:br/>
        <w:t>obtenida forzadamente. En la práctica los tribunales, ante  la  retractación</w:t>
        <w:br/>
        <w:t>del procesado de la  confesión  invocada  por  el  Ministerio  Público  como</w:t>
        <w:br/>
        <w:t>fundamento de la consignación, denunciando la tortura  o  coacción  mediante</w:t>
        <w:br/>
        <w:t>la  cual  se  le  obligó  a  prestarla,  no  disponen  ningún  procedimiento</w:t>
        <w:br/>
        <w:t>independiente para establecer si la confesión fue voluntaria”[263].</w:t>
        <w:br/>
        <w:br/>
        <w:t>Teniendo en cuenta los antecedentes mencionados, procede analizar si  en  el</w:t>
        <w:br/>
        <w:t>presente caso se utilizó una confesión coaccionada.  Cabe  señalar  que  los</w:t>
        <w:br/>
        <w:t>señores Cabrera y Montiel, que no sabrían  leer  ni  escribir  (supra  párr.</w:t>
        <w:br/>
        <w:t>149), estamparon sus huellas dactilares al pie de declaraciones en  las  que</w:t>
        <w:br/>
        <w:t>se confesaban actividades delictivas en tres oportunidades procesales:</w:t>
        <w:br/>
        <w:br/>
        <w:t xml:space="preserve">    • En la declaración ante el Ministerio Público de 4 de mayo de 1999,  el</w:t>
        <w:br/>
        <w:t xml:space="preserve">      señor Montiel Flores aceptó: i) el porte de un arma de  uso  privativo</w:t>
        <w:br/>
        <w:t xml:space="preserve">      del Ejército, específicamente una pistola  semiautomática  de  calibre</w:t>
        <w:br/>
        <w:t xml:space="preserve">      45; ii) portar sin licencia un rifle calibre 22, y iii) la portación y</w:t>
        <w:br/>
        <w:t xml:space="preserve">      siembra de marihuana. Por su parte, el señor Cabrera  García  confesó:</w:t>
        <w:br/>
        <w:t xml:space="preserve">      i) portar  un  arma  de  fuego  de  uso  privativo  del  Ejército,  en</w:t>
        <w:br/>
        <w:t xml:space="preserve">      particular un rifle MI calibre 7.62 mm,  así  como  un  cargador,  ii)</w:t>
        <w:br/>
        <w:t xml:space="preserve">      haber accionado un arma contra el Ejército, y  iii)  pertenecer  a  un</w:t>
        <w:br/>
        <w:t xml:space="preserve">      grupo armado ilegal (el EPR)[264].</w:t>
        <w:br/>
        <w:t xml:space="preserve">    • En la declaración ante el Ministerio Público de 6 de mayo de 1999,  el</w:t>
        <w:br/>
        <w:t xml:space="preserve">      señor Montiel Flores modificó la confesión inicial, por  lo  que  sólo</w:t>
        <w:br/>
        <w:t xml:space="preserve">      ratificó el porte del arma de fuego  de  uso  privativo  del  Ejército</w:t>
        <w:br/>
        <w:t xml:space="preserve">      (pistola calibre .45) y la siembra de marihuana. Por  otra  parte,  el</w:t>
        <w:br/>
        <w:t xml:space="preserve">      señor Cabrera García cambió el contenido de su declaración inicial, ya</w:t>
        <w:br/>
        <w:t xml:space="preserve">      que sólo aceptó el porte  de  un  arma  de  fuego  (rifle  MI  calibre</w:t>
        <w:br/>
        <w:t xml:space="preserve">      7.62)[265].</w:t>
        <w:br/>
        <w:t xml:space="preserve">    • En la declaración preparatoria de 7 de mayo de 1999 ante  el  Juez  de</w:t>
        <w:br/>
        <w:t xml:space="preserve">      Primera Instancia, el señor Montiel Flores sólo aceptó  el  porte  del</w:t>
        <w:br/>
        <w:t xml:space="preserve">      arma de fuego, mientras que el señor Cabrera García ratificó el  porte</w:t>
        <w:br/>
        <w:t xml:space="preserve">      del rifle y un cargador[266].</w:t>
        <w:br/>
        <w:br/>
        <w:br/>
        <w:t>Con posterioridad a esas  declaraciones,  las  víctimas  nunca  volvieron  a</w:t>
        <w:br/>
        <w:t>reconocer el haber cometido un hecho  punible.  La  defensa  en  el  proceso</w:t>
        <w:br/>
        <w:t>interno alegó que:</w:t>
        <w:br/>
        <w:br/>
        <w:t xml:space="preserve">      “[…] se desprende que mi[s]  representado[s]  fue[ron]  obligado[s]  a</w:t>
        <w:br/>
        <w:t xml:space="preserve">      firmar papeles, sin saber el  contenido  de  los  mismos,  los  cuales</w:t>
        <w:br/>
        <w:t xml:space="preserve">      resultaron  ser  sus  declaraciones  ministeriales  autoinculpatorias,</w:t>
        <w:br/>
        <w:t xml:space="preserve">      después  de  que  fue[ron]  incomunicado[s],  torturado[s],  física  y</w:t>
        <w:br/>
        <w:t xml:space="preserve">      psicológicamente con la amenaza de causar daño a su[s]  familia[s]  si</w:t>
        <w:br/>
        <w:t xml:space="preserve">      no lo hacían, solicito a esta autoridad  juzgadora  no  otorgue  valor</w:t>
        <w:br/>
        <w:t xml:space="preserve">      probatorio alguno al momento de resolver la presente causa”[267].</w:t>
        <w:br/>
        <w:br/>
        <w:t>La Corte observa que los tribunales que resolvieron sobre el  presente  caso</w:t>
        <w:br/>
        <w:t>indicaron que: i) no se comprobó la existencia de  malos  tratos  o  tortura</w:t>
        <w:br/>
        <w:t>con el fin de obtener la confesión de los señores  Cabrera  y  Montiel[268];</w:t>
        <w:br/>
        <w:t>ii) si bien no se demostró que las declaraciones ante el Ministerio  Público</w:t>
        <w:br/>
        <w:t>fueran inválidas por ser el resultado de un trato cruel, tortura  o  por  la</w:t>
        <w:br/>
        <w:t>incomunicación, los  señores  Cabrera  y  Montiel  aceptaron  ante  el  juez</w:t>
        <w:br/>
        <w:t>competente el día 7 de mayo de 1999 varios de los  delitos  por  los  cuales</w:t>
        <w:br/>
        <w:t>fueron condenados, razón por la cual su confesión sería válida[269], y  iii)</w:t>
        <w:br/>
        <w:t>por  lo  anterior,  se  le  otorgó  valor  probatorio  a  las  declaraciones</w:t>
        <w:br/>
        <w:t>realizadas  dicho  día[270].  No  obstante,  la  Corte  considera   que   al</w:t>
        <w:br/>
        <w:t>realizarse una comparación entre  los  delitos  aceptados  por  los  señores</w:t>
        <w:br/>
        <w:t>Cabrera y Montiel durante las tres declaraciones, y la sentencia  final  que</w:t>
        <w:br/>
        <w:t>los condenó, se puede  concluir  que  fueron  sentenciados  por  los  mismos</w:t>
        <w:br/>
        <w:t>delitos que confesaron durante la declaración del 7  de  mayo  de  1999.  En</w:t>
        <w:br/>
        <w:t>efecto, el señor Montiel Flores fue  condenado  por  el  porte  de  arma  de</w:t>
        <w:br/>
        <w:t>fuego, mientras que el señor Cabrera García por el  porte  del  rifle  y  el</w:t>
        <w:br/>
        <w:t>cargador.</w:t>
        <w:br/>
        <w:br/>
        <w:t>Para analizar la relación entre las tres  declaraciones,  la  Corte  observa</w:t>
        <w:br/>
        <w:t>que el Tribunal Europeo de Derechos  Humanos,  en  el  caso  Harutyunyan  v.</w:t>
        <w:br/>
        <w:t>Armenia, indicó que en caso  de  existir  evidencia  razonable  de  que  una</w:t>
        <w:br/>
        <w:t>persona ha sido torturada o tratada de manera cruel e inhumana, el hecho  de</w:t>
        <w:br/>
        <w:t>que ratifique la confesión ante una autoridad distinta a la que  realizó  la</w:t>
        <w:br/>
        <w:t>acción, no conlleva automáticamente  que  dicha  confesión  sea  válida.  Lo</w:t>
        <w:br/>
        <w:t>anterior, debido a que la confesión posterior puede ser la consecuencia  del</w:t>
        <w:br/>
        <w:t>maltrato que padeció la persona y específicamente, del  miedo  que  subsiste</w:t>
        <w:br/>
        <w:t>después de este tipo de hechos[271].</w:t>
        <w:br/>
        <w:br/>
        <w:t>La Corte comparte el criterio  anteriormente  descrito,  y  reitera  que  la</w:t>
        <w:br/>
        <w:t>situación de indefensión y  vulnerabilidad  en  la  que  se  encuentran  las</w:t>
        <w:br/>
        <w:t>personas a quienes en el momento de ser detenidas se  les  somete  a  tratos</w:t>
        <w:br/>
        <w:t>crueles, inhumanos y degradantes, con el objeto de suprimir  su  resistencia</w:t>
        <w:br/>
        <w:t>psíquica y forzarla a autoinculparse[272], pueden producir  sentimientos  de</w:t>
        <w:br/>
        <w:t>miedo, angustia e inferioridad capaz de humillar y devastar a una persona  y</w:t>
        <w:br/>
        <w:t>posiblemente quebrar su resistencia física y moral.</w:t>
        <w:br/>
        <w:br/>
        <w:br/>
        <w:t>Al respecto, la Corte ya constató que los señores Cabrera y  Montiel  fueron</w:t>
        <w:br/>
        <w:t>objeto de tratos crueles e inhumanos los días en  que  estuvieron  detenidos</w:t>
        <w:br/>
        <w:t>en Pizotla sin ser  remitidos  oportunamente  ante  una  autoridad  judicial</w:t>
        <w:br/>
        <w:t>competente (supra párr. 134). De lo anterior, es posible  concluir  que  los</w:t>
        <w:br/>
        <w:t>señores Cabrera y Montiel fueron objeto de tratos  crueles  con  el  fin  de</w:t>
        <w:br/>
        <w:t>doblegar su resistencia psíquica y obligarlos a autoinculparse o a  confesar</w:t>
        <w:br/>
        <w:t>determinadas  conductas  delictivas.  Los  tratos  crueles  proyectaron  sus</w:t>
        <w:br/>
        <w:t>efectos en las primeras declaraciones rendidas ante el  Ministerio  Público,</w:t>
        <w:br/>
        <w:t>así como a la declaración de 7 de mayo de 1999. En consecuencia, el juez  de</w:t>
        <w:br/>
        <w:t>instancia debió valorar este hecho y no  descartar  de  plano  los  alegatos</w:t>
        <w:br/>
        <w:t>presentados por las víctimas.</w:t>
        <w:br/>
        <w:br/>
        <w:br/>
        <w:t>Por el contrario, uno de  los  fundamentos  que  utilizaron  los  jueces  de</w:t>
        <w:br/>
        <w:t>instancia para no excluir la prueba del proceso se basó  en  que  “no  basta</w:t>
        <w:br/>
        <w:t>que alguien alegue que fue violentado física o  moralmente,  para  que  deba</w:t>
        <w:br/>
        <w:t>liberársele, puesto que, en principio debe probar que esa violencia  existió</w:t>
        <w:br/>
        <w:t>y luego, demostrar  que  la  misma  sirvió  de  medio  para  arrancarle  una</w:t>
        <w:br/>
        <w:t>confesión lo cual a  lo  mucho  la  invalidaría  […]”[273].  Igualmente,  el</w:t>
        <w:br/>
        <w:t>perito Coronado indicó que “si una confesión alegada de haber sido  obtenida</w:t>
        <w:br/>
        <w:t>mediante tortura no se demuestra en  un  juicio  que  efectivamente  hay  un</w:t>
        <w:br/>
        <w:t>torturador, la confesión va  a  pasar”.[274]  Como  mencionó  anteriormente,</w:t>
        <w:br/>
        <w:t>este Tribunal reitera que la carga probatoria de este tipo de  hechos  recae</w:t>
        <w:br/>
        <w:t>en el Estado (supra párr. 136), por lo que no es  válido  que  se  argumente</w:t>
        <w:br/>
        <w:t>que el denunciante no probó plenamente su denuncia para descartarla.</w:t>
        <w:br/>
        <w:br/>
        <w:t>Por todo lo anteriormente expuesto, la Corte  concluye  que  los  tribunales</w:t>
        <w:br/>
        <w:t>que conocieron la causa en todas las etapas  del  proceso  debieron  excluir</w:t>
        <w:br/>
        <w:t>totalmente las declaraciones ante  el  Ministerio  Público  y  la  confesión</w:t>
        <w:br/>
        <w:t>rendida el 7 de mayo de 1999, por cuanto la existencia de tratos  crueles  e</w:t>
        <w:br/>
        <w:t>inhumanos  inhabilitaba  el  uso  probatorio  de   dichas   evidencias,   de</w:t>
        <w:br/>
        <w:t>conformidad con los estándares internacionales anteriormente expuestos.  Por</w:t>
        <w:br/>
        <w:t>tanto, la Corte declara la violación del artículo 8.3, en  relación  con  el</w:t>
        <w:br/>
        <w:t>artículo 1.1 de  la  Convención  Americana,  en  perjuicio  de  los  señores</w:t>
        <w:br/>
        <w:t>Cabrera y Montiel.</w:t>
        <w:br/>
        <w:br/>
        <w:br/>
        <w:br/>
        <w:t xml:space="preserve">      3.    Principio de presunción de inocencia</w:t>
        <w:br/>
        <w:br/>
        <w:br/>
        <w:t>La Comisión no alegó la  violación  de  esta  garantía.  Los  representantes</w:t>
        <w:br/>
        <w:t>alegaron que “[l]a forma en que se realizó la integración  y  valoración  de</w:t>
        <w:br/>
        <w:t>la prueba […] muestra que el proceso penal estuvo destinado desde el  inicio</w:t>
        <w:br/>
        <w:t>a que se probara [la] culpabilidad [de  las  víctimas]”.  Señalaron  que  se</w:t>
        <w:br/>
        <w:t>“fragment[ó]  el  acervo  probatorio  dando  valor  únicamente  a   aquellas</w:t>
        <w:br/>
        <w:t>evidencias, que aunque fueran producidas de manera irregular,  servían  para</w:t>
        <w:br/>
        <w:t>sostener [su] participación […] en un  hecho  ilícito,  desechando  aquellas</w:t>
        <w:br/>
        <w:t>que necesariamente llevaban a la conclusión de que las evidencias  de  cargo</w:t>
        <w:br/>
        <w:t>habían  sido  fabricadas  y  las  confesiones,  arrancadas  bajo   tortura”.</w:t>
        <w:br/>
        <w:t>Adicionalmente, los jueces habrían trasladado la carga de la  prueba  a  las</w:t>
        <w:br/>
        <w:t>víctimas y habrían asumido que no era un deber  del  Estado  “constatar  que</w:t>
        <w:br/>
        <w:t>[sus] confesiones” fueran no coaccionadas.</w:t>
        <w:br/>
        <w:br/>
        <w:t>Por su parte, el Estado indicó que “aún cuando la detención de  los  señores</w:t>
        <w:br/>
        <w:t>[Cabrera y Montiel] tuvo verificativo  durante  la  comisión  de  un  delito</w:t>
        <w:br/>
        <w:t>flagrante  y  los  propios   detenidos   confesaron   haber   incurrido   en</w:t>
        <w:br/>
        <w:t>determinados hechos ilícitos”,  los  jueces  se  avocaron  a  “acreditar  la</w:t>
        <w:br/>
        <w:t>existencia del tipo penal y consecuentemente su  responsabilidad  criminal”.</w:t>
        <w:br/>
        <w:t>Asimismo, el Estado “destac[ó] que  en  ningún  momento  se  obstaculizó  la</w:t>
        <w:br/>
        <w:t>defensa […] y cada uno de los argumentos y  probanzas  por  ellos  ofrecidas</w:t>
        <w:br/>
        <w:t>fueron objeto de valoración jurídica”. Además, “la carga de la prueba de  la</w:t>
        <w:br/>
        <w:t>culpabilidad  recayó  en  el  [M]inisterio  [P]úblico,  el  cual  debió   de</w:t>
        <w:br/>
        <w:t>acreditar plenamente los elementos constitutivos  del  delito  basándose  en</w:t>
        <w:br/>
        <w:t>diversas evidencias que adminiculadas y correlacionadas  entre  sí  probaron</w:t>
        <w:br/>
        <w:t>la responsabilidad penal de los señores Montiel y Cabrera”.</w:t>
        <w:br/>
        <w:br/>
        <w:br/>
        <w:t>En el presente caso la sentencia de primera instancia estableció  que  “[se]</w:t>
        <w:br/>
        <w:t>ponder[ó] lo que  les  beneficia[ba]  y  les  perjudica[ba],  la  puesta  en</w:t>
        <w:br/>
        <w:t>peligro  de  la  salud,  la  tranquilidad,  paz  y  seguridad  pública,  […]</w:t>
        <w:br/>
        <w:t>determin[ándose] que el grado de culpabilidad”  de  los  señores  Cabrera  y</w:t>
        <w:br/>
        <w:t>Montiel “e[ra] mínimo, y  [que]  deb[ía]  imponérseles  las  penas  mínimas,</w:t>
        <w:br/>
        <w:t>máxime que no se acreditó concluyentemente  que  […]  pertene[cieran]  a  un</w:t>
        <w:br/>
        <w:t>grupo armado”[275].</w:t>
        <w:br/>
        <w:br/>
        <w:br/>
        <w:t>Por su parte, la sentencia de 21 de agosto de 2002 refirió que el  principio</w:t>
        <w:br/>
        <w:t>de inocencia  “queda[ba]  revalidado  al  haberse  demostrado  con  todo  el</w:t>
        <w:br/>
        <w:t>contexto probatorio [la] responsabilidad penal en  la  comisión  del  delito</w:t>
        <w:br/>
        <w:t>[lo cual] se […] d[io] por comprobado,  [con  las  pruebas]  que  resultaron</w:t>
        <w:br/>
        <w:t>aptas y suficientes para ello”[276]. En todo caso, la  ejecutoria  previa  a</w:t>
        <w:br/>
        <w:t>dicha sentencia enfatizó que “[el] Tribunal Federal  estimó  ineficaces  las</w:t>
        <w:br/>
        <w:t>probanzas que el Ministerio Público  recabó  en  la  etapa  de  averiguación</w:t>
        <w:br/>
        <w:t>previa, respecto a los delitos de portación de arma de fuego sin licencia  y</w:t>
        <w:br/>
        <w:t>contra la salud en la modalidad de siembra de marihuana”[277].</w:t>
        <w:br/>
        <w:br/>
        <w:br/>
        <w:t>Esta  Corte  ha  señalado  que  el  principio  de  presunción  de  inocencia</w:t>
        <w:br/>
        <w:t>constituye un fundamento de las garantías judiciales[278]. La presunción  de</w:t>
        <w:br/>
        <w:t>inocencia implica que el acusado no debe demostrar que  no  ha  cometido  el</w:t>
        <w:br/>
        <w:t>delito que se le atribuye, ya que  el  onus  probandi  corresponde  a  quien</w:t>
        <w:br/>
        <w:t>acusa[279]. Así, la demostración fehaciente de  la  culpabilidad  constituye</w:t>
        <w:br/>
        <w:t>un requisito indispensable para la sanción penal, de modo que  la  carga  de</w:t>
        <w:br/>
        <w:t>la prueba recae en la parte acusadora y no en el acusado[280].</w:t>
        <w:br/>
        <w:br/>
        <w:t>Asimismo, el Tribunal ha sostenido que tal y como se desprende del  artículo</w:t>
        <w:br/>
        <w:t>8.2 de la Convención, dicho principio exige que una  persona  no  pueda  ser</w:t>
        <w:br/>
        <w:t>condenada mientras no exista prueba plena de su  responsabilidad  penal.  Si</w:t>
        <w:br/>
        <w:t>obra  contra  ella  prueba  incompleta  o  insuficiente,  no  es  procedente</w:t>
        <w:br/>
        <w:t>condenarla, sino absolverla[281]. Así,  la  falta  de  prueba  plena  de  la</w:t>
        <w:br/>
        <w:t>responsabilidad  penal  en  una  sentencia   condenatoria   constituye   una</w:t>
        <w:br/>
        <w:t>violación al principio de  presunción  de  inocencia[282],  el  cual  es  un</w:t>
        <w:br/>
        <w:t>elemento esencial para la realización efectiva del derecho a  la  defensa  y</w:t>
        <w:br/>
        <w:t>acompaña al acusado durante toda la tramitación del proceso  hasta  que  una</w:t>
        <w:br/>
        <w:t>sentencia condenatoria que determine su culpabilidad quede firme[283].</w:t>
        <w:br/>
        <w:br/>
        <w:br/>
        <w:t>De acuerdo con lo establecido por  el  Tribunal  Europeo,  el  principio  de</w:t>
        <w:br/>
        <w:t>presunción de inocencia implica que los juzgadores  no  inicien  el  proceso</w:t>
        <w:br/>
        <w:t>con una idea preconcebida de que el acusado ha cometido el delito que se  le</w:t>
        <w:br/>
        <w:t>imputa, por lo que la carga de la prueba está  a  cargo  de  quien  acusa  y</w:t>
        <w:br/>
        <w:t>cualquier duda debe ser usada en beneficio del  acusado.  La  presunción  de</w:t>
        <w:br/>
        <w:t>inocencia se vulnera si antes de que el acusado sea encontrado culpable  una</w:t>
        <w:br/>
        <w:t>decisión  judicial  relacionada  con  él  refleja  la  opinión  de  que   es</w:t>
        <w:br/>
        <w:t>culpable[284].</w:t>
        <w:br/>
        <w:br/>
        <w:br/>
        <w:t>En el presente caso la Corte observa que en la  primera  etapa  del  proceso</w:t>
        <w:br/>
        <w:t>contra los señores Cabrera y Montiel se admitieron  pruebas  impugnadas  por</w:t>
        <w:br/>
        <w:t>la defensa como irregulares y fraudulentas.  Estos  cuestionamientos  fueron</w:t>
        <w:br/>
        <w:t>analizados por las diferentes instancias comprometidas en el proceso  y,  en</w:t>
        <w:br/>
        <w:t>algunos casos, se reconoció lo alegado por la defensa. En  efecto,  conforme</w:t>
        <w:br/>
        <w:t>lo estableció la ejecutoria de 14 de agosto de 2002, “[el] Tribunal  Federal</w:t>
        <w:br/>
        <w:t>estimó ineficaces las probanzas que  el  Ministerio  Público  recabó  en  la</w:t>
        <w:br/>
        <w:t>etapa de averiguación previa respecto a los delitos de portación de arma  de</w:t>
        <w:br/>
        <w:t>fuego sin licencia  y  contra  la  salud  en  la  modalidad  de  siembra  de</w:t>
        <w:br/>
        <w:t>marihuana” (supra párr. 73), con lo cual una parte de la prueba  cuestionada</w:t>
        <w:br/>
        <w:t>por la defensa no fue valorada al momento de determinar la  condena  de  las</w:t>
        <w:br/>
        <w:t>víctimas.</w:t>
        <w:br/>
        <w:br/>
        <w:br/>
        <w:t>La Corte observa que no encuentra prueba suficiente para  considerar  que  a</w:t>
        <w:br/>
        <w:t>las víctimas se les haya tratado como culpables. En efecto, a pesar  de  que</w:t>
        <w:br/>
        <w:t>se les asoció con una situación de flagrancia, en  términos  generales,  las</w:t>
        <w:br/>
        <w:t>instancias judiciales internas actuaron respecto  a  ellos  como  si  fuesen</w:t>
        <w:br/>
        <w:t>personas cuya responsabilidad penal estaba aún  pendiente  de  determinación</w:t>
        <w:br/>
        <w:t>clara y suficiente. Por ello, esta Corte estima que no se ha comprobado  que</w:t>
        <w:br/>
        <w:t>el Estado violó el artículo 8.2  de  la  Convención,  en  perjuicio  de  las</w:t>
        <w:br/>
        <w:t>víctimas, en relación con el juicio seguido en su contra.</w:t>
        <w:br/>
        <w:br/>
        <w:br/>
        <w:t xml:space="preserve">      Proceso penal para investigar  la  alegada  tortura  sufrida  por  los</w:t>
        <w:br/>
        <w:t xml:space="preserve">      señores Cabrera y Montiel</w:t>
        <w:br/>
        <w:br/>
        <w:br/>
        <w:t>La Comisión sostuvo  que  la  jurisdicción  militar  “no  era  la  autoridad</w:t>
        <w:br/>
        <w:t>competente para investigar los hechos, debido  a  que  la  justicia  militar</w:t>
        <w:br/>
        <w:t>debe  aplicarse  únicamente  cuando  se  atente  contra   bienes   jurídicos</w:t>
        <w:br/>
        <w:t>castrenses […]”. Así, consideró que la denuncia sobre  tortura  “sobrepas[a]</w:t>
        <w:br/>
        <w:t>cualquier función de defensa y seguridad [del Estado]”, y por lo  tanto  “no</w:t>
        <w:br/>
        <w:t>p[odría]  ser  considerada  [como  un]  delito  de  función   y   [que]   la</w:t>
        <w:br/>
        <w:t>investigación de estos hechos debió adelantarse [en  el]  fuero  ordinario”.</w:t>
        <w:br/>
        <w:t>Los representantes concordaron con la Comisión y agregaron  que  “el  juicio</w:t>
        <w:br/>
        <w:t>de amparo, que por definición constituye el mecanismo de  garantía  jurídica</w:t>
        <w:br/>
        <w:t>de los derechos fundamentales en México, resulta ineficaz para  impugnar  la</w:t>
        <w:br/>
        <w:t>extensión  del  fuero  militar,  al  establecer  supuestos  de  legitimación</w:t>
        <w:br/>
        <w:t>sumamente  limitados  cuando  las  víctimas  o  los  ofendidos  del   delito</w:t>
        <w:br/>
        <w:t>pretenden acudir a los  tribunales”.  Por  otra  parte,  los  representantes</w:t>
        <w:br/>
        <w:t>adujeron que la investigación de tortura no fue iniciada de oficio  por  las</w:t>
        <w:br/>
        <w:t>autoridades judiciales que recibieron la denuncia de los presuntos hechos.</w:t>
        <w:br/>
        <w:br/>
        <w:t>El Estado señaló que el presente caso “no  guarda  relación  alguna  con  la</w:t>
        <w:br/>
        <w:t>justicia militar en México”, ya que “la valoración y determinación sobre  la</w:t>
        <w:br/>
        <w:t>presunta comisión de tortura, fue considerada por tribunales  independientes</w:t>
        <w:br/>
        <w:t>e  imparciales,  pertenecientes  al  Poder  Judicial  del  Estado  mexicano,</w:t>
        <w:br/>
        <w:t>subsanando cualquier violación que, […], pudiera implicar una  investigación</w:t>
        <w:br/>
        <w:t>efectuada por una autoridad ministerial militar”. Además, aclaró que  aunque</w:t>
        <w:br/>
        <w:t>“las actuaciones de la Procuraduría Militar […] concluyeron la  inexistencia</w:t>
        <w:br/>
        <w:t>de tortura, no fueron tomadas en cuenta por el Poder  Judicial  para  emitir</w:t>
        <w:br/>
        <w:t>sus respectivas determinaciones”. Por otro lado, el Estado  indicó  que  “la</w:t>
        <w:br/>
        <w:t>defensa […] tuvo a su alcance y utilizó  exhaustivamente  diversos  recursos</w:t>
        <w:br/>
        <w:t>sencillos y expeditos que  jurídicamente  le  permitieron  alegar  ante  las</w:t>
        <w:br/>
        <w:t>instancias judiciales competentes los presuntos actos de  tortura”.  Resaltó</w:t>
        <w:br/>
        <w:t>que “[d]ichos recursos resultaron ser efectivos y eficaces para  la  defensa</w:t>
        <w:br/>
        <w:t>toda vez que en un primer momento, […],  el  Tribunal  Colegiado  ordenó  la</w:t>
        <w:br/>
        <w:t>valoración jurídica de una prueba pericial  que  pudo  haber  acreditado  la</w:t>
        <w:br/>
        <w:t>inocencia de las […]  víctimas[  y]  en  un  segundo  momento,  el  Tribunal</w:t>
        <w:br/>
        <w:t>Unitario otorgó la absolución del señor Rodolfo Montiel por la comisión  del</w:t>
        <w:br/>
        <w:t>delito contra la salud y consecuentemente la disminución de la pena”.</w:t>
        <w:br/>
        <w:br/>
        <w:t>La investigación promovida por las víctimas respecto a  los  alegados  actos</w:t>
        <w:br/>
        <w:t>de tortura en su contra fueron conducidas por autoridades  militares  debido</w:t>
        <w:br/>
        <w:t>a que el artículo 57, romano II, literal a) del Código de  Justicia  Militar</w:t>
        <w:br/>
        <w:t>establece que son delitos contra la disciplina militar aquellos  que  fueren</w:t>
        <w:br/>
        <w:t>cometidos por militares en momentos de estar en servicio  o  con  motivo  de</w:t>
        <w:br/>
        <w:t>actos del mismo.</w:t>
        <w:br/>
        <w:br/>
        <w:br/>
        <w:br/>
        <w:t xml:space="preserve">      1. La investigación de oficio en el fuero ordinario</w:t>
        <w:br/>
        <w:br/>
        <w:br/>
        <w:br/>
        <w:t>Durante las primeras etapas de la detención, los señores Cabrera  y  Montiel</w:t>
        <w:br/>
        <w:t>presentaron  diferentes  denuncias  por  los  alegados  actos   de   tortura</w:t>
        <w:br/>
        <w:t>cometidos en su contra. Ha sido señalado que si bien  en  sus  declaraciones</w:t>
        <w:br/>
        <w:t>ante el Ministerio Público  de  4  de  mayo  de  1999  no  hicieron  ninguna</w:t>
        <w:br/>
        <w:t>referencia a dichos actos[285], el 6 de mayo de 1999 sí denunciaron ante  el</w:t>
        <w:br/>
        <w:t>Ministerio Público de la Federación el  haber  sufrido  golpes  mientras  se</w:t>
        <w:br/>
        <w:t>encontraban en las instalaciones del  Ejército[286].  Igualmente,  el  7  de</w:t>
        <w:br/>
        <w:t>mayo de 1999 describieron ante el Juez Penal del Distrito Judicial de  Mina,</w:t>
        <w:br/>
        <w:t>distintas clases de vejámenes que habrían sufrido mientras  estuvieron  bajo</w:t>
        <w:br/>
        <w:t>custodia del Ejército[287]. Posteriormente, el  13  de  julio  de  1999  las</w:t>
        <w:br/>
        <w:t>víctimas rindieron una ampliación a  sus  declaraciones  preparatorias[288],</w:t>
        <w:br/>
        <w:t>reiterando que habían  sufrido  un  trato  degradante  y  las  amenazas  que</w:t>
        <w:br/>
        <w:t>habrían recibido por parte de los  agentes  estatales  con  el  fin  de  que</w:t>
        <w:br/>
        <w:t>aceptaran  firmar  una  confesión  (supra  párrs.   134   y   175).   Dichas</w:t>
        <w:br/>
        <w:t>declaraciones fueron ampliadas, a su vez, el 23 de diciembre  de  1999  ante</w:t>
        <w:br/>
        <w:t>el Juzgado Quinto de Distrito[289].</w:t>
        <w:br/>
        <w:br/>
        <w:br/>
        <w:t>No obstante dichas declaraciones, el 26 de agosto de 1999  la  defensa  tuvo</w:t>
        <w:br/>
        <w:t>que solicitar al Juez Quinto de Distrito que ordenara al Ministerio  Público</w:t>
        <w:br/>
        <w:t>investigar las alegaciones de tortura,  incomunicación  y  detención  ilegal</w:t>
        <w:br/>
        <w:t>que habrían sufrido los señores Cabrera y Montiel en las  instalaciones  del</w:t>
        <w:br/>
        <w:t>Ejército[290]. Así, el 31 de agosto de  1999  el  Juez  Quinto  de  Distrito</w:t>
        <w:br/>
        <w:t>ordenó al Ministerio Público investigar los hechos denunciados[291] y  el  1</w:t>
        <w:br/>
        <w:t>de octubre de 1999 el  Ministerio  Público  Federal  adscrito  a  Coyuca  de</w:t>
        <w:br/>
        <w:t>Catalán,  del  estado  de  Guerrero,  dio  inicio   a   la   correspondiente</w:t>
        <w:br/>
        <w:t>Averiguación Previa (supra párr. 74).</w:t>
        <w:br/>
        <w:br/>
        <w:br/>
        <w:t>La Corte ha señalado que del artículo 8 de la Convención  se  desprende  que</w:t>
        <w:br/>
        <w:t>las víctimas de violaciones de derechos humanos,  o  sus  familiares,  deben</w:t>
        <w:br/>
        <w:t>contar con amplias posibilidades de ser oídos y actuar  en  los  respectivos</w:t>
        <w:br/>
        <w:t>procesos, tanto en procura del esclarecimiento de los hechos y  del  castigo</w:t>
        <w:br/>
        <w:t>de  los  responsables,  como  en  busca  de  una   debida   reparación[292].</w:t>
        <w:br/>
        <w:t>Igualmente,  se  ha  señalado  que  el   artículo   8   de   la   Convención</w:t>
        <w:br/>
        <w:t>Interamericana para Prevenir y Sancionar  la  Tortura  establece  claramente</w:t>
        <w:br/>
        <w:t>que, “cuando exista denuncia o razón fundada para creer que se  ha  cometido</w:t>
        <w:br/>
        <w:t>un acto de tortura en el ámbito  de  su  jurisdicción,  los  Estados  partes</w:t>
        <w:br/>
        <w:t>garantizarán que sus respectivas  autoridades  procederán  de  oficio  y  de</w:t>
        <w:br/>
        <w:t>inmediato a realizar una investigación sobre el caso  y  a  iniciar,  cuando</w:t>
        <w:br/>
        <w:t>corresponda, el respectivo proceso penal”[293].  Asimismo,  el  Tribunal  ha</w:t>
        <w:br/>
        <w:t>señalado que la obligación de investigar y el correspondiente derecho de  la</w:t>
        <w:br/>
        <w:t>presunta víctima o de los familiares no sólo  se  desprende  de  las  normas</w:t>
        <w:br/>
        <w:t>convencionales de derecho internacional imperativas para los Estados  Parte,</w:t>
        <w:br/>
        <w:t>sino que además se deriva de la legislación interna que hace  referencia  al</w:t>
        <w:br/>
        <w:t>deber de investigar de oficio ciertas conductas ilícitas y a las normas  que</w:t>
        <w:br/>
        <w:t>permiten que las víctimas o sus familiares denuncien o presenten  querellas,</w:t>
        <w:br/>
        <w:t>pruebas o peticiones o  cualquier  otra  diligencia,  con  la  finalidad  de</w:t>
        <w:br/>
        <w:t>participar procesalmente en la investigación  penal  con  la  pretensión  de</w:t>
        <w:br/>
        <w:t>establecer la verdad de los hechos[294].</w:t>
        <w:br/>
        <w:br/>
        <w:t>Este  Tribunal  constata  que  la   investigación   contra   los   presuntos</w:t>
        <w:br/>
        <w:t>perpetradores de tortura fue iniciada más de tres meses después  de  que  se</w:t>
        <w:br/>
        <w:t>hiciera la primera mención sobre dichos actos cometidos  en  contra  de  los</w:t>
        <w:br/>
        <w:t>señores Cabrera y Montiel. Además, la Corte observa  que  se  dio  inicio  a</w:t>
        <w:br/>
        <w:t>dicha investigación por petición expresa de los  denunciantes  realizada  el</w:t>
        <w:br/>
        <w:t>26 de agosto de 1999 (supra  párr.  74).  Por  todo  lo  anterior,  para  el</w:t>
        <w:br/>
        <w:t>Tribunal es claro que el Estado incumplió su deber de investigar ex  officio</w:t>
        <w:br/>
        <w:t>los hechos violatorios de los derechos humanos  de  los  señores  Cabrera  y</w:t>
        <w:br/>
        <w:t>Montiel y, por lo tanto, la Corte concluye que el Estado violó  el  artículo</w:t>
        <w:br/>
        <w:t>8.1 de la Convención Americana, así como el  artículo  8  de  la  Convención</w:t>
        <w:br/>
        <w:t>Interamericana para Prevenir y Sancionar la Tortura.</w:t>
        <w:br/>
        <w:br/>
        <w:br/>
        <w:t xml:space="preserve">      Competencia de la jurisdicción penal militar</w:t>
        <w:br/>
        <w:br/>
        <w:br/>
        <w:t>Además de lo mencionado en relación con la investigación de oficio  respecto</w:t>
        <w:br/>
        <w:t>a los alegados actos de tortura, la Corte constata que el 10 de  octubre  de</w:t>
        <w:br/>
        <w:t>1999 el agente del  Ministerio  Público  Federal  realizó  una  consulta  de</w:t>
        <w:br/>
        <w:t>incompetencia por materia al  Agente  del  Ministerio  de  la  Federación  y</w:t>
        <w:br/>
        <w:t>Delegado Estatal de la Procuraduría General de la República en el estado  de</w:t>
        <w:br/>
        <w:t>Guerrero, ya que consideró que “los inculpados se  encontraban  desempeñando</w:t>
        <w:br/>
        <w:t>servicio de armas cuando cometieron los hechos delictuoso[s] y por lo  mismo</w:t>
        <w:br/>
        <w:t>deben considerarse como delitos contra la disciplina militar”[295]. El 5  de</w:t>
        <w:br/>
        <w:t>noviembre de  1999  el  Agente  del  Ministerio  Público  Federal  determinó</w:t>
        <w:br/>
        <w:t>declinar   la   competencia   para   continuar   con   las   investigaciones</w:t>
        <w:br/>
        <w:t>correspondientes al Agente del Ministerio Público Militar, debido a que  los</w:t>
        <w:br/>
        <w:t>probables  responsables  se  encontraban   en   funciones   como   elementos</w:t>
        <w:br/>
        <w:t>pertenecientes al  Ejército  mexicano  el  día  de  los  hechos.  El  14  de</w:t>
        <w:br/>
        <w:t>diciembre de 1999 dicho Representante Social  de  la  Federación  turnó  por</w:t>
        <w:br/>
        <w:t>incompetencia  a  su  homólogo  militar  en  la  35/a   Zona   Militar[296].</w:t>
        <w:br/>
        <w:t>Finalmente, el 13 de junio de  2000  la  Procuraduría  General  de  Justicia</w:t>
        <w:br/>
        <w:t>Militar habría emitido un auto de reserva de archivo al  considerar  que  no</w:t>
        <w:br/>
        <w:t>existían elementos que acreditaran la tortura[297].</w:t>
        <w:br/>
        <w:br/>
        <w:t>También ha sido señalado que (supra párr. 75),  paralelamente,  los  señores</w:t>
        <w:br/>
        <w:t>Cabrera y Montiel presentaron el 14 de mayo de  1999  un  escrito  de  queja</w:t>
        <w:br/>
        <w:t>sobre los hechos del presente caso  ante  la  Comisión  de  Defensa  de  los</w:t>
        <w:br/>
        <w:t>Derechos Humanos del estado de  Guerrero,  donde  se  inició  el  expediente</w:t>
        <w:br/>
        <w:t>CODDEHUM-CRTC/031/99-I, que en su oportunidad  fue  remitido  por  razón  de</w:t>
        <w:br/>
        <w:t>competencia a la CNDH, la cual inició una investigación para  corroborar  la</w:t>
        <w:br/>
        <w:t>ocurrencia de los mismos. De esta manera, la CNDH  emitió  la  Recomendación</w:t>
        <w:br/>
        <w:t>8/2000,  en  la  cual  determinó  que  “ante  el  silencio  reiterado  de[l]</w:t>
        <w:br/>
        <w:t>Instituto Armado[298]” dicha institución tuvo “por  ciertos  los  [alegados]</w:t>
        <w:br/>
        <w:t>actos de tortura”, de acuerdo con los artículos  38 y 70 de  la  Ley  de  la</w:t>
        <w:br/>
        <w:t>CNDH (supra párr. 75). Asimismo, en una de sus recomendaciones  dispuso  que</w:t>
        <w:br/>
        <w:t>“se dé intervención a la Procuraduría General de Justicia Militar, para  que</w:t>
        <w:br/>
        <w:t>inicie una averiguación previa  en  contra  de  los  miembros  del  Ejército</w:t>
        <w:br/>
        <w:t>[m]exicano que autorizaron,  supervisaron,  implementaron  y  ejecutaron  el</w:t>
        <w:br/>
        <w:t>operativo del 1º al 4º de mayo de 1999[299]”.</w:t>
        <w:br/>
        <w:br/>
        <w:br/>
        <w:t>En virtud de lo señalado por la CNDH, el Estado  dispuso  el  inicio  de  la</w:t>
        <w:br/>
        <w:t>averiguación  previa  SC/304/2000/VII-I.  El  10  de  febrero  de  2001   el</w:t>
        <w:br/>
        <w:t>Ministerio  Público  Militar  se  presentó  al  Penal  de   Iguala   de   la</w:t>
        <w:br/>
        <w:t>Independencia, en donde guardaban prisión las víctimas, para  ratificar  las</w:t>
        <w:br/>
        <w:t>denuncias que estos  presentaron.  Ese  mismo  día  los  señores  Cabrera  y</w:t>
        <w:br/>
        <w:t>Montiel presentaron un escrito a la PGJM,  en  el  cual  exigían  que  dicha</w:t>
        <w:br/>
        <w:t>institución declinara su competencia, devolviendo la Averiguación  Previa  a</w:t>
        <w:br/>
        <w:t>la  jurisdicción  del  Procurador  General  de  la  República[300].  En   el</w:t>
        <w:br/>
        <w:t>expediente ante la Corte no consta una respuesta a esta solicitud. El  3  de</w:t>
        <w:br/>
        <w:t>noviembre de 2001 el Ministerio Público Militar recomendó el archivo  de  la</w:t>
        <w:br/>
        <w:t>causa penal, ya que determinó que:</w:t>
        <w:br/>
        <w:br/>
        <w:t xml:space="preserve">      “del acervo probatorio que obra  en  la  presente  indagatoria  no  se</w:t>
        <w:br/>
        <w:t xml:space="preserve">      observan elementos  de  prueba  suficientes  para  acreditar  que  los</w:t>
        <w:br/>
        <w:t xml:space="preserve">      civiles RODOLFO MONTIEL FLORES Y TEODORO  CABRERA  GARCIA  hayan  sido</w:t>
        <w:br/>
        <w:t xml:space="preserve">      objeto de  actos  de  tortura  durante  el  tiempo  que  permanecieron</w:t>
        <w:br/>
        <w:t xml:space="preserve">      detenidos a disposición del personal militar.</w:t>
        <w:br/>
        <w:br/>
        <w:br/>
        <w:t xml:space="preserve">      […]</w:t>
        <w:br/>
        <w:br/>
        <w:br/>
        <w:t xml:space="preserve">      Remítase la presente  indagatoria  al  C.  Procurador  General  de  la</w:t>
        <w:br/>
        <w:t xml:space="preserve">      Justicia Militar, con informe justificado, proponiendo el no ejecercio</w:t>
        <w:br/>
        <w:t xml:space="preserve">      de la acción penal y el archivo de la indagatoria con las reservas  de</w:t>
        <w:br/>
        <w:t xml:space="preserve">      ley, a efecto de que previa opinión de sus Agentes Adscritos, resuelva</w:t>
        <w:br/>
        <w:t xml:space="preserve">      si confirma o no dicha propuesta […]”[301].</w:t>
        <w:br/>
        <w:br/>
        <w:br/>
        <w:t>Sobre la intervención de la jurisdicción militar  para  conocer  hechos  que</w:t>
        <w:br/>
        <w:t>constituyen violaciones a derechos humanos, este Tribunal  recuerda  que  se</w:t>
        <w:br/>
        <w:t>ha pronunciado al respecto en relación con México en la Sentencia  del  caso</w:t>
        <w:br/>
        <w:t>Radilla Pacheco, precedente que ha reiterado en los casos  Fernández  Ortega</w:t>
        <w:br/>
        <w:t>y Rosendo Cantú. Teniendo en cuenta lo anterior y lo señalado por el  Estado</w:t>
        <w:br/>
        <w:t>(supra  párr.  188),  a  efectos  del  presente  caso  el  Tribunal   estima</w:t>
        <w:br/>
        <w:t>suficiente reiterar que:</w:t>
        <w:br/>
        <w:br/>
        <w:t xml:space="preserve">      [e]n un Estado democrático de derecho, la jurisdicción  penal  militar</w:t>
        <w:br/>
        <w:t xml:space="preserve">      ha de tener un alcance restrictivo y excepcional y estar encaminada  a</w:t>
        <w:br/>
        <w:t xml:space="preserve">      la protección de intereses  jurídicos  especiales,  vinculados  a  las</w:t>
        <w:br/>
        <w:t xml:space="preserve">      funciones propias de las fuerzas militares. Por ello, el  Tribunal  ha</w:t>
        <w:br/>
        <w:t xml:space="preserve">      señalado anteriormente que en el fuero militar sólo se debe  juzgar  a</w:t>
        <w:br/>
        <w:t xml:space="preserve">      militares activos por la comisión de  delitos  o  faltas  que  por  su</w:t>
        <w:br/>
        <w:t xml:space="preserve">      propia naturaleza atenten contra bienes jurídicos  propios  del  orden</w:t>
        <w:br/>
        <w:t xml:space="preserve">      militar[302].</w:t>
        <w:br/>
        <w:br/>
        <w:br/>
        <w:t xml:space="preserve">      Asimismo, […] tomando en cuenta la naturaleza del  crimen  y  el  bien</w:t>
        <w:br/>
        <w:t xml:space="preserve">      jurídico lesionado, la jurisdicción  penal  militar  no  es  el  fuero</w:t>
        <w:br/>
        <w:t xml:space="preserve">      competente para investigar y, en su caso, juzgar  y  sancionar  a  los</w:t>
        <w:br/>
        <w:t xml:space="preserve">      autores de violaciones de derechos humanos sino que  el  procesamiento</w:t>
        <w:br/>
        <w:t xml:space="preserve">      de los responsables corresponde siempre a la  justicia  ordinaria.  En</w:t>
        <w:br/>
        <w:t xml:space="preserve">      tal sentido, la Corte en múltiples ocasiones ha indicado que “[c]uando</w:t>
        <w:br/>
        <w:t xml:space="preserve">      la justicia militar asume competencia sobre un asunto que debe conocer</w:t>
        <w:br/>
        <w:t xml:space="preserve">      la justicia ordinaria, se ve afectado el derecho al juez natural y,  a</w:t>
        <w:br/>
        <w:t xml:space="preserve">      fortiori, el  debido  proceso”,  el  cual,  a  su  vez,  se  encuentra</w:t>
        <w:br/>
        <w:t xml:space="preserve">      íntimamente ligado al propio derecho de acceso a la justicia. El  juez</w:t>
        <w:br/>
        <w:t xml:space="preserve">      encargado del conocimiento de una causa debe ser competente, además de</w:t>
        <w:br/>
        <w:t xml:space="preserve">      independiente e imparcial[303].</w:t>
        <w:br/>
        <w:br/>
        <w:br/>
        <w:t xml:space="preserve">      [F]rente a situaciones que vulneren derechos humanos de  civiles  bajo</w:t>
        <w:br/>
        <w:t xml:space="preserve">      ninguna circunstancia puede operar la jurisdicción militar[304].</w:t>
        <w:br/>
        <w:br/>
        <w:br/>
        <w:t xml:space="preserve">      La Corte [ha] destaca[do] que cuando los tribunales militares  conocen</w:t>
        <w:br/>
        <w:t xml:space="preserve">      de actos constitutivos de violaciones a derechos humanos en contra  de</w:t>
        <w:br/>
        <w:t xml:space="preserve">      civiles ejercen jurisdicción no solamente respecto  del  imputado,  el</w:t>
        <w:br/>
        <w:t xml:space="preserve">      cual necesariamente debe ser una persona con  estatus  de  militar  en</w:t>
        <w:br/>
        <w:t xml:space="preserve">      situación de actividad, sino también sobre  la  víctima  civil,  quien</w:t>
        <w:br/>
        <w:t xml:space="preserve">      tiene derecho a participar en el proceso penal no sólo para efectos de</w:t>
        <w:br/>
        <w:t xml:space="preserve">      la respectiva reparación del daño sino también  para  hacer  efectivos</w:t>
        <w:br/>
        <w:t xml:space="preserve">      sus derechos a la verdad y a la justicia  […].  En  tal  sentido,  las</w:t>
        <w:br/>
        <w:t xml:space="preserve">      víctimas de violaciones a derechos humanos  y  sus  familiares  tienen</w:t>
        <w:br/>
        <w:t xml:space="preserve">      derecho a que tales violaciones sean  conocidas  y  resueltas  por  un</w:t>
        <w:br/>
        <w:t xml:space="preserve">      tribunal competente, de conformidad con el debido proceso y el  acceso</w:t>
        <w:br/>
        <w:t xml:space="preserve">      a la justicia. La importancia del sujeto pasivo trasciende  la  esfera</w:t>
        <w:br/>
        <w:t xml:space="preserve">      del ámbito militar, ya que se encuentran involucrados bienes jurídicos</w:t>
        <w:br/>
        <w:t xml:space="preserve">      propios del régimen ordinario[305].</w:t>
        <w:br/>
        <w:br/>
        <w:t>En resumen, es jurisprudencia constante de esta Corte  que  la  jurisdicción</w:t>
        <w:br/>
        <w:t>militar no es el fuero competente para investigar y, en su  caso,  juzgar  y</w:t>
        <w:br/>
        <w:t>sancionar a los autores de alegadas vulneraciones de derechos humanos,  sino</w:t>
        <w:br/>
        <w:t>que el procesamiento de los responsables corresponde siempre a  la  justicia</w:t>
        <w:br/>
        <w:t>ordinaria.  Esta  conclusión  aplica  no  solo  para   casos   de   tortura,</w:t>
        <w:br/>
        <w:t>desaparición forzada y violación sexual, sino a  todas  las  violaciones  de</w:t>
        <w:br/>
        <w:t>derechos humanos.</w:t>
        <w:br/>
        <w:br/>
        <w:t>Los tratos crueles, inhumanos y  degradantes  cometidos  en  contra  de  una</w:t>
        <w:br/>
        <w:t>persona por parte de personal militar, son actos que no guardan,  en  ningún</w:t>
        <w:br/>
        <w:t>caso, relación con la disciplina o la misión castrense.  Por  el  contrario,</w:t>
        <w:br/>
        <w:t>los actos  alegados  cometidos  por  personal  militar  contra  los  señores</w:t>
        <w:br/>
        <w:t>Cabrera y Montiel afectaron bienes jurídicos tutelados por el derecho  penal</w:t>
        <w:br/>
        <w:t>interno y  la  Convención  Americana,  como  la  integridad  y  la  dignidad</w:t>
        <w:br/>
        <w:t>personal de  las  víctimas.  Es  claro  que  tal  conducta  es  abiertamente</w:t>
        <w:br/>
        <w:t>contraria a los deberes de respeto y protección de los derechos  humanos  y,</w:t>
        <w:br/>
        <w:t>por lo tanto, está excluida de la competencia de  la  jurisdicción  militar.</w:t>
        <w:br/>
        <w:t>Con base en  las  anteriores  consideraciones,  la  Corte  concluye  que  la</w:t>
        <w:br/>
        <w:t>intervención del fuero militar en  la  averiguación  previa  de  la  tortura</w:t>
        <w:br/>
        <w:t>contrarió  los  parámetros  de  excepcionalidad   y   restricción   que   lo</w:t>
        <w:br/>
        <w:t>caracterizan e implicó la aplicación de un  fuero  personal  que  operó  sin</w:t>
        <w:br/>
        <w:t>tomar en cuenta la naturaleza de los actos involucrados[306].</w:t>
        <w:br/>
        <w:br/>
        <w:t>Esta conclusión resulta válida en el presente caso, aun cuando el  hecho  no</w:t>
        <w:br/>
        <w:t>superó la etapa de investigación del Ministerio  Público  Militar.  Como  se</w:t>
        <w:br/>
        <w:t>desprende de los criterios señalados, la incompatibilidad de  la  Convención</w:t>
        <w:br/>
        <w:t>Americana con la intervención del fuero militar en este tipo de casos no  se</w:t>
        <w:br/>
        <w:t>refiere  únicamente  al  acto  de  juzgar  a  cargo  de  un  tribunal,  sino</w:t>
        <w:br/>
        <w:t>fundamentalmente  a  la  propia  investigación,  dado   que   su   actuación</w:t>
        <w:br/>
        <w:t>constituye  el  inicio  y  el  presupuesto  necesario  para   la   posterior</w:t>
        <w:br/>
        <w:t>intervención de un tribunal incompetente[307].</w:t>
        <w:br/>
        <w:br/>
        <w:br/>
        <w:t>Ahora bien, respecto a los alegatos del Estado  en  el  sentido  de  que  se</w:t>
        <w:br/>
        <w:t>subsanarían las falencias relacionadas con la intervención  de  la  justicia</w:t>
        <w:br/>
        <w:t>penal militar debido a que en la investigación contra los señores Cabrera  y</w:t>
        <w:br/>
        <w:t>Montiel en el fuero ordinario se ventilaron los alegatos de tortura  con  el</w:t>
        <w:br/>
        <w:t>fin de establecer si se debía excluir cierta  evidencia,  es  claro  que  el</w:t>
        <w:br/>
        <w:t>objetivo  exclusivo  de  dicho  proceso  no   era   investigar,   juzgar   y</w:t>
        <w:br/>
        <w:t>eventualmente sancionar a los presuntos  responsables  de  la  tortura.  Por</w:t>
        <w:br/>
        <w:t>tanto, no es posible subsanar o convalidar los efectos de una  investigación</w:t>
        <w:br/>
        <w:t>judicial iniciada en virtud de una denuncia específica de torturas  o  malos</w:t>
        <w:br/>
        <w:t>tratos, con las  decisiones  que  se  hayan  tomado  dentro  de  un  proceso</w:t>
        <w:br/>
        <w:t>judicial cuya línea investigativa no fue la de esclarecerlos,  sino  por  el</w:t>
        <w:br/>
        <w:t>contrario, investigar a los denunciantes. Con base en lo anterior, la  Corte</w:t>
        <w:br/>
        <w:t>concluye que el Estado violó el derecho a las garantías judiciales  previsto</w:t>
        <w:br/>
        <w:t>en el artículo 8.1, en relación con el artículo 1.1 de la de  la  Convención</w:t>
        <w:br/>
        <w:t>Americana, en perjuicio de los señores Cabrera y Montiel. Como lo  ha  hecho</w:t>
        <w:br/>
        <w:t>en casos anteriores[308], ante  la  conclusión  de  que  la  justicia  penal</w:t>
        <w:br/>
        <w:t>militar no resulta competente, el Tribunal considera  que  no  es  necesario</w:t>
        <w:br/>
        <w:t>pronunciarse respecto de otros alegatos sobre independencia o  imparcialidad</w:t>
        <w:br/>
        <w:t>del fuero militar o la eventual violación, con base en  los  mismos  hechos,</w:t>
        <w:br/>
        <w:t>de otros instrumentos interamericanos.</w:t>
        <w:br/>
        <w:br/>
        <w:br/>
        <w:t xml:space="preserve">      Recurso judicial efectivo en la jurisdicción penal militar</w:t>
        <w:br/>
        <w:br/>
        <w:br/>
        <w:t>En lo referente a la alegada  inexistencia  de  un  recurso  efectivo  para</w:t>
        <w:br/>
        <w:t>impugnar la competencia militar, la Corte ha señalado que el artículo  25.1</w:t>
        <w:br/>
        <w:t>de  la  Convención  contempla  la  obligación  de  los  Estados  Partes  de</w:t>
        <w:br/>
        <w:t>garantizar, a todas las personas bajo su jurisdicción, un recurso  judicial</w:t>
        <w:br/>
        <w:t>efectivo contra actos violatorios de sus derechos fundamentales[309].</w:t>
        <w:br/>
        <w:br/>
        <w:t>Como se indicó previamente (supra párr. 196), durante el transcurso  de  la</w:t>
        <w:br/>
        <w:t>averiguación previa SC/304/2000/VII-I, el 10 de febrero de 2001 los señores</w:t>
        <w:br/>
        <w:t>Cabrera y Montiel presentaron un escrito ante la  PGJM,  mediante  el  cual</w:t>
        <w:br/>
        <w:t>intentaron que dicha institución declinara su competencia y que, por tanto,</w:t>
        <w:br/>
        <w:t>se devolviera el proceso  a  la  jurisdicción  civil.  Sin  embargo,  dicha</w:t>
        <w:br/>
        <w:t>solicitud no fue contestada. Al respecto, los representantes  alegaron  que</w:t>
        <w:br/>
        <w:t>“ante esta omisión” las víctimas “quedaron imposibilitadas para impugnar la</w:t>
        <w:br/>
        <w:t>extensión del fuero militar sobre la investigación de la tortura  infligida</w:t>
        <w:br/>
        <w:t>en su contra”. El Estado  no  controvirtió  la  falta  de  respuesta  a  la</w:t>
        <w:br/>
        <w:t>mencionada solicitud ni se refirió a este alegato.</w:t>
        <w:br/>
        <w:br/>
        <w:t>En aplicación de los  estándares  señalados  anteriormente  respecto  a  la</w:t>
        <w:br/>
        <w:t>efectividad  de  los  recursos  judiciales,  y  teniendo  en   cuenta   las</w:t>
        <w:br/>
        <w:t>mencionadas decisiones en la jurisdicción militar, este  Tribunal  concluye</w:t>
        <w:br/>
        <w:t>que los señores Cabrera y Montiel no  pudieron  impugnar  efectivamente  la</w:t>
        <w:br/>
        <w:t>competencia de aquélla para conocer de  asuntos  que,  por  su  naturaleza,</w:t>
        <w:br/>
        <w:t>deben corresponder a las autoridades del fuero ordinario. En  consecuencia,</w:t>
        <w:br/>
        <w:t>los señores Cabrera y Montiel  no  contaron  con  recursos  efectivos  para</w:t>
        <w:br/>
        <w:t>impugnar el conocimiento de la alegada tortura por la jurisdicción militar.</w:t>
        <w:br/>
        <w:t>Con base en lo anterior, la Corte concluye que el Estado violó el derecho a</w:t>
        <w:br/>
        <w:t>la protección judicial previsto en el artículo 25.1,  en  relación  con  el</w:t>
        <w:br/>
        <w:t>artículo 1.1 de la  Convención  Americana,  en  perjuicio  de  los  señores</w:t>
        <w:br/>
        <w:t>Cabrera y Montiel.</w:t>
        <w:br/>
        <w:br/>
        <w:br/>
        <w:t xml:space="preserve">      Adecuación del derecho interno mexicano respecto a la intervención de</w:t>
        <w:br/>
        <w:t xml:space="preserve">      la jurisdicción penal militar</w:t>
        <w:br/>
        <w:br/>
        <w:br/>
        <w:t>Por otra parte, el Tribunal observa que la intervención  del  fuero  militar</w:t>
        <w:br/>
        <w:t>se basó en el artículo 57.II.a del Código de  Justicia  Militar[310]  (supra</w:t>
        <w:br/>
        <w:t>párr. 189). Al respecto, la Corte reitera que dicha norma:</w:t>
        <w:br/>
        <w:br/>
        <w:t xml:space="preserve">      es una disposición amplia e imprecisa que impide la  determinación  de</w:t>
        <w:br/>
        <w:t xml:space="preserve">      la estricta conexión del delito del fuero ordinario  con  el  servicio</w:t>
        <w:br/>
        <w:t xml:space="preserve">      castrense objetivamente valorado. La posibilidad de que los tribunales</w:t>
        <w:br/>
        <w:t xml:space="preserve">      castrenses juzguen a todo militar  al  que  se  le  imputa  un  delito</w:t>
        <w:br/>
        <w:t xml:space="preserve">      ordinario, por el sólo hecho de estar  en  servicio,  implica  que  el</w:t>
        <w:br/>
        <w:t xml:space="preserve">      fuero se otorga por la mera  circunstancia  de  ser  militar.  En  tal</w:t>
        <w:br/>
        <w:t xml:space="preserve">      sentido, aunque el delito sea cometido por militares en  los  momentos</w:t>
        <w:br/>
        <w:t xml:space="preserve">      de estar en servicio o con motivo de actos del mismo no es  suficiente</w:t>
        <w:br/>
        <w:t xml:space="preserve">      para  que  su   conocimiento   corresponda   a   la   justicia   penal</w:t>
        <w:br/>
        <w:t xml:space="preserve">      castrense[311].</w:t>
        <w:br/>
        <w:br/>
        <w:br/>
        <w:t>En el  caso  Radilla  Pacheco  el  Tribunal  consideró  que  la  disposición</w:t>
        <w:br/>
        <w:t>contenida en el mencionado artículo 57 opera como una regla y  no  como  una</w:t>
        <w:br/>
        <w:t>excepción, característica  ésta  última  indispensable  de  la  jurisdicción</w:t>
        <w:br/>
        <w:t>militar  para  ser  conforme  a  los  estándares   establecidos   por   esta</w:t>
        <w:br/>
        <w:t>Corte[312]. Al respecto, la Corte resalta  que  el  cumplimiento  de  dichos</w:t>
        <w:br/>
        <w:t>estándares se  da  con  la  investigación  de  todas  las  vulneraciones  de</w:t>
        <w:br/>
        <w:t>derechos humanos en el marco de la jurisdicción penal ordinaria, por lo  que</w:t>
        <w:br/>
        <w:t>no puede limitar su campo de aplicación  a  violaciones  específicas,  tales</w:t>
        <w:br/>
        <w:t>como la tortura, la desaparición forzada o la violación sexual. El  Tribunal</w:t>
        <w:br/>
        <w:t>recuerda  que  el  artículo  2  de  la  Convención  Americana  establece  la</w:t>
        <w:br/>
        <w:t>obligación general de todo Estado Parte de adecuar su derecho interno a  las</w:t>
        <w:br/>
        <w:t>disposiciones de la misma para garantizar los derechos en ella  reconocidos,</w:t>
        <w:br/>
        <w:t>lo cual implica que las medidas de derecho  interno  han  de  ser  efectivas</w:t>
        <w:br/>
        <w:t>(principio de effet utile)[313]. En consecuencia, la Corte concluye  que  el</w:t>
        <w:br/>
        <w:t>Estado incumplió la obligación contenida en el artículo 2, en  conexión  con</w:t>
        <w:br/>
        <w:t>los artículos 8 y 25 de la Convención Americana, al extender la  competencia</w:t>
        <w:br/>
        <w:t>del fuero castrense a  delitos  que  no  tienen  estricta  relación  con  la</w:t>
        <w:br/>
        <w:t>disciplina militar o con bienes jurídicos propios del ámbito castrense.</w:t>
        <w:br/>
        <w:br/>
        <w:br/>
        <w:t>Por último, los representantes señalaron, respecto  a  la  tipificación  del</w:t>
        <w:br/>
        <w:t>delito de tortura a nivel federal, que el artículo 3 de la Ley Federal  para</w:t>
        <w:br/>
        <w:t>Prevenir y Sancionar la Tortura de México restringe el móvil de  la  tortura</w:t>
        <w:br/>
        <w:t>a la hipótesis de “obtener, del torturado o de  un  tercero,  información  o</w:t>
        <w:br/>
        <w:t>una confesión, o castigarla por un acto que haya cometido o se  sospeche  ha</w:t>
        <w:br/>
        <w:t>cometido, o coaccionarla para que realice o deje de  realizar  una  conducta</w:t>
        <w:br/>
        <w:t>determinada”, lo cual no cumpliría  con  la  definición  consagrada  en  los</w:t>
        <w:br/>
        <w:t>artículos  2  de  la  Convención  Americana  y  1  y  6  de  la   Convención</w:t>
        <w:br/>
        <w:t>Interamericana para  Prevenir  y  Sancionar  la  Tortura.  Del  mismo  modo,</w:t>
        <w:br/>
        <w:t>resaltaron que, en el Código Penal del estado de Guerrero no existe un  tipo</w:t>
        <w:br/>
        <w:t>penal para el delito de tortura. Por su parte, el Estado  indicó  que  tanto</w:t>
        <w:br/>
        <w:t>la Convención como la CIPST  “establecen  una  obligación  general  para  el</w:t>
        <w:br/>
        <w:t>Estado de  tipificar  el  delito  de  tortura,  pero  no  la  obligación  de</w:t>
        <w:br/>
        <w:t>estipular una definición basada literalmente  en  l[o  establecido]  por  la</w:t>
        <w:br/>
        <w:t>CIPST”. Además,  el  Estado  mexicano  argumentó  que,  de  acuerdo  con  el</w:t>
        <w:br/>
        <w:t>artículo 3 de la Ley Federal para  Prevenir  y  Sancionar  la  Tortura,  “el</w:t>
        <w:br/>
        <w:t>delito de tortura se encuentra regulado en todas las entidades  federativas,</w:t>
        <w:br/>
        <w:t>ya sea en los códigos penales o en leyes especiales”. Al respecto, la  Corte</w:t>
        <w:br/>
        <w:t>observa  que  los  representantes  formularon  el  mencionado   alegato   de</w:t>
        <w:br/>
        <w:t>violación al artículo 2 de la Convención Americana, sin  que  se  expresaran</w:t>
        <w:br/>
        <w:t>las razones por las cuales lo anterior tenía un efecto en el presente  caso.</w:t>
        <w:br/>
        <w:t>Por tanto y como lo ha señalado  el  Tribunal  en  otras  oportunidades,  la</w:t>
        <w:br/>
        <w:t>Corte no puede hacer análisis en abstracto de normatividad que no se  aplicó</w:t>
        <w:br/>
        <w:t>o no tuvo efectos en el caso en concreto[314].</w:t>
        <w:br/>
        <w:br/>
        <w:t xml:space="preserve">                                      X</w:t>
        <w:br/>
        <w:t xml:space="preserve">                                Reparaciones</w:t>
        <w:br/>
        <w:t xml:space="preserve">          (Aplicación del artículo 63.1 de la Convención Americana)</w:t>
        <w:br/>
        <w:br/>
        <w:t>Sobre la base  de  lo  dispuesto  en  el  artículo  63.1  de  la  Convención</w:t>
        <w:br/>
        <w:t>Americana[315], la Corte ha indicado que toda violación  de  una  obligación</w:t>
        <w:br/>
        <w:t>internacional que  haya  producido  daño  comporta  el  deber  de  repararlo</w:t>
        <w:br/>
        <w:t>adecuadamente[316] y que esa disposición “recoge una  norma  consuetudinaria</w:t>
        <w:br/>
        <w:t>que  constituye  uno   de   los   principios   fundamentales   del   Derecho</w:t>
        <w:br/>
        <w:t>Internacional contemporáneo sobre responsabilidad de un Estado”[317].</w:t>
        <w:br/>
        <w:br/>
        <w:t>Este Tribunal ha establecido  que  las  reparaciones  deben 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respectivos. Por lo tanto, la Corte deberá observar dicha concurrencia  para</w:t>
        <w:br/>
        <w:t>pronunciarse debidamente y conforme a derecho[318].</w:t>
        <w:br/>
        <w:br/>
        <w:t>En consideración de las violaciones declaradas en los capítulos  anteriores,</w:t>
        <w:br/>
        <w:t>el Tribunal  procederá  a  analizar  las  pretensiones  presentadas  por  la</w:t>
        <w:br/>
        <w:t>Comisión y los representantes, así como los argumentos del Estado, a la  luz</w:t>
        <w:br/>
        <w:t>de los criterios fijados en la jurisprudencia de la Corte en relación  a  la</w:t>
        <w:br/>
        <w:t>naturaleza y alcance de la obligación de  reparar[319],  con  el  objeto  de</w:t>
        <w:br/>
        <w:t>disponer las medidas  dirigidas  a  reparar  los  daños  ocasionados  a  las</w:t>
        <w:br/>
        <w:t>víctimas. En cuanto a los argumentos del Estado, la Corte observa  que  sólo</w:t>
        <w:br/>
        <w:t>presentó  alegatos  específicos  sobre   algunas   medidas   de   reparación</w:t>
        <w:br/>
        <w:t>pretendidas. Por lo demás, de manera general, México  solicitó  al  Tribunal</w:t>
        <w:br/>
        <w:t>que desestime cualquier pretensión de reparación presentada por la  Comisión</w:t>
        <w:br/>
        <w:t>o los peticionarios.</w:t>
        <w:br/>
        <w:br/>
        <w:t>A.    Parte lesionada</w:t>
        <w:br/>
        <w:br/>
        <w:t>Se considera parte lesionada, en  los  términos  del  artículo  63.1  de  la</w:t>
        <w:br/>
        <w:t>Convención Americana, a quien ha sido declarado víctima de la  violación  de</w:t>
        <w:br/>
        <w:t>algún derecho consagrado en la misma[320]. Las víctimas en el presente  caso</w:t>
        <w:br/>
        <w:t>son los señores Teodoro Cabrera García y  Rodolfo  Montiel  Flores,  quienes</w:t>
        <w:br/>
        <w:t>serán  considerados  beneficiarios  de  las  reparaciones  que  ordene  este</w:t>
        <w:br/>
        <w:t>Tribunal.</w:t>
        <w:br/>
        <w:br/>
        <w:t>Por otro lado,  si  bien  los  representantes  presentaron  algunas  pruebas</w:t>
        <w:br/>
        <w:t>respecto de presuntos daños sufridos  por  los  familiares  de  los  señores</w:t>
        <w:br/>
        <w:t>Cabrera y Montiel como supuesta consecuencia de las violaciones  declaradas,</w:t>
        <w:br/>
        <w:t>la Corte observa que la Comisión no alegó en su informe de fondo  ni  en  la</w:t>
        <w:br/>
        <w:t>demanda que dichas  personas  fueron  víctimas  de  alguna  violación  a  un</w:t>
        <w:br/>
        <w:t>derecho consagrado en la Convención Americana (supra párr. 60). En razón  de</w:t>
        <w:br/>
        <w:t>lo anterior, y teniendo en cuenta la jurisprudencia  del  Tribunal[321],  la</w:t>
        <w:br/>
        <w:t>Corte no considera como “parte lesionada” a los familiares de  las  víctimas</w:t>
        <w:br/>
        <w:t>en el presente caso[322] y  precisa  que  serán  acreedores  a  reparaciones</w:t>
        <w:br/>
        <w:t>únicamente en calidad de derechohabientes, es decir, cuando la víctima  haya</w:t>
        <w:br/>
        <w:t>fallecido, y de conformidad con lo establecido en la legislación interna.</w:t>
        <w:br/>
        <w:br/>
        <w:br/>
        <w:t>B)    Obligación de investigar los hechos e identificar,  juzgar  y,  en  su</w:t>
        <w:br/>
        <w:t>caso, sancionar a los responsables</w:t>
        <w:br/>
        <w:br/>
        <w:br/>
        <w:t>La  Comisión  y  los  representantes  coincidieron  al  señalar   que   “una</w:t>
        <w:br/>
        <w:t>reparación integral exige que el Estado mexicano investigue  con  la  debida</w:t>
        <w:br/>
        <w:t>diligencia, en forma seria, imparcial y exhaustiva, las  violaciones  a  los</w:t>
        <w:br/>
        <w:t>derechos  humanos  sufridas  por  los  señores  Cabrera  y  Montiel  con  el</w:t>
        <w:br/>
        <w:t>propósito de esclarecer la  verdad  histórica  de  los  hechos,  procesar  y</w:t>
        <w:br/>
        <w:t>sancionar a todos los responsables, no solo materiales sino  intelectuales”.</w:t>
        <w:br/>
        <w:t>Así, solicitaron a la Corte que ordenara  al  Estado  “localizar,  juzgar  y</w:t>
        <w:br/>
        <w:t>sancionar  a  todos  los  partícipes  de   los   hechos”,   incluyendo   los</w:t>
        <w:br/>
        <w:t>responsables de las irregularidades y omisiones cometidas  en  los  procesos</w:t>
        <w:br/>
        <w:t>judiciales.</w:t>
        <w:br/>
        <w:br/>
        <w:t>La Corte ha establecido en la presente Sentencia que el  Estado  ha  violado</w:t>
        <w:br/>
        <w:t>los derechos  a  la  integridad  y  libertad  personales,  a  las  garantías</w:t>
        <w:br/>
        <w:t>judiciales y a la protección judicial reconocidos en los artículos 5,  7,  8</w:t>
        <w:br/>
        <w:t>y 25 de la Convención Americana, respectivamente  (supra  párrs.  137,  177,</w:t>
        <w:br/>
        <w:t>193, 201 y 204), así como los artículos 1, 6 y 8 de la  CIPST.  El  Tribunal</w:t>
        <w:br/>
        <w:t>analizó la forma como los  tribunales  del  fuero  ordinario  evaluaron  los</w:t>
        <w:br/>
        <w:t>alegatos sobre tortura presentados por las víctimas. Sin embargo,  la  Corte</w:t>
        <w:br/>
        <w:t>observa  que  el  único  proceso  judicial  con  el  objetivo  exclusivo  de</w:t>
        <w:br/>
        <w:t>investigar  las  denuncias  por  la  alegada  tortura  y  tratos  crueles  e</w:t>
        <w:br/>
        <w:t>inhumanos cometidos en contra de los señores Cabrera y Montiel, fue  seguido</w:t>
        <w:br/>
        <w:t>por los  órganos  de  investigación  penal  militar,  los  cuales   no  eran</w:t>
        <w:br/>
        <w:t>competentes para conocer de este caso (supra párr. 201).</w:t>
        <w:br/>
        <w:br/>
        <w:br/>
        <w:t>Por esta razón,  como  lo  ha  dispuesto  en  otras  oportunidades[323],  es</w:t>
        <w:br/>
        <w:t>necesario que dichos hechos sean efectivamente investigados por los  órganos</w:t>
        <w:br/>
        <w:t>y jurisdicción  ordinaria  en  un  proceso  dirigido  contra  los  presuntos</w:t>
        <w:br/>
        <w:t>responsables de  los  atentados  a  la  integridad  personal  ocurridos.  En</w:t>
        <w:br/>
        <w:t>consecuencia, el Tribunal dispone que el Estado  debe  conducir  eficazmente</w:t>
        <w:br/>
        <w:t>la investigación penal de los hechos del presente caso,  en  particular  por</w:t>
        <w:br/>
        <w:t>los alegados actos de tortura en contra de los señores  Cabrera  y  Montiel,</w:t>
        <w:br/>
        <w:t>para determinar las eventuales responsabilidades  penales  y,  en  su  caso,</w:t>
        <w:br/>
        <w:t>aplicar efectivamente las sanciones y consecuencias que la ley prevea.  Esta</w:t>
        <w:br/>
        <w:t>obligación debe  ser  cumplida  en  un  plazo  razonable,  considerando  los</w:t>
        <w:br/>
        <w:t>criterios señalados sobre investigaciones en este  tipo  de  casos[324],  lo</w:t>
        <w:br/>
        <w:t>cual incluye la debida  diligencia  en  la  investigación  de  las  diversas</w:t>
        <w:br/>
        <w:t>hipótesis sobre los  motivos  que  habrían  originado  los  atentados  a  la</w:t>
        <w:br/>
        <w:t>integridad personal de los señores Cabrera y Montiel. Al respecto, la  Corte</w:t>
        <w:br/>
        <w:t>observa que el Protocolo de Estambul  ya  ha  sido  incorporado  al  derecho</w:t>
        <w:br/>
        <w:t>interno (supra párr. 119) y es importante que  se  utilicen  sus  estándares</w:t>
        <w:br/>
        <w:t>para  fortalecer  la  debida  diligencia,  idoneidad  y   eficacia   de   la</w:t>
        <w:br/>
        <w:t>investigación respectiva. Asimismo,  corresponderá  adelantar  las  acciones</w:t>
        <w:br/>
        <w:t>disciplinarias, administrativas  o penales pertinentes en el evento  de  que</w:t>
        <w:br/>
        <w:t>en la investigación de los mencionados hechos se demuestren  irregularidades</w:t>
        <w:br/>
        <w:t>procesales e investigativas relacionadas con los mismos.</w:t>
        <w:br/>
        <w:br/>
        <w:br/>
        <w:br/>
        <w:t>C.     Medidas de satisfacción, rehabilitación y garantías de no repetición</w:t>
        <w:br/>
        <w:br/>
        <w:t>c.1   Medidas de satisfacción</w:t>
        <w:br/>
        <w:br/>
        <w:t xml:space="preserve">      i) Publicación de la Sentencia</w:t>
        <w:br/>
        <w:br/>
        <w:t>La Comisión solicitó a la Corte que ordene al Estado la  publicación  de  la</w:t>
        <w:br/>
        <w:t>Sentencia  en  un  medio  de  circulación   nacional.   Los   representantes</w:t>
        <w:br/>
        <w:t>precisaron que dicha publicación se debe llevar a cabo “tanto en  el  Diario</w:t>
        <w:br/>
        <w:t>Oficial de la Federación como en dos de los periódicos de mayor  circulación</w:t>
        <w:br/>
        <w:t>en  el  país  elegidos  de  común  acuerdo  con  las  víctimas”.   Asimismo,</w:t>
        <w:br/>
        <w:t>solicitaron que se publiquen extractos de  la  sentencia  en  “el  Periódico</w:t>
        <w:br/>
        <w:t>Oficial del [e]stado de Guerrero y en los medios de difusión internos de  la</w:t>
        <w:br/>
        <w:t>Procuraduría General de la República, del Poder Judicial de  la  Federación,</w:t>
        <w:br/>
        <w:t>de la Defensoría Pública Federal, de la Secretaría de  la  Defensa  Nacional</w:t>
        <w:br/>
        <w:t>(SEDENA) y  de  la  Secretaría  del  Medio  Ambiente  y  Recursos  Naturales</w:t>
        <w:br/>
        <w:t>(SEMARNAT)”. Por otro lado solicitó que,  “[e]n  vista  de  que  los  medios</w:t>
        <w:br/>
        <w:t>radiofónicos  son  los  más  utilizados  en  el  [e]stado  de  Guerrero,  la</w:t>
        <w:br/>
        <w:t>publicación  de  la  sentencia  [se  haga]  también  por   [dicho]   medio”,</w:t>
        <w:br/>
        <w:t>particularmente en los de “cobertura en los municipios de Petatlán y  Coyuca</w:t>
        <w:br/>
        <w:t>de Catalán”.</w:t>
        <w:br/>
        <w:br/>
        <w:t>Tal y como se ha ordenado en otras oportunidades[325], la Corte estima  que,</w:t>
        <w:br/>
        <w:t>como medida de satisfacción, el Estado debe publicar, por una sola  vez,  en</w:t>
        <w:br/>
        <w:t>el Diario Oficial de la Federación y Semanario Judicial de la  Federación  y</w:t>
        <w:br/>
        <w:t>su Gaceta, la presente Sentencia, con los respectivos títulos y  subtítulos,</w:t>
        <w:br/>
        <w:t>sin las notas al pie de página, así como la parte resolutiva  de  la  misma.</w:t>
        <w:br/>
        <w:t>Asimismo, el Estado deberá: i) publicar el resumen oficial de  la  Sentencia</w:t>
        <w:br/>
        <w:t>elaborado por la Corte en un diario de amplia circulación nacional y en  uno</w:t>
        <w:br/>
        <w:t>de amplia circulación en el estado de Guerrero;  ii)  publicar  íntegramente</w:t>
        <w:br/>
        <w:t>la presente Sentencia[326] en un sitio web oficial del Estado federal y  del</w:t>
        <w:br/>
        <w:t>estado de Guerrero, tomando en cuenta las características de la  publicación</w:t>
        <w:br/>
        <w:t>que se ordena realizar, la  cual  debe  permanecer  disponible  durante,  al</w:t>
        <w:br/>
        <w:t>menos, un período de un año, y iii) emitir el resumen oficial, por una  sola</w:t>
        <w:br/>
        <w:t>vez, en una emisora radial[327] que  tenga  cobertura  con  alcance  en  los</w:t>
        <w:br/>
        <w:t>municipios de Petatlán y Coyuca de Catalán. Para realizar las  publicaciones</w:t>
        <w:br/>
        <w:t>y las emisiones indicadas anteriormente se  fija  el  plazo  de  seis  meses</w:t>
        <w:br/>
        <w:t>contados a partir de la notificación de la presente Sentencia.</w:t>
        <w:br/>
        <w:br/>
        <w:t>c.2   Medidas de rehabilitación</w:t>
        <w:br/>
        <w:br/>
        <w:br/>
        <w:t xml:space="preserve">      i) Atención médica y psicológica</w:t>
        <w:br/>
        <w:br/>
        <w:br/>
        <w:t>La Comisión solicitó a la Corte que ordene  al  Estado  adoptar  medidas  de</w:t>
        <w:br/>
        <w:t>rehabilitación médica y psicológica a favor de las víctimas. Por  su  parte,</w:t>
        <w:br/>
        <w:t>los representantes agregaron que dicha  atención  debe  ser  realizada  “por</w:t>
        <w:br/>
        <w:t>profesionales competentes, que incluya  la  provisión  de  medicamentos  que</w:t>
        <w:br/>
        <w:t>requieran”. También solicitaron a la Corte que declare que  el  Estado  debe</w:t>
        <w:br/>
        <w:t>hacerse cargo de “otros gastos que  genere  la  provisión  del  tratamiento,</w:t>
        <w:br/>
        <w:t>tales como el transporte, entre otras necesidades que  puedan  presentarse”.</w:t>
        <w:br/>
        <w:t>Cabe destacar que para los representantes la “atención médica [debe ser]  de</w:t>
        <w:br/>
        <w:t>calidad vitalicia […]  en  razón  de  la  [alegada]  tortura  que  [se]  les</w:t>
        <w:br/>
        <w:t>[habría] inflingi[do a los señores  Cabrera  y  Montiel]”.  Además,  en  sus</w:t>
        <w:br/>
        <w:t>alegatos finales escritos, solicitaron se lleve a cabo “mediante un  esquema</w:t>
        <w:br/>
        <w:t>de reembolso que permita a las víctimas escoger a médicos  y  psicólogos  de</w:t>
        <w:br/>
        <w:t>su confianza”.</w:t>
        <w:br/>
        <w:br/>
        <w:t>En el informe psicológico de la perito Ana Deutsch se  diagnosticó  que  las</w:t>
        <w:br/>
        <w:t>víctimas tenían síntomas de estrés post traumático  y  de  depresión  mayor,</w:t>
        <w:br/>
        <w:t>vinculados al  daño  físico  derivado  de  los  atentados  a  la  integridad</w:t>
        <w:br/>
        <w:t>personal que sufrieron (supra párr. 125). Por su parte,  el  perito  Quiroga</w:t>
        <w:br/>
        <w:t>indicó que los atentados a la integridad personal ocurridos habían  generado</w:t>
        <w:br/>
        <w:t>síntomas que permanecen hasta el  día  de  hoy  y  que  justifican  atención</w:t>
        <w:br/>
        <w:t>médica[328].</w:t>
        <w:br/>
        <w:br/>
        <w:t>La Corte estima, como lo ha  hecho  en  otros  casos[329],  que  es  preciso</w:t>
        <w:br/>
        <w:t>disponer una medida de reparación que brinde una  atención  adecuada  a  los</w:t>
        <w:br/>
        <w:t>padecimientos físicos y psicológicos sufridos por las  víctimas,  atendiendo</w:t>
        <w:br/>
        <w:t>a sus especificidades. Por lo tanto, habiendo constatado las  violaciones  y</w:t>
        <w:br/>
        <w:t>los daños  sufridos  por  las  víctimas,  el  Tribunal  considera  necesario</w:t>
        <w:br/>
        <w:t>ordenar medidas de rehabilitación en el presente caso.  Asimismo,  la  Corte</w:t>
        <w:br/>
        <w:t>observa que actualmente el señor Montiel Flores no reside en  México  y  que</w:t>
        <w:br/>
        <w:t>el  señor Cabrera García no reside en el estado de Guerrero y desea  que  su</w:t>
        <w:br/>
        <w:t>sitio de residencia no sea revelado por razones de seguridad[330].</w:t>
        <w:br/>
        <w:br/>
        <w:t>Teniendo en cuenta lo anterior, la  Corte  considera  necesario  que  México</w:t>
        <w:br/>
        <w:t>proporcione a los señores Cabrera y Montiel una suma  destinada  a  sufragar</w:t>
        <w:br/>
        <w:t>los gastos de tratamiento  médico  y  psicológico  especializado,  así  como</w:t>
        <w:br/>
        <w:t>otros gastos conexos, en el lugar en que  residan.  Al  respecto,  la  Corte</w:t>
        <w:br/>
        <w:t>reitera que para la implementación de estas medidas el Estado  debe  obtener</w:t>
        <w:br/>
        <w:t>el consentimiento de las víctimas  brindando  información  previa,  clara  y</w:t>
        <w:br/>
        <w:t>suficiente. En consecuencia, dispone que el  Estado  debe  otorgar  por  una</w:t>
        <w:br/>
        <w:t>sola vez a cada una de las víctimas, en un plazo de  dos  meses  contados  a</w:t>
        <w:br/>
        <w:t>partir de la notificación de esta Sentencia, la suma de US$ 7.500,00  (siete</w:t>
        <w:br/>
        <w:t>mil quinientos dólares de los Estados Unidos de  América)  por  concepto  de</w:t>
        <w:br/>
        <w:t>tratamiento médico y psicológico especializado, así como por medicamentos  y</w:t>
        <w:br/>
        <w:t>otros gastos conexos.</w:t>
        <w:br/>
        <w:br/>
        <w:t xml:space="preserve">      ii)  Eliminar  los  nombres  de  las  víctimas  de  todo  registro  de</w:t>
        <w:br/>
        <w:t>delincuentes</w:t>
        <w:br/>
        <w:br/>
        <w:t>Los representantes sostuvieron  que  los  señores  Cabrera  y  Montiel  “son</w:t>
        <w:br/>
        <w:t>inocentes” de los cargos por los que fueron condenados. Por eso  solicitaron</w:t>
        <w:br/>
        <w:t>a la Corte que ordenara al Estado  mexicano  “que  tome  todas  las  medidas</w:t>
        <w:br/>
        <w:t>necesarias, de manera inmediata, para remover los  nombres  de  los  señores</w:t>
        <w:br/>
        <w:t>Montiel y Cabrera de cualquier registro de personas condenadas por  delitos,</w:t>
        <w:br/>
        <w:t>así como para eliminar permanentemente cualquier antecedente penal  generado</w:t>
        <w:br/>
        <w:t>por los hechos denunciados en el presente caso”. El Estado señaló que en  el</w:t>
        <w:br/>
        <w:t>presente  caso  no  procedía  eliminar  los  antecedentes  penales  de   los</w:t>
        <w:br/>
        <w:t>peticionarios, reiterando la no existencia de violaciones  a  la  Convención</w:t>
        <w:br/>
        <w:t>Americana como causa y que su liberación  se  debió  “a  consideraciones  de</w:t>
        <w:br/>
        <w:t>humanidad y no [a] faltas en el procedimiento”.</w:t>
        <w:br/>
        <w:br/>
        <w:t>La Corte ha señalado en diversos casos que  no  es  un  tribunal  penal  que</w:t>
        <w:br/>
        <w:t>analiza la responsabilidad criminal de los individuos y que  resolver  sobre</w:t>
        <w:br/>
        <w:t>la culpabilidad o inocencia de las personas es materia  de  la  jurisdicción</w:t>
        <w:br/>
        <w:t>penal  interna  respectiva[331].  A  la  luz  de  lo  anterior,  y  de   las</w:t>
        <w:br/>
        <w:t>violaciones declaradas en la presente  Sentencia,  este  Tribunal  considera</w:t>
        <w:br/>
        <w:t>que no es posible ordenar una reparación en los términos de lo solicitado.</w:t>
        <w:br/>
        <w:br/>
        <w:br/>
        <w:br/>
        <w:t>c.3   Garantías de no repetición</w:t>
        <w:br/>
        <w:br/>
        <w:t xml:space="preserve">             i)  Adecuación   del   derecho   interno   a   los   estándares</w:t>
        <w:br/>
        <w:t>internacionales en materia de justicia</w:t>
        <w:br/>
        <w:br/>
        <w:t>La Comisión solicitó a la Corte que ordene a México limitar  el  alcance  de</w:t>
        <w:br/>
        <w:t>la jurisdicción militar. Los representantes solicitaron “que  se  ordene  al</w:t>
        <w:br/>
        <w:t>Estado […] reformar el artículo 57 del Código de Justicia  Militar,  con  el</w:t>
        <w:br/>
        <w:t>fin de que establezca de manera clara, precisa y sin  ambigüedades,  que  la</w:t>
        <w:br/>
        <w:t>justicia militar debe abstenerse en  cualquier  supuesto  de  conocer  sobre</w:t>
        <w:br/>
        <w:t>violaciones a derechos humanos presuntamente cometidas por miembros  de  las</w:t>
        <w:br/>
        <w:t>fuerzas armadas  mexicanas,  encontrándose  o  no  en  servicio”.  Asimismo,</w:t>
        <w:br/>
        <w:t>solicitaron el establecimiento de un  “recurso  efectivo  para  impugnar  la</w:t>
        <w:br/>
        <w:t>decisión de traslado de un proceso a la jurisdicción  militar”.  Finalmente,</w:t>
        <w:br/>
        <w:t>ante la información estatal  en  cuanto  a  una  propuesta  de  reforma  del</w:t>
        <w:br/>
        <w:t>artículo 57 del Código de Justicia Militar en cumplimiento de  la  Sentencia</w:t>
        <w:br/>
        <w:t>de la Corte en el caso Radilla Pacheco,  los  representantes  señalaron  que</w:t>
        <w:br/>
        <w:t>“la información difundida por la Presidencia hace suponer que la  iniciativa</w:t>
        <w:br/>
        <w:t>de reforma [...] no cumplirá con [lo  establecido  en  dicha  Sentencia]”  y</w:t>
        <w:br/>
        <w:t>que, en todo caso, “la reforma […] no se ha producido”.</w:t>
        <w:br/>
        <w:br/>
        <w:t>Este Tribunal ha establecido en su jurisprudencia que es consciente  de  que</w:t>
        <w:br/>
        <w:t>las autoridades internas están sujetas al imperio de la  ley  y,  por  ello,</w:t>
        <w:br/>
        <w:t>están obligadas a aplicar las  disposiciones  vigentes  en  el  ordenamiento</w:t>
        <w:br/>
        <w:t>jurídico[332]. Pero cuando un Estado es Parte de  un  tratado  internacional</w:t>
        <w:br/>
        <w:t>como la Convención Americana,  todos  sus  órganos,  incluidos  sus  jueces,</w:t>
        <w:br/>
        <w:t>también están sometidos a aquél, lo cual les obliga  a  velar  por  que  los</w:t>
        <w:br/>
        <w:t>efectos de las disposiciones de la Convención no se  vean  mermados  por  la</w:t>
        <w:br/>
        <w:t>aplicación de normas contrarias a su objeto y  fin.  Los  jueces  y  órganos</w:t>
        <w:br/>
        <w:t>vinculados a la administración de justicia en todos los niveles están en  la</w:t>
        <w:br/>
        <w:t>obligación de ejercer ex officio un “control de convencionalidad” entre  las</w:t>
        <w:br/>
        <w:t>normas internas y la Convención Americana, evidentemente en el marco de  sus</w:t>
        <w:br/>
        <w:t>respectivas competencias y de las regulaciones procesales  correspondientes.</w:t>
        <w:br/>
        <w:t>En esta tarea, los jueces  y  órganos  vinculados  a  la  administración  de</w:t>
        <w:br/>
        <w:t>justicia deben tener en cuenta no solamente  el  tratado,  sino  también  la</w:t>
        <w:br/>
        <w:t>interpretación que del mismo ha hecho la  Corte  Interamericana,  intérprete</w:t>
        <w:br/>
        <w:t>última de la Convención Americana[333].</w:t>
        <w:br/>
        <w:br/>
        <w:t>Así, por ejemplo, tribunales de la más alta jerarquía en la  región  se  han</w:t>
        <w:br/>
        <w:t>referido y han aplicado el control de convencionalidad  teniendo  en  cuenta</w:t>
        <w:br/>
        <w:t>interpretaciones  efectuadas  por   la   Corte   Interamericana.   La   Sala</w:t>
        <w:br/>
        <w:t>Constitucional de la Corte Suprema de Justicia de  Costa  Rica  ha  señalado</w:t>
        <w:br/>
        <w:t>que:</w:t>
        <w:br/>
        <w:br/>
        <w:t xml:space="preserve">      debe advertirse que si la Corte Interamericana de Derechos Humanos  es</w:t>
        <w:br/>
        <w:t xml:space="preserve">      el órgano natural  para  interpretar  la  Convención  Americana  sobre</w:t>
        <w:br/>
        <w:t xml:space="preserve">      Derechos Humanos […], la fuerza  de  su  decisión  al  interpretar  la</w:t>
        <w:br/>
        <w:t xml:space="preserve">      convención y enjuiciar leyes nacionales a la luz de esta normativa, ya</w:t>
        <w:br/>
        <w:t xml:space="preserve">      sea en caso contencioso o en una mera consulta, tendrá –de  principio-</w:t>
        <w:br/>
        <w:t xml:space="preserve">      el mismo valor de la norma interpretada[334].</w:t>
        <w:br/>
        <w:br/>
        <w:t>Por su parte, el Tribunal Constitucional de Bolivia ha señalado que:</w:t>
        <w:br/>
        <w:br/>
        <w:t xml:space="preserve">      En efecto, el Pacto de San José de Costa Rica, como  norma  componente</w:t>
        <w:br/>
        <w:t xml:space="preserve">      del bloque de constitucionalidad, est[á] constituido por  tres  partes</w:t>
        <w:br/>
        <w:t xml:space="preserve">      esenciales, estrictamente vinculadas entre sí: la primera,  conformada</w:t>
        <w:br/>
        <w:t xml:space="preserve">      por el  preámbulo,  la  segunda  denominada  dogmática  y  la  tercera</w:t>
        <w:br/>
        <w:t xml:space="preserve">      referente a la parte orgánica. Precisamente, el Capítulo VIII de  este</w:t>
        <w:br/>
        <w:t xml:space="preserve">      instrumento regula a la C[orte] Interamericana de Derechos Humanos, en</w:t>
        <w:br/>
        <w:t xml:space="preserve">      consecuencia, siguiendo un criterio de  interpretación  constitucional</w:t>
        <w:br/>
        <w:t xml:space="preserve">      “sistémico”,  debe  establecerse  que  este  órgano  y  por  ende  las</w:t>
        <w:br/>
        <w:t xml:space="preserve">      decisiones que de él emanan, forman parte también de  este  bloque  de</w:t>
        <w:br/>
        <w:t xml:space="preserve">      constitucionalidad.</w:t>
        <w:br/>
        <w:br/>
        <w:br/>
        <w:t xml:space="preserve">      Esto es así por dos razones jurídicas concretas a saber: 1) El  objeto</w:t>
        <w:br/>
        <w:t xml:space="preserve">      de la competencia de la Corte Interamericana de Derechos  Humanos;  y,</w:t>
        <w:br/>
        <w:t xml:space="preserve">      2) La aplicación de la doctrina del efecto útil de las sentencias  que</w:t>
        <w:br/>
        <w:t xml:space="preserve">      versan sobre Derechos Humanos[335].</w:t>
        <w:br/>
        <w:br/>
        <w:t>Asimismo,  la  Suprema  Corte  de  Justicia  de  República   Dominicana   ha</w:t>
        <w:br/>
        <w:t>establecido que:</w:t>
        <w:br/>
        <w:br/>
        <w:t xml:space="preserve">      en consecuencia, es de carácter vinculante para el Estado  dominicano,</w:t>
        <w:br/>
        <w:t xml:space="preserve">      y, por ende, para el Poder  Judicial,  no  sólo  la  normativa  de  la</w:t>
        <w:br/>
        <w:t xml:space="preserve">      Convención Americana sobre Derechos Humanos sino sus  interpretaciones</w:t>
        <w:br/>
        <w:t xml:space="preserve">      dadas  por  los  órganos  jurisdiccionales,  creados  como  medios  de</w:t>
        <w:br/>
        <w:t xml:space="preserve">      protección,  conforme  el  artículo  33  de  ésta,  que  le   atribuye</w:t>
        <w:br/>
        <w:t xml:space="preserve">      competencia  para  conocer  de  los  asuntos   relacionados   con   el</w:t>
        <w:br/>
        <w:t xml:space="preserve">      cumplimiento  de  los   compromisos   contraídos   por   los   Estados</w:t>
        <w:br/>
        <w:t xml:space="preserve">      partes[336].</w:t>
        <w:br/>
        <w:br/>
        <w:br/>
        <w:t>De otro lado, el Tribunal Constitucional del Perú ha afirmado que:</w:t>
        <w:br/>
        <w:br/>
        <w:t xml:space="preserve">      La vinculatoriedad de las sentencias de la C[orte  Interamericana]  no</w:t>
        <w:br/>
        <w:t xml:space="preserve">      se agota en su parte resolutiva (la cual, ciertamente, alcanza sólo al</w:t>
        <w:br/>
        <w:t xml:space="preserve">      Estado que es parte  en  el  proceso),  sino  que  se  extiende  a  su</w:t>
        <w:br/>
        <w:t xml:space="preserve">      fundamentación o ratio decidendi, con el agregado de que, por  imperio</w:t>
        <w:br/>
        <w:t xml:space="preserve">      de  la  [Cuarta  Disposición  Final  y  Transitoria  (CDFT)]   de   la</w:t>
        <w:br/>
        <w:t xml:space="preserve">      Constitución y  el  artículo  V  del  Título  Preliminar  del  [Código</w:t>
        <w:br/>
        <w:t xml:space="preserve">      Procesal  Constitucional],  en  dicho  ámbito  la  sentencia   resulta</w:t>
        <w:br/>
        <w:t xml:space="preserve">      vinculante para todo poder público nacional, incluso en aquellos casos</w:t>
        <w:br/>
        <w:t xml:space="preserve">      en los que el Estado peruano no haya sido  parte  en  el  proceso.  En</w:t>
        <w:br/>
        <w:t xml:space="preserve">      efecto, la capacidad interpretativa y aplicativa de la Convención  que</w:t>
        <w:br/>
        <w:t xml:space="preserve">      tiene la C[orte Interamericana], reconocida en  el  artículo  62.3  de</w:t>
        <w:br/>
        <w:t xml:space="preserve">      dicho tratado, aunada al mandato de la CDFT de la  Constitución,  hace</w:t>
        <w:br/>
        <w:t xml:space="preserve">      que la interpretación de las disposiciones de  la  Convención  que  se</w:t>
        <w:br/>
        <w:t xml:space="preserve">      realiza en  todo  proceso,  sea  vinculante  para  todos  los  poderes</w:t>
        <w:br/>
        <w:t xml:space="preserve">      públicos internos, incluyendo, desde luego, a este Tribunal[337].</w:t>
        <w:br/>
        <w:br/>
        <w:br/>
        <w:t>230. Dicho Tribunal también ha establecido que:</w:t>
        <w:br/>
        <w:br/>
        <w:br/>
        <w:t xml:space="preserve">      se desprende la vinculación directa entre la Corte  Interamericana  de</w:t>
        <w:br/>
        <w:t xml:space="preserve">      Derechos Humanos y este Tribunal Constitucional; vinculación que tiene</w:t>
        <w:br/>
        <w:t xml:space="preserve">      una doble vertiente: por un lado,  reparadora,  pues  interpretado  el</w:t>
        <w:br/>
        <w:t xml:space="preserve">      derecho fundamental vulnerado a la luz de las decisiones de la  Corte,</w:t>
        <w:br/>
        <w:t xml:space="preserve">      queda optimizada la posibilidad de dispensársele una adecuada y eficaz</w:t>
        <w:br/>
        <w:t xml:space="preserve">      protección; y, por otro, preventiva, pues mediante su  observancia  se</w:t>
        <w:br/>
        <w:t xml:space="preserve">      evitan las nefastas consecuencias  institucionales  que  acarrean  las</w:t>
        <w:br/>
        <w:t xml:space="preserve">      sentencias  condenatorias  de  la  Corte  Interamericana  de  Derechos</w:t>
        <w:br/>
        <w:t xml:space="preserve">      Humanos para la seguridad jurídica del Estado peruano[338].</w:t>
        <w:br/>
        <w:br/>
        <w:t>La Corte Suprema de Justicia de la Nación de Argentina ha referido  que  las</w:t>
        <w:br/>
        <w:t>decisiones  de  la  Corte   Interamericana   “resulta[n]   de   cumplimiento</w:t>
        <w:br/>
        <w:t>obligatorio para el Estado Argentino (art. 68.1, CADH)”, por lo  cual  dicha</w:t>
        <w:br/>
        <w:t>Corte ha establecido que “en principio, debe subordinar el contenido de  sus</w:t>
        <w:br/>
        <w:t>decisiones a las de dicho tribunal  internacional”[339].  Igualmente,  dicha</w:t>
        <w:br/>
        <w:t>Corte Suprema estableció “que la interpretación de la  Convención  Americana</w:t>
        <w:br/>
        <w:t>sobre Derechos Humanos debe  guiarse  por  la  jurisprudencia  de  la  Corte</w:t>
        <w:br/>
        <w:t>Interamericana de Derechos Humanos” ya que se  “trata  de  una  insoslayable</w:t>
        <w:br/>
        <w:t>pauta de interpretación para  los  poderes  constituidos  argentinos  en  el</w:t>
        <w:br/>
        <w:t>ámbito de su competencia y, en consecuencia, también para la  Corte  Suprema</w:t>
        <w:br/>
        <w:t>de Justicia de la Nación, a  los  efectos  de  resguardar  las  obligaciones</w:t>
        <w:br/>
        <w:t>asumidas por el Estado argentino en el Sistema Interamericano de  Protección</w:t>
        <w:br/>
        <w:t>de los Derechos Humanos”[340].</w:t>
        <w:br/>
        <w:br/>
        <w:t>Además, la Corte Constitucional de Colombia ha señalado  que  en  virtud  de</w:t>
        <w:br/>
        <w:t>que  la  Constitución  colombiana  señala  que  los   derechos   y   deberes</w:t>
        <w:br/>
        <w:t>constitucionales  deben  interpretarse  “de  conformidad  con  los  tratados</w:t>
        <w:br/>
        <w:t>internacionales sobre derechos humanos ratificados por Colombia”, se  deriva</w:t>
        <w:br/>
        <w:t>“que la jurisprudencia de  las  instancias  internacionales,  encargadas  de</w:t>
        <w:br/>
        <w:t>interpretar esos tratados, constituye  un  criterio  hermenéutico  relevante</w:t>
        <w:br/>
        <w:t>para establecer el sentido de las  normas  constitucionales  sobre  derechos</w:t>
        <w:br/>
        <w:t>fundamentales”[341].</w:t>
        <w:br/>
        <w:br/>
        <w:t>De tal manera, como se  indicó  en  los  Casos  Radilla  Pacheco,  Fernández</w:t>
        <w:br/>
        <w:t>Ortega  y   Rosendo   Cantú,   es   necesario   que   las   interpretaciones</w:t>
        <w:br/>
        <w:t>constitucionales y legislativas referidas a  los  criterios  de  competencia</w:t>
        <w:br/>
        <w:t>material y personal de la jurisdicción militar en México, se adecuen  a  los</w:t>
        <w:br/>
        <w:t>principios establecidos en la jurisprudencia de este Tribunal que  han  sido</w:t>
        <w:br/>
        <w:t>reiterados en el presente caso[342] y que aplican  para  toda  violación  de</w:t>
        <w:br/>
        <w:t>derechos humanos que se  alegue  hayan  cometido  miembros  de  las  fuerzas</w:t>
        <w:br/>
        <w:t>armadas. Ello implica que, independientemente de las  reformas  legales  que</w:t>
        <w:br/>
        <w:t>el Estado deba adoptar (infra párr. 234), en el presente caso corresponde  a</w:t>
        <w:br/>
        <w:t>las autoridades judiciales, con base  en  el  control  de  convencionalidad,</w:t>
        <w:br/>
        <w:t>disponer inmediatamente y de oficio el conocimiento de  los  hechos  por  el</w:t>
        <w:br/>
        <w:t>juez natural, es decir el fuero penal ordinario[343].</w:t>
        <w:br/>
        <w:br/>
        <w:t>Por otra parte, este Tribunal recuerda que ya consideró, en el Caso  Radilla</w:t>
        <w:br/>
        <w:t>Pacheco, reiterado en los casos Fernández Ortega y Rosendo Cantú, que no  es</w:t>
        <w:br/>
        <w:t>necesario ordenar la modificación del  contenido  normativo  que  regula  el</w:t>
        <w:br/>
        <w:t>artículo 13 de la Constitución Política de los Estados Unidos Mexicanos.  En</w:t>
        <w:br/>
        <w:t>cambio, como ha sido declarado en el  Capítulo  IX  de  esta  Sentencia,  el</w:t>
        <w:br/>
        <w:t>artículo  57  del  Código  de  Justicia  Militar  es  incompatible  con   la</w:t>
        <w:br/>
        <w:t>Convención Americana (supra párr. 206). En consecuencia,  la  Corte  reitera</w:t>
        <w:br/>
        <w:t>al Estado su obligación de adoptar, en  un  plazo  razonable,  las  reformas</w:t>
        <w:br/>
        <w:t>legislativas pertinentes para compatibilizar la citada disposición  con  los</w:t>
        <w:br/>
        <w:t>estándares internacionales en la materia y de la  Convención  Americana,  de</w:t>
        <w:br/>
        <w:t>conformidad con lo establecido en esta Sentencia[344].</w:t>
        <w:br/>
        <w:br/>
        <w:br/>
        <w:t>Finalmente, de acuerdo con lo establecido en el Capítulo IX de  este  Fallo,</w:t>
        <w:br/>
        <w:t>los señores Cabrera  y  Montiel  no  contaron  con  un  recurso  adecuado  y</w:t>
        <w:br/>
        <w:t>efectivo a través del cual fuera posible  impugnar  la  intervención  de  la</w:t>
        <w:br/>
        <w:t>jurisdicción militar en el proceso seguido por aquellos contra los  alegados</w:t>
        <w:br/>
        <w:t>actos de tortura en su contra (supra párr. 204). En  consecuencia,  como  se</w:t>
        <w:br/>
        <w:t>estableció en los Casos  Fernández  Ortega  y  Rosendo  Cantú,  México  debe</w:t>
        <w:br/>
        <w:t>adoptar,  también  en  un  plazo  razonable,   las   reformas   legislativas</w:t>
        <w:br/>
        <w:t>pertinentes para permitir que las personas que  se  vean  afectadas  por  la</w:t>
        <w:br/>
        <w:t>intervención  del  fuero  militar  cuenten  con  un  recurso  efectivo  para</w:t>
        <w:br/>
        <w:t>impugnar su competencia[345].</w:t>
        <w:br/>
        <w:br/>
        <w:t xml:space="preserve">      ii) Adecuación del derecho interno a  los  estándares  internacionales</w:t>
        <w:br/>
        <w:t>en materia de tortura</w:t>
        <w:br/>
        <w:br/>
        <w:t>La Comisión solicitó a la Corte que ordenara al Estado “que  adopte  medidas</w:t>
        <w:br/>
        <w:t>legislativas, administrativas y de cualquier otra índole, con el  objeto  de</w:t>
        <w:br/>
        <w:t>adecuar  la  legislación  y  las  prácticas  mexicanas  a   los   estándares</w:t>
        <w:br/>
        <w:t>interamericanos en materia de tortura”. Por  su  parte,  los  representantes</w:t>
        <w:br/>
        <w:t>llamaron la atención sobre la omisión  de  la  tipificación  del  delito  de</w:t>
        <w:br/>
        <w:t>tortura en el estado  de  Guerrero,  lo  que  según  ellos  “constituye  una</w:t>
        <w:br/>
        <w:t>violación flagrante al párrafo segundo  del  artículo  6  de  la  Convención</w:t>
        <w:br/>
        <w:t>Interamericana para Prevenir y Sancionar la Tortura”. Al respecto, la  Corte</w:t>
        <w:br/>
        <w:t>concluyó  en  párrafos  anteriores  (supra  párr.  207)  que  los   alegatos</w:t>
        <w:br/>
        <w:t>presentados sobre este tema no configuraban una violación del artículo 2  de</w:t>
        <w:br/>
        <w:t>la  Convención  Americana,  razón  por  la  cual  no  procede  ordenar   una</w:t>
        <w:br/>
        <w:t>reparación sobre el particular.</w:t>
        <w:br/>
        <w:br/>
        <w:t xml:space="preserve">      iii) Adopción de un mecanismo  de  registro  de  detenidos  público  y</w:t>
        <w:br/>
        <w:t>accesible</w:t>
        <w:br/>
        <w:br/>
        <w:t>La Comisión solicitó la “adop[ción de]  las  medidas  necesarias  a  fin  de</w:t>
        <w:br/>
        <w:t>asegurar la presentación sin demora de toda persona detenida ante un juez  u</w:t>
        <w:br/>
        <w:t>otro funcionario con la autoridad suficiente para controlar la legalidad  de</w:t>
        <w:br/>
        <w:t>la detención”.</w:t>
        <w:br/>
        <w:br/>
        <w:t>Los representantes solicitaron “la creación  de  un  registro  de  detenidos</w:t>
        <w:br/>
        <w:t>público, accesible e inmediato”, en todos los sitios “donde las  personas  a</w:t>
        <w:br/>
        <w:t>quienes se imputa un delito son detenidas antes de ser presentadas  ante  el</w:t>
        <w:br/>
        <w:t>juez competente”. Dicho registro debería especificar el nombre del  servidor</w:t>
        <w:br/>
        <w:t>público a cargo de la investigación; pues si  bien  reconocieron  la  actual</w:t>
        <w:br/>
        <w:t>existencia de registros  de  detención,  también  señalaron  que  “éstos  en</w:t>
        <w:br/>
        <w:t>muchos casos carecen de información completa y fidedigna[ y que t]ampoco  se</w:t>
        <w:br/>
        <w:t>realizan de  forma  inmediata,  prerrequisito  fundamental  para  la  tutela</w:t>
        <w:br/>
        <w:t>efectiva de los derechos del detenido”. Este registro  deberá  contener  con</w:t>
        <w:br/>
        <w:t>especificidad “[l]a hora,  lugar,  circunstancias  de  la  detención;  lugar</w:t>
        <w:br/>
        <w:t>[d]onde será llevada la persona detenida y probable hora  de  llegada;  hora</w:t>
        <w:br/>
        <w:t>de llegada; situación procesal del detenido; nombres de las personas que  en</w:t>
        <w:br/>
        <w:t>cada momento ostentan  la  custodia  física  inmediata,  y  nombres  de  las</w:t>
        <w:br/>
        <w:t>personas que ostentan la custodia legal del detenido”.</w:t>
        <w:br/>
        <w:br/>
        <w:t>En sus alegatos finales escritos los representantes informaron  que  la  Ley</w:t>
        <w:br/>
        <w:t>General del Sistema Nacional de Seguridad  Pública  “establece  un  registro</w:t>
        <w:br/>
        <w:t>administrativo de detenciones así como los datos que debe contener,  recabar</w:t>
        <w:br/>
        <w:t>o actualizar”; pero también sostuvieron que el referido registro “se  limita</w:t>
        <w:br/>
        <w:t>a recabar datos de identificación de  la  persona  e  información  sobre  la</w:t>
        <w:br/>
        <w:t>detención en sí, más  el  lugar  a  dónde  la  autoridad  captora  dice  que</w:t>
        <w:br/>
        <w:t>finalmente será trasladado el detenido, lo  cual  deja  sin  registra[r]  la</w:t>
        <w:br/>
        <w:t>cadena de  custodia  de  la  persona  a  partir  de  la  detención.  Tampoco</w:t>
        <w:br/>
        <w:t>garantiza acceso a la información sobre el paradero  físico  del  detenido”.</w:t>
        <w:br/>
        <w:t>Finalmente agregaron que “no existe  una  contradicción  entre  un  registro</w:t>
        <w:br/>
        <w:t>público  de  detenidos  y  los  derechos  de  los  mismos   [(privacidad   y</w:t>
        <w:br/>
        <w:t>dignidad)]”, ya  que  existirían  “varias  técnicas”  para  conciliar  ambos</w:t>
        <w:br/>
        <w:t>derechos y superar el obstáculo mencionado por el Estado.</w:t>
        <w:br/>
        <w:br/>
        <w:t>Frente a ello, el Estado hizo presente que los representantes  reconocen  la</w:t>
        <w:br/>
        <w:t>existencia de un registro de detenidos en México, con  “características  que</w:t>
        <w:br/>
        <w:t>salvaguardan la privacidad”. Sostuvo que la Ley Federal de  Transparencia  y</w:t>
        <w:br/>
        <w:t>Acceso a la Información Pública Gubernamental  y  su  reglamento  determinan</w:t>
        <w:br/>
        <w:t>que  “las  autoridades  no  se  encuentran  autorizadas  para   revelar   la</w:t>
        <w:br/>
        <w:t>información consistente en datos  personales,  salvo  que  medie  aceptación</w:t>
        <w:br/>
        <w:t>expresa del interesado”,  y  que  “[b]ajo  ninguna  circunstancia  se  podrá</w:t>
        <w:br/>
        <w:t>proporcionar información contenida en [tal registro] a terceros”.  Asimismo,</w:t>
        <w:br/>
        <w:t>enfatizó que la citada ley prevé  como  reservada  aquella  información  que</w:t>
        <w:br/>
        <w:t>“pueda impedir u obstruir las acciones o medidas implementadas  para  evitar</w:t>
        <w:br/>
        <w:t>la comisión de [delitos], o bien, las atribuciones que ejerce el  Ministerio</w:t>
        <w:br/>
        <w:t>Público durante la averiguación previa  y  ante  los  tribunales  del  Poder</w:t>
        <w:br/>
        <w:t>Judicial de la Federación”. Además de lo anterior, se refirió  al  “Registro</w:t>
        <w:br/>
        <w:t>Administrativo de Detenciones”, su contenido, la necesidad de actualizar  la</w:t>
        <w:br/>
        <w:t>información contenida en él, y  la  disposición  relevante  que  señala  que</w:t>
        <w:br/>
        <w:t>“[e]l Ministerio Público y la policía deberán informar a quien  lo  solicite</w:t>
        <w:br/>
        <w:t>de la detención  de  una  persona  y,  en  su  caso,  la  autoridad  a  cuya</w:t>
        <w:br/>
        <w:t>disposición se encuentre”.</w:t>
        <w:br/>
        <w:br/>
        <w:t>Como se desprende de los  anexos  presentados  por  el  Estado,  la  reforma</w:t>
        <w:br/>
        <w:t>constitucional del año 2008 se refiere a un  registro  de  detenciones[346],</w:t>
        <w:br/>
        <w:t>cuya existencia no es alcanzada por el  período  de  ocho  años  de  vacatio</w:t>
        <w:br/>
        <w:t>legis  establecida  en  las  disposiciones  transitorias  de  dicha  reforma</w:t>
        <w:br/>
        <w:t>constitucional[347]. Asimismo, consta en autos que en el  Estado  de  México</w:t>
        <w:br/>
        <w:t>ya existe un sistema de registro que debe servir para “informar a  quien  lo</w:t>
        <w:br/>
        <w:t>solicite de la detención de  una  persona”[348].  Sobre  la  pertinencia  de</w:t>
        <w:br/>
        <w:t>impulsar un mayor acceso público a este registro y su debida  actualización,</w:t>
        <w:br/>
        <w:t>el Subcomité de las Naciones Unidas para la Prevención  de  la  Tortura,  en</w:t>
        <w:br/>
        <w:t>2010, recomendó:</w:t>
        <w:br/>
        <w:br/>
        <w:br/>
        <w:t xml:space="preserve">      [Q]ue las Procuradurias confeccionen un sistema de cadena de  custodia</w:t>
        <w:br/>
        <w:t xml:space="preserve">      de las personas detenidas con un registro normalizado para anotar,  en</w:t>
        <w:br/>
        <w:t xml:space="preserve">      el instante preciso y  de  forma  completa,  la  información  esencial</w:t>
        <w:br/>
        <w:t xml:space="preserve">      acerca  de  la  privación  de  libertad  de  una  persona  y  de   los</w:t>
        <w:br/>
        <w:t xml:space="preserve">      funcionarios bajo cuya responsabilidad se encuentra en  cada  momento,</w:t>
        <w:br/>
        <w:t xml:space="preserve">      así como de los  médicos  responsables  de  certificar  su  integridad</w:t>
        <w:br/>
        <w:t xml:space="preserve">      física y mental. Ello debe permitir que los funcionarios  responsables</w:t>
        <w:br/>
        <w:t xml:space="preserve">      y  las  personas  interesadas  tengan  acceso  a   esta   información,</w:t>
        <w:br/>
        <w:t xml:space="preserve">      preservándose desde luego los derechos a la intimidad, al honor y a la</w:t>
        <w:br/>
        <w:t xml:space="preserve">      vida privada de las personas bajo custodia. Todas las entradas  en  el</w:t>
        <w:br/>
        <w:t xml:space="preserve">      registro deberían estar firmadas por un oficial  y  validadas  por  un</w:t>
        <w:br/>
        <w:t xml:space="preserve">      superior[349].</w:t>
        <w:br/>
        <w:br/>
        <w:t>Asimismo, la Corte observa que según la Ley General del Sistema Nacional  de</w:t>
        <w:br/>
        <w:t>Seguridad  Pública,  los  datos  contenidos  en  el  registro   pueden   ser</w:t>
        <w:br/>
        <w:t>entregados a quienes soliciten información  sobre  una  persona  actualmente</w:t>
        <w:br/>
        <w:t>detenida, lo que permite que se cumpla con la finalidad de  auxiliar  en  la</w:t>
        <w:br/>
        <w:t>defensa de los derechos de los detenidos. El Tribunal  considera  pertinente</w:t>
        <w:br/>
        <w:t>que se adopten las medidas para evitar que un mayor acceso  público  a  esta</w:t>
        <w:br/>
        <w:t>información afecte el derecho a la vida privada,  entre  otros  derechos  de</w:t>
        <w:br/>
        <w:t>los detenidos.</w:t>
        <w:br/>
        <w:br/>
        <w:br/>
        <w:t>Teniendo en cuenta lo expuesto, la Corte considera  que,  en  el  marco  del</w:t>
        <w:br/>
        <w:t>registro de detención  que  actualmente  existe  en  México,  es  procedente</w:t>
        <w:br/>
        <w:t>adoptar  las  siguientes  medidas   complementarias   para   fortalecer   el</w:t>
        <w:br/>
        <w:t>funcionamiento y utilidad de dicho  sistema:  i)  actualización  permanente;</w:t>
        <w:br/>
        <w:t>ii) interconexión de la base de  datos  de  dicho  registro  con  las  demás</w:t>
        <w:br/>
        <w:t>existentes, de  manera  que  se  genere  una  red  que  permita  identificar</w:t>
        <w:br/>
        <w:t>fácilmente el paradero de las personas detenidas; iii) garantizar que  dicho</w:t>
        <w:br/>
        <w:t>registro respete las exigencias de acceso a la información y  privacidad,  y</w:t>
        <w:br/>
        <w:t>iv) implementar  un  mecanismo  de  control  para  que  las  autoridades  no</w:t>
        <w:br/>
        <w:t>incumplan con llevar al día este registro.</w:t>
        <w:br/>
        <w:br/>
        <w:t xml:space="preserve">      iv) Programas de formación de funcionarios</w:t>
        <w:br/>
        <w:br/>
        <w:t>La Comisión solicitó  a  la  Corte  que  ordene  al  Estado  de  México  que</w:t>
        <w:br/>
        <w:t>desarrolle “programas de  formación  para  los  funcionarios  estatales  que</w:t>
        <w:br/>
        <w:t>tenga en cuenta las normas internacionales establecidas en el  Protocolo  de</w:t>
        <w:br/>
        <w:t>Estambul, con el fin de que dichos funcionarios cuenten  con  los  elementos</w:t>
        <w:br/>
        <w:t>técnicos y científicos  necesarios  para  evaluar  posibles  situaciones  de</w:t>
        <w:br/>
        <w:t>tortura o tratos crueles, inhumanos  o  degradantes”.  La  Comisión  también</w:t>
        <w:br/>
        <w:t>solicitó  a  la  Corte  que  ordene  al   Estado   implementar,   “programas</w:t>
        <w:br/>
        <w:t>permanentes de educación en derechos humanos dentro de las  Fuerzas  Armadas</w:t>
        <w:br/>
        <w:t>mexicanas, en todos los  niveles  jerárquicos”.  Por  su  parte,  el  Estado</w:t>
        <w:br/>
        <w:t>afirmó  que  “[l]a  Procuraduría  General  de  la  República  se   encuentra</w:t>
        <w:br/>
        <w:t>trabajando en la implementación del Protocolo de Estambul en todo  el  país,</w:t>
        <w:br/>
        <w:t>capacitando  a  los  servidores  públicos  adscritos  a  las   Procuradurías</w:t>
        <w:br/>
        <w:t>Generales de Justicia de las entidades  del  país”.  A  mayor  abundamiento,</w:t>
        <w:br/>
        <w:t>manifestó que la Secretaría de Seguridad Pública, “a través de la  Dirección</w:t>
        <w:br/>
        <w:t>General de Derechos Humanos lleva a cabo talleres y cursos  de  capacitación</w:t>
        <w:br/>
        <w:t>desarrollados para prevenir la tortura en  el  ejercicio  de  las  funciones</w:t>
        <w:br/>
        <w:t>propias de seguridad pública y mejorar la implementación  del  Protocolo  de</w:t>
        <w:br/>
        <w:t>Estambul”. Por su parte, el  Estado  señaló  que  el  Programa  Nacional  de</w:t>
        <w:br/>
        <w:t>Derechos Humanos 2008-2012 se hallaba capacitando servidores públicos de  la</w:t>
        <w:br/>
        <w:t>Policía  Federal  Ministerial.  Asimismo,  indicó  que  la  capacitación  en</w:t>
        <w:br/>
        <w:t>materia de derechos humanos se realiza  mediante  el  Programa  Nacional  de</w:t>
        <w:br/>
        <w:t>Derechos Humanos  (PNDH),  en  coordinación  con  la  Comisión  Nacional  de</w:t>
        <w:br/>
        <w:t>Derechos Humanos; el Taller de Derechos Humanos  y  Principios  Humanitarios</w:t>
        <w:br/>
        <w:t>aplicables  en  la  función  policial  en   coordinación   con   el   Comité</w:t>
        <w:br/>
        <w:t>Internacional de la Cruz  Roja,  y  mediante  cursos,  talleres,  seminarios</w:t>
        <w:br/>
        <w:t>internacionales y videoconferencias</w:t>
        <w:br/>
        <w:br/>
        <w:t>La Corte valora positivamente la existencia de diversas  acciones  y  cursos</w:t>
        <w:br/>
        <w:t>de capacitación desarrollados por el Estado. Al respecto, considera que  los</w:t>
        <w:br/>
        <w:t>mismos deben incluir, en lo pertinente,  el  estudio  de  las  disposiciones</w:t>
        <w:br/>
        <w:t>previstas en el Protocolo de  Estambul.  Por  tanto,  y  como  lo  ha  hecho</w:t>
        <w:br/>
        <w:t>anteriormente[350],   el   Tribunal   dispone   que   el   Estado   continúe</w:t>
        <w:br/>
        <w:t>implementando  programas  y  cursos  permanentes   de   capacitación   sobre</w:t>
        <w:br/>
        <w:t>investigación diligente en casos de tratos crueles, inhumanos o  degradantes</w:t>
        <w:br/>
        <w:t>y tortura. Dichos cursos deberán impartirse a los funcionarios  federales  y</w:t>
        <w:br/>
        <w:t>del  estado  de  Guerrero,  particularmente  a  integrantes  del  Ministerio</w:t>
        <w:br/>
        <w:t>Público, del Poder Judicial, de la Policía así como a  personal  del  sector</w:t>
        <w:br/>
        <w:t>salud con competencia en este  tipo  de  casos  y  que  por  motivo  de  sus</w:t>
        <w:br/>
        <w:t>funciones sean llamados  a  atender  víctimas  que  alegan  atentados  a  su</w:t>
        <w:br/>
        <w:t>integridad personal. Además, este Tribunal considera  importante  fortalecer</w:t>
        <w:br/>
        <w:t>las capacidades institucionales  del  Estado  mediante  la  capacitación  de</w:t>
        <w:br/>
        <w:t>funcionarios de las  Fuerzas  Armadas  sobre  los  principios  y  normas  de</w:t>
        <w:br/>
        <w:t>protección de los derechos humanos y sobre  los  límites  a  los  que  deben</w:t>
        <w:br/>
        <w:t>estar sometidos[351], a fin de evitar que hechos como los  ocurridos  en  el</w:t>
        <w:br/>
        <w:t>presente caso se repitan.</w:t>
        <w:br/>
        <w:br/>
        <w:br/>
        <w:br/>
        <w:t xml:space="preserve">      v)    Otras medidas solicitadas</w:t>
        <w:br/>
        <w:br/>
        <w:br/>
        <w:t>La Comisión y los representantes solicitaron la realización de  un  acto  de</w:t>
        <w:br/>
        <w:t>reconocimiento público de responsabilidad estatal por los daños  causados  a</w:t>
        <w:br/>
        <w:t>las víctimas. Por su parte, los representantes  solicitaron  las  siguientes</w:t>
        <w:br/>
        <w:t>medidas  adicionales  de  reparación:  i)  realización  de  una  campaña  de</w:t>
        <w:br/>
        <w:t>concientización y sensibilización sobre  la  importancia  de  la  labor  que</w:t>
        <w:br/>
        <w:t>realizan  los  defensores  de  los   derechos   humanos   en   México;   ii)</w:t>
        <w:br/>
        <w:t>establecimiento de un centro educativo en las inmediaciones  de  Petatlán  y</w:t>
        <w:br/>
        <w:t>Coyuca de Catalán dedicado a la formación  técnica  en  materia  forestal  y</w:t>
        <w:br/>
        <w:t>gestión comunitaria de recursos naturales; iii) cambio  de  la  denominación</w:t>
        <w:br/>
        <w:t>del actual “Premio al Mérito Ecológico –  Categoría  Social”  a  “Premio  al</w:t>
        <w:br/>
        <w:t>Mérito Ecológico – Campesinos Ecologistas de Guerrero”, y  iv)  adopción  de</w:t>
        <w:br/>
        <w:t>medidas para reunificar a la familia Montiel Cortés.</w:t>
        <w:br/>
        <w:br/>
        <w:t>En primer lugar, respecto a estas solicitudes, la  Corte  considera  que  la</w:t>
        <w:br/>
        <w:t>emisión de la presente  Sentencia  y  las  reparaciones  ordenadas  en  este</w:t>
        <w:br/>
        <w:t>capítulo resultan suficientes y  adecuadas  para  remediar  las  violaciones</w:t>
        <w:br/>
        <w:t>sufridas por las víctimas[352]. Por otro lado, el  Tribunal  ha  considerado</w:t>
        <w:br/>
        <w:t>que diversos temas planteados por los  representantes  no  fueron  incluidos</w:t>
        <w:br/>
        <w:t>por la Comisión en su demanda, razón por la cual,  por  razones  procesales,</w:t>
        <w:br/>
        <w:t>no fueron valorados durante el fondo del asunto. Finalmente, en este  punto,</w:t>
        <w:br/>
        <w:t>la Corte reitera que las reparaciones deben tener un  nexo  causal  con  los</w:t>
        <w:br/>
        <w:t>hechos del caso y las  violaciones  declaradas  (supra  párr.  209)  Por  lo</w:t>
        <w:br/>
        <w:t>tanto, el Tribunal no se pronuncia respecto a la solicitud  de  reparaciones</w:t>
        <w:br/>
        <w:t>relacionadas con hechos que, por razones procesales, la Corte no  abordó  en</w:t>
        <w:br/>
        <w:t>la presente Sentencia.</w:t>
        <w:br/>
        <w:br/>
        <w:br/>
        <w:t>D.    Indemnizaciones compensatorias</w:t>
        <w:br/>
        <w:br/>
        <w:t>D.1   Daño material</w:t>
        <w:br/>
        <w:br/>
        <w:t>La Corte ha desarrollado en su jurisprudencia el concepto de  daño  material</w:t>
        <w:br/>
        <w:t>y ha establecido que éste supone “la pérdida o detrimento  de  los  ingresos</w:t>
        <w:br/>
        <w:t>de las víctimas, los gastos efectuados  con  motivo  de  los  hechos  y  las</w:t>
        <w:br/>
        <w:t>consecuencias de carácter pecuniario que  tengan  un  nexo  causal  con  los</w:t>
        <w:br/>
        <w:t>hechos del caso”[353].</w:t>
        <w:br/>
        <w:br/>
        <w:t>La Comisión sostuvo que, “[s]in perjuicio de las pretensiones que  presenten</w:t>
        <w:br/>
        <w:t>en el momento procesal oportuno los  representantes  de  las  víctimas”,  la</w:t>
        <w:br/>
        <w:t>Corte “fije en equidad el monto de la indemnización correspondiente al  daño</w:t>
        <w:br/>
        <w:t>emergente y lucro cesante, en uso de sus amplias facultades en la materia”.</w:t>
        <w:br/>
        <w:br/>
        <w:t>Los  representantes  señalaron  que  como  consecuencia   directa   de   las</w:t>
        <w:br/>
        <w:t>violaciones sufridas, las víctimas perdieron  las  tierras  de  cultivo  que</w:t>
        <w:br/>
        <w:t>utilizaban junto a sus familiares. De acuerdo  con  los  representantes,  el</w:t>
        <w:br/>
        <w:t>señor Cabrera García se dedicaba a la agricultura,  tenía  una  casa  y  una</w:t>
        <w:br/>
        <w:t>parcela de dos (2) hectáreas que utilizaba para la siembra y  cuyo  producto</w:t>
        <w:br/>
        <w:t>se destinaba al consumo familiar y a la venta. Si bien los terrenos  estaban</w:t>
        <w:br/>
        <w:t>sujetos  a  un  régimen   de   propiedad   colectiva   (el   “ejido”),   los</w:t>
        <w:br/>
        <w:t>representantes afirmaron que “para todos los efectos  prácticos,  eran  [del</w:t>
        <w:br/>
        <w:t>señor Cabrera García]”. En cuanto al  señor  Montiel  Flores  indicaron  que</w:t>
        <w:br/>
        <w:t>éste se dedicaba a la siembra de las tierras que tenía por permiso  otorgado</w:t>
        <w:br/>
        <w:t>de la comunidad ejidal, actividad que complementaba con  la  venta  de  ropa</w:t>
        <w:br/>
        <w:t>que realizaba junto a su esposa los días domingos y  la  crianza  de  cerdos</w:t>
        <w:br/>
        <w:t>para la venta. Estas actividades significaban ingresos  variables,  pero  en</w:t>
        <w:br/>
        <w:t>general suponía $ 800.00 pesos al mes por la venta de  cerdos  y  $  2500.00</w:t>
        <w:br/>
        <w:t>por la venta de ropa, esto es, $ 3,300.00 pesos mexicanos,  es  decir,  a  $</w:t>
        <w:br/>
        <w:t>39,600.00 pesos  mexicanos  anuales,  equivalentes  a  US$  2995.18  dólares</w:t>
        <w:br/>
        <w:t>americanos. Agregaron que el abandono de las tierras  también  se  debió  al</w:t>
        <w:br/>
        <w:t>miedo sufrido  por  actos  de  amedrentamiento  causados  no  sólo  por  los</w:t>
        <w:br/>
        <w:t>caciques  locales,  sino  también   por   los   militares.   Adicionalmente,</w:t>
        <w:br/>
        <w:t>solicitaron el reembolso por gastos de transporte y visitas  a  los  centros</w:t>
        <w:br/>
        <w:t>de reclusión, incurridos en particular por las esposas de las víctimas,  que</w:t>
        <w:br/>
        <w:t>de acuerdo a los representantes ascendían  aproximadamente  a  US$  1,905.49</w:t>
        <w:br/>
        <w:t>dólares americanos, lo que  aunado  a  la  pérdida  de  las  tierras  habría</w:t>
        <w:br/>
        <w:t>ocasionado daños al patrimonio familiar.</w:t>
        <w:br/>
        <w:br/>
        <w:t>El Estado resaltó que en el presente caso no  existieron  violaciones  a  la</w:t>
        <w:br/>
        <w:t>Convención, por lo que no procedería conceder reparaciones  indemnizatorias.</w:t>
        <w:br/>
        <w:t>Además, indicó que “todos y cada uno de los montos solicitados por  concepto</w:t>
        <w:br/>
        <w:t>de  daño  material  por  los  peticionarios  […]  son  derivados   única   y</w:t>
        <w:br/>
        <w:t>exclusivamente del hecho  de  que  los  señores  Montiel  y  Cabrera  fueron</w:t>
        <w:br/>
        <w:t>encarcelados”, razón por la cual no cabría ordenar dichas  reparaciones  por</w:t>
        <w:br/>
        <w:t>inexistencia de nexo  causal.  Asimismo,  indicó  que  el  abandono  de  las</w:t>
        <w:br/>
        <w:t>tierras ejidales, habría  sido,  según  afirmarían  los  mismos  familiares,</w:t>
        <w:br/>
        <w:t>consecuencia del miedo a la acción de caciques locales. Para el Estado,  “la</w:t>
        <w:br/>
        <w:t>interrupción de las actividades de las víctimas  se  [habría  dado]  por  su</w:t>
        <w:br/>
        <w:t>participación en varios delitos graves y su detención en flagrancia”  y  “no</w:t>
        <w:br/>
        <w:t>así por una violación del Estado mexicano”.</w:t>
        <w:br/>
        <w:br/>
        <w:t>La Corte observa que los representantes  no  presentaron  prueba  documental</w:t>
        <w:br/>
        <w:t>sobre los supuestos daños emergentes o la pérdida de ingresos  sufridos  por</w:t>
        <w:br/>
        <w:t>los señores Cabrera y Montiel. La principal prueba en  esta  materia  es  de</w:t>
        <w:br/>
        <w:t>carácter testimonial, aspecto razonable en el marco  de  las  circunstancias</w:t>
        <w:br/>
        <w:t>del presente caso, relacionado con víctimas que desarrollaban su trabajo  en</w:t>
        <w:br/>
        <w:t>el campo, cuestión que puede explicar cierto tipo de  informalidad.  Además,</w:t>
        <w:br/>
        <w:t>la Corte considera que es previsible que los efectos de  las  violaciones  a</w:t>
        <w:br/>
        <w:t>la integridad personal sufridas generaran  diversos  grados  de  inactividad</w:t>
        <w:br/>
        <w:t>por algún período.</w:t>
        <w:br/>
        <w:br/>
        <w:t>Los representantes únicamente informaron respecto a los ingresos  del  señor</w:t>
        <w:br/>
        <w:t>Montiel Flores, los cuales ascenderían a $ 3,300.00 pesos mexicanos al  mes,</w:t>
        <w:br/>
        <w:t>es decir, $ 39,600.00 pesos mexicanos anuales, equivalentes  a  US$  2995.18</w:t>
        <w:br/>
        <w:t>dólares americanos (supra párr. 250). Sin embargo, consta en  el  expediente</w:t>
        <w:br/>
        <w:t>que en su declaración ante el Ministerio Público Federal, el  señor  Cabrera</w:t>
        <w:br/>
        <w:t>García refirió tener  ingresos  de  aproximadamente  $  50  pesos  mexicanos</w:t>
        <w:br/>
        <w:t>diarios[354], es decir, $ 18,250.00 pesos mexicanos anuales,  equivalente  a</w:t>
        <w:br/>
        <w:t>US$ 1380.18 dólares americanos. Por lo anterior, y teniendo  en  cuenta  las</w:t>
        <w:br/>
        <w:t>violaciones de derechos sufridas por los señores Cabrera y  Montiel  durante</w:t>
        <w:br/>
        <w:t>su detención y en el proceso judicial seguido en su contra, y  el  hecho  de</w:t>
        <w:br/>
        <w:t>que estuvieron privados de su libertad  durante  poco  más  de  dos  años  y</w:t>
        <w:br/>
        <w:t>medio, la Corte decide fijar para cada uno, en equidad, la cantidad  de  US$</w:t>
        <w:br/>
        <w:t>5.500,00 (cinco mil quinientos dólares de los Estados Unidos de  América)  o</w:t>
        <w:br/>
        <w:t>su equivalente en pesos mexicanos, por  concepto  de  pérdida  de  ingresos.</w:t>
        <w:br/>
        <w:t>Esta cantidad deberá ser entregada a los señores Cabrera y  Montiel,  en  el</w:t>
        <w:br/>
        <w:t>plazo que la Corte fije para tal efecto (infra párr. 268).</w:t>
        <w:br/>
        <w:br/>
        <w:t>Como se ha establecido anteriormente, las reparaciones deben tener  un  nexo</w:t>
        <w:br/>
        <w:t>causal con los hechos  del  caso,  las  violaciones  declaradas,  los  daños</w:t>
        <w:br/>
        <w:t>acreditados, así como con las medidas solicitadas  para  reparar  los  daños</w:t>
        <w:br/>
        <w:t>respectivos (supra párr. 209). Por lo tanto, el Tribunal no  se  pronunciará</w:t>
        <w:br/>
        <w:t>respecto a los alegatos de los  representantes  que  no  responden  a  dicha</w:t>
        <w:br/>
        <w:t>concurrencia.</w:t>
        <w:br/>
        <w:br/>
        <w:t>D.2   Daño inmaterial</w:t>
        <w:br/>
        <w:br/>
        <w:t>La  Corte  ha  desarrollado  en  su  jurisprudencia  el  concepto  de   daño</w:t>
        <w:br/>
        <w:t>inmaterial y ha establecido que éste comprende  “tanto  los  sufrimientos  y</w:t>
        <w:br/>
        <w:t>las aflicciones causados  a  la  víctima  directa  y  a  sus  allegados,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familia”[355].</w:t>
        <w:br/>
        <w:br/>
        <w:t>La Comisión solicitó a la Corte que, “atendiendo a la naturaleza del caso  y</w:t>
        <w:br/>
        <w:t>a la gravedad de los daños sufridos por las víctimas, [...] fije en  equidad</w:t>
        <w:br/>
        <w:t>el monto de la compensación por concepto de daños inmateriales”.</w:t>
        <w:br/>
        <w:br/>
        <w:t>Los representantes indicaron que “[l]a detención ilegal y tortura, así  como</w:t>
        <w:br/>
        <w:t>la  falta  de  justicia  y  reparación,  causaron  severos  daños   físicos,</w:t>
        <w:br/>
        <w:t>psicológicos y  emocionales  a  Rodolfo  Montiel  y  Teodoro  Cabrera,  pero</w:t>
        <w:br/>
        <w:t>además, tuvo un impacto dramático en su proyecto de vida”, cuyos efectos  se</w:t>
        <w:br/>
        <w:t>mantienen hasta la fecha. De acuerdo con los  representantes,  las  víctimas</w:t>
        <w:br/>
        <w:t>del presente caso han experimentado síntomas emocionales  muy  graves,  como</w:t>
        <w:br/>
        <w:t>“períodos de profunda tristeza, ansiedad, depresión, dolores  de  cabeza,  y</w:t>
        <w:br/>
        <w:t>cambios  de  humor,  entre  otros”,  así  como  la  presencia  de   síntomas</w:t>
        <w:br/>
        <w:t>relacionados al Síndrome  de  Estrés  Post-Traumático.  Por  otro  lado,  la</w:t>
        <w:br/>
        <w:t>separación de sus familias les habría producido “una  severa  angustia”,  ya</w:t>
        <w:br/>
        <w:t>que  “pensaron  que  podían  haberles  hecho  algún  daño”.  Adicionalmente,</w:t>
        <w:br/>
        <w:t>sostuvieron que “[el supuesto] contexto de  criminalización  y  represión  a</w:t>
        <w:br/>
        <w:t>sus  colegas  en  la  OCESP”  implicó  que  tuvieran  que  abandonar   dicha</w:t>
        <w:br/>
        <w:t>organización. Asimismo, los representantes hicieron referencia al tiempo  en</w:t>
        <w:br/>
        <w:t>el que las  víctimas  habrían  estado  injustamente  en  prisión  con  malas</w:t>
        <w:br/>
        <w:t>condiciones de confinamiento, cuestión que debiera ser reparada.</w:t>
        <w:br/>
        <w:br/>
        <w:t>El Estado sostuvo que, en caso de que la Corte determine  la  existencia  de</w:t>
        <w:br/>
        <w:t>violaciones, “los hechos del presente caso por  ningún  motivo  podrían  dar</w:t>
        <w:br/>
        <w:t>lugar a la generación de daños inmateriales susceptibles  de  ser  reparados</w:t>
        <w:br/>
        <w:t>mediante una cantidad monetaria”. El Estado afirmó que “no niega  la  loable</w:t>
        <w:br/>
        <w:t>labor que pudieran desempeñar los peticionarios en la protección  del  medio</w:t>
        <w:br/>
        <w:t>ambiente, pero dicha cuestión no se encuentra de forma alguna sub judice  en</w:t>
        <w:br/>
        <w:t>el presente caso”.</w:t>
        <w:br/>
        <w:br/>
        <w:t>Las  víctimas  desarrollaban  actividades  en  el   marco   de   la   OCESP,</w:t>
        <w:br/>
        <w:t>organización de la cual el señor Montiel Flores era uno de  sus  fundadores.</w:t>
        <w:br/>
        <w:t>En su declaración ante fedatario Público, el  señor  Cabrera  García  señaló</w:t>
        <w:br/>
        <w:t>que la OCESP estaba integrada  por  unas  45  personas,  y  que  siempre  se</w:t>
        <w:br/>
        <w:t>reunían “[p]rincipalmente […] para parar a los camiones que se  llevaban  la</w:t>
        <w:br/>
        <w:t>madera ilegalmente, sin permiso”[356]. En la audiencia pública celebrada  en</w:t>
        <w:br/>
        <w:t>el presente caso, el señor Montiel Flores se pronunció en el  mismo  sentido</w:t>
        <w:br/>
        <w:t>precisando que “[desde] 1995, [cuando una] compañía extranjera […] llegó  al</w:t>
        <w:br/>
        <w:t>estado de Guerrero […] a explotar inmoderadamente, [ellos] vi[eron] que  era</w:t>
        <w:br/>
        <w:t>un riesgo para todos los habitantes de la región y […] entonces  empeza[ron]</w:t>
        <w:br/>
        <w:t>a organizar[se]”[357].</w:t>
        <w:br/>
        <w:br/>
        <w:t>La  jurisprudencia  internacional  ha  establecido  reiteradamente  que   la</w:t>
        <w:br/>
        <w:t>Sentencia  puede  constituir  per  se  una  forma  de  reparación[358].   No</w:t>
        <w:br/>
        <w:t>obstante,  considerando  las  circunstancias  del  caso  sub   judice,   los</w:t>
        <w:br/>
        <w:t>sufrimientos que las violaciones cometidas causaron  a  las  víctimas  y  la</w:t>
        <w:br/>
        <w:t>denegación de justicia, así como el cambio en las condiciones de vida y  las</w:t>
        <w:br/>
        <w:t>restantes consecuencias de  orden  inmaterial  o  no  pecuniario  que  éstas</w:t>
        <w:br/>
        <w:t>últimas sufrieron,  la  Corte  estima  pertinente  fijar  una  cantidad,  en</w:t>
        <w:br/>
        <w:t>equidad, como compensación por concepto de daños inmateriales[359].</w:t>
        <w:br/>
        <w:br/>
        <w:t>En consecuencia, la Corte estima pertinente fijar, en equidad,  la  cantidad</w:t>
        <w:br/>
        <w:t>de US$ 20.000,00 (veinte mil dólares de los Estados  Unidos  de  América)  a</w:t>
        <w:br/>
        <w:t>favor de cada una de las víctimas en el  presente  caso,  como  compensación</w:t>
        <w:br/>
        <w:t>por concepto de daño inmaterial.</w:t>
        <w:br/>
        <w:br/>
        <w:t>E.    Costas y gastos</w:t>
        <w:br/>
        <w:br/>
        <w:t>Como ya lo ha señalado la Corte en oportunidades anteriores,  las  costas  y</w:t>
        <w:br/>
        <w:t>gastos están comprendidos dentro del concepto de  reparación  consagrado  en</w:t>
        <w:br/>
        <w:t>el artículo 63.1 de la Convención Americana[360].</w:t>
        <w:br/>
        <w:br/>
        <w:t>La  Comisión  solicitó  “el  pago  de  las  costas  y  gastos  razonables  y</w:t>
        <w:br/>
        <w:t>necesarios debidamente probados, que se hayan originado y se originen de  la</w:t>
        <w:br/>
        <w:t>tramitación del presente caso”.</w:t>
        <w:br/>
        <w:br/>
        <w:t>Los representantes solicitaron a la Corte que ordene al Estado  el  pago  de</w:t>
        <w:br/>
        <w:t>las siguientes cantidades: i) a favor de CEJIL, US$  25,012.37  (veinticinco</w:t>
        <w:br/>
        <w:t>mil doce dólares de los Estados  Unidos  de  América  con  treinta  y  siete</w:t>
        <w:br/>
        <w:t>centavos) por los gastos realizados desde el 2001 hasta la presentación  del</w:t>
        <w:br/>
        <w:t>escrito de  solicitudes  y  argumentos  y  US$  17.803,725  (diecisiete  mil</w:t>
        <w:br/>
        <w:t>ochocientos tres dólares de los Estados Unidos de  América  con  setecientos</w:t>
        <w:br/>
        <w:t>veinticinco centavos) por los gastos  realizados  con  posterioridad  a  esa</w:t>
        <w:br/>
        <w:t>fecha; y ii) a favor del Centro Prodh, US$ 13,062.13 (trece  mil  sesenta  y</w:t>
        <w:br/>
        <w:t>dos dólares de los Estados Unidos de América con  trece  centavos)  por  los</w:t>
        <w:br/>
        <w:t>gastos realizados del año 1999 hasta  el  31  de  octubre  del  2009  y  US$</w:t>
        <w:br/>
        <w:t>18.566,51 (dieciocho mil quinientos sesenta y seis dólares  de  los  Estados</w:t>
        <w:br/>
        <w:t>Unidos de América con cincuenta y un centavos)  por  los  gastos  realizados</w:t>
        <w:br/>
        <w:t>con  posterioridad  a  esa  fecha.  Además,  los  representantes  de   CEJIL</w:t>
        <w:br/>
        <w:t>indicaron  que  realizaron  gastos  en  fotocopias,  papelería  y   llamadas</w:t>
        <w:br/>
        <w:t>telefónicas por un monto estimado de US$ 250 (doscientos  cincuenta  dólares</w:t>
        <w:br/>
        <w:t>de los Estados Unidos de América). Por  último,  solicitaron  que  la  Corte</w:t>
        <w:br/>
        <w:t>fije una cantidad  por  concepto  de  gastos  futuros  relacionados  con  el</w:t>
        <w:br/>
        <w:t>cumplimiento  de  la  sentencia.  Esto  determina  un  monto  total  de  US$</w:t>
        <w:br/>
        <w:t>74,694.74 (setenta y cuatro mil seiscientos noventa y cuatro dólares de  los</w:t>
        <w:br/>
        <w:t>Estados Unidos de América con setenta y cuatro centavos).</w:t>
        <w:br/>
        <w:br/>
        <w:t>El Estado solicitó “se analice y autentifique con  la  debida  diligencia  y</w:t>
        <w:br/>
        <w:t>cautela para, de ser el caso, […] determina[r las] costas procesales”.</w:t>
        <w:br/>
        <w:br/>
        <w:t>En cuanto al reembolso de las  costas  y  gastos,  corresponde  al  Tribunal</w:t>
        <w:br/>
        <w:t>apreciar prudentemente su alcance, el cual comprende  los  gastos  generados</w:t>
        <w:br/>
        <w:t>ante las autoridades de la jurisdicción interna, así como los  generados  en</w:t>
        <w:br/>
        <w:t>el curso del proceso ante el Sistema Interamericano, teniendo en cuenta  las</w:t>
        <w:br/>
        <w:t>circunstancias  del  caso  concreto  y  la  naturaleza  de  la  jurisdicción</w:t>
        <w:br/>
        <w:t>internacional de protección de los derechos humanos. Esta apreciación  puede</w:t>
        <w:br/>
        <w:t>ser realizada con base en el principio de equidad y tomando  en  cuenta  los</w:t>
        <w:br/>
        <w:t>gastos señalados por las partes, siempre que su quantum sea razonable[361].</w:t>
        <w:br/>
        <w:br/>
        <w:t>La Corte observa que los representantes incurrieron en diversos gastos  ante</w:t>
        <w:br/>
        <w:t>este Tribunal relativos a honorarios,  recolección  de  prueba,  transporte,</w:t>
        <w:br/>
        <w:t>servicios  de  comunicación,  entre  otros,  en   el   trámite   interno   e</w:t>
        <w:br/>
        <w:t>internacional del presente caso[362]. Sin embargo, de  los  comprobantes  de</w:t>
        <w:br/>
        <w:t>gastos aportados por los representantes, la Corte advierte  que  algunos  no</w:t>
        <w:br/>
        <w:t>se encuentran relacionados con el presente caso y que otros no  corresponden</w:t>
        <w:br/>
        <w:t>a gastos incurridos exclusivamente con propósito de este caso[363]. De  esta</w:t>
        <w:br/>
        <w:t>manera, y atendiendo a la prueba  presentada,  la  Corte  determina  que  el</w:t>
        <w:br/>
        <w:t>Estado debe entregar la cantidad de US$ 20.658.00  (veinte  mil  seiscientos</w:t>
        <w:br/>
        <w:t>cincuenta y ocho dólares de los Estados  Unidos  de  América),  a  favor  de</w:t>
        <w:br/>
        <w:t>CEJIL y US$ 17.307.00 (diecisiete  mil  trescientos  siete  dólares  de  los</w:t>
        <w:br/>
        <w:t>Estados Unidos de  América)  a  favor  del  Centro  Prodh  por  concepto  de</w:t>
        <w:br/>
        <w:t>honorarios. Igualmente, de  conformidad  con  la  prueba  aportada  por  los</w:t>
        <w:br/>
        <w:t>representantes  el  Tribunal  determina  que  el  Estado  debe  entregar  la</w:t>
        <w:br/>
        <w:t>cantidad de US$ 17.708.00 (diecisiete mil setecientos ocho  dólares  de  los</w:t>
        <w:br/>
        <w:t>Estados Unidos de América), a favor de  CEJIL  y  US$  10.042.00  (diez  mil</w:t>
        <w:br/>
        <w:t>cuarenta y dos dólares de los Estados Unidos de América) a favor del  Centro</w:t>
        <w:br/>
        <w:t>Prodh  por  concepto  de  gastos  incurridos  durante  el  proceso.   Dichas</w:t>
        <w:br/>
        <w:t>cantidades deberán ser entregadas dentro del plazo de un año a partir de  la</w:t>
        <w:br/>
        <w:t>notificación del presente Fallo (infra párr. 268). En  el  procedimiento  de</w:t>
        <w:br/>
        <w:t>supervisión de cumplimiento de la  presente  Sentencia,  el  Tribunal  podrá</w:t>
        <w:br/>
        <w:t>disponer  el  reembolso  por  parte  del  Estado  a  las  víctimas   o   sus</w:t>
        <w:br/>
        <w:t>representantes de los gastos razonables debidamente comprobados.</w:t>
        <w:br/>
        <w:br/>
        <w:t>F.    Modalidad de cumplimiento de los pagos ordenados</w:t>
        <w:br/>
        <w:br/>
        <w:t>El Estado deberá efectuar el pago de las  indemnizaciones  por  concepto  de</w:t>
        <w:br/>
        <w:t>daño material e inmaterial directamente a sus beneficiarios, y el  pago  por</w:t>
        <w:br/>
        <w:t>concepto de costas y gastos directamente a  los  representantes  legales  de</w:t>
        <w:br/>
        <w:t>las organizaciones CEJIL y Centro Prodh, dentro del plazo de un año  contado</w:t>
        <w:br/>
        <w:t>a partir de la notificación de la presente Sentencia,  en  los  términos  de</w:t>
        <w:br/>
        <w:t>los párrafos siguientes.</w:t>
        <w:br/>
        <w:br/>
        <w:t>En caso de que los beneficiarios fallezcan antes de que  les  sea  entregada</w:t>
        <w:br/>
        <w:t>la  indemnización  respectiva,  ésta  se  efectuará   directamente   a   sus</w:t>
        <w:br/>
        <w:t>derechohabientes, conforme al derecho interno aplicable.</w:t>
        <w:br/>
        <w:br/>
        <w:t>El Estado debe cumplir sus obligaciones mediante el pago en dólares  de  los</w:t>
        <w:br/>
        <w:t>Estados Unidos de América o en una cantidad equivalente en moneda  mexicana,</w:t>
        <w:br/>
        <w:t>utilizando para el cálculo respectivo el tipo de cambio entre ambas  monedas</w:t>
        <w:br/>
        <w:t>que esté vigente en la plaza de Nueva York, Estados Unidos  de  América,  el</w:t>
        <w:br/>
        <w:t>día anterior al pago.</w:t>
        <w:br/>
        <w:br/>
        <w:t>Si por causas atribuibles a los beneficiarios de  las  indemnizaciones  o  a</w:t>
        <w:br/>
        <w:t>sus derechohabientes,  respectivamente,  no  fuese  posible  que  éstos  las</w:t>
        <w:br/>
        <w:t>reciban dentro del plazo indicado, el Estado consignará dichos montos  a  su</w:t>
        <w:br/>
        <w:t>favor en una cuenta o certificado de depósito en una institución  financiera</w:t>
        <w:br/>
        <w:t>mexicana, en dólares estadounidenses y en las  condiciones  financieras  más</w:t>
        <w:br/>
        <w:t>favorables que permitan la legislación y la práctica bancaria.  Si  al  cabo</w:t>
        <w:br/>
        <w:t>de 10 años la indemnización no  ha  sido  reclamada,  las  cantidades  serán</w:t>
        <w:br/>
        <w:t>devueltas al Estado con los intereses devengados.</w:t>
        <w:br/>
        <w:br/>
        <w:t>Las  cantidades  asignadas  en  la  presente  Sentencia  como  indemnización</w:t>
        <w:br/>
        <w:t>deberán ser entregadas a  las  víctimas  en  forma  íntegra  conforme  a  lo</w:t>
        <w:br/>
        <w:t>establecido en esta Sentencia.  Las  cantidades  asignadas  en  la  presente</w:t>
        <w:br/>
        <w:t>Sentencia  como  reintegro  de  costas  y  gastos  deberán  ser   entregadas</w:t>
        <w:br/>
        <w:t>directamente a los representantes legales  de  las  organizaciones  CEJIL  y</w:t>
        <w:br/>
        <w:t>Centro  Prodh.  Estas  cantidades  deben  ser  otorgadas   sin   reducciones</w:t>
        <w:br/>
        <w:t>derivadas de eventuales cargas fiscales.</w:t>
        <w:br/>
        <w:br/>
        <w:t>En caso de que el Estado incurriera en mora, deberá pagar un  interés  sobre</w:t>
        <w:br/>
        <w:t>la cantidad adeudada, correspondiente al interés bancario moratorio  en  los</w:t>
        <w:br/>
        <w:t>Estados Unidos Mexicanos.</w:t>
        <w:br/>
        <w:br/>
        <w:t xml:space="preserve">                                     XI</w:t>
        <w:br/>
        <w:t xml:space="preserve">                             PUNTOS RESOLUTIVOS</w:t>
        <w:br/>
        <w:br/>
        <w:t>Por tanto,</w:t>
        <w:br/>
        <w:br/>
        <w:br/>
        <w:t>LA CORTE</w:t>
        <w:br/>
        <w:br/>
        <w:br/>
        <w:t>decide,</w:t>
        <w:br/>
        <w:br/>
        <w:t>por unanimidad,</w:t>
        <w:br/>
        <w:br/>
        <w:t>1.    Desestimar la excepción preliminar de “cuarta  instancia”  interpuesta</w:t>
        <w:br/>
        <w:t xml:space="preserve">   por el Estado, de conformidad con los párrafos 16 a  22  de  la  presente</w:t>
        <w:br/>
        <w:t xml:space="preserve">   Sentencia.</w:t>
        <w:br/>
        <w:br/>
        <w:br/>
        <w:t>DECLARA,</w:t>
        <w:br/>
        <w:br/>
        <w:t>por unanimidad, que:</w:t>
        <w:br/>
        <w:br/>
        <w:t>2. El Estado es responsable por la  violación  del  derecho  a  la  libertad</w:t>
        <w:br/>
        <w:t xml:space="preserve">   personal, reconocido en los artículos 7.3, 7.4 y 7.5, en relación con  el</w:t>
        <w:br/>
        <w:t xml:space="preserve">   artículo 1.1 de  la  Convención  Americana  sobre  Derechos  Humanos,  en</w:t>
        <w:br/>
        <w:t xml:space="preserve">   perjuicio de los señores Teodoro Cabrera García y Rodolfo Montiel Flores,</w:t>
        <w:br/>
        <w:t xml:space="preserve">   de conformidad con lo expuesto en los párrafos 93 a 102; 105 y 106, y 133</w:t>
        <w:br/>
        <w:t xml:space="preserve">   a 137 de la presente Sentencia.</w:t>
        <w:br/>
        <w:br/>
        <w:t>3. El Estado es responsable por la violación del  derecho  a  la  integridad</w:t>
        <w:br/>
        <w:t xml:space="preserve">   personal, establecido en los artículos 5.1 y  5.2,  en  relación  con  el</w:t>
        <w:br/>
        <w:t xml:space="preserve">   artículo 1.1 de la Convención Americana sobre Derechos Humanos,  por  los</w:t>
        <w:br/>
        <w:t xml:space="preserve">   tratos crueles, inhumanos y degradantes infligidos a los señores  Teodoro</w:t>
        <w:br/>
        <w:t xml:space="preserve">   Cabrera García y Rodolfo Montiel Flores, de conformidad con  lo  expuesto</w:t>
        <w:br/>
        <w:t xml:space="preserve">   en los párrafos 110 a 125 de la presente Sentencia.</w:t>
        <w:br/>
        <w:br/>
        <w:t>4. El Estado ha incumplido la obligación de investigar  los  alegados  actos</w:t>
        <w:br/>
        <w:t xml:space="preserve">   de tortura, en los términos de los artículos 5.1 y 5.2, en  relación  con</w:t>
        <w:br/>
        <w:t xml:space="preserve">   el artículo 1.1 de la Convención Americana sobre  Derechos  Humanos,  así</w:t>
        <w:br/>
        <w:t xml:space="preserve">   como de los artículos 1, 6 y  8  de  la  Convención  Interamericana  para</w:t>
        <w:br/>
        <w:t xml:space="preserve">   Prevenir y Sancionar la Tortura, en  perjuicio  de  los  señores  Teodoro</w:t>
        <w:br/>
        <w:t xml:space="preserve">   Cabrera García y Rodolfo Montiel Flores, de conformidad con  lo  expuesto</w:t>
        <w:br/>
        <w:t xml:space="preserve">   en los párrafos 126 a 132 de la presente Sentencia.</w:t>
        <w:br/>
        <w:br/>
        <w:t>5. El Estado es  responsable  por  la  violación  de  la  garantía  judicial</w:t>
        <w:br/>
        <w:t xml:space="preserve">   reconocida en el artículo 8.3, en relación con  el  artículo  1.1  de  la</w:t>
        <w:br/>
        <w:t xml:space="preserve">   Convención Americana sobre Derechos Humanos, en perjuicio de los  señores</w:t>
        <w:br/>
        <w:t xml:space="preserve">   Teodoro Cabrera García y Rodolfo Montiel Flores, de  conformidad  con  lo</w:t>
        <w:br/>
        <w:t xml:space="preserve">   expuesto en los párrafos 165 a 177 de la presente Sentencia.</w:t>
        <w:br/>
        <w:br/>
        <w:t>6. El Estado  es  responsable  por  la  violación  de  los  derechos  a  las</w:t>
        <w:br/>
        <w:t xml:space="preserve">   garantías judiciales y  a  la  protección  judicial  reconocidos  en  los</w:t>
        <w:br/>
        <w:t xml:space="preserve">   artículos 8.1 y 25.1, respectivamente, en relación con los artículos  1.1</w:t>
        <w:br/>
        <w:t xml:space="preserve">   y 2 de  la  Convención  Americana  sobre  Derechos  Humanos,  al  haberse</w:t>
        <w:br/>
        <w:t xml:space="preserve">   sometido el conocimiento de las alegadas torturas a la jurisdicción penal</w:t>
        <w:br/>
        <w:t xml:space="preserve">   militar, en perjuicio de  los señores Teodoro Cabrera  García  y  Rodolfo</w:t>
        <w:br/>
        <w:t xml:space="preserve">   Montiel Flores, de conformidad con lo expuesto en los párrafos 197 a 201;</w:t>
        <w:br/>
        <w:t xml:space="preserve">   203 y 204, y 205 y 206 de la presente Sentencia.</w:t>
        <w:br/>
        <w:br/>
        <w:t>7. No corresponde emitir un pronunciamiento sobre las  alegadas  violaciones</w:t>
        <w:br/>
        <w:t xml:space="preserve">   de los derechos a la integridad personal y a la libertad  de  asociación,</w:t>
        <w:br/>
        <w:t xml:space="preserve">   reconocidos en los artículos 5.1 y 16 de la  Convención  Americana  sobre</w:t>
        <w:br/>
        <w:t xml:space="preserve">   Derechos Humanos, en perjuicio de los familiares de los  señores  Teodoro</w:t>
        <w:br/>
        <w:t xml:space="preserve">   Cabrera García y Rodolfo Montiel Flores y de estos,  respectivamente,  de</w:t>
        <w:br/>
        <w:t xml:space="preserve">   conformidad con lo expuesto en los  párrafos  56  a  60  de  la  presente</w:t>
        <w:br/>
        <w:t xml:space="preserve">   Sentencia.</w:t>
        <w:br/>
        <w:br/>
        <w:t>8. El Estado ha incumplido la obligación contenida  en  el  artículo  2,  en</w:t>
        <w:br/>
        <w:t xml:space="preserve">   conexión con los artículos 8  y  25  de  la  Convención  Americana  sobre</w:t>
        <w:br/>
        <w:t xml:space="preserve">   Derechos Humanos, al  extender  la  competencia  del  fuero  castrense  a</w:t>
        <w:br/>
        <w:t xml:space="preserve">   delitos que no tienen estricta relación con la disciplina militar  o  con</w:t>
        <w:br/>
        <w:t xml:space="preserve">   bienes jurídicos propios del ámbito  castrense,  de  conformidad  con  lo</w:t>
        <w:br/>
        <w:t xml:space="preserve">   expuesto en el párrafo 206 de la presente Sentencia.</w:t>
        <w:br/>
        <w:br/>
        <w:br/>
        <w:t>9. El Estado no es responsable por la violación del derecho  a  la  defensa,</w:t>
        <w:br/>
        <w:t xml:space="preserve">   reconocido en  el  artículo  8.2.d)  de  la  Convención  Americana  sobre</w:t>
        <w:br/>
        <w:t xml:space="preserve">   Derechos Humanos, en perjuicio de los señores Teodoro  Cabrera  García  y</w:t>
        <w:br/>
        <w:t xml:space="preserve">   Rodolfo Montiel Flores en los términos de los párrafos 154 a  162  de  la</w:t>
        <w:br/>
        <w:t xml:space="preserve">   presente Sentencia.</w:t>
        <w:br/>
        <w:br/>
        <w:br/>
        <w:t>10.  El  Estado  no  es  responsable  por  la  violación  del  principio  de</w:t>
        <w:br/>
        <w:t xml:space="preserve">   presunción de inocencia, reconocido en el artículo 8.2 de  la  Convención</w:t>
        <w:br/>
        <w:t xml:space="preserve">   Americana sobre Derechos Humanos, en perjuicio  de  los  señores  Teodoro</w:t>
        <w:br/>
        <w:t xml:space="preserve">   Cabrera García y Rodolfo Montiel Flores en los términos de  los  párrafos</w:t>
        <w:br/>
        <w:t xml:space="preserve">   182 a 186 de la presente Sentencia.</w:t>
        <w:br/>
        <w:br/>
        <w:t>Y DISPONE,</w:t>
        <w:br/>
        <w:br/>
        <w:t>por unanimidad, que:</w:t>
        <w:br/>
        <w:br/>
        <w:t>11. Esta Sentencia constituye per se una forma de reparación.</w:t>
        <w:br/>
        <w:br/>
        <w:t>12.  El  Estado  debe,  en  un  plazo  razonable,  conducir  eficazmente  la</w:t>
        <w:br/>
        <w:t xml:space="preserve">   investigación penal de los hechos del presente caso,  en  particular  por</w:t>
        <w:br/>
        <w:t xml:space="preserve">   los alegados actos de tortura en contra de los señores Cabrera y Montiel,</w:t>
        <w:br/>
        <w:t xml:space="preserve">   para determinar las eventuales responsabilidades penales y, en  su  caso,</w:t>
        <w:br/>
        <w:t xml:space="preserve">   aplicar efectivamente las sanciones y consecuencias que  la  ley  prevea;</w:t>
        <w:br/>
        <w:t xml:space="preserve">   así como adelantar las acciones disciplinarias, administrativas o penales</w:t>
        <w:br/>
        <w:t xml:space="preserve">   pertinentes en el evento de que en la investigación  de  los  mencionados</w:t>
        <w:br/>
        <w:t xml:space="preserve">   hechos  se  demuestren  irregularidades   procesales   e   investigativas</w:t>
        <w:br/>
        <w:t xml:space="preserve">   relacionadas con los mismos, de conformidad con  el  párrafo  215  de  la</w:t>
        <w:br/>
        <w:t xml:space="preserve">   presente Sentencia.</w:t>
        <w:br/>
        <w:br/>
        <w:t>13. El Estado debe, en el plazo de seis meses,  realizar  las  publicaciones</w:t>
        <w:br/>
        <w:t xml:space="preserve">   dispuestas, de conformidad con el párrafo 217 de la presente Sentencia.</w:t>
        <w:br/>
        <w:br/>
        <w:t>14. El Estado debe, en un plazo de dos meses, otorgar por  una  sola  vez  a</w:t>
        <w:br/>
        <w:t xml:space="preserve">   cada una de las víctimas, la suma fijada en el párrafo 221 de la presente</w:t>
        <w:br/>
        <w:t xml:space="preserve">   Sentencia,   por   concepto   de   tratamiento   médico   y   psicológico</w:t>
        <w:br/>
        <w:t xml:space="preserve">   especializado, así como por medicamentos y otros gastos conexos.</w:t>
        <w:br/>
        <w:br/>
        <w:t>15.  El  Estado  debe,  en  un  plazo  razonable,   adoptar   las   reformas</w:t>
        <w:br/>
        <w:t xml:space="preserve">   legislativas pertinentes para compatibilizar el artículo 57 del Código de</w:t>
        <w:br/>
        <w:t xml:space="preserve">   Justicia Militar con los estándares internacionales en la  materia  y  la</w:t>
        <w:br/>
        <w:t xml:space="preserve">   Convención  Americana  sobre  Derechos  Humanos,  así  como  adoptar  las</w:t>
        <w:br/>
        <w:t xml:space="preserve">   reformas legislativas pertinentes para permitir que las personas  que  se</w:t>
        <w:br/>
        <w:t xml:space="preserve">   vean afectadas por la intervención  del  fuero  militar  cuenten  con  un</w:t>
        <w:br/>
        <w:t xml:space="preserve">   recurso efectivo para impugnar su  competencia,  de  conformidad  con  lo</w:t>
        <w:br/>
        <w:t xml:space="preserve">   establecido en el párrafo 235 de la presente Sentencia.</w:t>
        <w:br/>
        <w:br/>
        <w:t>16. El Estado debe, en un plazo razonable y en  el  marco  del  registro  de</w:t>
        <w:br/>
        <w:t xml:space="preserve">   detención  que  actualmente  existe  en  México,  adoptar   las   medidas</w:t>
        <w:br/>
        <w:t xml:space="preserve">   complementarias para fortalecer el funcionamiento y utilidad  del  mismo,</w:t>
        <w:br/>
        <w:t xml:space="preserve">   de conformidad con lo establecido  en  el  párrafo  243  de  la  presente</w:t>
        <w:br/>
        <w:t xml:space="preserve">   Sentencia.</w:t>
        <w:br/>
        <w:br/>
        <w:t>17. El Estado debe continuar implementando programas  y  cursos  permanentes</w:t>
        <w:br/>
        <w:t xml:space="preserve">   de capacitación sobre investigación diligente en casos de tratos crueles,</w:t>
        <w:br/>
        <w:t xml:space="preserve">   inhumanos o degradantes y tortura, así como  fortalecer  las  capacidades</w:t>
        <w:br/>
        <w:t xml:space="preserve">   institucionales del Estado mediante la capacitación  de  funcionarios  de</w:t>
        <w:br/>
        <w:t xml:space="preserve">   las Fuerzas Armadas sobre los principios y normas de  protección  de  los</w:t>
        <w:br/>
        <w:t xml:space="preserve">   derechos humanos y sobre los límites a los que deben estar sometidos,  de</w:t>
        <w:br/>
        <w:t xml:space="preserve">   conformidad  con  lo  establecido  en  el  párrafo  245  de  la  presente</w:t>
        <w:br/>
        <w:t xml:space="preserve">   Sentencia.</w:t>
        <w:br/>
        <w:br/>
        <w:t>18. El Estado debe pagar,  dentro  del  plazo  de  un  año,  las  cantidades</w:t>
        <w:br/>
        <w:t xml:space="preserve">   fijadas en los párrafos 253 y 261 de la presente Sentencia, por  concepto</w:t>
        <w:br/>
        <w:t xml:space="preserve">   de indemnización por daño material e inmaterial y  por  el  reintegro  de</w:t>
        <w:br/>
        <w:t xml:space="preserve">   costas y gastos, según corresponda, en los términos de los párrafos 260 y</w:t>
        <w:br/>
        <w:t xml:space="preserve">   261 de la misma.</w:t>
        <w:br/>
        <w:br/>
        <w:t>19. La Corte supervisará el  cumplimiento  íntegro  de  esta  Sentencia,  en</w:t>
        <w:br/>
        <w:t xml:space="preserve">   ejercicio de sus atribuciones y en cumplimiento de sus deberes,  conforme</w:t>
        <w:br/>
        <w:t xml:space="preserve">   a lo establecido en la Convención Americana  sobre  Derechos  Humanos,  y</w:t>
        <w:br/>
        <w:t xml:space="preserve">   dará por concluido el presente caso una vez que el Estado haya dado cabal</w:t>
        <w:br/>
        <w:t xml:space="preserve">   cumplimiento a lo dispuesto en la misma. Dentro del plazo  de  un  año  a</w:t>
        <w:br/>
        <w:t xml:space="preserve">   partir de la notificación de esta Sentencia el Estado  deberá  rendir  al</w:t>
        <w:br/>
        <w:t xml:space="preserve">   Tribunal un informe sobre las medidas adoptadas para darle cumplimiento.</w:t>
        <w:br/>
        <w:br/>
        <w:t>El Juez ad hoc Eduardo Ferrer Mac-Gregor Poisot hizo conocer a la  Corte  su</w:t>
        <w:br/>
        <w:t>voto razonado, el cual acompaña esta Sentencia.</w:t>
        <w:br/>
        <w:br/>
        <w:t>Redactada en español y en inglés, haciendo fe el texto en  español,  en  San</w:t>
        <w:br/>
        <w:t>José, Costa Rica, el día 26 de noviembre de 2010.</w:t>
        <w:br/>
        <w:br/>
        <w:br/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t>Leonardo  A.  Franco                                             Manuel   E.</w:t>
        <w:br/>
        <w:t>Ventura Robles</w:t>
        <w:br/>
        <w:br/>
        <w:br/>
        <w:br/>
        <w:br/>
        <w:t>Margarette  May  Macaulay                                      Rhadys  Abreu</w:t>
        <w:br/>
        <w:t>Blondet</w:t>
        <w:br/>
        <w:br/>
        <w:br/>
        <w:br/>
        <w:br/>
        <w:t>Alberto  Pérez  Pérez                                          Eduardo   Vio</w:t>
        <w:br/>
        <w:t>Grossi</w:t>
        <w:br/>
        <w:br/>
        <w:br/>
        <w:br/>
        <w:br/>
        <w:t xml:space="preserve">                      Eduardo Ferrer Mac-Gregor Poisot</w:t>
        <w:br/>
        <w:t xml:space="preserve">                                 Juez ad hoc</w:t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Diego García-Sayán</w:t>
        <w:br/>
        <w:t xml:space="preserve">                                 Presidente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br/>
        <w:br/>
        <w:t xml:space="preserve">       Voto razonado del Juez Ad Hoc eduardo ferrer mac-gregor poisot</w:t>
        <w:br/>
        <w:t xml:space="preserve"> en relación con la sentencia de la Corte Interamericana de derechos Humanos</w:t>
        <w:br/>
        <w:t xml:space="preserve">           en el caso cabrera garcía y montiel flores vs. México,</w:t>
        <w:br/>
        <w:t xml:space="preserve">                         de 26 de noviembre de 2010</w:t>
        <w:br/>
        <w:br/>
        <w:br/>
        <w:br/>
        <w:t xml:space="preserve">                               I. INTRODUCCIÓN</w:t>
        <w:br/>
        <w:br/>
        <w:t>1.    La Corte Interamericana de Derechos Humanos (en adelante  “Corte  IDH”</w:t>
        <w:br/>
        <w:t>o  “Tribunal  Interamericano”)  ha  reiterado  en  el  presente  caso,   por</w:t>
        <w:br/>
        <w:t>unanimidad de votos,  su  doctrina  jurisprudencial  sobre  el  “control  de</w:t>
        <w:br/>
        <w:t>convencionalidad”. He considerado oportuno emitir el presente voto  razonado</w:t>
        <w:br/>
        <w:t>para resaltar las nuevas  consideraciones  y  precisiones  que  sobre  dicha</w:t>
        <w:br/>
        <w:t>doctrina  se  vierten  en  esta  Sentencia,  así  como  para  enfatizar   su</w:t>
        <w:br/>
        <w:t>trascendencia para el sistema jurisdiccional mexicano y,  en  general,  para</w:t>
        <w:br/>
        <w:t>el futuro del Sistema Interamericano de Protección de los Derechos Humanos.</w:t>
        <w:br/>
        <w:br/>
        <w:t>2.    Los jueces  que  integramos  la  Corte  IDH  en  el  presente  asunto,</w:t>
        <w:br/>
        <w:t>deliberamos sobre diversos aspectos del  “control  de  convencionalidad”  en</w:t>
        <w:br/>
        <w:t>dos momentos, reflejados en sendos apartados de la Sentencia pronunciada  en</w:t>
        <w:br/>
        <w:t>el Caso Cabrera  García  y  Montiel  Flores  vs.  México  (en  adelante  “la</w:t>
        <w:br/>
        <w:t>Sentencia”).  En  primer  lugar,  al  desestimar  la  excepción   preliminar</w:t>
        <w:br/>
        <w:t>planteada por el Estado demandado, relativa a la  alegada  incompetencia  de</w:t>
        <w:br/>
        <w:t>la Corte IDH como “tribunal de alzada”  o  de  “cuarta  instancia”;[364]  en</w:t>
        <w:br/>
        <w:t>segundo término, al establecer las medidas de reparación  derivadas  de  las</w:t>
        <w:br/>
        <w:t>violaciones a determinadas obligaciones  internacionales,  especialmente  en</w:t>
        <w:br/>
        <w:t>el capítulo de “Garantías de no repetición” y particularmente en el  acápite</w:t>
        <w:br/>
        <w:t>sobre  la  necesaria  “Adecuación  del  derecho  interno  a  los  estándares</w:t>
        <w:br/>
        <w:t>internacionales en materia de justicia”.[365]</w:t>
        <w:br/>
        <w:br/>
        <w:t>3.    Para una mayor claridad, abordaremos por  separado:  a)  la  excepción</w:t>
        <w:br/>
        <w:t>preliminar opuesta por considerar incompetente a la Corte  IDH  por  motivos</w:t>
        <w:br/>
        <w:t>de “cuarta instancia”  al  haber  realizado  los  tribunales  nacionales  el</w:t>
        <w:br/>
        <w:t>“control  de  convencionalidad”  (párrs.  4  a  12);  b)   las   principales</w:t>
        <w:br/>
        <w:t>características del “control difuso de convencionalidad” y  sus  precisiones</w:t>
        <w:br/>
        <w:t>en el presente caso (párrs. 13 a 63); c) las implicaciones de esta  doctrina</w:t>
        <w:br/>
        <w:t>jurisprudencial en el ordenamiento jurídico mexicano (párrs. 64 a 84), y  d)</w:t>
        <w:br/>
        <w:t>algunas conclusiones generales sobre la trascendencia  de  esta  fundamental</w:t>
        <w:br/>
        <w:t>doctrina de la Corte IDH, que de  manera  progresiva  está  creando  un  ius</w:t>
        <w:br/>
        <w:t>constitutionale commune en materia de derechos humanos  para  el  continente</w:t>
        <w:br/>
        <w:t>americano o, por lo menos, para América Latina (párrs. 85 a 88).</w:t>
        <w:br/>
        <w:br/>
        <w:t xml:space="preserve">               II. EXCEPCIÓN PRELIMINAR DE “CUARTA INSTANCIA”</w:t>
        <w:br/>
        <w:t xml:space="preserve">                       Y “CONTROL DE CONVENCIONALIDAD”</w:t>
        <w:br/>
        <w:br/>
        <w:t>4.     El  Estado  demandado  hizo  valer  como  excepción   preliminar   la</w:t>
        <w:br/>
        <w:t>incompetencia de la Corte IDH debido a que estimó  que  lo  pretendido  ante</w:t>
        <w:br/>
        <w:t>esa instancia internacional consistía en revisar el proceso  penal  que  fue</w:t>
        <w:br/>
        <w:t>seguido por  todas  las  instancias  jurisdiccionales  competentes  en  sede</w:t>
        <w:br/>
        <w:t>nacional,  donde  incluso  se  interpusieron  recursos  (apelaciones)  y  se</w:t>
        <w:br/>
        <w:t>presentaron juicios de amparo; además, se afirma, fue ejercido  el  “control</w:t>
        <w:br/>
        <w:t>de convencionalidad” ex officio, lo que a su entender hace  incompetente  al</w:t>
        <w:br/>
        <w:t>Tribunal  Interamericano  al  no  poder  “revisar”  lo  juzgado  y  decidido</w:t>
        <w:br/>
        <w:t>previamente   por   los   jueces   domésticos   que   aplicaron   parámetros</w:t>
        <w:br/>
        <w:t>convencionales. Este alegato sobre  el  ejercicio  previo  del  “control  de</w:t>
        <w:br/>
        <w:t>convencionalidad” en  sede  nacional,  como  excepción  preliminar,  resulta</w:t>
        <w:br/>
        <w:t>novedoso y fue motivo de especial atención por los jueces integrantes de  la</w:t>
        <w:br/>
        <w:t>Corte IDH.</w:t>
        <w:br/>
        <w:br/>
        <w:t>5.    En principio, es necesario recordar que la Corte IDH,  ha  considerado</w:t>
        <w:br/>
        <w:t>que “si el Estado ha  violado  o  no  sus  obligaciones  internacionales  en</w:t>
        <w:br/>
        <w:t>virtud de las actuaciones de sus órganos judiciales, puede  conducir  a  que</w:t>
        <w:br/>
        <w:t>este Tribunal (Interamericano( deba ocuparse  de  examinar  los  respectivos</w:t>
        <w:br/>
        <w:t>procesos internos  para  establecer  su  compatibilidad  con  la  Convención</w:t>
        <w:br/>
        <w:t>Americana,[366]  lo  cual  incluye,   eventualmente,   las   decisiones   de</w:t>
        <w:br/>
        <w:t>tribunales superiores”.[367]</w:t>
        <w:br/>
        <w:br/>
        <w:t>6.    En tal sentido, si bien existe  jurisprudencia  constante  relativa  a</w:t>
        <w:br/>
        <w:t>los planteamientos  de  excepciones  preliminares  por  motivos  de  “cuarta</w:t>
        <w:br/>
        <w:t>instancia”, es la primera vez que se alega  que  los  tribunales  nacionales</w:t>
        <w:br/>
        <w:t>efectivamente ejercieron el “control  de  convencionalidad”  en  un  proceso</w:t>
        <w:br/>
        <w:t>ordinario que fue seguido en todas sus instancias, incluyendo  los  recursos</w:t>
        <w:br/>
        <w:t>ordinarios y extraordinarios respectivos, por lo  que  no  puede  nuevamente</w:t>
        <w:br/>
        <w:t>analizarse por los jueces interamericanos al implicar  una  revisión  de  lo</w:t>
        <w:br/>
        <w:t>decidido  por  los  tribunales   nacionales   que   aplicaron   normatividad</w:t>
        <w:br/>
        <w:t>interamericana. Al respecto, la Corte IDH reitera que si bien la  protección</w:t>
        <w:br/>
        <w:t>internacional   resulta   “de   naturaleza   convencional   coadyuvante    o</w:t>
        <w:br/>
        <w:t>complementaria  de  la  que  ofrece  el  derecho  interno  de  los   Estados</w:t>
        <w:br/>
        <w:t>americanos”, como se expresa en el  Preámbulo  de  la  Convención  Americana</w:t>
        <w:br/>
        <w:t>sobre Derechos Humanos (principio de  subsidiariedad  que  también  ha  sido</w:t>
        <w:br/>
        <w:t>reconocido desde el inicio de su propia jurisprudencia),[368] lo  cierto  es</w:t>
        <w:br/>
        <w:t>que  para  poder  realizar  un  análisis  valorativo  del  cumplimiento   de</w:t>
        <w:br/>
        <w:t>determinadas   obligaciones   internacionales   “existe    una    intrínseca</w:t>
        <w:br/>
        <w:t>interrelación entre el análisis  del  derecho  internacional  y  de  derecho</w:t>
        <w:br/>
        <w:t>interno” (párr. 16 de la Sentencia).</w:t>
        <w:br/>
        <w:br/>
        <w:t>7.     Esta  “interacción”  se  convierte,  en  realidad,   en   una   “viva</w:t>
        <w:br/>
        <w:t>interacción”[369] con intensos vasos comunicantes que propician el  “diálogo</w:t>
        <w:br/>
        <w:t>jurisprudencial”, en la medida en que ambas jurisdicciones (la  doméstica  y</w:t>
        <w:br/>
        <w:t>la internacional) necesariamente deben atender a la normatividad  “nacional”</w:t>
        <w:br/>
        <w:t>y a la “convencional” en determinados  supuestos.  Así  sucede,  en  vía  de</w:t>
        <w:br/>
        <w:t>ejemplo,  con  la  valoración  sobre  la  legalidad  de  una  detención.  La</w:t>
        <w:br/>
        <w:t>actuación de los  órganos  nacionales  (incluidos  los  jueces),  además  de</w:t>
        <w:br/>
        <w:t>aplicar  la  normatividad  que  los  rige  en  sede  doméstica,  tienen   la</w:t>
        <w:br/>
        <w:t>obligación  de  seguir  los  lineamientos  y  pautas  de   aquellos   pactos</w:t>
        <w:br/>
        <w:t>internacionales  que  el  Estado,  en  uso  de   su   soberanía,   reconoció</w:t>
        <w:br/>
        <w:t>expresamente  y  cuyo  compromiso  internacional  asumió.  A  su   vez,   la</w:t>
        <w:br/>
        <w:t>jurisdicción internacional debe valorar la legalidad de la  detención  a  la</w:t>
        <w:br/>
        <w:t>luz de la normatividad interna, debido a que la propia Convención  Americana</w:t>
        <w:br/>
        <w:t>remite a la legislación nacional para poder examinar la convencionalidad  de</w:t>
        <w:br/>
        <w:t>los actos de las autoridades nacionales, ya que el artículo  7.2  del  Pacto</w:t>
        <w:br/>
        <w:t>de San José remite a las “Constituciones Políticas de los Estados  partes  o</w:t>
        <w:br/>
        <w:t>por las leyes dictadas conforme  a  ellas”  para  poder  resolver  sobre  la</w:t>
        <w:br/>
        <w:t>legalidad de la detención como parámetro  de  convencionalidad.  Los  jueces</w:t>
        <w:br/>
        <w:t>nacionales, por otra parte, deben cumplir con los demás supuestos  previstos</w:t>
        <w:br/>
        <w:t>en el propio artículo 7 para no  violentar  el  derecho  convencional  a  la</w:t>
        <w:br/>
        <w:t>libertad personal, debiendo atender de igual forma a la  interpretación  que</w:t>
        <w:br/>
        <w:t>la Corte IDH ha realizado de los supuestos previstos en dicho numeral.</w:t>
        <w:br/>
        <w:br/>
        <w:t>8.    De tal manera que para poder determinar  si  las  actuaciones  de  los</w:t>
        <w:br/>
        <w:t>jueces nacionales  resultan  compatibles  con  el  Pacto  de  San  José,  en</w:t>
        <w:br/>
        <w:t>determinados casos se tendrá que analizar  su  actuación  a  la  luz  de  la</w:t>
        <w:br/>
        <w:t>propia normatividad interna y siempre atendiendo a la Convención  Americana,</w:t>
        <w:br/>
        <w:t>especialmente para valorar lo que podríamos  denominar  el  “debido  proceso</w:t>
        <w:br/>
        <w:t>convencional” (en sentido amplio).[370] Dicho  análisis,  por  consiguiente,</w:t>
        <w:br/>
        <w:t>no  puede  constituir  una  “cuestión  preliminar”,  sino   fundamentalmente</w:t>
        <w:br/>
        <w:t>representa una “decisión de fondo”, donde precisamente se analizaría,  inter</w:t>
        <w:br/>
        <w:t>alia, si un determinado ejercicio  del  “control  de  convencionalidad”  por</w:t>
        <w:br/>
        <w:t>parte de los tribunales nacionales resultó compatible con  las  obligaciones</w:t>
        <w:br/>
        <w:t>contraídas por el Estado demandado y a la luz de  la  propia  jurisprudencia</w:t>
        <w:br/>
        <w:t>interamericana.</w:t>
        <w:br/>
        <w:br/>
        <w:t>9.    Las anteriores consideraciones, por supuesto, no  otorgan  competencia</w:t>
        <w:br/>
        <w:t>absoluta a la Corte IDH para  revisar  en  cualquier  caso  y  condición  la</w:t>
        <w:br/>
        <w:t>actuación de los jueces  nacionales  a  la  luz  de  la  propia  legislación</w:t>
        <w:br/>
        <w:t>interna, toda vez  que  ello  implicaría  examinar  nuevamente  los  hechos,</w:t>
        <w:br/>
        <w:t>valorar las pruebas y emitir una sentencia que eventualmente  pudiera  tener</w:t>
        <w:br/>
        <w:t>por efecto confirmar, modificar o revocar el  veredicto  nacional;  cuestión</w:t>
        <w:br/>
        <w:t>que  claramente  excedería  la  competencia  propia  de   esa   jurisdicción</w:t>
        <w:br/>
        <w:t>internacional al sustituirse  a  la  jurisdicción  interna  y  violentar  el</w:t>
        <w:br/>
        <w:t>carácter subsidiario y complementario esencial de aquélla.  En  efecto,  las</w:t>
        <w:br/>
        <w:t>garantías convencionales  descansan  en  el  “principio  de  subsidiariedad”</w:t>
        <w:br/>
        <w:t>antes referido, reconocido expresamente  en  los  artículos  46.1.a)  de  la</w:t>
        <w:br/>
        <w:t>propia Convención Americana, previendo de manera  clara  como  requisito  de</w:t>
        <w:br/>
        <w:t>actuación de  los  órganos  interamericanos  “que  se  hayan  interpuesto  y</w:t>
        <w:br/>
        <w:t>agotado los recursos de jurisdicción interna, conforme  los  principios  del</w:t>
        <w:br/>
        <w:t>Derecho  Internacional  generalmente  reconocidos”;  regla  que  a  su   vez</w:t>
        <w:br/>
        <w:t>complementa el dispositivo  61.2  del  mismo  Pacto,  al  prever  de  manera</w:t>
        <w:br/>
        <w:t>explícita como condición de actuación de la Corte IDH el “que sean  agotados</w:t>
        <w:br/>
        <w:t>los procedimientos  previstos  en  los  artículos  48  a  50”  (referido  al</w:t>
        <w:br/>
        <w:t>procedimiento ante la Comisión Interamericana de Derechos Humanos).</w:t>
        <w:br/>
        <w:br/>
        <w:t>10.   La Corte IDH no tiene competencia para convertirse  en  una  “nueva  y</w:t>
        <w:br/>
        <w:t>última instancia” para resolver los planteamientos originales de las  partes</w:t>
        <w:br/>
        <w:t>en un proceso nacional. Esto lo tiene claro el Tribunal Interamericano  como</w:t>
        <w:br/>
        <w:t>no puede ser de otra manera. Cobran relevancia las  lúcidas  reflexiones  de</w:t>
        <w:br/>
        <w:t>un destacado  juez  interamericano  al  referirse  precisamente  sobre  esta</w:t>
        <w:br/>
        <w:t>cuestión:[371]</w:t>
        <w:br/>
        <w:br/>
        <w:br/>
        <w:t xml:space="preserve">  La  Corte  Interamericana,  que  tiene  a  su  cargo   el   “control   de</w:t>
        <w:br/>
        <w:t xml:space="preserve">  convencionalidad” fundado en la confrontación entre el hecho realizado  y</w:t>
        <w:br/>
        <w:t xml:space="preserve">  las normas de la Convención Americana, no puede, ni pretende  --jamás  lo</w:t>
        <w:br/>
        <w:t xml:space="preserve">  ha hecho--, convertirse en una nueva y última instancia para  conocer  la</w:t>
        <w:br/>
        <w:t xml:space="preserve">  controversia suscitada en el  orden  interno.  La  expresión  de  que  el</w:t>
        <w:br/>
        <w:t xml:space="preserve">  Tribunal interamericano constituye una tercera o cuarta instancia,  y  en</w:t>
        <w:br/>
        <w:t xml:space="preserve">  todo caso una última instancia, obedece a una percepción  popular,  cuyos</w:t>
        <w:br/>
        <w:t xml:space="preserve">  motivos son comprensibles, pero  no  corresponde  a  la  competencia  del</w:t>
        <w:br/>
        <w:t xml:space="preserve">  Tribunal, a la relación jurídica controvertida en éste, a los sujetos del</w:t>
        <w:br/>
        <w:t xml:space="preserve">  proceso respectivo y a las características del juicio internacional sobre</w:t>
        <w:br/>
        <w:t xml:space="preserve">  derechos humanos. (Subrayado añadido).</w:t>
        <w:br/>
        <w:br/>
        <w:t>11.   De lo expuesto se concluye que  la  jurisdicción  interamericana  será</w:t>
        <w:br/>
        <w:t>competente, en determinados casos,  para  revisar  las  actuaciones  de  los</w:t>
        <w:br/>
        <w:t>jueces  nacionales,  incluido  el  correcto  ejercicio   del   “control   de</w:t>
        <w:br/>
        <w:t>convencionalidad”, siempre y cuando el análisis se  derive  del  examen  que</w:t>
        <w:br/>
        <w:t>realice de la compatibilidad de  la  actuación  nacional  a  la  luz  de  la</w:t>
        <w:br/>
        <w:t>Convención Americana sobre Derechos Humanos, de sus  Protocolos  adicionales</w:t>
        <w:br/>
        <w:t>y de su propia jurisprudencia convencional; sin que ello implique  convertir</w:t>
        <w:br/>
        <w:t>al  Tribunal  Interamericano  en  un  “tribunal  de  alzada”  o  de  “cuarta</w:t>
        <w:br/>
        <w:t>instancia”, ya que su actuación se  limitará  al  análisis  de  determinadas</w:t>
        <w:br/>
        <w:t>violaciones de  los  compromisos  internacionales  asumidos  por  el  Estado</w:t>
        <w:br/>
        <w:t>demandado en  el  caso  particular,  y  no  de  todas  y  cada  una  de  las</w:t>
        <w:br/>
        <w:t>actuaciones   de   los   órganos   jurisdiccionales   domésticos,   lo   que</w:t>
        <w:br/>
        <w:t>evidentemente  en  este  último  supuesto  equivaldría  a  sustituir  a   la</w:t>
        <w:br/>
        <w:t>jurisdicción  interna,  quebrantando  la  esencia  misma  de  la  naturaleza</w:t>
        <w:br/>
        <w:t>coadyuvante o complementaria de los tribunales internacionales.</w:t>
        <w:br/>
        <w:br/>
        <w:t>12.   Por el contrario, la Corte IDH es  competente  para  conocer  “de  los</w:t>
        <w:br/>
        <w:t>asuntos relacionados con el cumplimiento de los compromisos  contraídos  por</w:t>
        <w:br/>
        <w:t>los Estados partes”;[372] siendo  precisamente  el  objetivo  principal  del</w:t>
        <w:br/>
        <w:t>Tribunal Interamericano “la aplicación e  interpretación  de  la  Convención</w:t>
        <w:br/>
        <w:t>Americana sobre Derechos  Humanos”,[373]  de  donde  deriva  su  competencia</w:t>
        <w:br/>
        <w:t>también para analizar el debido ejercicio del “control de  convencionalidad”</w:t>
        <w:br/>
        <w:t>por el juez nacional cuando  existan  violaciones  al  Pacto  de  San  José,</w:t>
        <w:br/>
        <w:t>análisis que el juez convencional realizará, necesariamente, al resolver  el</w:t>
        <w:br/>
        <w:t>“fondo” del asunto y  no  como  “excepción  preliminar”,  al  ser  en  aquel</w:t>
        <w:br/>
        <w:t>momento donde se efectúa el “examen de  convencionalidad”  de  la  actuación</w:t>
        <w:br/>
        <w:t>interna a la luz de la Convención Americana y de la  interpretación  que  se</w:t>
        <w:br/>
        <w:t>realice a la misma por la Corte IDH.</w:t>
        <w:br/>
        <w:br/>
        <w:t xml:space="preserve">          III. LA DOCTRINA DEL “CONTROL DIFUSO DE CONVENCIONALIDAD”</w:t>
        <w:br/>
        <w:t xml:space="preserve">                    Y SUS PRECISIONES EN EL PRESENTE CASO</w:t>
        <w:br/>
        <w:br/>
        <w:t xml:space="preserve">  A. SURGIMIENTO Y REITERACIÓN DE LA DOCTRINA</w:t>
        <w:br/>
        <w:br/>
        <w:t>13.   La  doctrina  del  “control  de  convencionalidad”  surge  en  el  año</w:t>
        <w:br/>
        <w:t>2006,[374] en el Caso Almonacid Arellano vs. Chile:[375]</w:t>
        <w:br/>
        <w:br/>
        <w:br/>
        <w:t xml:space="preserve">      123.   La  descrita  obligación  legislativa  del  artículo  2  de  la</w:t>
        <w:br/>
        <w:t xml:space="preserve">      Convención tiene también la finalidad  de  facilitar  la  función  del</w:t>
        <w:br/>
        <w:t xml:space="preserve">      Poder Judicial de tal forma que el  aplicador  de  la  ley  tenga  una</w:t>
        <w:br/>
        <w:t xml:space="preserve">      opción clara de cómo resolver un caso particular. Sin embargo,  cuando</w:t>
        <w:br/>
        <w:t xml:space="preserve">      el Legislativo falla en su tarea de  suprimir  y/o  no  adoptar  leyes</w:t>
        <w:br/>
        <w:t xml:space="preserve">      contrarias a la Convención Americana, el Judicial permanece  vinculado</w:t>
        <w:br/>
        <w:t xml:space="preserve">      al deber de garantía establecido en el artículo 1.1  de  la  misma  y,</w:t>
        <w:br/>
        <w:t xml:space="preserve">      consecuentemente,  debe  abstenerse  de  aplicar  cualquier  normativa</w:t>
        <w:br/>
        <w:t xml:space="preserve">      contraria a ella. El cumplimiento por parte de agentes o  funcionarios</w:t>
        <w:br/>
        <w:t xml:space="preserve">      del  Estado  de  una  ley  violatoria   de   la   Convención   produce</w:t>
        <w:br/>
        <w:t xml:space="preserve">      responsabilidad internacional del Estado, y es un principio básico del</w:t>
        <w:br/>
        <w:t xml:space="preserve">      derecho de la responsabilidad internacional del Estado, recogido en el</w:t>
        <w:br/>
        <w:t xml:space="preserve">      Derecho Internacional de los Derechos Humanos, en el  sentido  de  que</w:t>
        <w:br/>
        <w:t xml:space="preserve">      todo Estado es internacionalmente responsable por actos u omisiones de</w:t>
        <w:br/>
        <w:t xml:space="preserve">      cualesquiera de sus poderes u órganos en  violación  de  los  derechos</w:t>
        <w:br/>
        <w:t xml:space="preserve">      internacionalmente consagrados, según el artículo 1.1 de la Convención</w:t>
        <w:br/>
        <w:t xml:space="preserve">      Americana.[376]</w:t>
        <w:br/>
        <w:br/>
        <w:br/>
        <w:t xml:space="preserve">      124.  La Corte es consciente que  los  jueces  y  tribunales  internos</w:t>
        <w:br/>
        <w:t xml:space="preserve">      están sujetos al imperio de la ley y,  por  ello,  están  obligados  a</w:t>
        <w:br/>
        <w:t xml:space="preserve">      aplicar las disposiciones vigentes en el ordenamiento jurídico.   Pero</w:t>
        <w:br/>
        <w:t xml:space="preserve">      cuando un Estado  ha  ratificado  un  tratado  internacional  como  la</w:t>
        <w:br/>
        <w:t xml:space="preserve">      Convención Americana, sus jueces, como parte del aparato  del  Estado,</w:t>
        <w:br/>
        <w:t xml:space="preserve">      también están sometidos a ella, lo que les obliga a velar  porque  los</w:t>
        <w:br/>
        <w:t xml:space="preserve">      efectos de las disposiciones de la Convención no se vean mermadas  por</w:t>
        <w:br/>
        <w:t xml:space="preserve">      la aplicación de leyes contrarias a su objeto y fin, y  que  desde  un</w:t>
        <w:br/>
        <w:t xml:space="preserve">      inicio carecen de efectos jurídicos.   En  otras  palabras,  el  Poder</w:t>
        <w:br/>
        <w:t xml:space="preserve">      Judicial debe ejercer una especie  de  “control  de  convencionalidad”</w:t>
        <w:br/>
        <w:t xml:space="preserve">      entre las normas jurídicas internas que aplican en los casos concretos</w:t>
        <w:br/>
        <w:t xml:space="preserve">      y la Convención Americana sobre Derechos Humanos.  En esta  tarea,  el</w:t>
        <w:br/>
        <w:t xml:space="preserve">      Poder Judicial debe tener en cuenta  no  solamente  el  tratado,  sino</w:t>
        <w:br/>
        <w:t xml:space="preserve">      también  la  interpretación  que  del  mismo   ha   hecho   la   Corte</w:t>
        <w:br/>
        <w:t xml:space="preserve">      Interamericana,  intérprete  última  de   la   Convención   Americana.</w:t>
        <w:br/>
        <w:t xml:space="preserve">      (Subrayado añadido).</w:t>
        <w:br/>
        <w:br/>
        <w:br/>
        <w:t xml:space="preserve">      125.  En esta misma línea de ideas,  esta  Corte  ha  establecido  que</w:t>
        <w:br/>
        <w:t xml:space="preserve">      “[s]egún el derecho internacional las  obligaciones  que  éste  impone</w:t>
        <w:br/>
        <w:t xml:space="preserve">      deben ser  cumplidas  de  buena  fe  y  no  puede  invocarse  para  su</w:t>
        <w:br/>
        <w:t xml:space="preserve">      incumplimiento  el  derecho  interno”.[377]   Esta   regla   ha   sido</w:t>
        <w:br/>
        <w:t xml:space="preserve">      codificada en el artículo 27  de  la  Convención  de  Viena  sobre  el</w:t>
        <w:br/>
        <w:t xml:space="preserve">      Derecho de los Tratados de 1969.”</w:t>
        <w:br/>
        <w:br/>
        <w:t>14.   El precedente anterior fue reiterado con ciertos  matices,  dos  meses</w:t>
        <w:br/>
        <w:t>después, en el Caso Trabajadores  Cesados  del  Congreso  (Aguado  Alfaro  y</w:t>
        <w:br/>
        <w:t>otros) vs. Perú.[378] En efecto, en este fallo se  invoca  el  criterio  del</w:t>
        <w:br/>
        <w:t>Caso  Almonacid  Arellano  sobre  el  “control  de  convencionalidad”  y  lo</w:t>
        <w:br/>
        <w:t>“precisa” en dos aspectos: (i) procede “de oficio” sin necesidad de que  las</w:t>
        <w:br/>
        <w:t>partes lo  soliciten;  y  (ii)  debe  ejercerse  dentro  del  marco  de  sus</w:t>
        <w:br/>
        <w:t>respectivas competencias y de las regulaciones procesales  correspondientes,</w:t>
        <w:br/>
        <w:t>considerando otros presupuestos formales y  materiales  de  admisibilidad  y</w:t>
        <w:br/>
        <w:t>procedencia.</w:t>
        <w:br/>
        <w:br/>
        <w:t>15.   Desde entonces se ha venido consolidando la esencia de esta  doctrina,</w:t>
        <w:br/>
        <w:t>al aplicarse  en los casos contenciosos  siguientes:  La  Cantuta  vs.  Perú</w:t>
        <w:br/>
        <w:t>(2006);[379] Boyce y otros vs. Barbados (2007);[380] Heliodoro Portugal  vs.</w:t>
        <w:br/>
        <w:t>Panamá (2008);[381] Rosendo Radilla Pacheco  vs.  Estados  Unidos  Mexicanos</w:t>
        <w:br/>
        <w:t>(2009);[382]  Manuel  Cepeda  Vargas  vs.  Colombia  (2010);[383]  Comunidad</w:t>
        <w:br/>
        <w:t>Indígena Xákmok Kásek vs. Paraguay (2010);[384]  Fernández  Ortega  y  Otros</w:t>
        <w:br/>
        <w:t>vs. México (2010);[385] Rosendo Cantú y Otra vs. México  (2010);[386]  Ibsen</w:t>
        <w:br/>
        <w:t>Cárdenas e Ibsen  Peña  vs.  Bolivia  (2010);[387]  Vélez  Loor  vs.  Panamá</w:t>
        <w:br/>
        <w:t>(2010);[388]  Gomes  Lund  y  Otros  (Guerrilha  do  Araguaia)  vs.   Brasil</w:t>
        <w:br/>
        <w:t>(2010),[389]  y  ahora,  Cabrera  García  y  Montiel   Flores   vs.   México</w:t>
        <w:br/>
        <w:t>(2010).[390]</w:t>
        <w:br/>
        <w:br/>
        <w:t>16.    Además,  la  doctrina  jurisprudencial  también  se  aplicó   en   la</w:t>
        <w:br/>
        <w:t>resolución de supervisión de cumplimiento de sentencia, en los Casos  Fermín</w:t>
        <w:br/>
        <w:t>Ramírez, y Raxcacó Reyes,  así  como  en  la  solicitud  de  “ampliación  de</w:t>
        <w:br/>
        <w:t>medidas provisionales” de Raxcacó Reyes y Otros, todos  vs.  Guatemala.[391]</w:t>
        <w:br/>
        <w:t>Y también ha sido motivo de profundas reflexiones por parte  de  algunos  de</w:t>
        <w:br/>
        <w:t>los jueces de la Corte IDH al  emitir  sus  votos  razonados,  como  los  ex</w:t>
        <w:br/>
        <w:t>presidentes García Ramírez,[392] y Cançado Trindade,[393] así como del  juez</w:t>
        <w:br/>
        <w:t>ad hoc Roberto de Figueiredo Caldas,[394] a  los  que  nos  referiremos  más</w:t>
        <w:br/>
        <w:t>adelante.</w:t>
        <w:br/>
        <w:br/>
        <w:t xml:space="preserve">  B. APORTACIONES EN EL CASO CABRERA GARCÍA Y MONTIEL FLORES</w:t>
        <w:br/>
        <w:br/>
        <w:t>17.   En la Sentencia a  que  se  refiere  el  presente  voto  razonado,  se</w:t>
        <w:br/>
        <w:t>reitera la esencia de la doctrina  del  “control  de  convencionalidad”  con</w:t>
        <w:br/>
        <w:t>algunas precisiones de relevancia, en los siguientes términos:</w:t>
        <w:br/>
        <w:br/>
        <w:t xml:space="preserve">      225.  Este  Tribunal  ha  establecido  en  su  jurisprudencia  que  es</w:t>
        <w:br/>
        <w:t xml:space="preserve">      consciente que las autoridades internas están sujetas al imperio de la</w:t>
        <w:br/>
        <w:t xml:space="preserve">      ley y, por ello, están obligadas a aplicar las disposiciones  vigentes</w:t>
        <w:br/>
        <w:t xml:space="preserve">      en el ordenamiento jurídico. Pero cuando un  Estado  es  Parte  de  un</w:t>
        <w:br/>
        <w:t xml:space="preserve">      tratado internacional como la Convención Americana, todos sus órganos,</w:t>
        <w:br/>
        <w:t xml:space="preserve">      incluidos sus jueces, también están sometidos a  aquél,  lo  cual  les</w:t>
        <w:br/>
        <w:t xml:space="preserve">      obliga a velar  por  que  los  efectos  de  las  disposiciones  de  la</w:t>
        <w:br/>
        <w:t xml:space="preserve">      Convención no se vean mermados por la aplicación de normas  contrarias</w:t>
        <w:br/>
        <w:t xml:space="preserve">      a su objeto y fin. Los jueces y órganos vinculados a la administración</w:t>
        <w:br/>
        <w:t xml:space="preserve">      de justicia en todos los niveles están en la obligación de ejercer  ex</w:t>
        <w:br/>
        <w:t xml:space="preserve">      officio un “control de convencionalidad” entre las normas  internas  y</w:t>
        <w:br/>
        <w:t xml:space="preserve">      la Convención Americana, evidentemente en el marco de sus  respectivas</w:t>
        <w:br/>
        <w:t xml:space="preserve">      competencias y de las  regulaciones  procesales  correspondientes.  En</w:t>
        <w:br/>
        <w:t xml:space="preserve">      esta  tarea,  los  jueces  y  órganos  judiciales  vinculados   a   la</w:t>
        <w:br/>
        <w:t xml:space="preserve">      administración de justicia deben  tener  en  cuenta  no  solamente  el</w:t>
        <w:br/>
        <w:t xml:space="preserve">      tratado, sino también la interpretación que  del  mismo  ha  hecho  la</w:t>
        <w:br/>
        <w:t xml:space="preserve">      Corte Interamericana, intérprete última de  la  Convención  Americana.</w:t>
        <w:br/>
        <w:t xml:space="preserve">      (Subrayado añadido).</w:t>
        <w:br/>
        <w:br/>
        <w:t>18.   Como puede apreciarse, la  Corte  IDH  aclara  su  doctrina  sobre  el</w:t>
        <w:br/>
        <w:t>“control de convencionalidad”, al sustituir  las  expresiones  relativas  al</w:t>
        <w:br/>
        <w:t>“Poder Judicial” que aparecían desde el leading case Almonacid Arellano  vs.</w:t>
        <w:br/>
        <w:t>Chile (2006), para ahora hacer referencia a que “todos sus órganos”  de  los</w:t>
        <w:br/>
        <w:t>Estados que han ratificado la Convención Americana, “incluidos sus  jueces”,</w:t>
        <w:br/>
        <w:t>deben velar por el efecto útil del  Pacto,  y  que  “los  jueces  y  órganos</w:t>
        <w:br/>
        <w:t>vinculados a la administración de  justicia  en  todos  los  niveles”  están</w:t>
        <w:br/>
        <w:t>obligados a ejercer, de oficio, el “control de convencionalidad”.</w:t>
        <w:br/>
        <w:br/>
        <w:t>19. La intencionalidad de la Corte IDH es clara:  definir  que  la  doctrina</w:t>
        <w:br/>
        <w:t>del “control de convencionalidad” se debe ejercer por  “todos  los  jueces”,</w:t>
        <w:br/>
        <w:t>independientemente de su formal pertenencia o no al  Poder  Judicial  y  sin</w:t>
        <w:br/>
        <w:t>importar su jerarquía, grado, cuantía o materia de especialización.</w:t>
        <w:br/>
        <w:br/>
        <w:t>20. Así, no existe  duda  de  que  el  “control  de  convencionalidad”  debe</w:t>
        <w:br/>
        <w:t>realizarse  por  cualquier  juez  o  tribunal  que   materialmente   realice</w:t>
        <w:br/>
        <w:t>funciones jurisdiccionales, incluyendo, por supuesto, a las Cortes, Salas  o</w:t>
        <w:br/>
        <w:t>Tribunales Constitucionales, así como a las Cortes Supremas  de  Justicia  y</w:t>
        <w:br/>
        <w:t>demás altas jurisdicciones de los veinticuatro países  que  han  suscrito  y</w:t>
        <w:br/>
        <w:t>ratificado o se han  adherido  a  la  Convención  Americana  sobre  Derechos</w:t>
        <w:br/>
        <w:t>Humanos,[395] y con mayor razón de los veintiún Estados que  han  reconocido</w:t>
        <w:br/>
        <w:t>la jurisdicción contenciosa de la Corte IDH,[396] de un total de  treinta  y</w:t>
        <w:br/>
        <w:t>cinco países que conforman la OEA.</w:t>
        <w:br/>
        <w:br/>
        <w:t xml:space="preserve">  C. CARACTERIZACIÓN DEL “CONTROL DIFUSO DE CONVENCIONALIDAD” A LA  LUZ  DE</w:t>
        <w:br/>
        <w:t xml:space="preserve">     SU DESARROLLO JURISPRUDENCIAL</w:t>
        <w:br/>
        <w:br/>
        <w:br/>
        <w:t xml:space="preserve">  a) Carácter “difuso”: todos los jueces nacionales “deben” ejercerlo</w:t>
        <w:br/>
        <w:br/>
        <w:t>21.   Se trata, en realidad, de un  “control  difuso  de  convencionalidad”,</w:t>
        <w:br/>
        <w:t>debido a que debe ejercerse por todos los  jueces  nacionales.  Existe,  por</w:t>
        <w:br/>
        <w:t>consiguiente, una asimilación de conceptos del  Derecho  Constitucional,  lo</w:t>
        <w:br/>
        <w:t>cual está presente desde el origen y desarrollo  del  Derecho  Internacional</w:t>
        <w:br/>
        <w:t>de  los  Derechos  Humanos,  especialmente  al  crearse  las  “garantías”  y</w:t>
        <w:br/>
        <w:t>“órganos”  internacionales  de  protección  de  los  derechos  humanos.   Se</w:t>
        <w:br/>
        <w:t>advierte claramente una “internacionalización del  Derecho  Constitucional”,</w:t>
        <w:br/>
        <w:t>particularmente  al  trasladar   las   “garantías   constitucionales”   como</w:t>
        <w:br/>
        <w:t>instrumentos procesales para la  tutela  de  los  derechos  fundamentales  y</w:t>
        <w:br/>
        <w:t>salvaguarda  de   la   “supremacía   constitucional”,   a   las   “garantías</w:t>
        <w:br/>
        <w:t>convencionales” como mecanismos jurisdiccionales  y  cuasi  jurisdiccionales</w:t>
        <w:br/>
        <w:t>para  la  tutela  de  los  derechos  humanos   previstos   en   los   pactos</w:t>
        <w:br/>
        <w:t>internacionales cuando aquéllos no han  sido  suficientes,  por  lo  que  de</w:t>
        <w:br/>
        <w:t>alguna manera se configura también una “supremacía convencional”.</w:t>
        <w:br/>
        <w:br/>
        <w:t>22.   Una de las manifestaciones de este proceso  de  “internacionalización”</w:t>
        <w:br/>
        <w:t>de categorías constitucionales es, precisamente,  la  concepción  difusa  de</w:t>
        <w:br/>
        <w:t>convencionalidad que estamos  analizando,  ya  que  parte  de  la  arraigada</w:t>
        <w:br/>
        <w:t>connotación del “control difuso  de  constitucionalidad”  en  contraposición</w:t>
        <w:br/>
        <w:t>con el “control concentrado” que se realiza en los Estados  constitucionales</w:t>
        <w:br/>
        <w:t>por  las  altas  “jurisdicciones  constitucionales”,  teniendo   la   última</w:t>
        <w:br/>
        <w:t>interpretación   constitucional   los    Tribunales,    Cortes    o    Salas</w:t>
        <w:br/>
        <w:t>Constitucionales o en algunos casos,  las  Cortes  Supremas  y  otras  altas</w:t>
        <w:br/>
        <w:t>jurisdicciones.   En   este   sentido,   el    “control    concentrado    de</w:t>
        <w:br/>
        <w:t>convencionalidad” lo venía  realizando  la  Corte  IDH  desde  sus  primeras</w:t>
        <w:br/>
        <w:t>sentencias, sometiendo a un examen de convencionalidad los  actos  y  normas</w:t>
        <w:br/>
        <w:t>de los  Estados  en  un  caso  particular.  Este  “control  concentrado”  lo</w:t>
        <w:br/>
        <w:t>realizaba, fundamentalmente, la Corte IDH. Ahora se ha  transformado  en  un</w:t>
        <w:br/>
        <w:t>“control difuso de convencionalidad” al extender  dicho  “control”  a  todos</w:t>
        <w:br/>
        <w:t>los jueces nacionales como un deber de actuación en el  ámbito  interno,  si</w:t>
        <w:br/>
        <w:t>bien  conserva  la  Corte  IDH  su  calidad  de  “intérprete  última  de  la</w:t>
        <w:br/>
        <w:t>Convención Americana” cuando no se logre la eficaz tutela  de  los  derechos</w:t>
        <w:br/>
        <w:t>humanos en el ámbito interno.[397]</w:t>
        <w:br/>
        <w:br/>
        <w:t>23.   Se trata de un “sistema de control extenso (vertical y general)”  como</w:t>
        <w:br/>
        <w:t>acertadamente lo ha puesto de  relieve  el  ex  juez  interamericano  Sergio</w:t>
        <w:br/>
        <w:t>García Ramírez. Al respecto, resultan ilustrativas sus reflexiones  vertidas</w:t>
        <w:br/>
        <w:t>en el voto razonado que formuló con motivo de la  Sentencia  emitida  en  el</w:t>
        <w:br/>
        <w:t>Caso  Trabajadores  Cesados  del  Congreso  (Aguado  Alfaro  y  otros)   vs.</w:t>
        <w:br/>
        <w:t>Perú:[398]</w:t>
        <w:br/>
        <w:br/>
        <w:br/>
        <w:t xml:space="preserve">      4.    En otras ocasiones he cotejado  la  función  de  los  tribunales</w:t>
        <w:br/>
        <w:t xml:space="preserve">      internacionales de derechos  humanos  con  la  misión  de  las  cortes</w:t>
        <w:br/>
        <w:t xml:space="preserve">      constitucionales internas. Estas tienen a su cargo velar por el Estado</w:t>
        <w:br/>
        <w:t xml:space="preserve">      de Derecho a través del juzgamiento sobre la subordinación de actos de</w:t>
        <w:br/>
        <w:t xml:space="preserve">      autoridades a la ley suprema de la nación.  En  el  desarrollo  de  la</w:t>
        <w:br/>
        <w:t xml:space="preserve">      justicia constitucional ha aparecido una jurisprudencia de  principios</w:t>
        <w:br/>
        <w:t xml:space="preserve">      y valores --principios y valores del sistema democrático-- que ilustra</w:t>
        <w:br/>
        <w:t xml:space="preserve">      el rumbo del Estado, brinda seguridad a los particulares  y  establece</w:t>
        <w:br/>
        <w:t xml:space="preserve">      el derrotero y las fronteras en el quehacer de los órganos del Estado.</w:t>
        <w:br/>
        <w:t xml:space="preserve">      Desde otro ángulo, el control de constitucionalidad, como valoración y</w:t>
        <w:br/>
        <w:t xml:space="preserve">      decisión sobre el acto de autoridad sometido a juicio, se encomienda a</w:t>
        <w:br/>
        <w:t xml:space="preserve">      un órgano de elevada jerarquía dentro de la estructura  jurisdiccional</w:t>
        <w:br/>
        <w:t xml:space="preserve">      del Estado (control concentrado) o se asigna a  los  diversos  órganos</w:t>
        <w:br/>
        <w:t xml:space="preserve">      jurisdiccionales en lo que respecta a los asuntos  de  los  que  toman</w:t>
        <w:br/>
        <w:t xml:space="preserve">      conocimiento conforme a sus respectivas competencias (control difuso).</w:t>
        <w:br/>
        <w:br/>
        <w:br/>
        <w:t xml:space="preserve">      12.   Este “control de convencionalidad”, de cuyos  buenos  resultados</w:t>
        <w:br/>
        <w:t xml:space="preserve">      depende la mayor difusión del régimen de garantías, puede tener --como</w:t>
        <w:br/>
        <w:t xml:space="preserve">      ha sucedido en algunos países-- carácter difuso, es decir,  quedar  en</w:t>
        <w:br/>
        <w:t xml:space="preserve">      manos de todos los tribunales cuando éstos deban resolver  asuntos  en</w:t>
        <w:br/>
        <w:t xml:space="preserve">      los  que  resulten  aplicables  las  estipulaciones  de  los  tratados</w:t>
        <w:br/>
        <w:t xml:space="preserve">      internacionales de derechos humanos.</w:t>
        <w:br/>
        <w:br/>
        <w:br/>
        <w:t>13.   Esto permitiría trazar un sistema  de  control  extenso  --vertical  y</w:t>
        <w:br/>
        <w:t>general-- en materia de juridicidad de los actos  de  autoridades  --por  lo</w:t>
        <w:br/>
        <w:t>que toca a la conformidad de éstos  con  las  normas  internacionales  sobre</w:t>
        <w:br/>
        <w:t>derechos humanos--, sin perjuicio de que la fuente de interpretación de  las</w:t>
        <w:br/>
        <w:t>disposiciones internacionales de esta materia se halle donde los Estados  la</w:t>
        <w:br/>
        <w:t>han depositado al instituir el régimen de protección que consta en  la  CADH</w:t>
        <w:br/>
        <w:t>y en otros instrumentos  del  corpus  juris  regional.  Me  parece  que  ese</w:t>
        <w:br/>
        <w:t>control extenso --al que corresponde el “control de  convencionalidad”--  se</w:t>
        <w:br/>
        <w:t>halla entre las más relevantes tareas para el futuro inmediato  del  Sistema</w:t>
        <w:br/>
        <w:t>Interamericano de Protección de los Derechos Humanos. (Subrayado añadido).</w:t>
        <w:br/>
        <w:br/>
        <w:br/>
        <w:t>24.   El “control difuso de convencionalidad” convierte al juez nacional  en</w:t>
        <w:br/>
        <w:t>juez interamericano: en un primer y  auténtico  guardián  de  la  Convención</w:t>
        <w:br/>
        <w:t>Americana,  de  sus   Protocolos   adicionales   (eventualmente   de   otros</w:t>
        <w:br/>
        <w:t>instrumentos internacionales) y de la jurisprudencia de  la  Corte  IDH  que</w:t>
        <w:br/>
        <w:t>interpreta dicha normatividad. Tienen los jueces y  órganos  de  impartición</w:t>
        <w:br/>
        <w:t>de justicia nacionales la importante misión  de  salvaguardar  no  sólo  los</w:t>
        <w:br/>
        <w:t>derechos fundamentales previstos en  el  ámbito  interno,  sino  también  el</w:t>
        <w:br/>
        <w:t>conjunto de  valores,  principios  y  derechos  humanos  que  el  Estado  ha</w:t>
        <w:br/>
        <w:t>reconocido  en  los   instrumentos   internacionales   y   cuyo   compromiso</w:t>
        <w:br/>
        <w:t>internacional asumió. Los jueces nacionales se convierten  en  los  primeros</w:t>
        <w:br/>
        <w:t>intérpretes de la normatividad internacional, si se  considera  el  carácter</w:t>
        <w:br/>
        <w:t>subsidiario, complementario y coadyuvante  de  los  órganos  interamericanos</w:t>
        <w:br/>
        <w:t>con respecto a los previstos en el ámbito interno de los Estados  americanos</w:t>
        <w:br/>
        <w:t>y la nueva “misión” que ahora  tienen  para  salvaguardar  el  corpus  juris</w:t>
        <w:br/>
        <w:t>interamericano a través de este nuevo “control”.</w:t>
        <w:br/>
        <w:br/>
        <w:t>25.    Este  proceso   evolutivo   de   recepción   nacional   del   derecho</w:t>
        <w:br/>
        <w:t>internacional de los derechos humanos se manifiesta claramente  en  reformas</w:t>
        <w:br/>
        <w:t>legislativas  trascendentales  en  los  Estados  nacionales,  al  incorporar</w:t>
        <w:br/>
        <w:t>diversas cláusulas constitucionales para  recibir  el  influjo  del  Derecho</w:t>
        <w:br/>
        <w:t>Internacional.  Así  sucede  con   el   reconocimiento   de   la   jerarquía</w:t>
        <w:br/>
        <w:t>constitucional de los tratados internacionales de derechos  humanos,[399]  o</w:t>
        <w:br/>
        <w:t>incluso aceptando su carácter  de  supraconstitucionalidad  cuando  resulten</w:t>
        <w:br/>
        <w:t>más  favorables;[400]  el  reconocimiento  de  su  especificidad   en   esta</w:t>
        <w:br/>
        <w:t>materia;[401] la aceptación de los principios pro homine o favor  libertatis</w:t>
        <w:br/>
        <w:t>como  criterios  hermenéuticos  nacionales;[402]  en  la  incorporación   de</w:t>
        <w:br/>
        <w:t>“cláusulas  abiertas”  de  recepción  de  otros  derechos  conforme   a   la</w:t>
        <w:br/>
        <w:t>normatividad  convencional;[403]  o  en  cláusulas   constitucionales   para</w:t>
        <w:br/>
        <w:t>interpretar  los  derechos  y  libertades  “conforme”  a  los   instrumentos</w:t>
        <w:br/>
        <w:t>internacionales  en  materia   de   derechos   humanos,[404]   entre   otros</w:t>
        <w:br/>
        <w:t>supuestos.[405] De esta forma las normas convencionales  adquieren  carácter</w:t>
        <w:br/>
        <w:t>constitucional.</w:t>
        <w:br/>
        <w:br/>
        <w:t>26.   El desarrollo descrito de incorporación del derecho  internacional  de</w:t>
        <w:br/>
        <w:t>los derechos humanos en  sede  nacional,  también  se  debe  a  las  propias</w:t>
        <w:br/>
        <w:t>jurisdicciones  domésticas,  especialmente  a   las   altas   jurisdicciones</w:t>
        <w:br/>
        <w:t>constitucionales,  que  progresivamente  han  privilegiado  interpretaciones</w:t>
        <w:br/>
        <w:t>dinámicas que favorecen y posibilitan la recepción de los  derechos  humanos</w:t>
        <w:br/>
        <w:t>previstos en  los  tratados  internacionales.[406]  Se  forma  un  auténtico</w:t>
        <w:br/>
        <w:t>“bloque de constitucionalidad”, que  si  bien  varía  de  país  a  país,  la</w:t>
        <w:br/>
        <w:t>tendencia es considerar dentro del mismo no  sólo  a  los  derechos  humanos</w:t>
        <w:br/>
        <w:t>previstos  en  los  pactos  internacionales,  sino  también  a   la   propia</w:t>
        <w:br/>
        <w:t>jurisprudencia de la Corte IDH. Así, en  algunas  ocasiones  el  “bloque  de</w:t>
        <w:br/>
        <w:t>convencionalidad” queda subsumido en el “bloque de constitucionalidad”,  por</w:t>
        <w:br/>
        <w:t>lo que al realizar el “control de  constitucionalidad”  también  se  efectúa</w:t>
        <w:br/>
        <w:t>“control de convencionalidad”.</w:t>
        <w:br/>
        <w:br/>
        <w:t>27.   Precisamente la Corte IDH en los párrs. 226 a 232 de  la  Sentencia  a</w:t>
        <w:br/>
        <w:t>que se refiere el presente voto razonado, ha querido ejemplificar la  manera</w:t>
        <w:br/>
        <w:t>en que tribunales de la “más alta jerarquía”  han  aplicado  y  aceptado  el</w:t>
        <w:br/>
        <w:t>“control    de    convencionalidad”    considerando    la     jurisprudencia</w:t>
        <w:br/>
        <w:t>interamericana. Representa  una  manifestación  clara  de  este  interesante</w:t>
        <w:br/>
        <w:t>proceso de “recepción nacional del derecho  internacional  de  los  derechos</w:t>
        <w:br/>
        <w:t>humanos” y sin lugar  a  dudas  “constituye  uno  de  los  rasgos  positivos</w:t>
        <w:br/>
        <w:t>sobresalientes en  la  hora  actual,  que  conviene  reconocer,  sostener  y</w:t>
        <w:br/>
        <w:t>acrecentar”.[407]</w:t>
        <w:br/>
        <w:br/>
        <w:t>28.   Al respecto, en la sentencia que motiva el presente voto  razonado  se</w:t>
        <w:br/>
        <w:t>transcriben pasajes de diversos fallos  de  la  Sala  Constitucional  de  la</w:t>
        <w:br/>
        <w:t>Corte Suprema de Costa Rica; del Tribunal Constitucional de Bolivia;  de  la</w:t>
        <w:br/>
        <w:t>Corte  Suprema  de  Justicia   de   República   Dominicana;   del   Tribunal</w:t>
        <w:br/>
        <w:t>Constitucional del Perú; de la Corte Suprema de Justicia  de  la  Nación  de</w:t>
        <w:br/>
        <w:t>Argentina; y de la Corte Constitucional de Colombia.  Son  algunos  ejemplos</w:t>
        <w:br/>
        <w:t>que permiten  comprender  esta  dinámica  de  recepción  jurisdiccional  del</w:t>
        <w:br/>
        <w:t>derecho internacional  de  los  derechos  humanos  y  de  la  jurisprudencia</w:t>
        <w:br/>
        <w:t>convencional.</w:t>
        <w:br/>
        <w:br/>
        <w:t>29.   Si observamos con detenimiento los fallos referidos, puede  apreciarse</w:t>
        <w:br/>
        <w:t>que algunos  de  los  criterios  fueron  adoptados  con  anterioridad  a  la</w:t>
        <w:br/>
        <w:t>creación pretoriana del “control de convencionalidad” en el  Caso  Almonacid</w:t>
        <w:br/>
        <w:t>Arellano vs. Chile de 2006, como sucedió con los  precedentes  de  Argentina</w:t>
        <w:br/>
        <w:t>(2004) Costa Rica (1995), Colombia (2000),  República  Dominicana  (2003)  o</w:t>
        <w:br/>
        <w:t>Perú (2006). Resulta  evidente  que  la  Corte  IDH  crea  la  doctrina  del</w:t>
        <w:br/>
        <w:t>“control  difuso  de  convencionalidad”  advirtiendo  la  tendencia  de   la</w:t>
        <w:br/>
        <w:t>“constitucionalización”  o,  si  se  prefiere,  “nacionalización”[408]   del</w:t>
        <w:br/>
        <w:t>“derecho  internacional  de  los  derechos  humanos”  y  particularmente  la</w:t>
        <w:br/>
        <w:t>aceptación de su jurisprudencia convencional como elemento “hermenéutico”  y</w:t>
        <w:br/>
        <w:t>de “control” de la normatividad interna por parte de los propios  tribunales</w:t>
        <w:br/>
        <w:t>internos; es  decir,  la  Corte  IDH  recibió  el  influjo  de  la  práctica</w:t>
        <w:br/>
        <w:t>jurisprudencial de los jueces nacionales para crear la nueva doctrina  sobre</w:t>
        <w:br/>
        <w:t>el “control difuso de convencionalidad”.</w:t>
        <w:br/>
        <w:br/>
        <w:t>30.   A su vez, se  advierte  que  varias  altas  jurisdicciones  nacionales</w:t>
        <w:br/>
        <w:t>incorporaron los parámetros del “control difuso de convencionalidad”  debido</w:t>
        <w:br/>
        <w:t>al reconocimiento de la jurisprudencia de  la  Corte  IDH  a  partir  de  la</w:t>
        <w:br/>
        <w:t>creación  de  dicha  doctrina  en  el  año  2006.  Especial  mención  es  el</w:t>
        <w:br/>
        <w:t>trascendental precedente de la Corte Suprema de Justicia  de  Argentina  del</w:t>
        <w:br/>
        <w:t>año 2007 (Caso “Mazzeo”),[409] donde expresa el  deber  del  Poder  Judicial</w:t>
        <w:br/>
        <w:t>local  de  ejercer   el   “control   de   convencionalidad”,   reproduciendo</w:t>
        <w:br/>
        <w:t>prácticamente lo expresado por la Corte Interamericana de  Derechos  Humanos</w:t>
        <w:br/>
        <w:t>en el Caso Almonacid Arellano vs. Chile. En  efecto,  en  el  párr.  21  del</w:t>
        <w:br/>
        <w:t>referido fallo de la Corte Suprema de Argentina se dice textualmente:</w:t>
        <w:br/>
        <w:br/>
        <w:t xml:space="preserve">      21) Que, por su parte, la Corte Interamericana  ha  señalado  que  "es</w:t>
        <w:br/>
        <w:t xml:space="preserve">      consciente que los jueces  y  tribunales  internos  están  sujetos  al</w:t>
        <w:br/>
        <w:t xml:space="preserve">      imperio de  la  ley  y,  por  ello,  están  obligados  a  aplicar  las</w:t>
        <w:br/>
        <w:t xml:space="preserve">      disposiciones vigentes en el ordenamiento  jurídico.  Pero  cuando  un</w:t>
        <w:br/>
        <w:t xml:space="preserve">      Estado ha ratificado  un  tratado  internacional  como  la  Convención</w:t>
        <w:br/>
        <w:t xml:space="preserve">      Americana, sus jueces, como parte  del  aparato  del  Estado,  también</w:t>
        <w:br/>
        <w:t xml:space="preserve">      están sometidos a ella, lo que les obliga a velar porque  los  efectos</w:t>
        <w:br/>
        <w:t xml:space="preserve">      de las disposiciones de la Convención  no  se  vean  mermados  por  la</w:t>
        <w:br/>
        <w:t xml:space="preserve">      aplicación de leyes contrarias a su objeto  y  fin,  y  que  desde  un</w:t>
        <w:br/>
        <w:t xml:space="preserve">      inicio carecen de efectos jurídicos".  En  otras  palabras,  el  Poder</w:t>
        <w:br/>
        <w:t xml:space="preserve">      Judicial debe ejercer una especie  de  "control  de  convencionalidad"</w:t>
        <w:br/>
        <w:t xml:space="preserve">      entre las normas jurídicas internas que aplican en los casos concretos</w:t>
        <w:br/>
        <w:t xml:space="preserve">      y la Convención Americana sobre Derechos Humanos. En  esta  tarea,  el</w:t>
        <w:br/>
        <w:t xml:space="preserve">      Poder Judicial debe tener en cuenta  no  solamente  el  tratado,  sino</w:t>
        <w:br/>
        <w:t xml:space="preserve">      también  la  interpretación  que  del  mismo   ha   hecho   la   Corte</w:t>
        <w:br/>
        <w:t xml:space="preserve">      Interamericana, intérprete última de  la  Convención  Americana  -CIDH</w:t>
        <w:br/>
        <w:t xml:space="preserve">      Serie C N- 154, caso  "Almonacid",  del  26  de  septiembre  de  2006,</w:t>
        <w:br/>
        <w:t xml:space="preserve">      parágraf. 124-.</w:t>
        <w:br/>
        <w:br/>
        <w:t>31.    Se  produce  un  interesante  influjo  entre  la  Corte  IDH  y   las</w:t>
        <w:br/>
        <w:t>jurisdicciones nacionales que propicia  el  “diálogo  jurisprudencial”.[410]</w:t>
        <w:br/>
        <w:t>Diálogo que incide en la debida articulación y  creación  de  estándares  en</w:t>
        <w:br/>
        <w:t>materia de protección de los derechos humanos en el continente americano  o,</w:t>
        <w:br/>
        <w:t>por lo pronto, en latinoamérica. El Derecho Internacional  de  los  Derechos</w:t>
        <w:br/>
        <w:t>Humanos se conjuga con el Derecho  Constitucional  o,  si  se  prefiere,  se</w:t>
        <w:br/>
        <w:t>enlazan el Derecho Constitucional Internacional y el  Derecho  Internacional</w:t>
        <w:br/>
        <w:t>de  los  Derechos  Humanos;  lo  anterior   implica,   necesariamente,   una</w:t>
        <w:br/>
        <w:t>capacitación y actualización permanente de los jueces  nacionales  sobre  la</w:t>
        <w:br/>
        <w:t>dinámica de la jurisprudencia convencional.</w:t>
        <w:br/>
        <w:br/>
        <w:t>32.    En  este  sentido,  cobra  relevancia  las  consideraciones  del   ex</w:t>
        <w:br/>
        <w:t>presidente de la Corte IDH, Antônio Augusto  Cançado  Trindade  (actualmente</w:t>
        <w:br/>
        <w:t>juez de la  Corte  Internacional  de  Justicia),  al  reflexionar  sobre  el</w:t>
        <w:br/>
        <w:t>“control de convencionalidad” en  su  voto  razonado  con  motivo  del  Caso</w:t>
        <w:br/>
        <w:t>Trabajadores Cesados del Congreso (Aguado Alfaro y otros) vs. Perú:[411]</w:t>
        <w:br/>
        <w:br/>
        <w:t xml:space="preserve">      3.    O sea, los órganos del Poder Judicial de cada Estado Parte en la</w:t>
        <w:br/>
        <w:t xml:space="preserve">      Convención Americana deben conocer a fondo y  aplicar  debidamente  no</w:t>
        <w:br/>
        <w:t xml:space="preserve">      sólo el Derecho Constitucional sino también el  Derecho  Internacional</w:t>
        <w:br/>
        <w:t xml:space="preserve">      de los Derechos Humanos; deben ejercer ex officio el control tanto  de</w:t>
        <w:br/>
        <w:t xml:space="preserve">      constitucionalidad como de convencionalidad, tomados en conjunto,  por</w:t>
        <w:br/>
        <w:t xml:space="preserve">      cuanto  los  ordenamientos  jurídicos  internacional  y  nacional   se</w:t>
        <w:br/>
        <w:t xml:space="preserve">      encuentran  en  constante  interacción  en  el  presente  dominio   de</w:t>
        <w:br/>
        <w:t xml:space="preserve">      protección de la persona humana. (Subrayado añadido).</w:t>
        <w:br/>
        <w:br/>
        <w:t>33.   La doctrina del  “control difuso de convencionalidad” establecida  por</w:t>
        <w:br/>
        <w:t>la Corte IDH tiene como destinatarios a todos  los  jueces  nacionales,  que</w:t>
        <w:br/>
        <w:t>deben ejercer dicho “control” con  independencia  de  su  jerarquía,  grado,</w:t>
        <w:br/>
        <w:t>cuantía o materia de competencia que la normatividad interna les otorgue.</w:t>
        <w:br/>
        <w:br/>
        <w:t xml:space="preserve">      b. Intensidad del  “control  difuso  de  convencionalidad”:  de  mayor</w:t>
        <w:br/>
        <w:t>grado cuando se tiene competencia para inaplicar o declarar la invalidez  de</w:t>
        <w:br/>
        <w:t>una norma general</w:t>
        <w:br/>
        <w:br/>
        <w:t>34.   Todos los jueces y órganos  que  realicen  funciones  jurisdiccionales</w:t>
        <w:br/>
        <w:t>desde  una   perspectiva   material   “deben”   ejercer   el   “control   de</w:t>
        <w:br/>
        <w:t>convencionalidad”. Es el  mensaje  claro  que  la  Corte  IDH  envía  en  la</w:t>
        <w:br/>
        <w:t>Sentencia relativa al Caso Cabrera García  y  Montiel  Flores,  materia  del</w:t>
        <w:br/>
        <w:t>presente voto razonado. Lo anterior no excluye a los jueces  que  no  pueden</w:t>
        <w:br/>
        <w:t>realizar “control de constitucionalidad”.</w:t>
        <w:br/>
        <w:br/>
        <w:t>35.   En efecto, la precisión de la  doctrina  relativa  a  que  los  jueces</w:t>
        <w:br/>
        <w:t>deben realizar “de oficio” el control de convencionalidad “evidentemente  en</w:t>
        <w:br/>
        <w:t>el marco de sus respectivas competencias y de  las  regulaciones  procesales</w:t>
        <w:br/>
        <w:t>correspondientes”,[412] no puede interpretarse como limitante  para  ejercer</w:t>
        <w:br/>
        <w:t>el “control difuso de convencionalidad”, sino como una manera  de  “graduar”</w:t>
        <w:br/>
        <w:t>la intensidad del mismo. Esto es así, debido a que este tipo de  control  no</w:t>
        <w:br/>
        <w:t>implica necesariamente optar  por  aplicar  la  normativa  o  jurisprudencia</w:t>
        <w:br/>
        <w:t>convencional y dejar de aplicar  la  nacional,  sino  implica  además  y  en</w:t>
        <w:br/>
        <w:t>primer lugar, tratar de armonizar la normativa interna con la  convencional,</w:t>
        <w:br/>
        <w:t>a través de una “interpretación convencional” de la norma nacional.</w:t>
        <w:br/>
        <w:br/>
        <w:t>36.    Así,   en   los   llamados   sistemas   “difusos”   de   control   de</w:t>
        <w:br/>
        <w:t>constitucionalidad donde todos los jueces tienen competencia para  dejar  de</w:t>
        <w:br/>
        <w:t>aplicar una ley al caso concreto por contravenir la  Constitución  nacional,</w:t>
        <w:br/>
        <w:t>el grado de “control de  convencionalidad”  resulta  de  mayor  alcance,  al</w:t>
        <w:br/>
        <w:t>tener todos los jueces  nacionales  la  atribución  de  inaplicar  la  norma</w:t>
        <w:br/>
        <w:t>inconvencional. Este supuesto es  un  grado  intermedio  de  “control”,  que</w:t>
        <w:br/>
        <w:t>operará sólo si no  existe  una  posible  “interpretación  conforme”  de  la</w:t>
        <w:br/>
        <w:t>normatividad nacional con el Pacto de San José (o de algunos otros  tratados</w:t>
        <w:br/>
        <w:t>internacionales  como  veremos  más  adelante)  y   de   la   jurisprudencia</w:t>
        <w:br/>
        <w:t>convencional. A  través  de  esta  “interpretación  conforme”  se  salva  la</w:t>
        <w:br/>
        <w:t>“convencionalidad” de la norma interna. El grado de  intensidad  máximo  del</w:t>
        <w:br/>
        <w:t>“control  de   convencionalidad”   se   puede   realizar   por   las   altas</w:t>
        <w:br/>
        <w:t>jurisdicciones  constitucionales  (normalmente   los   últimos   intérpretes</w:t>
        <w:br/>
        <w:t>constitucionales  en  un  determinado  sistema  jurídico)  que  generalmente</w:t>
        <w:br/>
        <w:t>tienen  además  la  facultad  de  declarar  la   invalidez   de   la   norma</w:t>
        <w:br/>
        <w:t>inconstitucional con  efectos  erga  omnes.  Se  trata  de  una  declaración</w:t>
        <w:br/>
        <w:t>general de invalidez por la inconvencionalidad de la norma nacional.</w:t>
        <w:br/>
        <w:br/>
        <w:t>37.    En  cambio,  el  grado  de  intensidad   del   “control   difuso   de</w:t>
        <w:br/>
        <w:t>convencionalidad” disminuirá en aquellos sistemas donde  no  se  permite  el</w:t>
        <w:br/>
        <w:t>“control difuso de constitucionalidad” y, por  consiguiente,  no  todos  los</w:t>
        <w:br/>
        <w:t>jueces tienen la facultad de dejar de aplicar una ley al caso  concreto.  En</w:t>
        <w:br/>
        <w:t>estos casos es evidente que los  jueces  que  carecen  de  tal  competencia,</w:t>
        <w:br/>
        <w:t>ejercerán el “control difuso de convencionalidad” con menor intensidad,  sin</w:t>
        <w:br/>
        <w:t>que  ello  signifique  que  no  puedan  realizarlo  “en  el  marco  de   sus</w:t>
        <w:br/>
        <w:t>respectivas competencias”. Lo  anterior  implica  que  no  podrán  dejar  de</w:t>
        <w:br/>
        <w:t>aplicar la norma (al  no  tener  esa  potestad),  debiendo,  en  todo  caso,</w:t>
        <w:br/>
        <w:t>realizar una “interpretación convencional” de la misma, es  decir,  efectuar</w:t>
        <w:br/>
        <w:t>una “interpretación conforme”, no sólo de  la  Constitución  nacional,  sino</w:t>
        <w:br/>
        <w:t>también de la Convención Americana  y  de  la  jurisprudencia  convencional.</w:t>
        <w:br/>
        <w:t>Esta  interpretación  requiere  una  actividad  creativa  para   lograr   la</w:t>
        <w:br/>
        <w:t>compatibilidad de la norma nacional conforme  al  parámetro  convencional  y</w:t>
        <w:br/>
        <w:t>así lograr la efectividad del derecho o libertad de que se  trate,  con  los</w:t>
        <w:br/>
        <w:t>mayores alcances posibles en términos del principio pro homine.</w:t>
        <w:br/>
        <w:br/>
        <w:t>38.   En efecto, al realizarse el “examen de  compatibilidad  convencional”,</w:t>
        <w:br/>
        <w:t>el juez nacional debe siempre aplicar el principio pro homine  (previsto  en</w:t>
        <w:br/>
        <w:t>el artículo 29 del Pacto de San José), que implica, inter alia, efectuar  la</w:t>
        <w:br/>
        <w:t>interpretación más favorable para  el  efectivo  goce  y  ejercicio  de  los</w:t>
        <w:br/>
        <w:t>derechos y libertades fundamentales;[413]  pudiendo  incluso  optar  por  la</w:t>
        <w:br/>
        <w:t>interpretación más favorable en  caso  de  aplicabilidad  de  la  Convención</w:t>
        <w:br/>
        <w:t>Americana y otros tratados internacionales sobre derechos  humanos.  Así  lo</w:t>
        <w:br/>
        <w:t>ha interpretado la propia Corte IDH, al señalar que:[414]</w:t>
        <w:br/>
        <w:br/>
        <w:t xml:space="preserve">      51.   A propósito de la comparación entre la  Convención  Americana  y</w:t>
        <w:br/>
        <w:t xml:space="preserve">      los otros tratados mencionados, la Corte no puede eludir un comentario</w:t>
        <w:br/>
        <w:t xml:space="preserve">      acerca de un criterio de interpretación sugerido por Costa Rica en  la</w:t>
        <w:br/>
        <w:t xml:space="preserve">      audiencia del 8 de noviembre de 1985. Según ese  planteamiento  en  la</w:t>
        <w:br/>
        <w:t xml:space="preserve">      hipótesis de que un derecho recogido en la Convención Americana  fuera</w:t>
        <w:br/>
        <w:t xml:space="preserve">      regulado de modo más restrictivo  en  otro  instrumento  internacional</w:t>
        <w:br/>
        <w:t xml:space="preserve">      referente a los derechos humanos, la interpretación de  la  Convención</w:t>
        <w:br/>
        <w:t xml:space="preserve">      Americana debería hacerse tomando en cuenta esas mayores  limitaciones</w:t>
        <w:br/>
        <w:t xml:space="preserve">      porque:</w:t>
        <w:br/>
        <w:br/>
        <w:br/>
        <w:t xml:space="preserve">         De lo contrario tendríamos que aceptar  que  lo  que  es  lícito  y</w:t>
        <w:br/>
        <w:t xml:space="preserve">         permisible en el ámbito universal, constituiría una violación en el</w:t>
        <w:br/>
        <w:t xml:space="preserve">         continente americano, lo que parece  evidentemente  una  afirmación</w:t>
        <w:br/>
        <w:t xml:space="preserve">         errónea. Más bien  pensamos  que  en  cuanto  a  interpretación  de</w:t>
        <w:br/>
        <w:t xml:space="preserve">         tratados, puede sentarse el  criterio  de  que  las  reglas  de  un</w:t>
        <w:br/>
        <w:t xml:space="preserve">         tratado o  convención  deben  interpretarse  en  relación  con  las</w:t>
        <w:br/>
        <w:t xml:space="preserve">         disposiciones que aparezcan en otros tratados que versen  sobre  la</w:t>
        <w:br/>
        <w:t xml:space="preserve">         misma materia. También puede  definirse  el  criterio  de  que  las</w:t>
        <w:br/>
        <w:t xml:space="preserve">         normas de un tratado regional, deben interpretarse a la luz  de  la</w:t>
        <w:br/>
        <w:t xml:space="preserve">         doctrina y disposiciones de los instrumentos de carácter universal.</w:t>
        <w:br/>
        <w:t xml:space="preserve">         (Subrayado añadido).</w:t>
        <w:br/>
        <w:br/>
        <w:br/>
        <w:t xml:space="preserve">      En verdad, frecuentemente es útil, como acaba  de  hacerlo  la  Corte,</w:t>
        <w:br/>
        <w:t xml:space="preserve">      comparar  la  Convención  Americana  con   lo   dispuesto   en   otros</w:t>
        <w:br/>
        <w:t xml:space="preserve">      instrumentos internacionales como medio para poner de relieve aspectos</w:t>
        <w:br/>
        <w:t xml:space="preserve">      particulares de la regulación de  un  determinado  derecho,  pero  tal</w:t>
        <w:br/>
        <w:t xml:space="preserve">      método no podría emplearse  nunca  para  incorporar  a  la  Convención</w:t>
        <w:br/>
        <w:t xml:space="preserve">      criterios restrictivos que no se desprendan directamente de su  texto,</w:t>
        <w:br/>
        <w:t xml:space="preserve">      por más que estén presentes en cualquier otro tratado internacional.</w:t>
        <w:br/>
        <w:br/>
        <w:br/>
        <w:t xml:space="preserve">      52.   La anterior conclusión se deduce claramente del artículo  29  de</w:t>
        <w:br/>
        <w:t xml:space="preserve">      la Convención, que contiene las normas de interpretación, cuyo literal</w:t>
        <w:br/>
        <w:t xml:space="preserve">      b)  indica  que  ninguna  disposición  de  la  Convención,  puede  ser</w:t>
        <w:br/>
        <w:t xml:space="preserve">      interpretada en el sentido de:</w:t>
        <w:br/>
        <w:br/>
        <w:br/>
        <w:t xml:space="preserve">         limitar el goce y ejercicio de cualquier  derecho  o  libertad  que</w:t>
        <w:br/>
        <w:t xml:space="preserve">         pueda estar reconocido de acuerdo con las leyes  de  cualquiera  de</w:t>
        <w:br/>
        <w:t xml:space="preserve">         los Estados Partes o de acuerdo con  otra  convención  en  que  sea</w:t>
        <w:br/>
        <w:t xml:space="preserve">         parte uno de dichos Estados.</w:t>
        <w:br/>
        <w:br/>
        <w:br/>
        <w:t xml:space="preserve">      En consecuencia, si a una misma situación son aplicables la Convención</w:t>
        <w:br/>
        <w:t xml:space="preserve">      Americana y otro tratado internacional, debe prevalecer la  norma  más</w:t>
        <w:br/>
        <w:t xml:space="preserve">      favorable a la persona humana. Si la propia Convención  establece  que</w:t>
        <w:br/>
        <w:t xml:space="preserve">      sus regulaciones no tienen efecto restrictivo sobre otros instrumentos</w:t>
        <w:br/>
        <w:t xml:space="preserve">      internacionales, menos aún podrán traerse restricciones  presentes  en</w:t>
        <w:br/>
        <w:t xml:space="preserve">      esos otros instrumentos, pero no en la  Convención,  para  limitar  el</w:t>
        <w:br/>
        <w:t xml:space="preserve">      ejercicio de los derechos y libertades que ésta reconoce.</w:t>
        <w:br/>
        <w:br/>
        <w:br/>
        <w:br/>
        <w:br/>
        <w:t>39.   En caso de incompatibilidad absoluta, donde no exista  “interpretación</w:t>
        <w:br/>
        <w:t>convencional” posible, si el juez carece de facultades  para  desaplicar  la</w:t>
        <w:br/>
        <w:t>norma, se limitará a señalar la inconvencionalidad de  la  misma  o,  en  su</w:t>
        <w:br/>
        <w:t>caso,  “plantear  la  duda  de  inconvencionalidad”   ante   otros   órganos</w:t>
        <w:br/>
        <w:t>jurisdiccionales competentes dentro del mismo sistema jurídico nacional  que</w:t>
        <w:br/>
        <w:t>puedan ejercer el “control de convencionalidad” con mayor  intensidad.  Así,</w:t>
        <w:br/>
        <w:t>los órganos jurisdiccionales revisores tendrán que ejercer  dicho  “control”</w:t>
        <w:br/>
        <w:t>y desaplicar la norma o bien declarar la invalidez de la misma por  resultar</w:t>
        <w:br/>
        <w:t>inconvencional.</w:t>
        <w:br/>
        <w:br/>
        <w:t>40.   Lo  que  no  parece  razonable  y  estaría  fuera  de  los  parámetros</w:t>
        <w:br/>
        <w:t>interpretativos de la  Corte  IDH,  es  que  ningún  órgano  nacional  tenga</w:t>
        <w:br/>
        <w:t>competencia  para  ejercer  el  “control  difuso  de  convencionalidad”  con</w:t>
        <w:br/>
        <w:t>intensidad fuerte, es decir, dejar de aplicar la norma al caso particular  o</w:t>
        <w:br/>
        <w:t>con efectos generales como resultado de la inconvencionalidad de  la  misma,</w:t>
        <w:br/>
        <w:t>ya que de lo contrario se produciría una responsabilidad  internacional  del</w:t>
        <w:br/>
        <w:t>Estado. No debe perderse de vista lo estipulado en los artículos 1  y  2  de</w:t>
        <w:br/>
        <w:t>la Convención Americana, relativos a la obligación de respetar los  derechos</w:t>
        <w:br/>
        <w:t>humanos y el deber de adoptar disposiciones de derecho interno. Como  lo  ha</w:t>
        <w:br/>
        <w:t>señalado la propia Corte IDH, este  último  dispositivo  tiene  también  “la</w:t>
        <w:br/>
        <w:t>finalidad de facilitar la función del Poder Judicial de  tal  forma  que  el</w:t>
        <w:br/>
        <w:t>aplicador de la ley  tenga  una  opción  clara  de  cómo  resolver  un  caso</w:t>
        <w:br/>
        <w:t>particular”[415] en situaciones que involucren  derechos  fundamentales.  De</w:t>
        <w:br/>
        <w:t>tal manera que la Corte IDH, precisamente en el Caso Almonacid Arellano  que</w:t>
        <w:br/>
        <w:t>da origen a  la  doctrina  del  “control  difuso  de  convencionalidad”,  es</w:t>
        <w:br/>
        <w:t>enfática al establecer en su párr. 123 que:</w:t>
        <w:br/>
        <w:br/>
        <w:br/>
        <w:t xml:space="preserve">      cuando el Legislativo falla en su tarea de  suprimir  y/o  no  adoptar</w:t>
        <w:br/>
        <w:t xml:space="preserve">      leyes contrarias a la  Convención  Americana,  el  Judicial  permanece</w:t>
        <w:br/>
        <w:t xml:space="preserve">      vinculado al deber de garantía establecido en el artículo  1.1  de  la</w:t>
        <w:br/>
        <w:t xml:space="preserve">      misma  y,  consecuentemente,  debe  abstenerse  de  aplicar  cualquier</w:t>
        <w:br/>
        <w:t xml:space="preserve">      normativa contraria a ella. El cumplimiento por  parte  de  agentes  o</w:t>
        <w:br/>
        <w:t xml:space="preserve">      funcionarios del Estado de una ley violatoria de la Convención produce</w:t>
        <w:br/>
        <w:t xml:space="preserve">      responsabilidad internacional del Estado, y es un principio básico del</w:t>
        <w:br/>
        <w:t xml:space="preserve">      derecho de la responsabilidad internacional del Estado, recogido en el</w:t>
        <w:br/>
        <w:t xml:space="preserve">      Derecho Internacional de los Derechos Humanos, en el  sentido  de  que</w:t>
        <w:br/>
        <w:t xml:space="preserve">      todo Estado es internacionalmente responsable por actos u omisiones de</w:t>
        <w:br/>
        <w:t xml:space="preserve">      cualesquiera de sus poderes u órganos en  violación  de  los  derechos</w:t>
        <w:br/>
        <w:t xml:space="preserve">      internacionalmente consagrados, según el artículo 1.1 de la Convención</w:t>
        <w:br/>
        <w:t xml:space="preserve">      Americana.[416] (Subrayado añadido).</w:t>
        <w:br/>
        <w:br/>
        <w:br/>
        <w:br/>
        <w:t>41.  Así, el “control difuso de convencionalidad”  si  bien  se  ejerce  por</w:t>
        <w:br/>
        <w:t>todos los  jueces  nacionales,  tiene  diferentes  grados  de  intensidad  y</w:t>
        <w:br/>
        <w:t>realización, de conformidad con “el marco de sus respectivas competencias  y</w:t>
        <w:br/>
        <w:t>de las regulaciones procesales correspondientes”. En principio,  corresponde</w:t>
        <w:br/>
        <w:t>a todos los jueces y órganos jurisdiccionales realizar una  “interpretación”</w:t>
        <w:br/>
        <w:t>de la norma nacional a la luz de la Convención Americana, de sus  Protocolos</w:t>
        <w:br/>
        <w:t>adicionales  (y  eventualmente  de  otros  tratados),   así   como   de   la</w:t>
        <w:br/>
        <w:t>jurisprudencia de la Corte IDH y siempre con  la  regla  interpretativa  del</w:t>
        <w:br/>
        <w:t>principio pro homine a que refiere el artículo 29 del Pacto de San José;  en</w:t>
        <w:br/>
        <w:t>ese primer grado de intensidad se escogerá la  interpretación  conforme  con</w:t>
        <w:br/>
        <w:t>los parámetros convencionales y, por consiguiente,  se  desecharán  aquellas</w:t>
        <w:br/>
        <w:t>interpretaciones inconvencionales o que sean  de  menor  efectividad  en  el</w:t>
        <w:br/>
        <w:t>goce y protección  del  derecho  o  libertad  respectivo;  existe,  en  este</w:t>
        <w:br/>
        <w:t>sentido, un parangón con la “interpretación conforme”  con  la  Constitución</w:t>
        <w:br/>
        <w:t>que   realizan   los   jueces   nacionales,   especialmente    los    jueces</w:t>
        <w:br/>
        <w:t>constitucionales. En segundo  término,  y  sólo  si  no  puede  salvarse  la</w:t>
        <w:br/>
        <w:t>convencionalidad de la norma interna, el “control de convencionalidad”  debe</w:t>
        <w:br/>
        <w:t>realizarse  con  mayor  intensidad,  sea  inaplicando  la  norma   al   caso</w:t>
        <w:br/>
        <w:t>particular, o bien declarando  su  invalidez  con  efectos  generales,  como</w:t>
        <w:br/>
        <w:t>resultado de su  inconvencionalidad,  de  conformidad  con  las  respectivas</w:t>
        <w:br/>
        <w:t>competencias de cada juez nacional.</w:t>
        <w:br/>
        <w:br/>
        <w:t xml:space="preserve">      c) Debe ejercerse “de oficio”: sea invocado o no por las partes</w:t>
        <w:br/>
        <w:br/>
        <w:t>42.    Esta  característica  del  “control   difuso   de   convencionalidad”</w:t>
        <w:br/>
        <w:t>constituye una precisión de la doctrina original. Se estableció en  el  Caso</w:t>
        <w:br/>
        <w:t>Trabajadores Cesados del Congreso (Aguado Alfaro  y  Otros)  vs.  Perú,[417]</w:t>
        <w:br/>
        <w:t>dos meses después del Caso Almonacid Arellano  vs.  Chile,  y  a  partir  de</w:t>
        <w:br/>
        <w:t>entonces se ha mantenido  firme  en  la  jurisprudencia  de  la  Corte  IDH.</w:t>
        <w:br/>
        <w:t>Consiste  en  la  posibilidad  de  ejercer  dicho  control  por  los  jueces</w:t>
        <w:br/>
        <w:t>nacionales, con independencia de que las partes  lo  invoquen.  En  realidad</w:t>
        <w:br/>
        <w:t>constituye un complemento del carácter “difuso” de dicho control. Si  en  la</w:t>
        <w:br/>
        <w:t>anterior  característica  del  “control  difuso  de   convencionalidad”   se</w:t>
        <w:br/>
        <w:t>establecía la intencionalidad de la Corte IDH de que se “debe”  ejercer  por</w:t>
        <w:br/>
        <w:t>cualquier juez, con independencia de su jerarquía, grado, cuantía o  materia</w:t>
        <w:br/>
        <w:t>de especialización (de donde deriva que sea un “control difuso”),  ahora  se</w:t>
        <w:br/>
        <w:t>acentúa dicho carácter al especificar que además se ejerce “de  oficio”,  lo</w:t>
        <w:br/>
        <w:t>que implica que en cualquier circunstancia los jueces deben  realizar  dicho</w:t>
        <w:br/>
        <w:t>control, ya que “esta función no debe  quedar  limitada  exclusivamente  por</w:t>
        <w:br/>
        <w:t>las manifestaciones o actos de los accionantes en cada caso concreto”.[418]</w:t>
        <w:br/>
        <w:br/>
        <w:t>43.   Pudiera suceder, incluso, que en el ámbito interno  procedan  recursos</w:t>
        <w:br/>
        <w:t>o  medios  de  defensa  adecuados  y  eficaces  para  combatir  la  falta  o</w:t>
        <w:br/>
        <w:t>inadecuado ejercicio del “control  difuso  de  convencionalidad”  por  algún</w:t>
        <w:br/>
        <w:t>juez (por ejemplo, a través de una apelación, recurso de casación o  proceso</w:t>
        <w:br/>
        <w:t>de amparo), al no haberse realizado ex officio dicho control.  Se  trata  de</w:t>
        <w:br/>
        <w:t>una nueva vertiente del principio  iura  novit  curia  (el  juez  conoce  el</w:t>
        <w:br/>
        <w:t>derecho y la jurisprudencia convencional).</w:t>
        <w:br/>
        <w:br/>
        <w:t xml:space="preserve">      D) Parámetro del “control difuso de convencionalidad”: El  “Bloque  de</w:t>
        <w:br/>
        <w:t>Convencionalidad”</w:t>
        <w:br/>
        <w:br/>
        <w:t>44.   En principio, el parámetro del “control  difuso  de  convencionalidad”</w:t>
        <w:br/>
        <w:t>por parte de los jueces nacionales (con independencia de  si  ejercen  o  no</w:t>
        <w:br/>
        <w:t>control de constitucionalidad), es el Pacto de San José y la  jurisprudencia</w:t>
        <w:br/>
        <w:t>de la  Corte  IDH  que  la  interpreta.  La  última  parte  de  la  doctrina</w:t>
        <w:br/>
        <w:t>jurisprudencial respectiva así lo prevé:</w:t>
        <w:br/>
        <w:br/>
        <w:br/>
        <w:t xml:space="preserve">  “En esta tarea, los jueces y órganos vinculados a  la  administración  de</w:t>
        <w:br/>
        <w:t xml:space="preserve">  justicia deben tener en cuenta no solamente  el  tratado  (Pacto  de  San</w:t>
        <w:br/>
        <w:t xml:space="preserve">  José(, sino también la interpretación que del mismo  ha  hecho  la  Corte</w:t>
        <w:br/>
        <w:t xml:space="preserve">  Interamericana,  intérprete  última  de  la  Convención   Americana.[419]</w:t>
        <w:br/>
        <w:t xml:space="preserve">  (Subrayado añadido).</w:t>
        <w:br/>
        <w:br/>
        <w:t>45.   No obstante, la  propia  “jurisprudencia”  de  la  Corte  IDH  ha  ido</w:t>
        <w:br/>
        <w:t>ampliando el corpus juris interamericano  en  materia  de  derechos  humanos</w:t>
        <w:br/>
        <w:t>para fundamentar sus fallos. No debe pasar  inadvertido  que  es  el  propio</w:t>
        <w:br/>
        <w:t>Pacto de San José el que permite incluir “en el  régimen  de  protección  de</w:t>
        <w:br/>
        <w:t>esta Convención otros derechos y libertades que sean reconocidos de  acuerdo</w:t>
        <w:br/>
        <w:t>con los artículos 76 y 77”, lo que ha permitido  que  se  aprueben  diversos</w:t>
        <w:br/>
        <w:t>Protocolos “adicionales” (a la Convención Americana)  y  sean  interpretados</w:t>
        <w:br/>
        <w:t>por este Tribunal Interamericano. Asimismo, el propio Pacto  establece  como</w:t>
        <w:br/>
        <w:t>norma interpretativa que no se puede excluir o limitar el efecto que  puedan</w:t>
        <w:br/>
        <w:t>producir la Declaración Americana de Derechos y Deberes del Hombre y  “otros</w:t>
        <w:br/>
        <w:t>actos internacionales de la misma naturaleza”.[420]</w:t>
        <w:br/>
        <w:br/>
        <w:t>46.   Sobre el particular, resultan ilustrativas las  reflexiones  del  juez</w:t>
        <w:br/>
        <w:t>García  Ramírez,  en  su  voto  razonado  emitido  con   motivo   del   Caso</w:t>
        <w:br/>
        <w:t>Trabajadores  Cesados  del  Congreso  (Aguado  Alfaro  y  otros)  vs.  Perú,</w:t>
        <w:br/>
        <w:t>precisamente    al    analizar    el    parámetro    del     “control     de</w:t>
        <w:br/>
        <w:t>convencionalidad”:[421]</w:t>
        <w:br/>
        <w:br/>
        <w:br/>
        <w:t xml:space="preserve">      En la especie, al referirse a  un  “control  de  convencionalidad”  la</w:t>
        <w:br/>
        <w:t xml:space="preserve">      Corte  Interamericana  ha  tenido  a  la  vista  la  aplicabilidad   y</w:t>
        <w:br/>
        <w:t xml:space="preserve">      aplicación de la Convención Americana sobre Derechos Humanos, Pacto de</w:t>
        <w:br/>
        <w:t xml:space="preserve">      San José. Sin embargo, la misma función se  despliega,  por  idénticas</w:t>
        <w:br/>
        <w:t xml:space="preserve">      razones, en lo que toca a  otros  instrumentos  de  igual  naturaleza,</w:t>
        <w:br/>
        <w:t xml:space="preserve">      integrantes del corpus juris convencional de los derechos  humanos  de</w:t>
        <w:br/>
        <w:t xml:space="preserve">      los que es parte el  Estado:  Protocolo  de  San  Salvador,  Protocolo</w:t>
        <w:br/>
        <w:t xml:space="preserve">      relativo a la Abolición de la Pena de Muerte, Convención para Prevenir</w:t>
        <w:br/>
        <w:t xml:space="preserve">      y  Sancionar  la  Tortura,  Convención  de  Belém  do  Pará  para   la</w:t>
        <w:br/>
        <w:t xml:space="preserve">      Erradicación  de  la  Violencia  contra  la  Mujer,  Convención  sobre</w:t>
        <w:br/>
        <w:t xml:space="preserve">      Desaparición Forzada, etcétera. De lo que se  trata  es  de  que  haya</w:t>
        <w:br/>
        <w:t xml:space="preserve">      conformidad entre los actos internos y los compromisos internacionales</w:t>
        <w:br/>
        <w:t xml:space="preserve">      contraídos por el Estado. (Subrayado añadido).</w:t>
        <w:br/>
        <w:br/>
        <w:t>47.   Lo anterior refleja  que,  en  realidad,  el  parámetro  del  “control</w:t>
        <w:br/>
        <w:t>difuso de convencionalidad” no sólo comprende la Convención Americana,  sino</w:t>
        <w:br/>
        <w:t>también  los  “Protocolos”  adicionales  a  la   misma,   así   como   otros</w:t>
        <w:br/>
        <w:t>instrumentos internacionales que han sido motivo de  integración  al  corpus</w:t>
        <w:br/>
        <w:t>juris interamericano por parte de la jurisprudencia  de  la  Corte  IDH.  El</w:t>
        <w:br/>
        <w:t>objeto de su mandato –dice el propio Tribunal  Interamericano  en  un  fallo</w:t>
        <w:br/>
        <w:t>reciente- “es la aplicación de la Convención Americana y de  otros  tratados</w:t>
        <w:br/>
        <w:t>que le otorguen competencia”[422] y, por consiguiente, la interpretación  de</w:t>
        <w:br/>
        <w:t>dichos tratados.</w:t>
        <w:br/>
        <w:br/>
        <w:t>48.   Para efectos del parámetro del “control difuso  de  convencionalidad”,</w:t>
        <w:br/>
        <w:t>por “jurisprudencia” debe comprenderse toda interpretación que la Corte  IDH</w:t>
        <w:br/>
        <w:t>realice a la Convención Americana, a sus Protocolos adicionales, y  a  otros</w:t>
        <w:br/>
        <w:t>instrumentos internacionales de la misma naturaleza que  sean  integrados  a</w:t>
        <w:br/>
        <w:t>dicho corpus juris  interamericano,  materia  de  competencia  del  Tribunal</w:t>
        <w:br/>
        <w:t>Interamericano. No debe perderse de vista  que  “los  tratados  de  derechos</w:t>
        <w:br/>
        <w:t>humanos son instrumentos vivos, cuya interpretación tiene que  acompañar  la</w:t>
        <w:br/>
        <w:t>evolución  de  los  tiempos  y  las  condiciones  de  vida   actuales”.[423]</w:t>
        <w:br/>
        <w:t>Precisamente en la Opinión Consultiva OC-16/99, solicitada por  los  Estados</w:t>
        <w:br/>
        <w:t>Unidos Mexicanos, sobre “El derecho a la  información  sobre  la  asistencia</w:t>
        <w:br/>
        <w:t>consular en el marco de las garantías del debido proceso  legal”,  la  Corte</w:t>
        <w:br/>
        <w:t>IDH estableció que:[424]</w:t>
        <w:br/>
        <w:br/>
        <w:br/>
        <w:t xml:space="preserve">      El corpus juris del Derecho Internacional de los Derechos Humanos está</w:t>
        <w:br/>
        <w:t xml:space="preserve">      formado por un conjunto de instrumentos internacionales de contenido y</w:t>
        <w:br/>
        <w:t xml:space="preserve">      efectos  jurídicos  variados  (tratados,  convenios,  resoluciones   y</w:t>
        <w:br/>
        <w:t xml:space="preserve">      declaraciones).  Su evolución dinámica ha ejercido un impacto positivo</w:t>
        <w:br/>
        <w:t xml:space="preserve">      en el Derecho Internacional, en el sentido de afirmar y desarrollar la</w:t>
        <w:br/>
        <w:t xml:space="preserve">      aptitud de este último para regular las relaciones entre los Estados y</w:t>
        <w:br/>
        <w:t xml:space="preserve">      los seres humanos bajo sus respectivas jurisdicciones. Por  lo  tanto,</w:t>
        <w:br/>
        <w:t xml:space="preserve">      esta Corte debe  adoptar  un  criterio  adecuado  para  considerar  la</w:t>
        <w:br/>
        <w:t xml:space="preserve">      cuestión sujeta a examen en el marco de la evolución de  los  derechos</w:t>
        <w:br/>
        <w:t xml:space="preserve">      fundamentales  de  la  persona  humana  en  el  derecho  internacional</w:t>
        <w:br/>
        <w:t xml:space="preserve">      contemporáneo. (Subrayado añadido).</w:t>
        <w:br/>
        <w:br/>
        <w:t>49.   Las  “interpretaciones”  a  esta  normatividad  convencional  no  sólo</w:t>
        <w:br/>
        <w:t>comprenden las realizadas en  las  sentencias  pronunciadas  en  los  “casos</w:t>
        <w:br/>
        <w:t>contenciosos”, sino también las interpretaciones  efectuadas  en  las  demás</w:t>
        <w:br/>
        <w:t>resoluciones que emita.[425] Así, quedan comprendidas  las  interpretaciones</w:t>
        <w:br/>
        <w:t>realizadas al resolver sobre “medidas provisionales”; sobre “supervisión  de</w:t>
        <w:br/>
        <w:t>cumplimiento de sentencias” o, incluso, sobre la instancia de  solicitud  de</w:t>
        <w:br/>
        <w:t>“interpretación de la sentencia” en términos del artículo 67  del  Pacto  de</w:t>
        <w:br/>
        <w:t>San José. Asimismo, debe comprender las interpretaciones  derivadas  de  las</w:t>
        <w:br/>
        <w:t>“opiniones consultivas” a que se refiere el artículo 64  del  citado  Pacto,</w:t>
        <w:br/>
        <w:t>debido, precisamente, a que tiene como finalidad “la interpretación de  esta</w:t>
        <w:br/>
        <w:t>Convención o  de  otros  tratados  concernientes  a  la  protección  de  los</w:t>
        <w:br/>
        <w:t>derechos humanos en los Estados Americanos”.[426]</w:t>
        <w:br/>
        <w:br/>
        <w:t>50.   Se forma de esta manera  un  auténtico  “bloque  de  convencionalidad”</w:t>
        <w:br/>
        <w:t>como parámetro para ejercer el “control  difuso  de  convencionalidad”.  Los</w:t>
        <w:br/>
        <w:t>jueces nacionales deben atender a este “bloque”, lo que implica,  por  parte</w:t>
        <w:br/>
        <w:t>de ellos, una permanente actualización de la jurisprudencia de la Corte  IDH</w:t>
        <w:br/>
        <w:t>y propicia una “viva interacción” entre las jurisdicciones nacionales  y  la</w:t>
        <w:br/>
        <w:t>interamericana, con la finalidad última de establecer estándares en  nuestra</w:t>
        <w:br/>
        <w:t>región para la protección efectiva de los derechos humanos.</w:t>
        <w:br/>
        <w:br/>
        <w:t>51.   El juez nacional, por consiguiente,  debe  aplicar  la  jurisprudencia</w:t>
        <w:br/>
        <w:t>convencional incluso la que se crea en aquellos asuntos donde no  sea  parte</w:t>
        <w:br/>
        <w:t>el Estado nacional al que pertenece, ya que lo que define la integración  de</w:t>
        <w:br/>
        <w:t>la jurisprudencia de la Corte IDH es  la  interpretación  que  ese  Tribunal</w:t>
        <w:br/>
        <w:t>Interamericano realiza del corpus juris interamericano con la  finalidad  de</w:t>
        <w:br/>
        <w:t>crear un estándar en la región sobre su  aplicabilidad  y  efectividad.[427]</w:t>
        <w:br/>
        <w:t>Lo  anterior  lo  consideramos  de  la  mayor  importancia  para   el   sano</w:t>
        <w:br/>
        <w:t>entendimiento del  “control  difuso  de  convencionalidad”,  pues  pretender</w:t>
        <w:br/>
        <w:t>reducir la obligatoriedad de  la  jurisprudencia  convencional  sólo  a  los</w:t>
        <w:br/>
        <w:t>casos donde el Estado ha sido “parte material”, equivaldría a  nulificar  la</w:t>
        <w:br/>
        <w:t>esencia  misma  de  la  propia  Convención  Americana,   cuyos   compromisos</w:t>
        <w:br/>
        <w:t>asumieron  los  Estados  nacionales  al  haberla  suscrito  y  ratificado  o</w:t>
        <w:br/>
        <w:t>adherido  a  la  misma,  y  cuyo  incumplimiento   produce   responsabilidad</w:t>
        <w:br/>
        <w:t>internacional.</w:t>
        <w:br/>
        <w:br/>
        <w:t>52.   Así, la “fuerza normativa” de la Convención  Americana  alcanza  a  la</w:t>
        <w:br/>
        <w:t>interpretación que de la  misma  realice  la  Corte  IDH,  como  “intérprete</w:t>
        <w:br/>
        <w:t>última” de dicho Pacto en el Sistema Interamericano  de  Protección  de  los</w:t>
        <w:br/>
        <w:t>Derechos   Humanos.   La   interpretación   emprendida   por   el   Tribunal</w:t>
        <w:br/>
        <w:t>Interamericano  a  las  disposiciones  convencionales  adquiere   la   misma</w:t>
        <w:br/>
        <w:t>eficacia que poseen éstas, ya que en realidad  las  “normas  convencionales”</w:t>
        <w:br/>
        <w:t>constituyen el resultado de la “interpretación  convencional”  que  emprende</w:t>
        <w:br/>
        <w:t>la Corte IDH como órgano “judicial autónomo cuyo objetivo es  la  aplicación</w:t>
        <w:br/>
        <w:t>e interpretación”[428] del  corpus  juris  interamericano.  Dicho  en  otras</w:t>
        <w:br/>
        <w:t>palabras, el resultado de  la  interpretación  de  la  Convención  Americana</w:t>
        <w:br/>
        <w:t>conforma la jurisprudencia de la misma; es decir,  “constituyen  normas  que</w:t>
        <w:br/>
        <w:t>derivan de la CADH, de lo cual se obtiene que gocen  de  la  misma  eficacia</w:t>
        <w:br/>
        <w:t>(directa) que tiene dicho tratado internacional”.[429]</w:t>
        <w:br/>
        <w:br/>
        <w:t xml:space="preserve">      e) Efectos del  “control  difuso  de  convencionalidad”:  retroactivos</w:t>
        <w:br/>
        <w:t>cuando sea  necesario  para  lograr  la  plena  efectividad  del  derecho  o</w:t>
        <w:br/>
        <w:t>libertad</w:t>
        <w:br/>
        <w:br/>
        <w:t>53.   Como  hemos  sostenido  al  analizar  los  grados  de  intensidad  del</w:t>
        <w:br/>
        <w:t>“control  difuso  de  convencionalidad”,  el   resultado   del   examen   de</w:t>
        <w:br/>
        <w:t>compatibilidad entre la norma nacional y el  “bloque  de  convencionalidad”,</w:t>
        <w:br/>
        <w:t>consiste  en  dejar  “sin  efectos  jurídicos”   aquellas   interpretaciones</w:t>
        <w:br/>
        <w:t>inconvencionales o las que sean menos favorables; o bien,  cuando  no  pueda</w:t>
        <w:br/>
        <w:t>lograrse interpretación convencional alguna,  la  consecuencia  consiste  en</w:t>
        <w:br/>
        <w:t>“dejar sin  efectos  jurídicos”  la  norma  nacional,  ya  sea  en  el  caso</w:t>
        <w:br/>
        <w:t>particular o con efectos generales realizando la  declaración  de  invalidez</w:t>
        <w:br/>
        <w:t>de conformidad con las atribuciones del juez que realice dicho control.</w:t>
        <w:br/>
        <w:br/>
        <w:t>54.    Lo  anterior  tiene  un  mayor  grado  de   complejidad   cuando   la</w:t>
        <w:br/>
        <w:t>normatividad nacional sólo permite la declaración general de la  norma  para</w:t>
        <w:br/>
        <w:t>el futuro (efectos ex  nunc)  y  no  hacia  el  pasado  (ex  tunc),  ya  que</w:t>
        <w:br/>
        <w:t>pareciera que la intencionalidad de la Corte IDH en el  momento  en  que  se</w:t>
        <w:br/>
        <w:t>crea la doctrina del “control difuso de convencionalidad” es  que  la  norma</w:t>
        <w:br/>
        <w:t>inconvencional  carezca  de  efectos  jurídicos  “desde   un   inicio”;[430]</w:t>
        <w:br/>
        <w:t>precedente que siguió reiterando  en  casos  posteriores,  especialmente  en</w:t>
        <w:br/>
        <w:t>supuestos de leyes de  autoamnistía[431]  o  en  otros  supuestos.[432]  Sin</w:t>
        <w:br/>
        <w:t>embargo, este criterio no ha sido constante por la Corte IDH y  depende  del</w:t>
        <w:br/>
        <w:t>caso concreto.[433]</w:t>
        <w:br/>
        <w:br/>
        <w:t>55.   Estimamos que la Corte IDH tendrá,  en  el  futuro,  que  definir  con</w:t>
        <w:br/>
        <w:t>mayor precisión este delicado aspecto sobre la temporalidad de  los  efectos</w:t>
        <w:br/>
        <w:t>de la norma nacional inconvencional debido a que  su  jurisprudencia  no  lo</w:t>
        <w:br/>
        <w:t>aclara. No debe  soslayarse  que,  por  principio,   toda  violación  a  los</w:t>
        <w:br/>
        <w:t>derechos humanos debe tener un efecto reparador  en  su  integridad  y,  por</w:t>
        <w:br/>
        <w:t>consecuencia, tener efectos hacia el pasado  cuando  así  se  requiera  para</w:t>
        <w:br/>
        <w:t>lograr dicho objetivo.</w:t>
        <w:br/>
        <w:br/>
        <w:t>56.   Lo anterior se  fundamenta  en  el  artículo  63.1  de  la  Convención</w:t>
        <w:br/>
        <w:t>Americana, al establecer que:</w:t>
        <w:br/>
        <w:br/>
        <w:t xml:space="preserve">  Cuando decida que hubo violación de un derecho o libertad  protegidos  en</w:t>
        <w:br/>
        <w:t xml:space="preserve">  esta Convención, la Corte dispondrá que se garantice al lesionado  en  el</w:t>
        <w:br/>
        <w:t xml:space="preserve">  goce de su derecho o libertad conculcados. Dispondrá  asimismo,  si  ello</w:t>
        <w:br/>
        <w:t xml:space="preserve">  fuera procedente, que  se  reparen  las  consecuencias  de  la  medida  o</w:t>
        <w:br/>
        <w:t xml:space="preserve">  situación que ha configurado la vulneración de esos derechos y el pago de</w:t>
        <w:br/>
        <w:t xml:space="preserve">  una justa indemnización a la parte lesionada. (Subrayado añadido).</w:t>
        <w:br/>
        <w:br/>
        <w:br/>
        <w:t>57.   Si bien el citado precepto se refiere a las atribuciones de  la  Corte</w:t>
        <w:br/>
        <w:t>IDH, mutatis mutandi, debe aplicarse por los jueces nacionales debido a  que</w:t>
        <w:br/>
        <w:t>también son jueces interamericanos cuando realizan  el  “control  difuso  de</w:t>
        <w:br/>
        <w:t>convencionalidad”. Y ello implica garantizar, en la medida  de  lo  posible,</w:t>
        <w:br/>
        <w:t>el efectivo goce del derecho o  libertad  violado.  Lo  anterior  conduce  a</w:t>
        <w:br/>
        <w:t>afirmar que, en determinados supuestos, deben  repararse  las  consecuencias</w:t>
        <w:br/>
        <w:t>de la norma inconvencional, lo cual  sólo  se  puede  lograr  teniendo  “sin</w:t>
        <w:br/>
        <w:t>efectos” dicha norma nacional  desde  su  vigencia  y  no  a  partir  de  la</w:t>
        <w:br/>
        <w:t>inaplicación o declaración inconvencional de la misma.  En  otras  palabras,</w:t>
        <w:br/>
        <w:t>dicha retroactividad resulta indispensable en algunos casos para  lograr  un</w:t>
        <w:br/>
        <w:t>adecuado goce y  disfrute  del  correspondiente  derecho  o  libertad.  Esta</w:t>
        <w:br/>
        <w:t>afirmación, además, es acorde con la propia jurisprudencia de la  Corte  IDH</w:t>
        <w:br/>
        <w:t>al interpretar el citado artículo 63.1 del Pacto de San José, toda  vez  que</w:t>
        <w:br/>
        <w:t>ha considerado que cualquier violación de una obligación  internacional  que</w:t>
        <w:br/>
        <w:t>haya producido daño comparte el deber de repararlo “adecuadamente”;[434]  lo</w:t>
        <w:br/>
        <w:t>cual  constituye  “uno  de  los   principios   fundamentales   del   Derecho</w:t>
        <w:br/>
        <w:t>Internacional contemporáneo sobre responsabilidad de un Estado”.[435]</w:t>
        <w:br/>
        <w:br/>
        <w:br/>
        <w:t xml:space="preserve">     f) Fundamento jurídico del “control difuso  de  convencionalidad”:  el</w:t>
        <w:br/>
        <w:t>Pacto de San José y la Convención de Viena sobre el Derecho de los  Tratados</w:t>
        <w:br/>
        <w:br/>
        <w:br/>
        <w:t>58.   Desde el comienzo de la  doctrina  jurisprudencial  de  este  tipo  de</w:t>
        <w:br/>
        <w:t>control, en el Caso Almonacid Arellano vs. Chile,[436] se estableció:</w:t>
        <w:br/>
        <w:br/>
        <w:br/>
        <w:br/>
        <w:br/>
        <w:t xml:space="preserve">      124.        (…)  Pero  cuando  un  Estado  ha  ratificado  un  tratado</w:t>
        <w:br/>
        <w:t xml:space="preserve">      internacional como la Convención Americana, sus jueces, como parte del</w:t>
        <w:br/>
        <w:t xml:space="preserve">      aparato del Estado, también están sometidos a ella, lo que les  obliga</w:t>
        <w:br/>
        <w:t xml:space="preserve">      a velar porque los efectos de las disposiciones de la Convención no se</w:t>
        <w:br/>
        <w:t xml:space="preserve">      vean mermadas por la aplicación de leyes contrarias a su objeto y  fin</w:t>
        <w:br/>
        <w:t xml:space="preserve">      (…)</w:t>
        <w:br/>
        <w:br/>
        <w:br/>
        <w:t xml:space="preserve">      125.  En esta misma línea de ideas,  esta  Corte  ha  establecido  que</w:t>
        <w:br/>
        <w:t xml:space="preserve">      “[s]egún el derecho internacional las  obligaciones  que  éste  impone</w:t>
        <w:br/>
        <w:t xml:space="preserve">      deben ser  cumplidas  de  buena  fe  y  no  puede  invocarse  para  su</w:t>
        <w:br/>
        <w:t xml:space="preserve">      incumplimiento el derecho interno”.  Esta regla ha sido codificada  en</w:t>
        <w:br/>
        <w:t xml:space="preserve">      el artículo 27 de la Convención de  Viena  sobre  el  Derecho  de  los</w:t>
        <w:br/>
        <w:t xml:space="preserve">      Tratados de 1969.” (Subrayado añadido).</w:t>
        <w:br/>
        <w:br/>
        <w:t>59.   Los principios de derecho internacional relativos a la Buena Fe  y  al</w:t>
        <w:br/>
        <w:t>Effet Utile, que involucra a  su  vez  al  principio  Pacta  Sunt  Servanda,</w:t>
        <w:br/>
        <w:t>constituyen   fundamentos   internacionales   para    que    los    tratados</w:t>
        <w:br/>
        <w:t>internacionales sean cumplidos por parte de los Estados  nacionales,  y  han</w:t>
        <w:br/>
        <w:t>sido constantemente reiterados por la jurisprudencia de la Corte IDH en  los</w:t>
        <w:br/>
        <w:t>casos sometidos bajo su competencia, sea en la  instancia  consultiva,  como</w:t>
        <w:br/>
        <w:t>en casos contenciosos. Este Tribunal Interamericano ha  establecido,  en  la</w:t>
        <w:br/>
        <w:t>Opinión  Consultiva  14/94,  de  9  de   diciembre   de   1994,   sobre   la</w:t>
        <w:br/>
        <w:t>responsabilidad  internacional  por  expedición  y   aplicación   de   leyes</w:t>
        <w:br/>
        <w:t>violatorias de la  Convención,[437]  los  alcances  interpretativos  de  los</w:t>
        <w:br/>
        <w:t>artículos  1[438]  y  2[439]  de  la  Convención  Americana  sobre  Derechos</w:t>
        <w:br/>
        <w:t>Humanos. Se consideró que la obligación de dictar  las  medidas  que  fueren</w:t>
        <w:br/>
        <w:t>necesarias para hacer efectivos los derechos  y  libertades  reconocidos  en</w:t>
        <w:br/>
        <w:t>dicho  Pacto  comprende  la  de  no  dictarlas  cuando  ellas  conduzcan   a</w:t>
        <w:br/>
        <w:t>violarlos, y también a adecuar  la  normatividad  inconvencional  existente,</w:t>
        <w:br/>
        <w:t>fundamentando  que  descansa   en   un   principio   general   del   derecho</w:t>
        <w:br/>
        <w:t>internacional, relativo a  que  las  obligaciones  deben  ser  cumplidas  de</w:t>
        <w:br/>
        <w:t>“buena fe” y no puede invocarse para su incumplimiento el  derecho  interno;</w:t>
        <w:br/>
        <w:t>lo cual ha sido recogido  por  tribunales  internacionales,  como  la  Corte</w:t>
        <w:br/>
        <w:t>Permanente de Justicia Internacional y la Corte Internacional  de  Justicia,</w:t>
        <w:br/>
        <w:t>y también ha sido codificado en  los  artículos  26[440]  y  27[441]  de  la</w:t>
        <w:br/>
        <w:t>Convención de Viena sobre el Derecho de los Tratados.</w:t>
        <w:br/>
        <w:br/>
        <w:t>60.   La obligación del  cumplimiento  del  derecho  convencional  obliga  a</w:t>
        <w:br/>
        <w:t>todas  las  autoridades  y  órganos  nacionales,  con  independencia  de  su</w:t>
        <w:br/>
        <w:t>pertenencia a los poderes legislativo, ejecutivo o judicial,  toda  vez  que</w:t>
        <w:br/>
        <w:t>el Estado responde en su conjunto y adquiere  responsabilidad  internacional</w:t>
        <w:br/>
        <w:t>ante el incumplimiento de los instrumentos internacionales que  ha  asumido.</w:t>
        <w:br/>
        <w:t>Como lo ha expresado García Ramírez:</w:t>
        <w:br/>
        <w:br/>
        <w:br/>
        <w:t xml:space="preserve">      27.   Para los efectos de la Convención Americana y del  ejercicio  de</w:t>
        <w:br/>
        <w:t xml:space="preserve">      la jurisdicción contenciosa de  la  Corte  Interamericana,  el  Estado</w:t>
        <w:br/>
        <w:t xml:space="preserve">      viene a cuentas en forma integral, como un todo.  En  este  orden,  la</w:t>
        <w:br/>
        <w:t xml:space="preserve">      responsabilidad es global, atañe al Estado en su conjunto y  no  puede</w:t>
        <w:br/>
        <w:t xml:space="preserve">      quedar sujeta a la división de  atribuciones  que  señale  el  Derecho</w:t>
        <w:br/>
        <w:t xml:space="preserve">      interno. No es posible seccionar internacionalmente al Estado, obligar</w:t>
        <w:br/>
        <w:t xml:space="preserve">      ante la Corte sólo a uno o algunos  de   sus   órganos,   entregar   a</w:t>
        <w:br/>
        <w:t xml:space="preserve">      éstos  la  representación  del Estado en  el  juicio  --sin   que  esa</w:t>
        <w:br/>
        <w:t xml:space="preserve">      representación repercuta sobre el Estado en su conjunto-- y sustraer a</w:t>
        <w:br/>
        <w:t xml:space="preserve">      otros de este régimen convencional  de  responsabilidad,  dejando  sus</w:t>
        <w:br/>
        <w:t xml:space="preserve">      actuaciones fuera del «control de convencionalidad»  que trae  consigo</w:t>
        <w:br/>
        <w:t xml:space="preserve">      la jurisdicción de la Corte internacional”.[442] (Subrayado añadido).</w:t>
        <w:br/>
        <w:br/>
        <w:t>61.   De esta manera, los jueces de  los  Estados  parte  de  la  Convención</w:t>
        <w:br/>
        <w:t>Americana  también  se  encuentran   obligados   al   cumplimiento   de   la</w:t>
        <w:br/>
        <w:t>normatividad  convencional  y   la   doctrina   del   “control   difuso   de</w:t>
        <w:br/>
        <w:t>convencionalidad” les facilita esta labor,  para  realizar  interpretaciones</w:t>
        <w:br/>
        <w:t>de las disposiciones nacionales (incluidas  las  del  texto  constitucional)</w:t>
        <w:br/>
        <w:t>que sean conforme al corpus juris interamericano  e  incluso  a  no  aplicar</w:t>
        <w:br/>
        <w:t>aquéllas  que  contravengan  de  manera  absoluta  el  referido  “bloque  de</w:t>
        <w:br/>
        <w:t>convencionalidad”, para evitar de esa forma que el Estado al que  pertenecen</w:t>
        <w:br/>
        <w:t>sea responsable internacionalmente por  violar  compromisos  internacionales</w:t>
        <w:br/>
        <w:t>adquiridos en materia de derechos humanos.</w:t>
        <w:br/>
        <w:br/>
        <w:t>62.   El “control difuso de convencionalidad”, además, tiene  fundamento  en</w:t>
        <w:br/>
        <w:t>el artículo 29 del Pacto de San José, en la medida en que todos los  poderes</w:t>
        <w:br/>
        <w:t>u órganos de los Estados signatarios  de  dicho  instrumento  internacional,</w:t>
        <w:br/>
        <w:t>incluidos  los  jueces  y  órganos  de  administración   de   justicia   que</w:t>
        <w:br/>
        <w:t>materialmente realizan funciones jurisdiccionales, se encuentran  obligados,</w:t>
        <w:br/>
        <w:t>a través de sus  interpretaciones,  a  permitir  de  la  manera  más  amplia</w:t>
        <w:br/>
        <w:t>posible el goce y ejercicio de los  derechos  y  libertades  reconocidos  en</w:t>
        <w:br/>
        <w:t>dicho Pacto y  de  sus  protocolos  adicionales  (y  de  otros  instrumentos</w:t>
        <w:br/>
        <w:t>internacionales en los términos antes analizados),[443] lo cual  implica,  a</w:t>
        <w:br/>
        <w:t>su vez, interpretaciones restrictivas cuando se trate de limitaciones a  los</w:t>
        <w:br/>
        <w:t>mismos, y siempre a la luz de la jurisprudencia de la Corte IDH.</w:t>
        <w:br/>
        <w:br/>
        <w:t>63.   No pasa inadvertido que el artículo 68.1  establece  que  los  Estados</w:t>
        <w:br/>
        <w:t>parte del Pacto de San José “se comprometen a  cumplir  la  decisión  de  la</w:t>
        <w:br/>
        <w:t>Corte en todo caso en que sean partes”. Lo anterior no puede  ser  limitante</w:t>
        <w:br/>
        <w:t>para que la jurisprudencia de la Corte IDH adquiera  “eficacia  directa”  en</w:t>
        <w:br/>
        <w:t>todos  los  Estados  nacionales   que   han   reconocido   expresamente   su</w:t>
        <w:br/>
        <w:t>jurisdicción, con independencia de que derive de  un  asunto  donde  no  han</w:t>
        <w:br/>
        <w:t>participado formalmente como “parte material”, ya que al ser  la  Corte  IDH</w:t>
        <w:br/>
        <w:t>el  órgano  jurisdiccional  internacional  del  Sistema  Interamericano   de</w:t>
        <w:br/>
        <w:t>Protección de Derechos Humanos, cuya función esencial  es  la  aplicación  e</w:t>
        <w:br/>
        <w:t>interpretación de la Convención Americana,  sus  interpretaciones  adquieren</w:t>
        <w:br/>
        <w:t>el mismo grado de eficacia del texto convencional.  En  otras  palabras,  la</w:t>
        <w:br/>
        <w:t>norma convencional que deben aplicar los  Estados  es  el  resultado  de  la</w:t>
        <w:br/>
        <w:t>interpretación de las disposiciones del Pacto de San José (y sus  protocolos</w:t>
        <w:br/>
        <w:t>adicionales,   así   como   otros   instrumentos    internacionales).    Las</w:t>
        <w:br/>
        <w:t>interpretaciones  que  realiza  la  Corte  IDH  se   proyectan   hacia   dos</w:t>
        <w:br/>
        <w:t>dimensiones: (i) en lograr su eficacia en el  caso  particular  con  efectos</w:t>
        <w:br/>
        <w:t>subjetivos, y (ii) en establecer la eficacia general con  efectos  de  norma</w:t>
        <w:br/>
        <w:t>interpretada. De ahí la lógica y  necesidad  de  que  el  fallo,  además  de</w:t>
        <w:br/>
        <w:t>notificarse al Estado parte en la controversia particular, deba también  ser</w:t>
        <w:br/>
        <w:t>“transmitido a los Estados parte de la  Convención”,[444]  para  que  tengan</w:t>
        <w:br/>
        <w:t>pleno conocimiento del  contenido  normativo  convencional  derivado  de  la</w:t>
        <w:br/>
        <w:t>interpretación de la Corte IDH, en su calidad  de  “intérprete  última”  del</w:t>
        <w:br/>
        <w:t>corpus juris interamericano.</w:t>
        <w:br/>
        <w:br/>
        <w:t xml:space="preserve">   IV.  EL CONTROL DIFUSO DE CONVENCIONALIDAD POR LOS JUECES MEXICANOS</w:t>
        <w:br/>
        <w:br/>
        <w:t>64.   Las anteriores características  de  la  doctrina  jurisprudencial  del</w:t>
        <w:br/>
        <w:t>“control difuso de convencionalidad” aplican para el sistema  jurisdiccional</w:t>
        <w:br/>
        <w:t>mexicano. Hasta la fecha  se  ha  reiterado  en  cuatro  casos  relativos  a</w:t>
        <w:br/>
        <w:t>demandas contra el Estado mexicano:  Rosendo  Radilla  Pacheco  vs.  Estados</w:t>
        <w:br/>
        <w:t>Unidos  Mexicanos  (2009);[445]  Fernández  Ortega  y   Otros   vs.   México</w:t>
        <w:br/>
        <w:t>(2010);[446] Rosendo Cantú y Otra vs. México (2010);[447] y  Cabrera  García</w:t>
        <w:br/>
        <w:t>y Montiel Flores vs. México (2010).[448]</w:t>
        <w:br/>
        <w:br/>
        <w:t>65.    Al  haber  suscrito  los  Estados  Unidos  Mexicanos  la   Convención</w:t>
        <w:br/>
        <w:t>Americana sobre Derechos Humanos (1981) y al haber aceptado la  jurisdicción</w:t>
        <w:br/>
        <w:t>contenciosa de la Corte IDH (1998), estas sentencias  internacionales  deben</w:t>
        <w:br/>
        <w:t>ser  cumplidas,[449]  y  las  mismas  adquieren   carácter   “definitivo   e</w:t>
        <w:br/>
        <w:t>inapelable”;[450] sin que pueda invocarse  ninguna  disposición  de  derecho</w:t>
        <w:br/>
        <w:t>interno   o   criterio   jurisprudencial   como   justificación   para    su</w:t>
        <w:br/>
        <w:t>incumplimiento, toda vez  que  los  pactos  internacionales  obligan  a  los</w:t>
        <w:br/>
        <w:t>Estados partes y  sus  normas  deben  ser  cumplidas,  en  términos  de  los</w:t>
        <w:br/>
        <w:t>artículos  26  y  27  del  Convenio  de  Viena  sobre  el  Derecho  de   los</w:t>
        <w:br/>
        <w:t>Tratados,[451] suscrito también por el Estado mexicano.</w:t>
        <w:br/>
        <w:br/>
        <w:t>66.   De esta manera, el “control difuso de  convencionalidad”  implica  que</w:t>
        <w:br/>
        <w:t>todos los jueces y órganos  mexicanos  vinculados  a  la  administración  de</w:t>
        <w:br/>
        <w:t>justicia en todos los niveles, pertenecientes o no al  Poder  Judicial,  con</w:t>
        <w:br/>
        <w:t>independencia de su jerarquía, grado, cuantía o materia de  especialización,</w:t>
        <w:br/>
        <w:t>están obligados, de oficio, a realizar un ejercicio de compatibilidad  entre</w:t>
        <w:br/>
        <w:t>los actos y normas  nacionales  con  la  Convención  Americana  de  Derechos</w:t>
        <w:br/>
        <w:t>Humanos,  sus  Protocolos  adicionales   (y   algunos   otros   instrumentos</w:t>
        <w:br/>
        <w:t>internacionales),  así  como  con  la  jurisprudencia  de  la   Corte   IDH,</w:t>
        <w:br/>
        <w:t>formándose un “bloque de convencionalidad” en los  términos  analizados  con</w:t>
        <w:br/>
        <w:t>antelación.[452] Lo anterior debido a que:[453]</w:t>
        <w:br/>
        <w:br/>
        <w:br/>
        <w:t xml:space="preserve">      (…) no sólo la supresión o expedición de  las  normas  en  el  derecho</w:t>
        <w:br/>
        <w:t xml:space="preserve">      interno garantizan los derechos contenidos en la Convención Americana,</w:t>
        <w:br/>
        <w:t xml:space="preserve">      de conformidad a la obligación comprendida en el artículo 2  de  dicho</w:t>
        <w:br/>
        <w:t xml:space="preserve">      instrumento. También se requiere el desarrollo de prácticas  estatales</w:t>
        <w:br/>
        <w:t xml:space="preserve">      conducentes a la observancia efectiva de  los  derechos  y  libertades</w:t>
        <w:br/>
        <w:t xml:space="preserve">      consagrados en la misma. En consecuencia, la existencia de  una  norma</w:t>
        <w:br/>
        <w:t xml:space="preserve">      no garantiza por sí misma que su aplicación sea adecuada. Es necesario</w:t>
        <w:br/>
        <w:t xml:space="preserve">      que la  aplicación  de  las  normas  o  su  interpretación,  en  tanto</w:t>
        <w:br/>
        <w:t xml:space="preserve">      prácticas jurisdiccionales y manifestación del orden público  estatal,</w:t>
        <w:br/>
        <w:t xml:space="preserve">      se encuentren ajustadas al mismo fin que persigue el artículo 2 de  la</w:t>
        <w:br/>
        <w:t xml:space="preserve">      Convención[454]. En términos prácticos, la interpretación del artículo</w:t>
        <w:br/>
        <w:t xml:space="preserve">      13 de la Constitución Política mexicana debe  ser  coherente  con  los</w:t>
        <w:br/>
        <w:t xml:space="preserve">      principios convencionales  y  constitucionales  de  debido  proceso  y</w:t>
        <w:br/>
        <w:t xml:space="preserve">      acceso a la justicia, contenidos en el artículo 8.1 de  la  Convención</w:t>
        <w:br/>
        <w:t xml:space="preserve">      Americana y  las  normas  pertinentes  de  la  Constitución  mexicana.</w:t>
        <w:br/>
        <w:t xml:space="preserve">      (Subrayado y resaltado añadido).</w:t>
        <w:br/>
        <w:br/>
        <w:t>67.   En este sentido, los jueces o tribunales  que  materialmente  realicen</w:t>
        <w:br/>
        <w:t>actividades jurisdiccionales,  sean  de  la  competencia  local  o  federal,</w:t>
        <w:br/>
        <w:t>necesariamente deben ejercer el “control difuso  de  convencionalidad”  para</w:t>
        <w:br/>
        <w:t>lograr interpretaciones conformes con el  corpus  juris  interamericano.  En</w:t>
        <w:br/>
        <w:t>caso de incompatibilidad absoluta de la  norma  nacional  con  el  parámetro</w:t>
        <w:br/>
        <w:t>convencional, debe inaplicarse para que prevalezcan  aquéllas  y  lograr  de</w:t>
        <w:br/>
        <w:t>esta manera la efectividad del derecho  o  libertad  de  que  se  trate.  Lo</w:t>
        <w:br/>
        <w:t>anterior aplica también para los  jueces  locales,  de  conformidad  con  la</w:t>
        <w:br/>
        <w:t>propia  Constitución  Política  de  los  Estados  Unidos  Mexicanos,  en  su</w:t>
        <w:br/>
        <w:t>artículo 133 vigente, que a la letra dispone:[455]</w:t>
        <w:br/>
        <w:br/>
        <w:br/>
        <w:t xml:space="preserve">      Esta Constitución, las leyes del Congreso de la Unión  que  emanen  de</w:t>
        <w:br/>
        <w:t xml:space="preserve">      ella y  todos  los  Tratados  que  estén  de  acuerdo  con  la  misma,</w:t>
        <w:br/>
        <w:t xml:space="preserve">      celebrados y que se celebren por el Presidente de  la  República,  con</w:t>
        <w:br/>
        <w:t xml:space="preserve">      aprobación del Senado, serán la Ley Suprema  de  toda  la  Unión.  Los</w:t>
        <w:br/>
        <w:t xml:space="preserve">      jueces de cada Estado se arreglarán  a  dicha  Constitución,  leyes  y</w:t>
        <w:br/>
        <w:t xml:space="preserve">      tratados, a pesar de las disposiciones en contrario que pueda haber en</w:t>
        <w:br/>
        <w:t xml:space="preserve">      las Constituciones o leyes de los Estados. (Subrayado añadido).</w:t>
        <w:br/>
        <w:br/>
        <w:t>68.    Como  puede  advertirse  de   la   última   parte   de   esta   norma</w:t>
        <w:br/>
        <w:t>constitucional, los jueces locales aplicarán “la  Ley  Suprema  de  toda  la</w:t>
        <w:br/>
        <w:t>Unión” (donde se encuentran  los  tratados  internacionales)  cuando  exista</w:t>
        <w:br/>
        <w:t>incompatibilidad con alguna otra norma que no integre dicha  “Ley  Suprema”;</w:t>
        <w:br/>
        <w:t>lo que implica que los jueces del fuero local deben, incluso, desaplicar  la</w:t>
        <w:br/>
        <w:t>norma  incompatible  con  ese  “bloque  de  constitucionalidad”.  En   otras</w:t>
        <w:br/>
        <w:t>palabras, es el propio texto constitucional el que otorga facultades  a  los</w:t>
        <w:br/>
        <w:t>jueces   del   fuero   común   para   ejercer   el   “control   difuso    de</w:t>
        <w:br/>
        <w:t>constitucionalidad” y, por tanto, la  Convención  Americana  sobre  Derechos</w:t>
        <w:br/>
        <w:t>Humanos válidamente puede convertirse en un parámetro de control y  no  sólo</w:t>
        <w:br/>
        <w:t>la Constitución. De esta forma, como lo ha sostenido la  propia  Corte  IDH,</w:t>
        <w:br/>
        <w:t>los jueces y órganos  vinculados  con  la  impartición  de  justicia  “deben</w:t>
        <w:br/>
        <w:t>ejercer  no  sólo  un  control  de  constitucionalidad,  sino  también   “de</w:t>
        <w:br/>
        <w:t>convencionalidad” ex officio entre  las  normas  internas  y  la  Convención</w:t>
        <w:br/>
        <w:t>Americana, evidentemente en el marco de sus respectivas  competencias  y  de</w:t>
        <w:br/>
        <w:t>las regulaciones procesales correspondientes”.[456]</w:t>
        <w:br/>
        <w:br/>
        <w:t>69.   La última parte de esta previsión es de  especial  significación  para</w:t>
        <w:br/>
        <w:t>el grado de intensidad del “control difuso de  convencionalidad”,  toda  vez</w:t>
        <w:br/>
        <w:t>que los jueces deben ejercerlo “en el marco de sus respectivas  competencias</w:t>
        <w:br/>
        <w:t>y de las regulaciones procesales correspondientes”. Como lo hemos  analizado</w:t>
        <w:br/>
        <w:t>con antelación (véase  supra  párrs.  34  a  41),  todos  los  jueces  deben</w:t>
        <w:br/>
        <w:t>realizar dicho “control”  y  el  grado  de  intensidad  lo  determinará  las</w:t>
        <w:br/>
        <w:t>competencias y regulaciones  procesales.  En  principio,  todos  los  jueces</w:t>
        <w:br/>
        <w:t>mexicanos  deben  partir  del   principio   de   constitucionalidad   y   de</w:t>
        <w:br/>
        <w:t>convencionalidad de la norma nacional y,  por  consiguiente,  en  un  primer</w:t>
        <w:br/>
        <w:t>momento deben siempre realizar la  “interpretación”  de  la  norma  nacional</w:t>
        <w:br/>
        <w:t>conforme a la  Constitución  y  a  los  parámetros  convencionales,  lo  que</w:t>
        <w:br/>
        <w:t>implica optar por la interpretación de la norma más  favorable  y  de  mayor</w:t>
        <w:br/>
        <w:t>efectividad en la tutela de los derechos  y  libertades  en  aplicación  del</w:t>
        <w:br/>
        <w:t>principio pro homine o favor libertatis  previsto  en  el  artículo  29  del</w:t>
        <w:br/>
        <w:t>Pacto de San José, desechando aquellas interpretaciones incompatibles  o  de</w:t>
        <w:br/>
        <w:t>menor alcance protector; de tal  manera  que,  contrario  sensu,  cuando  se</w:t>
        <w:br/>
        <w:t>trate  de  restricción  o  limitaciones  a  derechos  y   libertades,   debe</w:t>
        <w:br/>
        <w:t>realizarse la interpretación más  estricta  para  dicha  limitante.  Y  sólo</w:t>
        <w:br/>
        <w:t>cuando  no  pueda  lograrse  interpretación  constitucional  y  convencional</w:t>
        <w:br/>
        <w:t>posible, los jueces deberán desaplicar  la  norma  nacional  o  declarar  su</w:t>
        <w:br/>
        <w:t>invalidez, según la competencia  que  la  Constitución  y  leyes  nacionales</w:t>
        <w:br/>
        <w:t>otorgue a cada juzgador, lo que provocará un grado de intensidad  mayor  del</w:t>
        <w:br/>
        <w:t>“control  de convencionalidad”.</w:t>
        <w:br/>
        <w:br/>
        <w:t>70.   No pasa inadvertido que la Suprema Corte de Justicia de la  Nación  ha</w:t>
        <w:br/>
        <w:t>interpretado el artículo 133 constitucional,  en  el  sentido  (i)  que  los</w:t>
        <w:br/>
        <w:t>tratados internacionales si bien forma parte de la “Ley Suprema de  toda  la</w:t>
        <w:br/>
        <w:t>Unión” se ubican jerárquicamente por debajo de la Constitución;[457] y  (ii)</w:t>
        <w:br/>
        <w:t>que no existe “control  difuso  de  constitucionalidad”  por  parte  de  los</w:t>
        <w:br/>
        <w:t>jueces locales.[458] La primera es una interpretación que no tiene  carácter</w:t>
        <w:br/>
        <w:t>de precedente obligatorio al no haberse logrado la votación  requerida  para</w:t>
        <w:br/>
        <w:t>ello,[459]  existiendo  interpretaciones   distintas   por   otros   órganos</w:t>
        <w:br/>
        <w:t>jurisdiccionales  mexicanos;[460]  y  la   segunda,   si   bien   constituye</w:t>
        <w:br/>
        <w:t>jurisprudencia obligatoria para todos los jueces mexicanos  en  términos  de</w:t>
        <w:br/>
        <w:t>la normatividad aplicable, estimamos  debería  armonizarse  para  lograr  un</w:t>
        <w:br/>
        <w:t>mayor grado de desarrollo del “control difuso de convencionalidad” a la  luz</w:t>
        <w:br/>
        <w:t>del artículo 133 constitucional y de las  cuatro  sentencias  que  hasta  el</w:t>
        <w:br/>
        <w:t>momento ha dictado la Corte IDH respecto  del  Estado  mexicano  y  que  han</w:t>
        <w:br/>
        <w:t>aplicado dicha doctrina.</w:t>
        <w:br/>
        <w:br/>
        <w:t>71.    Ahora  bien,   los   anteriores   criterios   del   máximo   tribunal</w:t>
        <w:br/>
        <w:t>jurisdiccional mexicano constituyen “interpretaciones constitucionales”  que</w:t>
        <w:br/>
        <w:t>eventualmente podrían cambiar, sea por nuevas reflexiones, o por  motivo  de</w:t>
        <w:br/>
        <w:t>una reforma constitucional.</w:t>
        <w:br/>
        <w:br/>
        <w:t>72.   En la actualidad existen dos proyectos  de  reformas  constitucionales</w:t>
        <w:br/>
        <w:t>en trámite de la mayor relevancia, en materia  de  derechos  humanos[461]  y</w:t>
        <w:br/>
        <w:t>del juicio de amparo,[462] aprobadas ambas por el Senado de la  República  y</w:t>
        <w:br/>
        <w:t>pendientes de aprobación por la Cámara de Diputados, que llegado el caso  de</w:t>
        <w:br/>
        <w:t>convertirse  en  texto  constitucional,   seguramente   producirán   “nuevas</w:t>
        <w:br/>
        <w:t>reflexiones” por  parte  de  la  Suprema  Corte  mexicana  respecto  de  los</w:t>
        <w:br/>
        <w:t>criterios  interpretativos  antes  referidos.  Con   independencia   de   su</w:t>
        <w:br/>
        <w:t>aprobación y de la “consulta a trámite” que  el  Presidente  de  la  Suprema</w:t>
        <w:br/>
        <w:t>Corte realizó al Pleno de dicho órgano jurisdiccional el veintiséis de  mayo</w:t>
        <w:br/>
        <w:t>de dos mil diez, sobre el cumplimiento por parte del Poder  Judicial  de  la</w:t>
        <w:br/>
        <w:t>Federación de la sentencia relativa al Caso Radilla Pacheco;[463] lo  cierto</w:t>
        <w:br/>
        <w:t>es que en dicha sentencia internacional, como en las referidas a  los  Casos</w:t>
        <w:br/>
        <w:t>Fernández Ortega, Rosendo Cantú, y Cabrera García y Montiel Flores,  existen</w:t>
        <w:br/>
        <w:t>obligaciones  “directas”  que  deben  cumplir  los  jueces  mexicanos  (como</w:t>
        <w:br/>
        <w:t>órganos del Estado mexicano)  de  manera  “inmediata”  y  “de  oficio”  como</w:t>
        <w:br/>
        <w:t>veremos más adelante.</w:t>
        <w:br/>
        <w:br/>
        <w:t>73.   No debe soslayarse que los fallos de condena  al  Estado  mexicano  se</w:t>
        <w:br/>
        <w:t>refieren a que las normas requieren ser “interpretadas” teniendo  en  cuenta</w:t>
        <w:br/>
        <w:t>la finalidad perseguida por el artículo 2 de la Convención  Americana  sobre</w:t>
        <w:br/>
        <w:t>Derechos  Humanos,  es  decir,  para  “hacer  efectivos”  los   derechos   y</w:t>
        <w:br/>
        <w:t>libertades de dicho Pacto. En dicho dispositivo  convencional  se  establece</w:t>
        <w:br/>
        <w:t>que “los Estados  partes  se  comprometen  a 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libertades”. De ahí que la expresión “o  de</w:t>
        <w:br/>
        <w:t>otro carácter” comprendan también  “interpretaciones  constitucionales”  que</w:t>
        <w:br/>
        <w:t>permitan la aplicabilidad de los derechos con el mayor grado de  efectividad</w:t>
        <w:br/>
        <w:t>y alcance, en términos del principio pro homine reconocido  en  el  artículo</w:t>
        <w:br/>
        <w:t>29 del propio Pacto de San José. Lo anterior podría ser motivo de  reflexión</w:t>
        <w:br/>
        <w:t>para superar los criterios jurisprudenciales aludidos por  parte  del  Pleno</w:t>
        <w:br/>
        <w:t>de la Suprema Corte de Justicia de la Nación.</w:t>
        <w:br/>
        <w:br/>
        <w:t>74.   El principio  pro  homine  ha  sido  considerado  por  algún  tribunal</w:t>
        <w:br/>
        <w:t>mexicano de “aplicación obligatoria”, debido a  que  se  prevé  en  tratados</w:t>
        <w:br/>
        <w:t>internacionales que forman parte de la Ley Suprema de la Unión  en  términos</w:t>
        <w:br/>
        <w:t>del reproducido artículo 133 de la Constitución federal. Así  se  estableció</w:t>
        <w:br/>
        <w:t>por el Cuarto  Tribunal  Colegiado  en  Materia  Administrativa  del  Primer</w:t>
        <w:br/>
        <w:t>Circuito, al resolver el amparo directo 202/2004, el 20 de octubre de  2004,</w:t>
        <w:br/>
        <w:t>formándose la tesis I.4º.A.464 A, cuyo rubro y texto son:[464]</w:t>
        <w:br/>
        <w:br/>
        <w:br/>
        <w:t xml:space="preserve">      PRINCIPIO PRO HOMINE. SU APLICACIÓN ES OBLIGATORIA.</w:t>
        <w:br/>
        <w:t xml:space="preserve">      El principio pro homine que implica  que  la  interpretación  jurídica</w:t>
        <w:br/>
        <w:t xml:space="preserve">      siempre debe buscar el mayor beneficio para el hombre, es  decir,  que</w:t>
        <w:br/>
        <w:t xml:space="preserve">      debe acudirse a la norma más amplia o a  la  interpretación  extensiva</w:t>
        <w:br/>
        <w:t xml:space="preserve">      cuando se trata de derechos protegidos y, por el contrario, a la norma</w:t>
        <w:br/>
        <w:t xml:space="preserve">      o a la interpretación más restringida, cuando se trata  de  establecer</w:t>
        <w:br/>
        <w:t xml:space="preserve">      límites a su ejercicio,  se  contempla  en  los  artículos  29  de  la</w:t>
        <w:br/>
        <w:t xml:space="preserve">      Convención  Americana  sobre  Derechos   Humanos   y   5   del   Pacto</w:t>
        <w:br/>
        <w:t xml:space="preserve">      Internacional de Derechos Civiles y Políticos, publicados en el Diario</w:t>
        <w:br/>
        <w:t xml:space="preserve">      Oficial de la  Federación  el  siete  y  el  veinte  de  mayo  de  mil</w:t>
        <w:br/>
        <w:t xml:space="preserve">      novecientos ochenta y uno, respectivamente. Ahora  bien,  como  dichos</w:t>
        <w:br/>
        <w:t xml:space="preserve">      tratados forman parte de la Ley  Suprema  de  la  Unión,  conforme  al</w:t>
        <w:br/>
        <w:t xml:space="preserve">      artículo 133 constitucional, es claro que  el  citado  principio  debe</w:t>
        <w:br/>
        <w:t xml:space="preserve">      aplicarse en forma obligatoria. (Subrayado añadido).</w:t>
        <w:br/>
        <w:br/>
        <w:t xml:space="preserve">  75.            Las interpretaciones “constitucionales”  y  “legales”  que</w:t>
        <w:br/>
        <w:t xml:space="preserve">  realicen los jueces y órganos de impartición  de  justicia  mexicanos  en</w:t>
        <w:br/>
        <w:t xml:space="preserve">  todos los niveles, deben realizarse a la luz no sólo de los  instrumentos</w:t>
        <w:br/>
        <w:t xml:space="preserve">  internacionales cuyo compromiso adquirió el Estado mexicano, sino también</w:t>
        <w:br/>
        <w:t xml:space="preserve">  de la jurisprudencia de la Corte IDH. Lo último debido a  que  constituye</w:t>
        <w:br/>
        <w:t xml:space="preserve">  el órgano jurisdiccional del Sistema Interamericano de Protección de  los</w:t>
        <w:br/>
        <w:t xml:space="preserve">  Derechos Humanos en sede internacional, cuya competencia es la aplicación</w:t>
        <w:br/>
        <w:t xml:space="preserve">  e interpretación de la Convención  Americana;  este  órgano  en  realidad</w:t>
        <w:br/>
        <w:t xml:space="preserve">  determina el contenido mismo del texto convencional, de tal manera que la</w:t>
        <w:br/>
        <w:t xml:space="preserve">  norma interpretada adquiere eficacia directa en  México,  al  haber  sido</w:t>
        <w:br/>
        <w:t xml:space="preserve">  suscrito dicho Pacto por el Estado mexicano y haberse  reconocido  además</w:t>
        <w:br/>
        <w:t xml:space="preserve">  la jurisdicción de la Corte IDH. Como se estableció en la  Sentencia  del</w:t>
        <w:br/>
        <w:t xml:space="preserve">  Caso Cabrera García  y  Montiel  Flores,  que  motiva  el  presente  voto</w:t>
        <w:br/>
        <w:t xml:space="preserve">  razonado (y que aplica a los otros tres casos de condena referidos):</w:t>
        <w:br/>
        <w:br/>
        <w:br/>
        <w:t xml:space="preserve">      233. De tal manera, como se  indicó  en  los  Casos  Radilla  Pacheco,</w:t>
        <w:br/>
        <w:t xml:space="preserve">      Fernández   Ortega   y   Rosendo   Cantú,   es   necesario   que   las</w:t>
        <w:br/>
        <w:t xml:space="preserve">      interpretaciones  constitucionales  y  legislativas  referidas  a  los</w:t>
        <w:br/>
        <w:t xml:space="preserve">      criterios de  competencia  material  y  personal  de  la  jurisdicción</w:t>
        <w:br/>
        <w:t xml:space="preserve">      militar en México, se adecuen a  los  principios  establecidos  en  la</w:t>
        <w:br/>
        <w:t xml:space="preserve">      jurisprudencia de este Tribunal que han sido reiterados en el presente</w:t>
        <w:br/>
        <w:t xml:space="preserve">      caso[465] y que aplican para toda violación de derechos humanos que se</w:t>
        <w:br/>
        <w:t xml:space="preserve">      alegue hayan cometido miembros de las fuerzas  armadas.  Ello  implica</w:t>
        <w:br/>
        <w:t xml:space="preserve">      que, independientemente de las reformas legales  que  el  Estado  deba</w:t>
        <w:br/>
        <w:t xml:space="preserve">      adoptar, en el presente caso corresponde a las autoridades judiciales,</w:t>
        <w:br/>
        <w:t xml:space="preserve">      con base en el control de convencionalidad, disponer inmediatamente  y</w:t>
        <w:br/>
        <w:t xml:space="preserve">      de oficio el conocimiento de los hechos por el juez natural, es  decir</w:t>
        <w:br/>
        <w:t xml:space="preserve">      el fuero penal ordinario.[466] (Subrayado añadido).</w:t>
        <w:br/>
        <w:br/>
        <w:br/>
        <w:t>76.   La intencionalidad de la Corte IDH  al  referirse  a  las  expresiones</w:t>
        <w:br/>
        <w:t>“inmediatamente”[467] y “de oficio”,[468] denotan  una  actuación  “directa”</w:t>
        <w:br/>
        <w:t>de  todos  los  jueces  mexicanos  para  ejercer  el  “control   difuso   de</w:t>
        <w:br/>
        <w:t>convencionalidad” sin necesidad  de  pronunciamiento  previo  por  parte  de</w:t>
        <w:br/>
        <w:t>algún órgano del Estado mexicano y con independencia de que lo invoquen  las</w:t>
        <w:br/>
        <w:t>partes. Aquí cobra importancia el criterio  del  juez  ad  hoc   Roberto  de</w:t>
        <w:br/>
        <w:t>Figueiredo Caldas:[469]</w:t>
        <w:br/>
        <w:br/>
        <w:t xml:space="preserve">      5. Para todos os Estados do  continente  americano  que  livremente  a</w:t>
        <w:br/>
        <w:t xml:space="preserve">      adotaram,  a  Convenção  equivale  a  uma  Constituição  supranacional</w:t>
        <w:br/>
        <w:t xml:space="preserve">      atinente a Direitos Humanos.  Todos  os  poderes  públicos  e  esferas</w:t>
        <w:br/>
        <w:t xml:space="preserve">      nacionais, bem como as respectivas legislações federais,  estaduais  e</w:t>
        <w:br/>
        <w:t xml:space="preserve">      municipais de todos os Estados aderentes estão obrigados a respeitá-la</w:t>
        <w:br/>
        <w:t xml:space="preserve">      e a ela se adequar. (Subrayado añadido).</w:t>
        <w:br/>
        <w:br/>
        <w:t>77.   Los jueces mexicanos deben, por una parte,  realizar  interpretaciones</w:t>
        <w:br/>
        <w:t>constitucionales y legales que permitan a “las  víctimas  de  violaciones  a</w:t>
        <w:br/>
        <w:t>derechos humanos y sus familiares (tener( derecho a  que  tales  violaciones</w:t>
        <w:br/>
        <w:t>sean conocidas y resueltas por un tribunal competente,  de  conformidad  con</w:t>
        <w:br/>
        <w:t>el debido proceso y el acceso a  la  justicia.  La  importancia  del  sujeto</w:t>
        <w:br/>
        <w:t>pasivo trasciende la  esfera  del  ámbito  militar,  ya  que  se  encuentran</w:t>
        <w:br/>
        <w:t>involucrados bienes jurídicos propios del régimen  ordinario”;[470]  por  lo</w:t>
        <w:br/>
        <w:t>que “esta conclusión aplica no solo  para  casos  de  tortura,  desaparición</w:t>
        <w:br/>
        <w:t>forzada y violación  sexual,  sino  a  todas  las  violaciones  de  derechos</w:t>
        <w:br/>
        <w:t>humanos”[471] (subrayado añadido). De tal manera que  esa  obligación  hacia</w:t>
        <w:br/>
        <w:t>los jueces  mexicanos  resulta  “inmediata”  y  con  “independencia  de  las</w:t>
        <w:br/>
        <w:t>reformas legales que el Estado debe adoptar” (reforma  al  artículo  57  del</w:t>
        <w:br/>
        <w:t>Código de Justicia Militar)”. Lo anterior  cobra  mayor  importancia  si  se</w:t>
        <w:br/>
        <w:t>atiende al texto del artículo 13 de la Constitución  federal  mexicana,[472]</w:t>
        <w:br/>
        <w:t>precepto  que  estimó  convencional  la  Corte  IDH   y,   por   ello,   las</w:t>
        <w:br/>
        <w:t>interpretaciones a las normas legales secundarias deben  ser  conformes  con</w:t>
        <w:br/>
        <w:t>el texto constitucional y la Convención Americana:[473]</w:t>
        <w:br/>
        <w:br/>
        <w:br/>
        <w:t xml:space="preserve">      En términos prácticos, como ya lo ha  establecido  este  Tribunal,  la</w:t>
        <w:br/>
        <w:t xml:space="preserve">      interpretación del artículo 13 de la  Constitución  Política  mexicana</w:t>
        <w:br/>
        <w:t xml:space="preserve">      debe   ser   coherente   con   los   principios    convencionales    y</w:t>
        <w:br/>
        <w:t xml:space="preserve">      constitucionales de debido proceso y acceso a la justicia,  contenidos</w:t>
        <w:br/>
        <w:t xml:space="preserve">      en el artículo 8.1 de la Convención Americana y las normas pertinentes</w:t>
        <w:br/>
        <w:t xml:space="preserve">      de la Constitución mexicana.[474]</w:t>
        <w:br/>
        <w:br/>
        <w:t>78.    Por  otra  parte,  también  implica  una  obligación  de  los  jueces</w:t>
        <w:br/>
        <w:t>mexicanos de realizar siempre el “control difuso de convencionalidad”  y  no</w:t>
        <w:br/>
        <w:t>sólo por lo que hace a la determinación en los  casos  concretos  sobre  los</w:t>
        <w:br/>
        <w:t>criterios de competencia material y  personal  de  la  jurisdicción  militar</w:t>
        <w:br/>
        <w:t>referidos en las sentencias pronunciadas por la Corte IDH, sino  en  general</w:t>
        <w:br/>
        <w:t>en todos los asuntos de su  competencia  donde  el  Tribunal  Interamericano</w:t>
        <w:br/>
        <w:t>realice interpretaciones  al  corpus  juris  interamericano,  al  ser  dicho</w:t>
        <w:br/>
        <w:t>Tribunal Interamericano el último y definitivo intérprete del Pacto  de  San</w:t>
        <w:br/>
        <w:t>José (dimensión objetiva de norma interpretada).[475]</w:t>
        <w:br/>
        <w:br/>
        <w:t>79.   En efecto, como lo señalamos en su momento  (supra  párrs.  51,  52  y</w:t>
        <w:br/>
        <w:t>63), la jurisprudencia de la Corte IDH adquiere “eficacia directa” en  todos</w:t>
        <w:br/>
        <w:t>los Estados nacionales que han reconocido expresamente su jurisdicción,  con</w:t>
        <w:br/>
        <w:t>independencia  de  que  derive  de  un  asunto  donde  no  han   participado</w:t>
        <w:br/>
        <w:t>formalmente como “parte material”. Lo anterior, debido a los efectos  de  la</w:t>
        <w:br/>
        <w:t>norma convencional interpretada, que  produce  “efectos  expansivos”  de  la</w:t>
        <w:br/>
        <w:t>jurisprudencia convencional y no sólo eficacia subjetiva para la tutela  del</w:t>
        <w:br/>
        <w:t>derecho y libertad en un caso particular sometido a su competencia. En  este</w:t>
        <w:br/>
        <w:t>sentido, la jurisprudencia convencional no es simplemente  orientadora,[476]</w:t>
        <w:br/>
        <w:t>sino  resulta  obligatoria  para  los  jueces  mexicanos  (en  su  dimensión</w:t>
        <w:br/>
        <w:t>subjetiva y objetiva); y su  eficacia  comienza  desde  que  las  sentencias</w:t>
        <w:br/>
        <w:t>internacionales son  notificadas  o  transmitidas  al  Estado  mexicano,  en</w:t>
        <w:br/>
        <w:t>términos del artículo 69 de la Convención Americana sobre  Derechos  Humanos</w:t>
        <w:br/>
        <w:t>y con independencia del procedimiento interno que  realicen  los  órganos  y</w:t>
        <w:br/>
        <w:t>autoridades mexicanas para coordinar su implementación y  cumplimiento,  así</w:t>
        <w:br/>
        <w:t>como los demás actos que se  realicen  para  dar  a  conocer  y  adoptar  la</w:t>
        <w:br/>
        <w:t>sentencia y jurisprudencia internacional.</w:t>
        <w:br/>
        <w:br/>
        <w:t>80.   El “control difuso de convencionalidad” ha iniciado su aplicación  por</w:t>
        <w:br/>
        <w:t>algunos tribunales mexicanos a la luz de la jurisprudencia convencional.  En</w:t>
        <w:br/>
        <w:t>efecto, el  Primer  Tribunal  Colegiado  en  Materias  Administrativa  y  de</w:t>
        <w:br/>
        <w:t>Trabajo del Décimo Primer Circuito, con residencia  en  Morelia,  Michoacán,</w:t>
        <w:br/>
        <w:t>al resolver el amparo directo 1060/2008, el 2 de julio de 2009 (meses  antes</w:t>
        <w:br/>
        <w:t>de la  sentencia  del  Caso  Radilla  Pacheco),  haciendo  alusión  al  Caso</w:t>
        <w:br/>
        <w:t>Almonacid Arellano vs. Chile (2006), consideró lo siguiente:</w:t>
        <w:br/>
        <w:br/>
        <w:t xml:space="preserve">      En ese orden,  ha de  establecerse  que  los  tribunales  locales  del</w:t>
        <w:br/>
        <w:t xml:space="preserve">      Estado Mexicano no deben limitarse a aplicar sólo  las  leyes  locales</w:t>
        <w:br/>
        <w:t xml:space="preserve">      sino que quedan también  obligados  a  aplicar  la  Constitución,  los</w:t>
        <w:br/>
        <w:t xml:space="preserve">      tratados o convenciones internacionales y  la  jurisprudencia  emitida</w:t>
        <w:br/>
        <w:t xml:space="preserve">      por  la  Corte  Interamericana  de  Derechos  Humanos,   entre   otros</w:t>
        <w:br/>
        <w:t xml:space="preserve">      organismos,  lo  cual   los   obliga   a   ejercer   un   control   de</w:t>
        <w:br/>
        <w:t xml:space="preserve">      convencionalidad  entre  las   normas   jurídicas   internas   y   las</w:t>
        <w:br/>
        <w:t xml:space="preserve">      supranacionales, como lo consideró la Primera Sala de la Suprema Corte</w:t>
        <w:br/>
        <w:t xml:space="preserve">      de Justicia de la Nación, al resolver el amparo  directo  en  revisión</w:t>
        <w:br/>
        <w:t xml:space="preserve">      908/2006, promovido por Nahum Ramos Yescas,  en  sesión  celebrada  el</w:t>
        <w:br/>
        <w:t xml:space="preserve">      dieciocho de abril de dos mil siete, cuando determinó:</w:t>
        <w:br/>
        <w:br/>
        <w:br/>
        <w:t xml:space="preserve">           "El concepto de interés superior del niño, ha sido  interpretado</w:t>
        <w:br/>
        <w:t xml:space="preserve">      por la Corte Interamericana  de  Derechos  Humanos  (cuya  competencia</w:t>
        <w:br/>
        <w:t xml:space="preserve">      aceptó el Estado Mexicano el veinticuatro de marzo de mil  novecientos</w:t>
        <w:br/>
        <w:t xml:space="preserve">      ochenta y uno al ratificar la Convención  Interamericana  de  Derechos</w:t>
        <w:br/>
        <w:t xml:space="preserve">      Humanos y cuyos criterios, por tanto, son obligatorios".</w:t>
        <w:br/>
        <w:t xml:space="preserve">         (…)</w:t>
        <w:br/>
        <w:t xml:space="preserve">           Luego, al haber considerado la Primera Sala de la Suprema  Corte</w:t>
        <w:br/>
        <w:t xml:space="preserve">      de Justicia de la Nación, que dado que  México  aceptó  la  Convención</w:t>
        <w:br/>
        <w:t xml:space="preserve">      Americana de Derechos Humanos, también reconoció la interpretación que</w:t>
        <w:br/>
        <w:t xml:space="preserve">      de dicha  convención  realiza  la  Corte  Interamericana  de  Derechos</w:t>
        <w:br/>
        <w:t xml:space="preserve">      Humanos; lo cual conduce a este tribunal colegiado  a  considerar  que</w:t>
        <w:br/>
        <w:t xml:space="preserve">      todos los tribunales del Estado están obligados a ejercer  el  control</w:t>
        <w:br/>
        <w:t xml:space="preserve">      de convencionalidad  al  resolver   cualquier  asunto  sometido  a  su</w:t>
        <w:br/>
        <w:t xml:space="preserve">      jurisdicción,  como lo estableció la citada  Corte  Interamericana  al</w:t>
        <w:br/>
        <w:t xml:space="preserve">      decidir el caso Almonacid Arellano y otros vs. Chile, en la  sentencia</w:t>
        <w:br/>
        <w:t xml:space="preserve">      emitida el veintiséis de septiembre de dos mil seis.</w:t>
        <w:br/>
        <w:t xml:space="preserve">           De ahí que los órganos de justicia nacional quedan  obligados  a</w:t>
        <w:br/>
        <w:t xml:space="preserve">      ejercer  'el  control  de  convencionalidad’,  respecto  a  actos   de</w:t>
        <w:br/>
        <w:t xml:space="preserve">      autoridad -entre ellos, normas de  alcance  general-  conforme  a  las</w:t>
        <w:br/>
        <w:t xml:space="preserve">      atribuciones que les confieren los ordenamientos a los que  se  hallan</w:t>
        <w:br/>
        <w:t xml:space="preserve">      sujetos y las disposiciones del Derecho Internacional de los  derechos</w:t>
        <w:br/>
        <w:t xml:space="preserve">      humanos, a las que  se  encuentran  vinculados  por  la  concertación,</w:t>
        <w:br/>
        <w:t xml:space="preserve">      ratificación o adhesión de los tratados o convenciones  del Presidente</w:t>
        <w:br/>
        <w:t xml:space="preserve">      de la República; que tiene como propósito que haya  conformidad  entre</w:t>
        <w:br/>
        <w:t xml:space="preserve">      los actos internos y los compromisos internacionales contraídos por el</w:t>
        <w:br/>
        <w:t xml:space="preserve">      Estado, que generan para éste determinados deberes y reconocen  a  los</w:t>
        <w:br/>
        <w:t xml:space="preserve">      individuos ciertos derechos; control que  queda  depositado  tanto  en</w:t>
        <w:br/>
        <w:t xml:space="preserve">      tribunales internacionales -o supranacionales- como en los nacionales,</w:t>
        <w:br/>
        <w:t xml:space="preserve">      a quienes mediante el mismo  se  les  encomiendan  la  nueva  justicia</w:t>
        <w:br/>
        <w:t xml:space="preserve">      regional de los derechos humanos y adquieren, además, la obligación de</w:t>
        <w:br/>
        <w:t xml:space="preserve">      adoptar en su aparato jurídico tanto las normas como la interpretación</w:t>
        <w:br/>
        <w:t xml:space="preserve">      de éstas, a través de políticas y leyes, que garanticen el  respeto  a</w:t>
        <w:br/>
        <w:t xml:space="preserve">      los derechos humanos y sus garantías, explícitas en sus constituciones</w:t>
        <w:br/>
        <w:t xml:space="preserve">      nacionales  y,  desde  luego,  en   sus   compromisos   convencionales</w:t>
        <w:br/>
        <w:t xml:space="preserve">      internacionales.</w:t>
        <w:br/>
        <w:t xml:space="preserve">         Como  consecuencia  de  lo  cual,  se  impone  establecer  que  las</w:t>
        <w:br/>
        <w:t xml:space="preserve">      autoridades del estado mexicano  tienen la  ineludible  obligación  de</w:t>
        <w:br/>
        <w:t xml:space="preserve">      observar y  aplicar en su ámbito competencial interno -además  de  las</w:t>
        <w:br/>
        <w:t xml:space="preserve">      legislativas- medidas de cualquier otro orden para asegurar el respeto</w:t>
        <w:br/>
        <w:t xml:space="preserve">      de los derechos y garantías, no sólo  de  la  Constitución  y  de  sus</w:t>
        <w:br/>
        <w:t xml:space="preserve">      normas internas sino también de las  Convenciones  Internacionales  de</w:t>
        <w:br/>
        <w:t xml:space="preserve">      las que México es parte y de las interpretaciones que de sus cláusulas</w:t>
        <w:br/>
        <w:t xml:space="preserve">      llevaron a cabo los organismos  internacionales;  lo  que  conlleva  a</w:t>
        <w:br/>
        <w:t xml:space="preserve">      sustentar que todos los tribunales deben realizar un control difuso de</w:t>
        <w:br/>
        <w:t xml:space="preserve">      convencionalidad, al resolver los asuntos sometidos a su competencia.</w:t>
        <w:br/>
        <w:t xml:space="preserve">           (…)</w:t>
        <w:br/>
        <w:t xml:space="preserve">         Eso significa que si bien los jueces  y  tribunales  mexicanos  -en</w:t>
        <w:br/>
        <w:t xml:space="preserve">      principio- quedan sujetos a la observancia y aplicación del imperio de</w:t>
        <w:br/>
        <w:t xml:space="preserve">      las disposiciones nacionales; cuando el Estado Mexicano ratificado  un</w:t>
        <w:br/>
        <w:t xml:space="preserve">      tratado internacional -como la Convención Americana-  como  parte  del</w:t>
        <w:br/>
        <w:t xml:space="preserve">      aparato del Estado que son,  también  quedan  sometidos  a  ésta;  por</w:t>
        <w:br/>
        <w:t xml:space="preserve">      tanto, están obligadas a velar porque los efectos de las disposiciones</w:t>
        <w:br/>
        <w:t xml:space="preserve">      que la integran no  se  vean  mermadas  por  la  aplicación  de  leyes</w:t>
        <w:br/>
        <w:t xml:space="preserve">      contrarias a su objeto y fin; mediante el  ejercicio  del  control  de</w:t>
        <w:br/>
        <w:t xml:space="preserve">      convencionalidad entre las normas jurídicas internas y  la  Convención</w:t>
        <w:br/>
        <w:t xml:space="preserve">      Americana sobre Derechos Humanos; más aún la interpretación que de esa</w:t>
        <w:br/>
        <w:t xml:space="preserve">      convención hubiese realizado la Corte Interamericana, como  su  último</w:t>
        <w:br/>
        <w:t xml:space="preserve">      intérprete. (Subrayado añadido).</w:t>
        <w:br/>
        <w:br/>
        <w:t>81.   El anterior criterio quedó reflejado en la Tesis XI.1º.A.T.47 K,  cuyo</w:t>
        <w:br/>
        <w:t>rubro y texto son:[477]</w:t>
        <w:br/>
        <w:br/>
        <w:br/>
        <w:t xml:space="preserve">      CONTROL DE CONVENCIONALIDAD EN SEDE INTERNA. LOS TRIBUNALES  MEXICANOS</w:t>
        <w:br/>
        <w:t xml:space="preserve">      ESTÁN OBLIGADOS A EJERCERLO.</w:t>
        <w:br/>
        <w:t xml:space="preserve">      Tratándose de los derechos humanos, los tribunales del Estado mexicano</w:t>
        <w:br/>
        <w:t xml:space="preserve">      como no deben limitarse a aplicar sólo las leyes locales, sino también</w:t>
        <w:br/>
        <w:t xml:space="preserve">      la Constitución, los tratados o convenciones internacionales  conforme</w:t>
        <w:br/>
        <w:t xml:space="preserve">      a  la  jurisprudencia  emitida  por  cualesquiera  de  los  tribunales</w:t>
        <w:br/>
        <w:t xml:space="preserve">      internacionales  que  realicen  la  interpretación  de  los  tratados,</w:t>
        <w:br/>
        <w:t xml:space="preserve">      pactos, convenciones o acuerdos celebrados por México; lo cual  obliga</w:t>
        <w:br/>
        <w:t xml:space="preserve">      a ejercer el control de convencionalidad entre  las  normas  jurídicas</w:t>
        <w:br/>
        <w:t xml:space="preserve">      internas y las supranacionales, porque éste implica acatar  y  aplicar</w:t>
        <w:br/>
        <w:t xml:space="preserve">      en su ámbito competencial, incluyendo  las  legislativas,  medidas  de</w:t>
        <w:br/>
        <w:t xml:space="preserve">      cualquier orden para asegurar el respeto de los derechos y  garantías,</w:t>
        <w:br/>
        <w:t xml:space="preserve">      a través de políticas y leyes que los garanticen. (Subrayado añadido).</w:t>
        <w:br/>
        <w:br/>
        <w:br/>
        <w:t>82.    Asimismo,  también  el   Cuarto   Tribunal   Colegiado   en   Materia</w:t>
        <w:br/>
        <w:t>Administrativa del Primer Circuito, con residencia en el  Distrito  Federal,</w:t>
        <w:br/>
        <w:t>al resolver el  amparo  directo  505/2009,  el  21  de  enero  de  2010,  ha</w:t>
        <w:br/>
        <w:t>sostenido la tesis I.4º.A.91 K, cuyo rubro y texto son:[478]</w:t>
        <w:br/>
        <w:br/>
        <w:br/>
        <w:t xml:space="preserve">      CONTROL DE CONVENCIONALIDAD. DEBE SER  EJERCIDO  POR  LOS  JUECES  DEL</w:t>
        <w:br/>
        <w:t xml:space="preserve">      ESTADO MEXICANO EN LOS ASUNTOS SOMETIDOS A SU CONSIDERACIÓN, A FIN  DE</w:t>
        <w:br/>
        <w:t xml:space="preserve">      VERIFICAR QUE LA  LEGISLACIÓN  INTERNA  NO  CONTRAVENGA  EL  OBJETO  Y</w:t>
        <w:br/>
        <w:t xml:space="preserve">      FINALIDAD DE LA CONVENCIÓN AMERICANA SOBRE DERECHOS HUMANOS.</w:t>
        <w:br/>
        <w:t xml:space="preserve">      La Corte Interamericana de Derechos Humanos ha emitido criterios en el</w:t>
        <w:br/>
        <w:t xml:space="preserve">      sentido de que, cuando  un  Estado,  como  en  este  caso  México,  ha</w:t>
        <w:br/>
        <w:t xml:space="preserve">      ratificado  un  tratado  internacional,  como  lo  es  la   Convención</w:t>
        <w:br/>
        <w:t xml:space="preserve">      Americana sobre Derechos Humanos, sus Jueces, como parte  del  aparato</w:t>
        <w:br/>
        <w:t xml:space="preserve">      estatal, deben velar porque las disposiciones  ahí  contenidas  no  se</w:t>
        <w:br/>
        <w:t xml:space="preserve">      vean mermadas o limitadas por disposiciones internas que contraríen su</w:t>
        <w:br/>
        <w:t xml:space="preserve">      objeto  y  fin,  por  lo  que  se  debe   ejercer   un   "control   de</w:t>
        <w:br/>
        <w:t xml:space="preserve">      convencionalidad" entre las normas de  derecho  interno  y  la  propia</w:t>
        <w:br/>
        <w:t xml:space="preserve">      convención, tomando en cuenta para  ello  no  sólo  el  tratado,  sino</w:t>
        <w:br/>
        <w:t xml:space="preserve">      también la interpretación que de  él  se  ha  realizado.  Lo  anterior</w:t>
        <w:br/>
        <w:t xml:space="preserve">      adquiere relevancia para  aquellos  órganos  que  tienen  a  su  cargo</w:t>
        <w:br/>
        <w:t xml:space="preserve">      funciones jurisdiccionales, pues deben tratar  de  suprimir,  en  todo</w:t>
        <w:br/>
        <w:t xml:space="preserve">      momento, prácticas que tiendan a denegar o  delimitar  el  derecho  de</w:t>
        <w:br/>
        <w:t xml:space="preserve">      acceso a la justicia. (Subrayado añadido).</w:t>
        <w:br/>
        <w:br/>
        <w:br/>
        <w:br/>
        <w:t>83.   Lo anterior pone en evidencia el inicio de la  práctica  del  “control</w:t>
        <w:br/>
        <w:t>difuso de  convencionalidad”  en  el  sistema  jurisdiccional  mexicano,  en</w:t>
        <w:br/>
        <w:t>sintonía  con  la  jurisprudencia  convencional  interamericana  y  con  los</w:t>
        <w:br/>
        <w:t>ejemplos de altas  jurisdicciones  de  países  latinoamericanos,  a  que  se</w:t>
        <w:br/>
        <w:t>refieren los párrs. 226 a 232 de  la  Sentencia  relativa  al  Caso  Cabrera</w:t>
        <w:br/>
        <w:t>García y Montiel Flores vs. México, que motiva el presente voto razonado.</w:t>
        <w:br/>
        <w:br/>
        <w:t>84.   Por último, esta tendencia también se advierte en  recientes  reformas</w:t>
        <w:br/>
        <w:t>legislativas, como sucede en la Constitución del Estado de  Sinaloa  (2008).</w:t>
        <w:br/>
        <w:t>En  este  ordenamiento   supremo   local,   se   establecen   criterios   de</w:t>
        <w:br/>
        <w:t>interpretación a los derechos fundamentales y “su sentido se determinará  de</w:t>
        <w:br/>
        <w:t>conformidad con  los  instrumentos  internacionales  incorporados  al  orden</w:t>
        <w:br/>
        <w:t>jurídico mexicano aplicables y atendiendo los criterios  de  los  organismos</w:t>
        <w:br/>
        <w:t>internacionales de protección de los derechos  humanos  reconocidos  por  el</w:t>
        <w:br/>
        <w:t>Estado mexicano,  especialmente  de  la  Corte  Interamericana  de  Derechos</w:t>
        <w:br/>
        <w:t>Humanos”.[479] (Subrayado añadido).</w:t>
        <w:br/>
        <w:br/>
        <w:br/>
        <w:t xml:space="preserve">           V. HACIA UN IUS CONSTITUTIONALE COMMUNE EN LAS AMÉRICAS</w:t>
        <w:br/>
        <w:br/>
        <w:t>85.    La  interacción  entre  el  derecho  internacional   y   el   derecho</w:t>
        <w:br/>
        <w:t>constitucional resulta ineludible y sus  vasos  comunicantes  se  estrechan.</w:t>
        <w:br/>
        <w:t>Por una parte, la “internacionalización” de diversas  categorías  existentes</w:t>
        <w:br/>
        <w:t>en  el  ámbito  nacional  de  los  Estados  constitucionales  se  evidencia,</w:t>
        <w:br/>
        <w:t>especialmente con los pactos internacionales en materia de derechos  humanos</w:t>
        <w:br/>
        <w:t>y con la creación de los sistemas universal y regionales  de  protección  de</w:t>
        <w:br/>
        <w:t>los mismos, con la finalidad de que dichos instrumentos  internacionales  se</w:t>
        <w:br/>
        <w:t>apliquen y sean realmente efectivos por los  Estados.  Se  transita  de  las</w:t>
        <w:br/>
        <w:t>tradicionales    “garantías    constitucionales”    a     las     “garantías</w:t>
        <w:br/>
        <w:t>convencionales”, teniendo su máximo grado de desarrollo con  las  sentencias</w:t>
        <w:br/>
        <w:t>que dictan los tribunales internacionales.</w:t>
        <w:br/>
        <w:br/>
        <w:t>86.   La doctrina del “control difuso  de  convencionalidad”  pareciera  que</w:t>
        <w:br/>
        <w:t>fue adoptada por la Corte  IDH  en  un  proceso  evolutivo  de  la  referida</w:t>
        <w:br/>
        <w:t>“internacionalización”,  al  haber  influido  las  prácticas  de  las  altas</w:t>
        <w:br/>
        <w:t>jurisdicciones nacionales. (véase  supra  párr.  29).  Por  otra  parte,  el</w:t>
        <w:br/>
        <w:t>influjo que a  partir  de  2006  imprime  el  Tribunal  Interamericano  para</w:t>
        <w:br/>
        <w:t>“irradiar” su jurisprudencia y, por tanto, lograr la recepción  nacional  de</w:t>
        <w:br/>
        <w:t>los estándares  internacionales  en  los  Estados  parte  de  la  Convención</w:t>
        <w:br/>
        <w:t>Americana, produce una intensidad y profundidad de  la  “nacionalización”  o</w:t>
        <w:br/>
        <w:t>“constitucionalización” del Derecho Internacional de los  Derechos  Humanos,</w:t>
        <w:br/>
        <w:t>como  lo  demuestra  la  recepción  de  dicha   doctrina   por   las   altas</w:t>
        <w:br/>
        <w:t>jurisdicciones nacionales (véase supra párrs. 28 y 30).</w:t>
        <w:br/>
        <w:br/>
        <w:t>87.         En el presente 2010 se ha reiterado dicha doctrina por la  Corte</w:t>
        <w:br/>
        <w:t>IDH en  ocho  casos  contenciosos,  lo  que  denota  su  consolidación.  Sus</w:t>
        <w:br/>
        <w:t>elementos y rasgos distintivos seguramente  seguirán  siendo  cuidadosamente</w:t>
        <w:br/>
        <w:t>analizados  por  los  jueces  interamericanos  y  nacionales.  No   pretende</w:t>
        <w:br/>
        <w:t>establecer qué órgano tiene la última  palabra,  sino  fomentar  el  diálogo</w:t>
        <w:br/>
        <w:t>jurisprudencial creativo, responsable y comprometido con la  efectividad  de</w:t>
        <w:br/>
        <w:t>los derechos fundamentales. Los jueces nacionales  ahora  se  convierten  en</w:t>
        <w:br/>
        <w:t>los primeros jueces interamericanos. Son  ellos  los  que  tienen  la  mayor</w:t>
        <w:br/>
        <w:t>responsabilidad para armonizar la legislación nacional  con  los  parámetros</w:t>
        <w:br/>
        <w:t>interamericanos. La Corte IDH debe velar por ello y tener plena  consciencia</w:t>
        <w:br/>
        <w:t>de los estándares que irá construyendo en  su  jurisprudencia,  teniendo  en</w:t>
        <w:br/>
        <w:t>consideración, además, el “margen de apreciación nacional” que deben  contar</w:t>
        <w:br/>
        <w:t>los    Estados    nacionales    para    interpretar    el    corpus    juris</w:t>
        <w:br/>
        <w:t>interamericano.[480] De los jueces interamericanos se espera mucho y “en  la</w:t>
        <w:br/>
        <w:t>medida en que más se autoexija, podrá a su  vez  exigir  más  a  las  cortes</w:t>
        <w:br/>
        <w:t>nacionales”.[481]</w:t>
        <w:br/>
        <w:br/>
        <w:t>88.   En  definitiva,  la  trascendencia  de  la  nueva  doctrina  sobre  el</w:t>
        <w:br/>
        <w:t>“control difuso de convencionalidad” es de tal magnitud,  que  probablemente</w:t>
        <w:br/>
        <w:t>en ella descanse el futuro del Sistema Interamericano de Protección  de  los</w:t>
        <w:br/>
        <w:t>Derechos Humanos y, a su vez, contribuirá  al  desarrollo  constitucional  y</w:t>
        <w:br/>
        <w:t>democrático de los Estados nacionales de la región. La  construcción  de  un</w:t>
        <w:br/>
        <w:t>auténtico “diálogo jurisprudencial”  —entre  los  jueces  nacionales  y  los</w:t>
        <w:br/>
        <w:t>interamericanos—,  seguramente  se  convertirá   en   el   nuevo   referente</w:t>
        <w:br/>
        <w:t>jurisdiccional para la efectividad de los derechos humanos en el siglo  XXI.</w:t>
        <w:br/>
        <w:t>Ahí descansa el  porvenir:  en  un  punto  de  convergencia  en  materia  de</w:t>
        <w:br/>
        <w:t>derechos humanos para establecer un auténtico  ius  constitutionale  commune</w:t>
        <w:br/>
        <w:t>en las Américas.</w:t>
        <w:br/>
        <w:br/>
        <w:br/>
        <w:br/>
        <w:br/>
        <w:br/>
        <w:br/>
        <w:br/>
        <w:br/>
        <w:br/>
        <w:br/>
        <w:br/>
        <w:br/>
        <w:t xml:space="preserve">                      Eduardo Ferrer Mac-Gregor Poisot</w:t>
        <w:br/>
        <w:t xml:space="preserve">                                 Juez ad hoc</w:t>
        <w:br/>
        <w:br/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t>-----------------------</w:t>
        <w:br/>
        <w:t>[1]   Conforme a lo dispuesto en el  artículo  79.1  del  Reglamento  de  la</w:t>
        <w:br/>
        <w:t>Corte Interamericana que entró en vigor el 1 de enero de 2010, “[l]os  casos</w:t>
        <w:br/>
        <w:t>contenciosos que ya se hubiesen sometido a  la  consideración  de  la  Corte</w:t>
        <w:br/>
        <w:t>antes del 1 de enero de 2010 se continuarán tramitando, hasta que  se  emita</w:t>
        <w:br/>
        <w:t>sentencia, conforme al Reglamento anterior”. De ese modo, el  Reglamento  de</w:t>
        <w:br/>
        <w:t>la Corte aplicado en el presente caso corresponde  al  instrumento  aprobado</w:t>
        <w:br/>
        <w:t>por el Tribunal en su XLIX Período Ordinario de Sesiones celebrado del 16  a</w:t>
        <w:br/>
        <w:t>25 de noviembre de 2000, reformado parcialmente por la Corte  en  su  LXXXII</w:t>
        <w:br/>
        <w:t>Período Ordinario de Sesiones, celebrado del 19 al 31 de enero  de  2009,  y</w:t>
        <w:br/>
        <w:t>que estuvo en vigor desde el 24 de marzo de 2009 hasta  el  1  de  enero  de</w:t>
        <w:br/>
        <w:t>2010.</w:t>
        <w:br/>
        <w:br/>
        <w:t>[2]    En  el  Informe  de  Admisibilidad  No.  11/04  la  Comisión  declaró</w:t>
        <w:br/>
        <w:t>admisible el caso en cuanto  se  refiere  a  presuntas  violaciones  de  los</w:t>
        <w:br/>
        <w:t>derechos protegidos en los  “artículos  5,  7,  8  Y  25  de  la  Convención</w:t>
        <w:br/>
        <w:t>Americana, en conexión con el artículo 1(1)  del  instrumento  internacional</w:t>
        <w:br/>
        <w:t>mencionado; y de los artículos 1, 6, 8 y 10 de la Convención  Interamericana</w:t>
        <w:br/>
        <w:t>para Prevenir y Sancionar la Tortura” (expediente de anexos  a  la  demanda,</w:t>
        <w:br/>
        <w:t>tomo I, apéndice 2, folio 93).</w:t>
        <w:br/>
        <w:br/>
        <w:t>[3]   En el Informe de Fondo No. 88/08 la Comisión concluyó  que  el  Estado</w:t>
        <w:br/>
        <w:t>ha incumplido  las  obligaciones  que  imponen  los  artículos  7  (Libertad</w:t>
        <w:br/>
        <w:t>personal),  5  (Integridad  personal),  8  y  25  (Garantías  Judiciales   y</w:t>
        <w:br/>
        <w:t>Protección Judicial) de la Convención Americana, así como las  disposiciones</w:t>
        <w:br/>
        <w:t>1, 8 y 10 de la Convención  Interamericana  para  Prevenir  y  Sancionar  la</w:t>
        <w:br/>
        <w:t>Tortura, todo lo anterior en relación  al  deber  general  de  respetar  los</w:t>
        <w:br/>
        <w:t>derechos (artículo 1.1 de la Convención  Americana).  Asimismo  la  Comisión</w:t>
        <w:br/>
        <w:t>concluyó que el Estado violó la obligación contenida en el artículo 6 de  la</w:t>
        <w:br/>
        <w:t>Convención Interamericana para Prevenir y Sancionar la Tortura  en  relación</w:t>
        <w:br/>
        <w:t>con los artículos 1.1 y  2  de  la  Convención  Americana  en  perjuicio  de</w:t>
        <w:br/>
        <w:t>Teodoro Cabrera  García  y  Rodolfo  Montiel  Flores.  Además,  la  Comisión</w:t>
        <w:br/>
        <w:t>consideró que no se habían presentado elementos suficientes para  establecer</w:t>
        <w:br/>
        <w:t>violaciones a los derechos contenidos en los artículos 13, 15  y  16  de  la</w:t>
        <w:br/>
        <w:t>Convención Americana (expediente de anexos a la demanda,  tomo  I,  apéndice</w:t>
        <w:br/>
        <w:t>1, folio 1).</w:t>
        <w:br/>
        <w:br/>
        <w:t>[4]   Por parte del Centro Prodh firmaron Stephanie Erin  Brewer,  Jaqueline</w:t>
        <w:br/>
        <w:t>Sáenz, Jorge Santiago Aguirre Espinosa y Luis Arriaga  Valenzuela,  Director</w:t>
        <w:br/>
        <w:t>del Centro Prodh.</w:t>
        <w:br/>
        <w:br/>
        <w:t>[5]   Por parte de CEJIL  firmaron  Annette  Martínez,  Luis  Diego  Obando,</w:t>
        <w:br/>
        <w:t>Gisela de León, Alejandra Nuño y Viviana Krsticevic, Directora de CEJIL.</w:t>
        <w:br/>
        <w:br/>
        <w:t>[6]   Por parte del Centro de Derechos Humanos de la Montaña  “Tlachinollan”</w:t>
        <w:br/>
        <w:t>firmó Abel Barrera, Director de Tlachinollan.</w:t>
        <w:br/>
        <w:br/>
        <w:br/>
        <w:br/>
        <w:t>[7]   La Corte  informó  sobre  la  manifestación  del  Juez  Sergio  García</w:t>
        <w:br/>
        <w:t>Ramírez de no conocer del  presente  caso  toda  vez  que  “[c]omo  lo  h[a]</w:t>
        <w:br/>
        <w:t>manifestado  constantemente,   consider[a]   que   no   es   procedente   la</w:t>
        <w:br/>
        <w:t>intervención de un juez de la nacionalidad del Estado demandado”.</w:t>
        <w:br/>
        <w:br/>
        <w:t>[8]   Cfr. Caso Cabrera García y Montiel Flores vs. México.  Resolución  del</w:t>
        <w:br/>
        <w:t>Presidente de la Corte Interamericana de Derechos Humanos de 2 de  julio  de</w:t>
        <w:br/>
        <w:t>2010.</w:t>
        <w:br/>
        <w:br/>
        <w:t>[9]   El escrito fue presentado  el  15  de  marzo  de  2010  por  James  L.</w:t>
        <w:br/>
        <w:t>Cavallaro,  Virginia  Corrigan,  Alexia  De  Vincentis,  Kathleen   Gibbons,</w:t>
        <w:br/>
        <w:t>Cecilia Cristina Naddeo y Charline Yim de la  Clínica  de  Derechos  Humanos</w:t>
        <w:br/>
        <w:t>del Programa de Derechos Humanos de la Escuela de Derecho de la  Universidad</w:t>
        <w:br/>
        <w:t>de Harvard.</w:t>
        <w:br/>
        <w:br/>
        <w:t>[10]  El escrito fue presentado el 5 de julio de 2010 por Emily  Johnson  en</w:t>
        <w:br/>
        <w:t>representación de la Clínica  de  Derechos  Humanos  de  la  Universidad  de</w:t>
        <w:br/>
        <w:t>Texas.</w:t>
        <w:br/>
        <w:br/>
        <w:t>[11]  El escrito  fue  presentado  el  3  de  agosto  de  2010  por  Gustavo</w:t>
        <w:br/>
        <w:t>Fondevila  en  representación  del  Centro  de  Investigación   y   Docencia</w:t>
        <w:br/>
        <w:t>Económicas (CIDE).</w:t>
        <w:br/>
        <w:br/>
        <w:t>[12]  El escrito fue presentado  el  30  de  septiembre  de  2010  por  Mark</w:t>
        <w:br/>
        <w:t>Thomson, Secretario de la Asociación para la Prevención de la Tortura.</w:t>
        <w:br/>
        <w:br/>
        <w:t>[13]  El escrito fue presentado el 24  de  septiembre  de  2010  por  Miguel</w:t>
        <w:br/>
        <w:t>Sarre  Iguíniz,  profesor  del  Instituto  Tecnológico  Autónomo  de  México</w:t>
        <w:br/>
        <w:t>(ITAM).</w:t>
        <w:br/>
        <w:br/>
        <w:t>[14]  El escrito fue presentado el 13 de septiembre de 2010 por Luis  Miguel</w:t>
        <w:br/>
        <w:t>Cano López, Director de la Clínica de Derechos Humanos de la  Escuela  Libre</w:t>
        <w:br/>
        <w:t>de Derecho.</w:t>
        <w:br/>
        <w:br/>
        <w:t>[15]  El escrito fue presentado el 10 de septiembre de 2010 por Humberto  F.</w:t>
        <w:br/>
        <w:t>Guerrero Rosales, Juan Carlos Gutiérrez, Nancy J. López Pérez, Lucía  Chávez</w:t>
        <w:br/>
        <w:t>Vargas y Ulises Quero García en representación de la  Comisión  Mexicana  de</w:t>
        <w:br/>
        <w:t>Defensa y Promoción de los Derechos Humanos A.C.</w:t>
        <w:br/>
        <w:br/>
        <w:t>[16]  El escrito fue presentado el 10 de septiembre  de  2010  por  Samantha</w:t>
        <w:br/>
        <w:t>Namnum García, Directora Regional del Centro Mexicano de  Derecho  Ambiental</w:t>
        <w:br/>
        <w:t>(CEMDA); Astrid Puentes  Riaño,  Co-Directora  Ejecutiva  de  la  Asociación</w:t>
        <w:br/>
        <w:t>Interamericana para la Defensa  del  Medio  Ambiente  (AIDA);  Jacob  Kopas,</w:t>
        <w:br/>
        <w:t>Asesor Legal  de  AIDA;  y  Juan  Carlos  Arjona  Estévez,  Coordinador  del</w:t>
        <w:br/>
        <w:t>Programa de Derechos Humanos y Ambiente de CEMDA.</w:t>
        <w:br/>
        <w:br/>
        <w:t>[17]  El escrito fue presentado el 10 de  septiembre  de  2010  por  Vanessa</w:t>
        <w:br/>
        <w:t>Coria  Castilla,  Sandra  Salcedo  González  y  José   Antonio   Ibáñez   en</w:t>
        <w:br/>
        <w:t>representación  del  Programa  de  Derechos  Humanos   de   la   Universidad</w:t>
        <w:br/>
        <w:t>Iberoamericana.</w:t>
        <w:br/>
        <w:br/>
        <w:t>[18]  El escrito fue presentado el 9 de septiembre de  2010  por  Ronald  L.</w:t>
        <w:br/>
        <w:t>Singer  y  Stefan  Schmitt  en  representación  del  Programa  Internacional</w:t>
        <w:br/>
        <w:t>Forense de Physicians for Human Rights.</w:t>
        <w:br/>
        <w:br/>
        <w:t>[19]  El escrito fue presentado el 9 de  septiembre  de  2010  por  Jonathan</w:t>
        <w:br/>
        <w:t>Kaufman y Marco Simons en representación de EarthRights International.</w:t>
        <w:br/>
        <w:br/>
        <w:t>[20]  El escrito fue presentado  el  12  de  agosto  de  2010  por  Nicholas</w:t>
        <w:br/>
        <w:t>Hesterberg en representación del Environmental Defender Law Center.</w:t>
        <w:br/>
        <w:br/>
        <w:t>[21]  A esta audiencia comparecieron: a)  por  la  Comisión  Interamericana:</w:t>
        <w:br/>
        <w:t>Rodrigo Escobar Gil, Comisionado; Karla Quintana Osuna,  asesora,  y  Silvia</w:t>
        <w:br/>
        <w:t>Serrano  Guzmán,  asesora;  b)  por   los   representantes:   Luis   Arriaga</w:t>
        <w:br/>
        <w:t>Valenzuela, S.J. Centro Prodh,  Stephanie  Erin  Brewer  y  Jaqueline  Sáenz</w:t>
        <w:br/>
        <w:t>Andujo, del Centro Prodh; Alejandra Nuño, Agustín Martin, Luis Carlos  Buob,</w:t>
        <w:br/>
        <w:t>Gisela De León y Marcia Aguiluz, de CEJIL; y  c)  por  el  Estado:  Ministro</w:t>
        <w:br/>
        <w:t>Alejandro Negrín Muñoz, Director General de Derechos  Humanos  y  Democracia</w:t>
        <w:br/>
        <w:t>de la Secretaría de Relaciones Exteriores; Embajadora Zadalinda  González  y</w:t>
        <w:br/>
        <w:t>Reynero, Agente del Estado y Embajadora de México en Costa Rica;  Licenciada</w:t>
        <w:br/>
        <w:t>Yéssica De Lamadrid Téllez, Directora General de  Cooperación  Internacional</w:t>
        <w:br/>
        <w:t>de  la  Subprocuraduría  Jurídica  y  de  Asuntos  Internacionales   de   la</w:t>
        <w:br/>
        <w:t>Procuraduría General de la República;  Licenciado  Carlos  Garduño  Salinas,</w:t>
        <w:br/>
        <w:t>Director General Adjunto de Atención a Casos de la Unidad para la Defensa  y</w:t>
        <w:br/>
        <w:t>Promoción de Derechos Humanos de la Secretaría de  Gobernación;  General  de</w:t>
        <w:br/>
        <w:t>Brigada J.M. y Licenciado Rogelio Rodríguez Correa, Subdirector  de  Asuntos</w:t>
        <w:br/>
        <w:t>Internacionales  de  la  Dirección  General  de  Derechos  Humanos   de   la</w:t>
        <w:br/>
        <w:t>Secretaría de la Defensa Nacional; Licenciado José Ignacio Martín del  Campo</w:t>
        <w:br/>
        <w:t>Covarrubias, Director del  Área  de  Litigio  Internacional  en  Materia  de</w:t>
        <w:br/>
        <w:t>Derechos Humanos de  la  Secretaría  de  Relaciones  Exteriores;  Licenciado</w:t>
        <w:br/>
        <w:t>David Ricardo Uribe González, Subdirector del Área de Litigio  Internacional</w:t>
        <w:br/>
        <w:t>en Materia de Derechos Humanos de la Secretaría  de  Relaciones  Exteriores;</w:t>
        <w:br/>
        <w:t>Licenciado  Enrique  Paredes  Frías,  Subdirector  del   Área   de   Litigio</w:t>
        <w:br/>
        <w:t>Internacional en Materia de Derechos Humanos de la Secretaría de  Relaciones</w:t>
        <w:br/>
        <w:t>Exteriores; Licenciado Luis Manuel Jardón  Piña,  Jefe  de  Departamento  de</w:t>
        <w:br/>
        <w:t>Litigios  de  la  Consultoría  Jurídica  de  la  Secretaría  de   Relaciones</w:t>
        <w:br/>
        <w:t>Exteriores, y Licenciado Rafael Barceló Durazo,  Agregado  Diplomático  para</w:t>
        <w:br/>
        <w:t>Asuntos Políticos y Derechos Humanos de  la  Embajada  de  México  en  Costa</w:t>
        <w:br/>
        <w:t>Rica.</w:t>
        <w:br/>
        <w:br/>
        <w:t>[22]  El 13 de septiembre de 2010, siguiendo instrucciones del pleno  de  la</w:t>
        <w:br/>
        <w:t>Corte, la Secretaría remitió a todas las partes una comunicación en  la  que</w:t>
        <w:br/>
        <w:t>precisó algunas de las preguntas realizadas  por  los  Jueces  del  Tribunal</w:t>
        <w:br/>
        <w:t>durante la audiencia pública, las cuales versaban: i) Sobre la presencia  de</w:t>
        <w:br/>
        <w:t>las Fuerzas Armadas en Guerrero: a) sobre la  existencia  de  una  solicitud</w:t>
        <w:br/>
        <w:t>expresa, fundada y motivada de las autoridades civiles para que las  fuerzas</w:t>
        <w:br/>
        <w:t>militares intervinieran en el lugar de los hechos  y  b)  mayor  información</w:t>
        <w:br/>
        <w:t>sobre la jurisprudencia de la Suprema Corte de Justicia  de  la  Nación  con</w:t>
        <w:br/>
        <w:t>relación a la participación de las Fuerzas Armadas en asuntos  de  seguridad</w:t>
        <w:br/>
        <w:t>pública; ii) Sobre la detención de las presuntas víctimas:  c)  marco  legal</w:t>
        <w:br/>
        <w:t>que regula  la  competencia  de  autoridades  militares  para  arrestar  y/o</w:t>
        <w:br/>
        <w:t>detener a personas civiles, d) descripción detallada de los hechos desde  la</w:t>
        <w:br/>
        <w:t>detención de los señores Montiel Flores y Cabrera García  hasta  el  momento</w:t>
        <w:br/>
        <w:t>de su puesta a disposición ante un juez o autoridad competente,  explicando,</w:t>
        <w:br/>
        <w:t>de ser el caso, el exceso de tiempo  en  términos  de  razonabilidad,  y  e)</w:t>
        <w:br/>
        <w:t>información y prueba respecto a los alegados  volantes  que  se  encontraban</w:t>
        <w:br/>
        <w:t>distribuyendo las presuntas víctimas y las actividades que se alega  estaban</w:t>
        <w:br/>
        <w:t>desarrollando el día  en  el  que  ocurrió  su  detención;  iii)  Sobre  las</w:t>
        <w:br/>
        <w:t>supuestas armas incautadas a las presuntas víctimas  en  el  momento  de  su</w:t>
        <w:br/>
        <w:t>detención: f) acta o actas de levantamiento de armas cuando  se  procedió  a</w:t>
        <w:br/>
        <w:t>la detención de los señores Cabrera García y Montiel  Flores,  qué  tipo  de</w:t>
        <w:br/>
        <w:t>armas  se  encontraron  y  en  qué  cantidad  específica,   las   decisiones</w:t>
        <w:br/>
        <w:t>judiciales finales respecto a la responsabilidad de las  presuntas  víctimas</w:t>
        <w:br/>
        <w:t>por la tenencia de estas armas y por cuáles de esas  armas  se  adelantó  la</w:t>
        <w:br/>
        <w:t>investigación penal respectiva. De existir  contradicciones  en  algunas  de</w:t>
        <w:br/>
        <w:t>dichas actas, argumentos específicos al respecto, g) información respecto  a</w:t>
        <w:br/>
        <w:t>la legislación mexicana sobre la clasificación  de  armas  en  cuanto  a  la</w:t>
        <w:br/>
        <w:t>peligrosidad que tienen para la seguridad pública, h)  información  respecto</w:t>
        <w:br/>
        <w:t>a la validez e idoneidad de la prueba del rodizonato de  sodio  para  probar</w:t>
        <w:br/>
        <w:t>la utilización o manejo de armas, i)  información  y  argumentos  sobre  las</w:t>
        <w:br/>
        <w:t>alegadas contradicciones derivadas de la prueba de rodizonato  de  sodio  en</w:t>
        <w:br/>
        <w:t>el presente caso, y j) boletín de la Procuraduría General  de  la  República</w:t>
        <w:br/>
        <w:t>en el cual consten las declaraciones en las cuales se afirma que  la  prueba</w:t>
        <w:br/>
        <w:t>de rodizonato no funciona en manos mojadas; iv) Sobre la  integridad  física</w:t>
        <w:br/>
        <w:t>y psicológica de las presuntas víctimas: k) motivos por  los  cuales  fueron</w:t>
        <w:br/>
        <w:t>puestas  en  libertad  las  presuntas  víctimas,  y  la   identificación   y</w:t>
        <w:br/>
        <w:t>especificación de los dictámenes médicos pertinentes, l) ¿realizó el  Estado</w:t>
        <w:br/>
        <w:t>diligencias pertinentes  para  colaborar  con  el  ingreso  de  los  médicos</w:t>
        <w:br/>
        <w:t>pertenecientes a Physicians for Human Rights al centro  penitenciario  donde</w:t>
        <w:br/>
        <w:t>se encontraban las presuntas  víctimas?,  m)  ¿se  permitió  una  evaluación</w:t>
        <w:br/>
        <w:t>médica por médicos no pertenecientes a instituciones  estatales  cuando  las</w:t>
        <w:br/>
        <w:t>presuntas víctimas se encontraban detenidas?, n)  explicar  cuáles  son  las</w:t>
        <w:br/>
        <w:t>coincidencias y/o diferencias entre los dictámenes médicos que habrían  dado</w:t>
        <w:br/>
        <w:t>sustento a la decisión de liberar a las presuntas víctimas en  noviembre  de</w:t>
        <w:br/>
        <w:t>2001 y el dictamen médico realizado por los doctores Tramsen y  Tidball-Binz</w:t>
        <w:br/>
        <w:t>de Physicians for Human Rights- Denmark el 31 de julio de 2000. Por  último,</w:t>
        <w:br/>
        <w:t>sin perjuicio de  las  mencionadas  preguntas  para  todas  las  partes,  se</w:t>
        <w:br/>
        <w:t>solicitó a la Comisión Interamericana precisar las razones  por  las  cuáles</w:t>
        <w:br/>
        <w:t>los  elementos  considerados  en  la  demanda  no  fueron  suficientes  para</w:t>
        <w:br/>
        <w:t>concluir la realización de actos de tortura contra las presuntas víctimas.</w:t>
        <w:br/>
        <w:br/>
        <w:t>[23]  Por CEJIL firman Agustín Martin, Alejandra Nuño, Luis  Carlos  Buob  y</w:t>
        <w:br/>
        <w:t>Viviana Krsticevic; por el Centro Prodh firman Luis  Arriaga,  Stephanie  E.</w:t>
        <w:br/>
        <w:t>Brewer y Jaqueline Sáenz; por el Centro de Derechos Humanos  de  la  Montaña</w:t>
        <w:br/>
        <w:t>“Tlachinollan” firma Abel Barrera.</w:t>
        <w:br/>
        <w:br/>
        <w:t>[24]  Cfr. Caso Acevedo Jaramillo y otros vs.  Perú.  Interpretación  de  la</w:t>
        <w:br/>
        <w:t>Sentencia  de  Excepciones  Preliminares,  Fondo,  Reparaciones  y   Costas.</w:t>
        <w:br/>
        <w:t>Sentencia de 24 de noviembre de 2006.  Serie  C  No.  157,  párr.  66;  Caso</w:t>
        <w:br/>
        <w:t>Zambrano Vélez y otros vs. Ecuador. Fondo, Reparaciones y Costas.  Sentencia</w:t>
        <w:br/>
        <w:t>de 4 de julio de 2007. Serie C No. 166, párr. 47, y Caso Perozo y otros  vs.</w:t>
        <w:br/>
        <w:t>Venezuela.  Excepciones  Preliminares,   Fondo,   Reparaciones   y   Costas.</w:t>
        <w:br/>
        <w:t>Sentencia de 28 de enero de 2009. Serie C No. 195, párr. 64.</w:t>
        <w:br/>
        <w:br/>
        <w:t>[25]  En el  Preámbulo  de  la  Convención  Americana  se  sostiene  que  la</w:t>
        <w:br/>
        <w:t>protección  internacional  es  “de  naturaleza  convencional  coadyuvante  o</w:t>
        <w:br/>
        <w:t>complementaria  de  la  que  ofrece  el  derecho  interno  de  los   Estados</w:t>
        <w:br/>
        <w:t>americanos”. Ver también, El Efecto de las  Reservas  sobre  la  Entrada  en</w:t>
        <w:br/>
        <w:t>Vigencia de la Convención Americana sobre Derechos Humanos (arts. 74 y  75).</w:t>
        <w:br/>
        <w:t>Opinión Consultiva OC-2/82 del 24 de septiembre de  1982.  Serie  A  No.  2,</w:t>
        <w:br/>
        <w:t>párr. 31; La Expresión "Leyes" en el Artículo 30 de la Convención  Americana</w:t>
        <w:br/>
        <w:t>sobre Derechos Humanos. Opinión Consultiva OC-6/86 del 9 de  mayo  de  1986.</w:t>
        <w:br/>
        <w:t>Serie A No. 6, párr. 26, y Caso Velásquez  Rodríguez  vs.  Honduras.  Fondo.</w:t>
        <w:br/>
        <w:t>Sentencia de 29 de julio de 1988. Serie C No. 4, párr. 61.</w:t>
        <w:br/>
        <w:br/>
        <w:t>[26]  Caso Nogueira de Carvalho y otro vs. Brasil. Excepciones  Preliminares</w:t>
        <w:br/>
        <w:t>y Fondo. Sentencia de 28 de noviembre de 2006. Serie C No. 161, párr. 80.</w:t>
        <w:br/>
        <w:br/>
        <w:t>[27]   Cfr.  Caso  Las  Palmeras  vs.  Colombia.  Excepciones  Preliminares.</w:t>
        <w:br/>
        <w:t>Sentencia de 4 de febrero de 2000. Serie C No. 67, párr. 34; Caso  Garibaldi</w:t>
        <w:br/>
        <w:t>vs.  Brasil.  Excepciones  Preliminares,  Fondo,  Reparaciones   y   Costas.</w:t>
        <w:br/>
        <w:t>Sentencia de 23 de septiembre de 2009. Serie C No. 203,  párr.  17,  y  Caso</w:t>
        <w:br/>
        <w:t>Manuel  Cepeda  Vargas  vs.  Colombia.  Excepciones  Preliminares,  Fondo  y</w:t>
        <w:br/>
        <w:t>Reparaciones. Sentencia de 26 de mayo de 2010. Serie C No. 213, párr. 35.</w:t>
        <w:br/>
        <w:br/>
        <w:t>[28]  Cfr. Caso  Castañeda  Gutman  vs.  México.  Excepciones  Preliminares,</w:t>
        <w:br/>
        <w:t>Fondo, Reparaciones y Costas. Sentencia de 6 de agosto de 2008. Serie C  No.</w:t>
        <w:br/>
        <w:t>184, párr. 39; Caso Garibaldi vs. Brasil, supra nota 27, párr.  17,  y  Caso</w:t>
        <w:br/>
        <w:t>Manuel Cepeda Vargas vs. Colombia, supra nota 27, párr. 35.</w:t>
        <w:br/>
        <w:br/>
        <w:t>[29]  Cfr. Caso de los “Niños de la Calle” (Villagrán Morales y  otros)  vs.</w:t>
        <w:br/>
        <w:t>Guatemala. Fondo. Sentencia de 19 de noviembre de  1999.  Serie  C  No.  63,</w:t>
        <w:br/>
        <w:t>párr. 222; Caso Garibaldi vs. Brasil, supra  nota  27,  párr.  120,  y  Caso</w:t>
        <w:br/>
        <w:t>Dacosta Cadogan vs. Barbados. Excepciones Preliminares, Fondo,  Reparaciones</w:t>
        <w:br/>
        <w:t>y Costas. Sentencia de 24 de septiembre de 2009. Serie C No. 204, párr. 24.</w:t>
        <w:br/>
        <w:br/>
        <w:br/>
        <w:t>[30]        Cfr. Caso de la “Panel Blanca” (Paniagua Morales  y  otros)  vs.</w:t>
        <w:br/>
        <w:t>Guatemala. Reparaciones y Costas. Sentencia de 25 de mayo de 2001.  Serie  C</w:t>
        <w:br/>
        <w:t>No.  76,  párr.  50;  Caso  Rosendo  Cantú  y  otra  vs.  México.  Excepción</w:t>
        <w:br/>
        <w:t>Preliminar, Fondo, Reparaciones y Costas. Sentencia de 31 de agosto de  2010</w:t>
        <w:br/>
        <w:t>Serie C No. 216, párr. 27, y Caso Ibsen Cárdenas e Ibsen Peña  vs.  Bolivia.</w:t>
        <w:br/>
        <w:t>Fondo, Reparaciones y Costas. Sentencia de 1 de septiembre de 2010  Serie  C</w:t>
        <w:br/>
        <w:t>No. 217, párr. 39.</w:t>
        <w:br/>
        <w:br/>
        <w:br/>
        <w:t>[31]        Cfr. Caso de la “Panel Blanca” (Paniagua Morales  y  otros)  vs.</w:t>
        <w:br/>
        <w:t>Guatemala, supra nota 30, párr. 50; Caso Rosendo Cantú y  otra  vs.  México,</w:t>
        <w:br/>
        <w:t>supra nota 30, párr. 27 y Caso Ibsen Cárdenas  e  Ibsen  Peña  vs.  Bolivia,</w:t>
        <w:br/>
        <w:t>supra nota 30, párr. 39.</w:t>
        <w:br/>
        <w:br/>
        <w:t>[32]  El Estado solicitó una reconsideración de la decisión  del  Presidente</w:t>
        <w:br/>
        <w:t>de la Corte en el sentido de convocar  al  señor  Tramsen  como  perito.  El</w:t>
        <w:br/>
        <w:t>pleno de la Corte rechazó esta solicitud. En su solicitud, el Estado  objetó</w:t>
        <w:br/>
        <w:t>al señor Tramsen por “haber sido defensor y persona  de  confianza”  de  los</w:t>
        <w:br/>
        <w:t>señores Cabrera y Montiel y por indicar que “no conocía ni representó a  las</w:t>
        <w:br/>
        <w:t>presuntas víctimas antes de emitir su  opinión  [...]  ante  las  instancias</w:t>
        <w:br/>
        <w:t>internas”.  El  Estado  agregó  que  está  actitud  “hace  cuestionable   la</w:t>
        <w:br/>
        <w:t>imparcialidad, objetividad y veracidad con la  que  el  perito  emitiera  su</w:t>
        <w:br/>
        <w:t>opinión técnica”. Al respecto, la Corte observó que el Estado “no señaló  en</w:t>
        <w:br/>
        <w:t>qu[é] forma el señor  Tramsen  habría  actuado  como  abogado  defensor”  ni</w:t>
        <w:br/>
        <w:t>tampoco “presentó copia  de  que  haya  actuado  en  acompañamiento  técnico</w:t>
        <w:br/>
        <w:t>jurídico  durante  declaraciones  ante  fiscales  o  jueces   o   que   haya</w:t>
        <w:br/>
        <w:t>interpuesto recursos judiciales o que haya  formulado  alegatos  en  derecho</w:t>
        <w:br/>
        <w:t>sobre lo ocurrido”. El Tribunal observó que “el señor Tramsen es  médico”  y</w:t>
        <w:br/>
        <w:t>que su “intervención  como  médico  no  parece  estar  relacionada  con  una</w:t>
        <w:br/>
        <w:t>actuación jurídica de representación  legal  en  derecho”,  por  lo  que  no</w:t>
        <w:br/>
        <w:t>procedía la falta de veracidad alegada por el Estado.  En cuanto a la  falta</w:t>
        <w:br/>
        <w:t>de objetividad, la Corte concordó con  el  Presidente  respecto  a  que  “la</w:t>
        <w:br/>
        <w:t>objetividad que  se  presume  debe  poseer  un  perito,  inclusive  en  sede</w:t>
        <w:br/>
        <w:t>interna, no cesa por haber  emitido  su  opinión  experta  en  una  anterior</w:t>
        <w:br/>
        <w:t>oportunidad”. En ese sentido, aún cuando “dicha opinión experta  se  hubiera</w:t>
        <w:br/>
        <w:t>formado, comunicado y valorado por los tribunales internos con  anterioridad</w:t>
        <w:br/>
        <w:t>al conocimiento del caso por parte del Tribunal, ello no implica  que  dicha</w:t>
        <w:br/>
        <w:t>opinión deje de ser experta u objetiva”. Cfr. Caso Cabrera García y  Montiel</w:t>
        <w:br/>
        <w:t>Flores vs. México. Resolución de la Corte Interamericana de 23 de agosto  de</w:t>
        <w:br/>
        <w:t>2010 con voto disidente del Juez Eduardo Vio Grossi.</w:t>
        <w:br/>
        <w:br/>
        <w:t>[33]  Cfr. Caso Velásquez Rodríguez vs. Honduras, supra nota 25, párr.  140;</w:t>
        <w:br/>
        <w:t>Caso Rosendo Cantú y otra vs. México, supra nota 30, y Caso  Ibsen  Cárdenas</w:t>
        <w:br/>
        <w:t>e Ibsen Peña vs. Bolivia, supra nota 30, párr. 42.</w:t>
        <w:br/>
        <w:br/>
        <w:t>[34]   Se  trata  de  diversos  certificados  médicos  mencionados   en   el</w:t>
        <w:br/>
        <w:t>interrogatorio realizado por los representantes de  las  presuntas  víctimas</w:t>
        <w:br/>
        <w:t>al perito Christian Tramsen, los cuales fueron  transmitidos  a  las  partes</w:t>
        <w:br/>
        <w:t>mediante el acta de recibimiento documental correspondiente a  la  audiencia</w:t>
        <w:br/>
        <w:t>pública celebrada el 26 y 27 de agosto de 2010.</w:t>
        <w:br/>
        <w:br/>
        <w:t>[35]  Cfr.  Acta  de  recibimiento  documental  de  27  de  agosto  de  2010</w:t>
        <w:br/>
        <w:t>correspondiente a la audiencia pública celebrada en  este  caso  (expediente</w:t>
        <w:br/>
        <w:t>de fondo, tomo IV, folios 1667 y 1668).</w:t>
        <w:br/>
        <w:br/>
        <w:t>[36]  Cfr. Acta de recibimiento documental de 27 de agosto  de  2010,  supra</w:t>
        <w:br/>
        <w:t>nota 35, folios 1667 y 1668.</w:t>
        <w:br/>
        <w:br/>
        <w:t>[37]   Cfr.  Caso  Loayza  Tamayo  vs.  Perú.  Fondo.  Sentencia  de  17  de</w:t>
        <w:br/>
        <w:t>septiembre de 1997. Serie C No. 33, párr. 43; Caso Rosendo Cantú y otra  vs.</w:t>
        <w:br/>
        <w:t>México, supra nota 30, párr. 50 y Caso  Ibsen  Cárdenas  e  Ibsen  Peña  vs.</w:t>
        <w:br/>
        <w:t>Bolivia, supra nota 30, párr. 47.</w:t>
        <w:br/>
        <w:br/>
        <w:t>[38]  Caso Loayza Tamayo vs. Perú, supra nota 37,  párr.  43;  Caso  Rosendo</w:t>
        <w:br/>
        <w:t>Cantú y otra vs. México, supra nota 30, párr. 52, y Caso  Ibsen  Cárdenas  e</w:t>
        <w:br/>
        <w:t>Ibsen Peña vs. Bolivia, supra nota 30, párr. 47.</w:t>
        <w:br/>
        <w:br/>
        <w:t>[39]  Cfr.  Caso  Reverón  Trujillo  vs.  Venezuela.  Excepción  Preliminar,</w:t>
        <w:br/>
        <w:t>Fondo, Reparaciones y Costas. Sentencia de 30 de junio de 2009. Serie C  No.</w:t>
        <w:br/>
        <w:t>197, párr.  42;  Caso  Fernández  Ortega  y  otros.  vs.  México.  Excepción</w:t>
        <w:br/>
        <w:t>Preliminar, Fondo, Reparaciones y Costas. Sentencia de 30 de agosto de  2010</w:t>
        <w:br/>
        <w:t>Serie C No. 215, párr. 61, y Caso Rosendo Cantú y  otra  Vs.  México,  supra</w:t>
        <w:br/>
        <w:t>nota 30, párr. 68.</w:t>
        <w:br/>
        <w:br/>
        <w:t>[40]  Naciones Unidas. Comité de  Derechos  Humanos.  Observaciones  finales</w:t>
        <w:br/>
        <w:t>del Comité de Derechos Humanos. Examen de los informes presentados  por  los</w:t>
        <w:br/>
        <w:t>Estados partes en virtud del  artículo  40  del  Pacto  (México).  Doc.  ONU</w:t>
        <w:br/>
        <w:t>CCPRlC/MEXlCO/5, 7 de abril de 2010.</w:t>
        <w:br/>
        <w:br/>
        <w:t>[41]  Naciones Unidas. Subcomité para la Prevención de la  Tortura.  Informe</w:t>
        <w:br/>
        <w:t>sobre la visita a México del Subcomité para la Prevención de  la  Tortura  y</w:t>
        <w:br/>
        <w:t>Otros  Tratos  o  Penas  Crueles,  Inhumanos   o   Degradantes.   Doc.   ONU</w:t>
        <w:br/>
        <w:t>CAT/OP/MEXIR.1, 27 de mayo de 2009.</w:t>
        <w:br/>
        <w:br/>
        <w:t>[42]   Instituto  Federal  de  Acceso  a  la  Información  Pública   (IFAI).</w:t>
        <w:br/>
        <w:t>Recurrente: Edgar Cortez Morales.  Dependencia  ante  la  cual  presentó  su</w:t>
        <w:br/>
        <w:t>solicitud:  Secretaría  de  Relaciones  Exteriores.   Folio   de   solicitud</w:t>
        <w:br/>
        <w:t>0000500121909, Expediente 5290/09. Resolución de sesión celebrada el  24  de</w:t>
        <w:br/>
        <w:t>marzo de 2010.</w:t>
        <w:br/>
        <w:br/>
        <w:t>[43]  Cfr.  Caso  “Cinco  Pensionistas”  vs.  Perú.  Fondo,  Reparaciones  y</w:t>
        <w:br/>
        <w:t>Costas. Sentencia de 28 de febrero de 2003. Serie C No. 98, párr. 155;  Caso</w:t>
        <w:br/>
        <w:t>Fernández Ortega y otros vs. México, supra nota 39, párr. 218, y Caso  Ibsen</w:t>
        <w:br/>
        <w:t>Cárdenas e Ibsen Peña vs. Bolivia, supra nota 30, párr. 228.</w:t>
        <w:br/>
        <w:br/>
        <w:t>[44]  Cfr. Caso de la  “Masacre  de  Mapiripán”  vs.  Colombia.  Excepciones</w:t>
        <w:br/>
        <w:t>Preliminares. Sentencia de 7 de marzo de 2005. Serie C No.  122,  párr.  59;</w:t>
        <w:br/>
        <w:t>Caso Fernández Ortega y otros. vs. México, supra nota 39, párr. 69,  y  Caso</w:t>
        <w:br/>
        <w:t>Ibsen Cárdenas e Ibsen Peña vs. Bolivia, supra nota 30, párr. 134.</w:t>
        <w:br/>
        <w:br/>
        <w:t>[45]  En el caso Manuel Cepeda Vargas Vs. Colombia la Corte resaltó  que  la</w:t>
        <w:br/>
        <w:t>reciente reforma del Reglamento de la Corte (e inclusive de la Comisión)  es</w:t>
        <w:br/>
        <w:t>un reflejo de esta concepción. La Corte recordó  que  en  la  exposición  de</w:t>
        <w:br/>
        <w:t>motivos de dicha reforma reglamentaria se señala:  “[l]a  principal  reforma</w:t>
        <w:br/>
        <w:t>que el nuevo  Reglamento  introduce  es  el  papel  de  la  Comisión  en  el</w:t>
        <w:br/>
        <w:t>procedimiento ante la Corte. Respecto a este  tema  los  diferentes  actores</w:t>
        <w:br/>
        <w:t>del  sistema  que  participaron  en  esta  consulta  se  refirieron   a   la</w:t>
        <w:br/>
        <w:t>conveniencia de  modificar  algunos  aspectos  de  la  participación  de  la</w:t>
        <w:br/>
        <w:t>Comisión en el procedimiento ante la Corte, otorgando  más  protagonismo  al</w:t>
        <w:br/>
        <w:t>litigio entre los representantes de las víctimas o presuntas víctimas  y  el</w:t>
        <w:br/>
        <w:t>Estado demandado, permitiendo así que la Comisión juegue  más  un  papel  de</w:t>
        <w:br/>
        <w:t>órgano del sistema interamericano afianzando, así,  el  equilibrio  procesal</w:t>
        <w:br/>
        <w:t>entre las partes”. Caso Manuel Cepeda Vargas vs. Colombia,  supra  nota  27,</w:t>
        <w:br/>
        <w:t>párr. 49.</w:t>
        <w:br/>
        <w:br/>
        <w:t>[46]  Cfr. Caso “Cinco Pensionistas” vs. Perú, supra  nota  43,  párr.  153;</w:t>
        <w:br/>
        <w:t>Caso Manuel Cepeda Vargas vs. Colombia, supra nota  27,  párr.  49,  y  Caso</w:t>
        <w:br/>
        <w:t>Comunidad Indígena Xákmok Kásek vs. Paraguay. Fondo, Reparaciones y  Costas.</w:t>
        <w:br/>
        <w:t>Sentencia de 24 de agosto de 2010. Serie C No. 214, párr. 237.</w:t>
        <w:br/>
        <w:br/>
        <w:t>[47]  En similar sentido Cfr. Caso  “Cinco  Pensionistas”  vs.  Perú,  supra</w:t>
        <w:br/>
        <w:t>nota 43, párr. 154; Caso Fernández Ortega y otros. vs.  México,  supra  nota</w:t>
        <w:br/>
        <w:t>39, párr. 69, y Caso Ibsen Cárdenas e Ibsen Peña  vs.  Bolivia,  supra  nota</w:t>
        <w:br/>
        <w:t>30, párr. 134.</w:t>
        <w:br/>
        <w:br/>
        <w:t>[48]  Cfr. “Cinco Pensionistas” vs. Perú, supra nota  43,  párr.  155;  Caso</w:t>
        <w:br/>
        <w:t>González y otras (“Campo  Algodonero”)  vs.  México.  Excepción  Preliminar,</w:t>
        <w:br/>
        <w:t>Fondo, Reparaciones y Costas. Sentencia de 16 de noviembre de 2009. Serie  C</w:t>
        <w:br/>
        <w:t>No. 205, párr. 17, y Caso Manuel Cepeda Vargas vs. Colombia, supra nota  27,</w:t>
        <w:br/>
        <w:t>párr. 49.</w:t>
        <w:br/>
        <w:br/>
        <w:t>[49]  Cfr. Caso Yvon  Neptune  vs.  Haití.  Fondo,  Reparaciones  y  Costas.</w:t>
        <w:br/>
        <w:t>Sentencia de 6 de mayo de 2008. Serie C No.  180,  párr.  19;  Caso  Rosendo</w:t>
        <w:br/>
        <w:t>Cantú y otra vs. México, supra nota 30, y Caso Ibsen Cárdenas e  Ibsen  Peña</w:t>
        <w:br/>
        <w:t>vs. Bolivia, supra nota 30, párr. 47.</w:t>
        <w:br/>
        <w:br/>
        <w:t>[50]   Al  presentar  su  denuncia  ante  la  Comisión,  los  representantes</w:t>
        <w:br/>
        <w:t>enmarcaron el presente caso en “[las]  acciones  y  diversas  movilizaciones</w:t>
        <w:br/>
        <w:t>que llevó a cabo” la OCESP y alegaron “una fuerte ola de represión para  los</w:t>
        <w:br/>
        <w:t>miembros de [esta organización],  mediante  detención  arbitraria,  tortura,</w:t>
        <w:br/>
        <w:t>asesinatos,  y  desaparición  forzada”.  Además,   señalaron   que   “[c]omo</w:t>
        <w:br/>
        <w:t>consecuencia de su lucha ambiental, los campesinos que  conforman  la  OCESP</w:t>
        <w:br/>
        <w:t>[…] comenzaron a  recibir  diversas  amenazas  de  muerte  como  fueron  las</w:t>
        <w:br/>
        <w:t>recibidas por el propio señor  Montiel  en  […]  1998”.  Cfr.  solicitud  de</w:t>
        <w:br/>
        <w:t>informe de admisibilidad presentada el 3 de junio  de  2003  (expediente  de</w:t>
        <w:br/>
        <w:t>anexos a la demanda,  apéndice  3,  tomo  III,  folio  958)  y  petición  de</w:t>
        <w:br/>
        <w:t>apertura del caso contra los Estados Unidos Mexicanos presentada  el  25  de</w:t>
        <w:br/>
        <w:t>octubre de 2001 (expediente de anexos a la demanda, apéndice  3,  tomo  III,</w:t>
        <w:br/>
        <w:t>folios  1186).  En  sus  observaciones  sobre  el  fondo   del   caso,   los</w:t>
        <w:br/>
        <w:t>peticionarios profundizaron en alegatos y  prueba  sobre  esta  hipótesis  e</w:t>
        <w:br/>
        <w:t>indicaron que las violaciones alegadas en el presente caso hacían parte  “de</w:t>
        <w:br/>
        <w:t>un cuadro más  amplio  de  represalias  por  su  acción  independiente  como</w:t>
        <w:br/>
        <w:t>integrantes de la OCESP. Cfr. observaciones sobre el fondo de 3  de  febrero</w:t>
        <w:br/>
        <w:t>de 2006, párr. 171 (expediente de anexos a  la  demanda,  apéndice  3,  tomo</w:t>
        <w:br/>
        <w:t>III, folio 872).</w:t>
        <w:br/>
        <w:br/>
        <w:t>[51]  Cfr. Informe de Fondo No. 88/08, párr. 203, supra nota 3, folio 271.</w:t>
        <w:br/>
        <w:br/>
        <w:t>[52]  Cfr. Escrito de demanda, párrs. 42, 43  y  83  (expediente  de  fondo,</w:t>
        <w:br/>
        <w:t>tomo I, folios 13 y 38).</w:t>
        <w:br/>
        <w:br/>
        <w:t>[53]  Cfr. Caso Escué Zapata vs. Colombia.  Fondo,  Reparaciones  y  Costas.</w:t>
        <w:br/>
        <w:t>Sentencia de 4 de julio de 2007. Serie C No. 165, párr. 64.</w:t>
        <w:br/>
        <w:br/>
        <w:t>[54]  Cfr. Caso del Pueblo Saramaka vs. Surinam.  Excepciones  Preliminares,</w:t>
        <w:br/>
        <w:t>Fondo, Reparaciones y Costas. Sentencia de 28 de noviembre de 2007. Serie  C</w:t>
        <w:br/>
        <w:t>No. 172, párr. 16.</w:t>
        <w:br/>
        <w:br/>
        <w:t>[55]  Caso Manuel Cepeda Vargas vs. Colombia, supra nota 27, párr. 50.</w:t>
        <w:br/>
        <w:br/>
        <w:t>[56]   Cfr.  Caso  de  la  Masacre  de  La  Rochela  vs.  Colombia.   Fondo,</w:t>
        <w:br/>
        <w:t>Reparaciones y Costas. Sentencia de 11 de mayo de 2007.  Serie  C  No.  163,</w:t>
        <w:br/>
        <w:t>párr. 32 y Caso Manuel Cepeda Vargas vs. Colombia, supra nota 27, párr. 51.</w:t>
        <w:br/>
        <w:br/>
        <w:t>[57]  Cfr. Informe de Fondo No. 88/08, párrs. 166,  167,  170,  191,  193  a</w:t>
        <w:br/>
        <w:t>196, 199 y 200, supra nota 3, folios 65, 66, 70, 72, 73, y 75.</w:t>
        <w:br/>
        <w:br/>
        <w:t>[58]  Cfr. Escrito de demanda, párrs. 133, 134, 138, 152, 153,  159  a  161,</w:t>
        <w:br/>
        <w:t>163, 166 y 167, supra nota 52, folios 61, 62, 67,69, 70, 71 y 73.</w:t>
        <w:br/>
        <w:br/>
        <w:t>[59]  En lo pertinente, el artículo 7 (Derecho a la  Libertad  Personal)  de</w:t>
        <w:br/>
        <w:t>la Convención dispone que:</w:t>
        <w:br/>
        <w:br/>
        <w:t xml:space="preserve">      1. Toda  persona  tiene  derecho  a  la  libertad  y  a  la  seguridad</w:t>
        <w:br/>
        <w:t>personales.</w:t>
        <w:br/>
        <w:br/>
        <w:t xml:space="preserve">   2. Nadie puede ser privado de su libertad física, salvo por las causas  y</w:t>
        <w:br/>
        <w:t xml:space="preserve">   en las condiciones fijadas de antemano por las  Constituciones  Políticas</w:t>
        <w:br/>
        <w:t xml:space="preserve">   de los Estados Partes o por las leyes dictadas conforme a ellas.</w:t>
        <w:br/>
        <w:br/>
        <w:t xml:space="preserve">       3.  Nadie  puede  ser  sometido   a   detención   o   encarcelamiento</w:t>
        <w:br/>
        <w:t>arbitrarios.</w:t>
        <w:br/>
        <w:br/>
        <w:t xml:space="preserve">   4. Toda persona detenida o retenida debe ser informada de las razones  de</w:t>
        <w:br/>
        <w:t xml:space="preserve">   su detención y notificada, sin demora,  del  cargo  o  cargos  formulados</w:t>
        <w:br/>
        <w:t xml:space="preserve">   contra ella.</w:t>
        <w:br/>
        <w:br/>
        <w:t xml:space="preserve">   5. Toda persona detenida o retenida debe ser llevada, sin demora, ante un</w:t>
        <w:br/>
        <w:t xml:space="preserve">   juez u otro funcionario autorizado por  la  ley  para  ejercer  funciones</w:t>
        <w:br/>
        <w:t xml:space="preserve">   judiciales y tendrá derecho a ser juzgada dentro de un plazo razonable  o</w:t>
        <w:br/>
        <w:t xml:space="preserve">   a ser puesta en libertad, sin perjuicio de que continúe  el  proceso.  Su</w:t>
        <w:br/>
        <w:t xml:space="preserve">   libertad  podrá  estar  condicionada  a   garantías   que   aseguren   su</w:t>
        <w:br/>
        <w:t xml:space="preserve">   comparecencia en el juicio.</w:t>
        <w:br/>
        <w:br/>
        <w:t xml:space="preserve">      […].</w:t>
        <w:br/>
        <w:br/>
        <w:t>[60]   El  artículo  1.1  (Obligación  de  Respetar  los  Derechos)  de   la</w:t>
        <w:br/>
        <w:t>Convención  dispone  que:  “Los  Estados  Partes  en  esta   Convención   se</w:t>
        <w:br/>
        <w:t>comprometen a respetar los derechos y libertades reconocidos  en  ella  y  a</w:t>
        <w:br/>
        <w:t>garantizar su libre y pleno ejercicio a toda persona que esté  sujeta  a  su</w:t>
        <w:br/>
        <w:t>jurisdicción, sin discriminación alguna por motivos de  raza,  color,  sexo,</w:t>
        <w:br/>
        <w:t>idioma, religión, opiniones políticas o de  cualquier  otra  índole,  origen</w:t>
        <w:br/>
        <w:t>nacional  o  social,  posición  económica,  nacimiento  o   cualquier   otra</w:t>
        <w:br/>
        <w:t>condición social”.</w:t>
        <w:br/>
        <w:br/>
        <w:t>[61]  Cfr. Testimonio rendido ante el Juez  Quinto  de  Distrito  el  26  de</w:t>
        <w:br/>
        <w:t>octubre de 1999 por Cresencia Jaimes, (Causa  Penal  61/99)  (expediente  de</w:t>
        <w:br/>
        <w:t>anexos a la contestación de la demanda, tomo XXIV, folio 10244);  testimonio</w:t>
        <w:br/>
        <w:t>rendido ante el Juez Quinto de Distrito el  30  de  julio  de  1999  por  la</w:t>
        <w:br/>
        <w:t>señora Ubalda Cortés Salgado (Causa Penal 61/99) (expediente de anexos a  la</w:t>
        <w:br/>
        <w:t>contestación de la demanda, tomo XXIV, folio 10071), y careo de los  señores</w:t>
        <w:br/>
        <w:t>Cabrera y Montiel con uno de los militares que presentó la  denuncia  en  su</w:t>
        <w:br/>
        <w:t>contra el 26 de agosto de 1999 (Causa Penal 61/99) (expediente de  anexos  a</w:t>
        <w:br/>
        <w:t>la contestación de la demanda, tomo XXIV, folio 10128).</w:t>
        <w:br/>
        <w:br/>
        <w:t>[62]  Cfr. Escrito de denuncia  de  3  de  mayo  de  1999  presentado  a  la</w:t>
        <w:br/>
        <w:t>Comisión de Derechos Humanos de la Cámara de Diputados por el Comisario  del</w:t>
        <w:br/>
        <w:t>poblado de Pizotla (expediente de anexos a la demanda, tomo V, folio 1577).</w:t>
        <w:br/>
        <w:br/>
        <w:t>[63]  “Gavilla” es un término utilizado en algunos informes obrantes  en  el</w:t>
        <w:br/>
        <w:t>expediente para aludir a un presunto grupo  de  delincuentes.  Cfr.  Mensaje</w:t>
        <w:br/>
        <w:t>expedido por un General Brigadier  en  Altamirano  de  2  de  mayo  de  1999</w:t>
        <w:br/>
        <w:t>(expediente de anexos a la demanda, tomo X, folio 4024).</w:t>
        <w:br/>
        <w:br/>
        <w:t>[64]  Cfr. Mensaje expedido por un General Brigadier  en  Altamirano,  supra</w:t>
        <w:br/>
        <w:t>nota 63, folio 4024.</w:t>
        <w:br/>
        <w:br/>
        <w:t>[65]  Cfr. Acta de traslado de personal, inspección ocular,  fe  de  cadáver</w:t>
        <w:br/>
        <w:t>del occiso Salomé Sánchez de 4 de mayo  de  1999  (Averiguación  Previa  No.</w:t>
        <w:br/>
        <w:t>CUAU/01/119/999) (expediente de anexos a la demanda, tomo XI,  folio  4205),</w:t>
        <w:br/>
        <w:t>y Mensaje expedido por un General Brigadier en Altamirano,  supra  nota  63,</w:t>
        <w:br/>
        <w:t>folio 4025.</w:t>
        <w:br/>
        <w:br/>
        <w:t>[66]  Cfr. Denuncia presentada por tres militares en contra de  los  señores</w:t>
        <w:br/>
        <w:t>Cabrera y Montiel el 4 de mayo de 1999 (expediente de anexos a  la  demanda,</w:t>
        <w:br/>
        <w:t>tomo XI, folios 4212 y 4213).</w:t>
        <w:br/>
        <w:br/>
        <w:t>[67]  Cfr. Ampliación de la declaración de los  señores  Cabrera  y  Montiel</w:t>
        <w:br/>
        <w:t>ante el Juez Quinto de Distrito el 23 de  diciembre  de  1999  (Causa  Penal</w:t>
        <w:br/>
        <w:t>61/99) (expediente de anexos a la contestación de  la  demanda,  tomo  XXIV,</w:t>
        <w:br/>
        <w:t>folios 10361 y 10365).</w:t>
        <w:br/>
        <w:br/>
        <w:t>[68]  Cfr. Careo de los señores Cabrera y Montiel con otro de los  militares</w:t>
        <w:br/>
        <w:t>que presentó la denuncia en su contra el 26 de agosto de 1999  (Causa  Penal</w:t>
        <w:br/>
        <w:t>61/99) (expediente de anexos a la contestación de  la  demanda,  tomo  XXIV,</w:t>
        <w:br/>
        <w:t>folio 10134).</w:t>
        <w:br/>
        <w:br/>
        <w:t>[69]  Cfr. Denuncia presentada por tres militares,  supra  nota  66,  folios</w:t>
        <w:br/>
        <w:t>4212 a 4214.</w:t>
        <w:br/>
        <w:br/>
        <w:t>[70]  Cfr. Auto de inicio de averiguación previa penal de 5 de mayo de  1999</w:t>
        <w:br/>
        <w:t>(Averiguación  Previa  No.  CUAU/01/119/999)  (expediente  de  anexos  a  la</w:t>
        <w:br/>
        <w:t>contestación de la demanda, tomo XXIII, folio 9689).</w:t>
        <w:br/>
        <w:br/>
        <w:t>[71]  Cfr. Auto mediante el cual  se  decreta  la  retención  legal  de  los</w:t>
        <w:br/>
        <w:t>señores Cabrera y Montiel de 4 de mayo  de  1999  (Averiguación  Previa  No.</w:t>
        <w:br/>
        <w:t>CUAU/01/119/999) (expediente de anexos a la demanda, tomo XI, folio 4222).</w:t>
        <w:br/>
        <w:br/>
        <w:t>[72]  Cfr. Acuerdo de remisión por  incompetencia  de  5  de  mayo  de  1999</w:t>
        <w:br/>
        <w:t>(Averiguación  Previa  No.  CUAU/01/119/999)  (expediente  de  anexos  a  la</w:t>
        <w:br/>
        <w:t>demanda, tomo XI, folio 4239).</w:t>
        <w:br/>
        <w:br/>
        <w:t>[73]  Cfr. Auto de formal prisión  de  28  de  mayo  de  1999  (Averiguación</w:t>
        <w:br/>
        <w:t>Previa 33/CC/999) (expediente de anexos a la  contestación  de  la  demanda,</w:t>
        <w:br/>
        <w:t>tomo XXIII, folio 9879).</w:t>
        <w:br/>
        <w:br/>
        <w:t>[74]  Cfr. Auto mediante el cual se acepta la competencia de 12 de  mayo  de</w:t>
        <w:br/>
        <w:t>1999 (Causa penal 61/99) (expediente de  anexos  a  la  contestación  de  la</w:t>
        <w:br/>
        <w:t>demanda, tomo XXIII, folios 9873 y 9874).</w:t>
        <w:br/>
        <w:br/>
        <w:t>[75]  Cfr. Sentencia emitida el 28 de agosto de 2000 por el Juez  Quinto  de</w:t>
        <w:br/>
        <w:t>Distrito del estado de Guerrero (Causa Penal 61/99) (expediente de anexos  a</w:t>
        <w:br/>
        <w:t>la contestación de la demanda, tomo XXVI, folios 11137 a 11303).</w:t>
        <w:br/>
        <w:br/>
        <w:t>[76]  Los delitos de portación de arma de fuego sin licencia y portación  de</w:t>
        <w:br/>
        <w:t>arma de fuego de uso exclusivo del Ejército, Armada y Fuerza Aérea  Nacional</w:t>
        <w:br/>
        <w:t>se encuentran previstos en los artículos 81 y 83,  fracción  II  de  la  Ley</w:t>
        <w:br/>
        <w:t>Federal de Armas de Fuegos  y  Explosivos,  respectivamente.  Dichas  normas</w:t>
        <w:br/>
        <w:t>consagran penas de prisión “de tres a diez años” a quien porte  sin  permiso</w:t>
        <w:br/>
        <w:t>algunas de las armas reguladas. Por otra parte, el artículo 198  del  Código</w:t>
        <w:br/>
        <w:t>Penal Federal se refiere al delito de siembra de amapola y marihuana en  los</w:t>
        <w:br/>
        <w:t>siguientes términos: “Artículo  198.-  Al  que  dedicándose  como  actividad</w:t>
        <w:br/>
        <w:t>principal a las labores  propias  del  campo,  siembre,  cultive  o  coseche</w:t>
        <w:br/>
        <w:t>plantas de marihuana, amapola, hongos alucinógenos, peyote o cualquier  otro</w:t>
        <w:br/>
        <w:t>vegetal  que  produzca  efectos  similares,  por  cuenta   propia,   o   con</w:t>
        <w:br/>
        <w:t>financiamiento de terceros, cuando en  él  concurran  escasa  instrucción  y</w:t>
        <w:br/>
        <w:t>extrema necesidad económica, se le impondrá prisión  de  uno  a  seis  años.</w:t>
        <w:br/>
        <w:t>Igual pena se impondrá al que en un  predio  de  su  propiedad,  tenencia  o</w:t>
        <w:br/>
        <w:t>posesión, consienta la siembra, el cultivo o la cosecha  de  dichas  plantas</w:t>
        <w:br/>
        <w:t>en circunstancias similares a la hipótesis anterior.  Si  en  las  conductas</w:t>
        <w:br/>
        <w:t>descritas en los dos párrafos anteriores  no  concurren  las  circunstancias</w:t>
        <w:br/>
        <w:t>que en ellos se precisan, la pena será de hasta las dos terceras  partes  de</w:t>
        <w:br/>
        <w:t>la prevista en el artículo 194, siempre  y  cuando  la  siembra,  cultivo  o</w:t>
        <w:br/>
        <w:t>cosecha se hagan con la  finalidad  de  realizar  alguna  de  las  conductas</w:t>
        <w:br/>
        <w:t>previstas en las  fracciones  I  y  II  de  dicho  artículo.  Si  falta  esa</w:t>
        <w:br/>
        <w:t>finalidad, la pena será de dos a ocho años de prisión […]”.</w:t>
        <w:br/>
        <w:br/>
        <w:t>[77]  Cfr. Sentencia emitida el 28 de agosto de 2000 por el Juez  Quinto  de</w:t>
        <w:br/>
        <w:t>Distrito, supra nota 75, folio 11300.</w:t>
        <w:br/>
        <w:br/>
        <w:t>[78]  Cfr. Sentencia emitida  el  26  de  octubre  de  2000  por  el  Primer</w:t>
        <w:br/>
        <w:t>Tribunal  Unitario  del  Vigésimo  Primer  Circuito  (Toca  Penal  406/2000)</w:t>
        <w:br/>
        <w:t>(expediente de anexos a la contestación de la  demanda,  tomo  XXVI,  folios</w:t>
        <w:br/>
        <w:t>11322 a tomo XXVII, folio 12205).</w:t>
        <w:br/>
        <w:br/>
        <w:t>[79]  Cfr. Demanda de amparo directo de 9 de marzo  de  2001  (Amparo  penal</w:t>
        <w:br/>
        <w:t>117/2001) (expediente de anexos  a  la  contestación  de  la  demanda,  tomo</w:t>
        <w:br/>
        <w:t>XXVII, folios 12243 a 12471).</w:t>
        <w:br/>
        <w:br/>
        <w:t>[80]  Cfr. Demanda de amparo directo de 9 de marzo de 2001, supra  nota  79,</w:t>
        <w:br/>
        <w:t>folio 12440.</w:t>
        <w:br/>
        <w:br/>
        <w:t>[81]  Cfr. Sentencia de amparo directo emitida el 9 de mayo de 2001  por  el</w:t>
        <w:br/>
        <w:t>Segundo Tribunal  Colegiado  del  Vigésimo  Primer  Circuito  (Amparo  penal</w:t>
        <w:br/>
        <w:t>117/2001) (expediente de anexos  a  la  contestación  de  la  demanda,  tomo</w:t>
        <w:br/>
        <w:t>XXVIII, folios 12496 a 12961).</w:t>
        <w:br/>
        <w:br/>
        <w:t>[82]  Cfr. Sentencia emitida el 16 de julio de 2001 por el  Primer  Tribunal</w:t>
        <w:br/>
        <w:t>Unitario del Vigésimo Primer Circuito (Toca Penal 406/2000)  (expediente  de</w:t>
        <w:br/>
        <w:t>anexos a la contestación de la demanda, tomo  XXVIII,  folio  13022  a  tomo</w:t>
        <w:br/>
        <w:t>XXIX, folio 13733).</w:t>
        <w:br/>
        <w:br/>
        <w:t>[83]  Cfr. Demanda de amparo directo de 24 de octubre de 2001 (Amparo  penal</w:t>
        <w:br/>
        <w:t>499/2001) (expediente de anexos a la contestación de la demanda, tomo  XXIX,</w:t>
        <w:br/>
        <w:t>folio 13757 a tomo XXX, folio 13951).</w:t>
        <w:br/>
        <w:br/>
        <w:t>[84]  Cfr. Sentencia emitida  el  14  de  agosto  de  2002  por  el  Segundo</w:t>
        <w:br/>
        <w:t>Tribunal Colegiado del Vigésimo  Primer  Circuito  (Amparo  penal  499/2001)</w:t>
        <w:br/>
        <w:t>(expediente de anexos a la contestación de  la  demanda,  tomo  XXX,  folios</w:t>
        <w:br/>
        <w:t>13974 a 14536).</w:t>
        <w:br/>
        <w:br/>
        <w:t>[85]  Cfr. Sentencia emitida  el  14  de  agosto  de  2002  por  el  Segundo</w:t>
        <w:br/>
        <w:t>Tribunal Colegiado, supra nota 84, folios 13974 a 14536.</w:t>
        <w:br/>
        <w:br/>
        <w:t>[86]  Cfr. Careos constitucionales de 26 de agosto  de  1999  ante  el  Juez</w:t>
        <w:br/>
        <w:t>Quinto  de  Distrito  (Causa  Penal  61/99)  (expediente  de  anexos  a   la</w:t>
        <w:br/>
        <w:t>contestación de la demanda, tomo XXIV, folios 10157 y 10158).</w:t>
        <w:br/>
        <w:br/>
        <w:t>[87]  Cfr. Auto de 31 de agosto de 1999 del  Juez  Quinto  de  Distrito  del</w:t>
        <w:br/>
        <w:t>estado  de  Guerrero  (Causa  Penal  61/99)  (expediente  de  anexos  a   la</w:t>
        <w:br/>
        <w:t>contestación de la demanda, tomo XXIV, folio 10162).</w:t>
        <w:br/>
        <w:br/>
        <w:t>[88]  Cfr. Auto de 1 de  octubre  de  1999  (Averiguación  Previa  91/CC/99)</w:t>
        <w:br/>
        <w:t>(expediente de anexos a la demanda, tomo XII, folio 4842).</w:t>
        <w:br/>
        <w:br/>
        <w:t>[89]  “El 14 de diciembre de  1999  [el  Ministerio  Público  de  Coyuca  de</w:t>
        <w:br/>
        <w:t>Catalán, Guerrero] turnó por incompetencia a su homólogo militar en la  zona</w:t>
        <w:br/>
        <w:t>[35/a] Zona Militar”. Cfr. CNDH. Recomendación No. 8/2000 de 14 de julio  de</w:t>
        <w:br/>
        <w:t>2000.  Caso  de  los  habitantes  de  la  Comunidad  Pizotla,  municipio  de</w:t>
        <w:br/>
        <w:t>Ajuchitlán del Progreso, Guerrero, y de los señores Rodolfo  Montiel  Flores</w:t>
        <w:br/>
        <w:t>y Teodoro García Cabrera (expediente  de  anexos  a  la  demanda,  tomo  XX,</w:t>
        <w:br/>
        <w:t>folios 8434 a 8461).</w:t>
        <w:br/>
        <w:br/>
        <w:t>[90]  Cfr. CNDH. Recomendación No. 8/2000 de 14  de  julio  de  2000,  supra</w:t>
        <w:br/>
        <w:t>nota 89, folios 8434 a 8461.</w:t>
        <w:br/>
        <w:br/>
        <w:t>[91]  Cfr. CNDH. Recomendación No. 8/2000 de 14  de  julio  de  2000,  supra</w:t>
        <w:br/>
        <w:t>nota 89, folios 8434 a 8461.</w:t>
        <w:br/>
        <w:br/>
        <w:t>[92]  Cfr. CNDH. Recomendación No. 8/2000 de 14  de  julio  de  2000,  supra</w:t>
        <w:br/>
        <w:t>nota 89,  folios 8434 a 8461.</w:t>
        <w:br/>
        <w:br/>
        <w:t>[93]  Artículo 38.-  En  el  informe  que  deberán  rendir  las  autoridades</w:t>
        <w:br/>
        <w:t>señaladas  como  responsables  contra  las  cuales  se  interponga  queja  o</w:t>
        <w:br/>
        <w:t>reclamación, se deberá  hacer  constar  los  antecedentes  del  asunto,  los</w:t>
        <w:br/>
        <w:t>fundamentos  y  motivaciones  de  los  actos  u  omisiones  impugnados,   si</w:t>
        <w:br/>
        <w:t>efectivamente éstos existieron, así como los elementos  de  información  que</w:t>
        <w:br/>
        <w:t xml:space="preserve">consideren necesarios para la documentación del asunto. </w:t>
        <w:br/>
        <w:br/>
        <w:t>La falta de rendición del informe o de la documentación que  lo  apoye,  así</w:t>
        <w:br/>
        <w:t>como  el  retraso  injustificado  en   su   presentación,   además   de   la</w:t>
        <w:br/>
        <w:t>responsabilidad respectiva, tendrá el efecto  de  que  en  relación  con  el</w:t>
        <w:br/>
        <w:t>trámite de la queja se tengan por ciertos los hechos materia  de  la  misma,</w:t>
        <w:br/>
        <w:t>salvo prueba en contrario.</w:t>
        <w:br/>
        <w:br/>
        <w:t>[94]   Artículo  70.-  Las  autoridades  y  los  servidores  públicos  serán</w:t>
        <w:br/>
        <w:t>responsables penal y administrativamente por los actos u  omisiones  en  que</w:t>
        <w:br/>
        <w:t>incurran durante y con motivo de la tramitación de quejas e  inconformidades</w:t>
        <w:br/>
        <w:t>ante  la  Comisión  Nacional  de  Derechos  Humanos,  de  acuerdo  con   las</w:t>
        <w:br/>
        <w:t>disposiciones constitucionales y legales aplicables.</w:t>
        <w:br/>
        <w:br/>
        <w:t>[95]  Cfr. CNDH. Recomendación No. 8/2000 de 14  de  julio  de  2000,  supra</w:t>
        <w:br/>
        <w:t>nota 89, folio 8458.</w:t>
        <w:br/>
        <w:br/>
        <w:t>[96]  Cfr. CNDH. Recomendación No. 8/2000 de 14  de  julio  de  2000,  supra</w:t>
        <w:br/>
        <w:t>nota 89, folio 8459.</w:t>
        <w:br/>
        <w:br/>
        <w:t>[97]  Cfr. CNDH. Recomendación No. 8/2000 de 14  de  julio  de  2000,  supra</w:t>
        <w:br/>
        <w:t>nota 89, folio 8459.</w:t>
        <w:br/>
        <w:br/>
        <w:t>[98]  Cfr. Resolución emitida el 3  de  noviembre  de  2001  por  el  Primer</w:t>
        <w:br/>
        <w:t>Agente Investigador del Ministerio Público Militar Adscrito a la Sección  de</w:t>
        <w:br/>
        <w:t>Averiguaciones Previas  de  la  Procuraduría  General  de  Justicia  Militar</w:t>
        <w:br/>
        <w:t>(expediente de anexos a la demanda,  tomo  XIX,  anexo  11,  folios  8181  a</w:t>
        <w:br/>
        <w:t>8367).</w:t>
        <w:br/>
        <w:br/>
        <w:t>[99]  Cfr. Caso Chaparro Álvarez y Lapo  Íñiguez  vs.  Ecuador.  Excepciones</w:t>
        <w:br/>
        <w:t>Preliminares, Fondo, Reparaciones y Costas. Sentencia de 21 de noviembre  de</w:t>
        <w:br/>
        <w:t>2007. Serie C No. 170, párr. 51; Caso Yvon Neptune  vs.  Haití,  supra  nota</w:t>
        <w:br/>
        <w:t>49, párr. 89, y Caso  Usón  Ramírez  vs.  Venezuela.  Excepción  Preliminar,</w:t>
        <w:br/>
        <w:t>Fondo, Reparaciones y Costas. Sentencia de 20 de noviembre de 2009. Serie  C</w:t>
        <w:br/>
        <w:t>No. 207, párr. 143.</w:t>
        <w:br/>
        <w:br/>
        <w:t>[100]       Cfr. Caso Chaparro Álvarez y Lapo  Íñiguez  vs.  Ecuador,  supra</w:t>
        <w:br/>
        <w:t>nota 99, párr. 54; Caso Barreto Leiva vs. Venezuela. Fondo,  Reparaciones  y</w:t>
        <w:br/>
        <w:t>Costas. Sentencia de 17 de noviembre de 2009. Serie C No. 206, párr. 116,  y</w:t>
        <w:br/>
        <w:t>Caso Usón Ramírez vs. Venezuela, supra nota 99, párr. 143.</w:t>
        <w:br/>
        <w:br/>
        <w:t>[101]       Cfr. Caso Chaparro Álvarez y Lapo  Íñiguez  vs.  Ecuador,  supra</w:t>
        <w:br/>
        <w:t>nota 99, párr. 53.</w:t>
        <w:br/>
        <w:br/>
        <w:t>[102]       Caso de los “Niños de la Calle” (Villagrán Morales y otros)  vs.</w:t>
        <w:br/>
        <w:t>Guatemala, supra nota 29, párr.  135;  Caso  Acosta  Calderón  vs.  Ecuador.</w:t>
        <w:br/>
        <w:t>Fondo, Reparaciones y Costas. Sentencia de 24 de junio de 2005. Serie C  No.</w:t>
        <w:br/>
        <w:t>129, párr. 56, y Caso García  Asto  y  Ramírez  Rojas  vs.  Perú.  Excepción</w:t>
        <w:br/>
        <w:t>Preliminar, Fondo, Reparaciones y Costas. Sentencia de 25  de  noviembre  de</w:t>
        <w:br/>
        <w:t>2005. Serie C No. 137, párr. 104.</w:t>
        <w:br/>
        <w:br/>
        <w:t>[103]       Cfr. ECHR, Case of Affaire Villa v. Italy, Judgment of 20  April</w:t>
        <w:br/>
        <w:t>2010, App. No. 19675/06, para. 41.</w:t>
        <w:br/>
        <w:br/>
        <w:t>[104]       Según el Comité, la Declaración Universal de  Derechos  Humanos,</w:t>
        <w:br/>
        <w:t>en el artículo 3, se refiere al derecho  del  individuo  a  la  vida,  a  la</w:t>
        <w:br/>
        <w:t>libertad y a la seguridad de su persona. En el  Pacto,  estos  elementos  se</w:t>
        <w:br/>
        <w:t>han abordado en cláusulas separadas. Si bien en el  Pacto  Internacional  de</w:t>
        <w:br/>
        <w:t>Derechos Civiles y Políticos la única referencia al derecho a  la  seguridad</w:t>
        <w:br/>
        <w:t>personal se encuentra  en  el  artículo  9,  nada  prueba  que  se  quisiera</w:t>
        <w:br/>
        <w:t>restringir  el  concepto  del  derecho  a  la  seguridad  únicamente  a  las</w:t>
        <w:br/>
        <w:t>situaciones de privación de libertad. Así  el  Comité  concluye  que  "[u]na</w:t>
        <w:br/>
        <w:t>interpretación del artículo 9 que permitiera a un Estado Parte  ignorar  una</w:t>
        <w:br/>
        <w:t>amenaza a la seguridad de personas  no  detenidas  o  presas  dentro  de  su</w:t>
        <w:br/>
        <w:t>jurisdicción hará  totalmente  ineficaces  las  garantías  del  Pacto.  Cfr.</w:t>
        <w:br/>
        <w:t>Naciones Unidas. Comité de Derechos Humanos. Caso Delgado Páez c.  Colombia,</w:t>
        <w:br/>
        <w:t>Comunicación No. 195/1985 de 12 de julio de 1990, párr. 5.5 y  Caso  Chongwe</w:t>
        <w:br/>
        <w:t>c. Zambia, Comunicación Nº 821/1998 de 25 de octubre de 2000, párr. 5.3.</w:t>
        <w:br/>
        <w:br/>
        <w:t>[105]       Caso Rosendo Cantú y otra vs México, supra nota 30, párr 70.</w:t>
        <w:br/>
        <w:br/>
        <w:t>[106]       Cfr. Declaración  rendida  por  Miguel  Carbonell  Sánchez  ante</w:t>
        <w:br/>
        <w:t>fedatario público (affidávit) el 30 de marzo de 2010 (expediente  de  fondo,</w:t>
        <w:br/>
        <w:t>tomo III, folio  1166)  y  Human  Right  Watch.  Impunidad  Uniformada:  Uso</w:t>
        <w:br/>
        <w:t>indebido de la justicia en México para investigar abusos  cometidos  durante</w:t>
        <w:br/>
        <w:t>operativos contra  narcotráfico  y  de  seguridad  pública,  abril  de  2009</w:t>
        <w:br/>
        <w:t>(expediente de anexos al escrito de  solicitudes  y  argumentos,  tomo  XXI,</w:t>
        <w:br/>
        <w:t>folios 8675 y 8676).</w:t>
        <w:br/>
        <w:br/>
        <w:t>[107]       Cfr. Declaración rendida por  Miguel  Carbonell  Sánchez,  supra</w:t>
        <w:br/>
        <w:t>nota 106, folio 1166 y  declaración  rendida  por  José  Luis  Piñeyro  ante</w:t>
        <w:br/>
        <w:t>fedatario público (affidávit) el 9 de agosto de 2010 (expediente  de  fondo,</w:t>
        <w:br/>
        <w:t>tomo III, folios 1284 a 1294).</w:t>
        <w:br/>
        <w:br/>
        <w:t>[108]       Cfr. Declaración rendida por  Miguel  Carbonell  Sánchez,  supra</w:t>
        <w:br/>
        <w:t>nota 106, folios 1166 y 1168 y declaración rendida por  José  Luis  Piñeyro,</w:t>
        <w:br/>
        <w:t>supra nota 107, folios 1284 a 1294.</w:t>
        <w:br/>
        <w:br/>
        <w:t>[109]       Cfr. Declaración rendida por José Luis Piñeyro, supra nota  107,</w:t>
        <w:br/>
        <w:t>folio 1288.</w:t>
        <w:br/>
        <w:br/>
        <w:t>[110]       Cfr. CNDH. Recomendación No. 8/2000 de  14  de  julio  de  2000,</w:t>
        <w:br/>
        <w:t>supra nota 89, folio 8440.</w:t>
        <w:br/>
        <w:br/>
        <w:t>[111]       Cfr. CNDH. Recomendación No. 8/2000 de  14  de  julio  de  2000,</w:t>
        <w:br/>
        <w:t>supra nota 89, folios 8181 a 8367.</w:t>
        <w:br/>
        <w:br/>
        <w:t>[112]       Cfr. CNDH. Recomendación No. 8/2000 de  14  de  julio  de  2000,</w:t>
        <w:br/>
        <w:t>supra nota 89, folios 8181 a 8367.</w:t>
        <w:br/>
        <w:br/>
        <w:t>[113]       Cfr. Sentencia emitida el 14 de agosto de 2002  por  el  Segundo</w:t>
        <w:br/>
        <w:t>Tribunal Colegiado, supra nota 84, folio 14414.</w:t>
        <w:br/>
        <w:br/>
        <w:t>[114]       Cfr. Sentencia emitida el 14 de agosto de 2002  por  el  Segundo</w:t>
        <w:br/>
        <w:t>Tribunal Colegiado, supra nota 84, folio 14533.</w:t>
        <w:br/>
        <w:br/>
        <w:t>[115]        Diagnóstico  sobre  violencia  contra  las   mujeres   en   los</w:t>
        <w:br/>
        <w:t>municipios de la región La Montaña de Guerrero, Secretaría de la  Mujer  del</w:t>
        <w:br/>
        <w:t>estado de Guerrero y otros. Cfr. Caso Fernández Ortega y otros. vs.  México,</w:t>
        <w:br/>
        <w:t>supra nota 39, párr. 79.</w:t>
        <w:br/>
        <w:br/>
        <w:t>[116]       Caso Fernández Ortega y otros vs México, supra  nota  39,  párr.</w:t>
        <w:br/>
        <w:t>79.</w:t>
        <w:br/>
        <w:br/>
        <w:t>[117]       Cfr.  Naciones  Unidas.  Observaciones  finales  del  Comité  de</w:t>
        <w:br/>
        <w:t>Derechos Humanos: Colombia 05/05/97.CCPR/C/79/Add.76, párr. 19.</w:t>
        <w:br/>
        <w:br/>
        <w:t>[118]       Cfr. Relatores Especiales  sobre  Tortura  y  sobre  Ejecuciones</w:t>
        <w:br/>
        <w:t>Extrajudiciales E/CN.4/1995/111, párr.  117.a.  Ratificada  por  el  Relator</w:t>
        <w:br/>
        <w:t>Especial de las Naciones Unidas sobre la Independencia de Jueces y  Abogados</w:t>
        <w:br/>
        <w:t>(E/CN.4/1998/39/Add. 2), párr. 185.</w:t>
        <w:br/>
        <w:br/>
        <w:t>[119]       Caso Bámaca Velásquez vs. Guatemala. Fondo. Sentencia de  25  de</w:t>
        <w:br/>
        <w:t>noviembre de 2000. Serie C No. 70, párr. 174;  Caso  Juan  Humberto  Sánchez</w:t>
        <w:br/>
        <w:t>vs. Honduras. Excepción Preliminar, Fondo, Reparaciones y Costas.  Sentencia</w:t>
        <w:br/>
        <w:t>de 7 de junio de 2003. Serie C No. 99, párr. 111, y Caso Servellón García  y</w:t>
        <w:br/>
        <w:t>otros vs. Honduras.  Fondo,  Reparaciones  y  Costas.  Sentencia  de  21  de</w:t>
        <w:br/>
        <w:t>septiembre de 2006. Serie C No. 152, párr. 86.</w:t>
        <w:br/>
        <w:br/>
        <w:t>[120]       Cfr. Caso  Montero  Aranguren  y  otros  (Retén  de  Catia)  vs.</w:t>
        <w:br/>
        <w:t>Venezuela. Excepción Preliminar, Fondo, Reparaciones y Costas. Sentencia  de</w:t>
        <w:br/>
        <w:t>5 de julio de 2006. Serie C No. 150, párr. 78; Caso Zambrano Vélez  y  otros</w:t>
        <w:br/>
        <w:t>Vs. Ecuador, supra nota 24, párr. 51, y Caso Perozo y otros  vs.  Venezuela,</w:t>
        <w:br/>
        <w:t>supra nota 24, párr. 166.</w:t>
        <w:br/>
        <w:br/>
        <w:t>[121]       Cfr. Caso  Montero  Aranguren  y  otros  (Retén  de  Catia)  vs.</w:t>
        <w:br/>
        <w:t>Venezuela, supra nota 120, párr. 78, y  Caso  Zambrano  Vélez  y  otros  vs.</w:t>
        <w:br/>
        <w:t>Ecuador, supra nota 24, párr. 51.</w:t>
        <w:br/>
        <w:br/>
        <w:t>[122]       Cfr. Caso Zambrano Vélez y otros vs.  Ecuador,  supra  nota  24,</w:t>
        <w:br/>
        <w:t>párr. 51.</w:t>
        <w:br/>
        <w:br/>
        <w:t>[123] Cfr.  Caso  Bulacio  vs.  Argentina.  Fondo,  Reparaciones  y  Costas.</w:t>
        <w:br/>
        <w:t>Sentencia de 18 de Septiembre de 2003. Serie C  No.  100,  párr.  129;  Caso</w:t>
        <w:br/>
        <w:t>Yvon Neptune vs. Haití, supra  nota  49,  párr.  107,  y  Caso  Bayarri  vs.</w:t>
        <w:br/>
        <w:t>Argentina. Excepción Preliminar, Fondo, Reparaciones y Costas. Sentencia  de</w:t>
        <w:br/>
        <w:t>30 de octubre de 2008. Serie C No. 187, párr. 63.</w:t>
        <w:br/>
        <w:br/>
        <w:t>[124]       Cfr. Artículo 16 de la  Constitución  Política  de  los  Estados</w:t>
        <w:br/>
        <w:t>Unidos Mexicanos, citado en la sentencia emitida el 14  de  agosto  de  2002</w:t>
        <w:br/>
        <w:t>por el  Segundo  Tribunal  Colegiado,  supra  nota  84,  folio  14436.  Cfr.</w:t>
        <w:br/>
        <w:t>Constitución Política de los Estados Unidos Mexicanos (expediente de  anexos</w:t>
        <w:br/>
        <w:t>a la contestación de la demanda, anexo 3 presentado en formato digital).</w:t>
        <w:br/>
        <w:br/>
        <w:t>[125]       Cfr. Código Federal  de  Procedimientos  Penales,  Nuevo  Código</w:t>
        <w:br/>
        <w:t>publicado en el Diario Oficial de la Federación el  30  de  agosto  de  1934</w:t>
        <w:br/>
        <w:t>(expediente de anexos a la contestación de  la  demanda,  tomo  XXIV,  folio</w:t>
        <w:br/>
        <w:t>10162).</w:t>
        <w:br/>
        <w:br/>
        <w:t>[126]       Cfr. Denuncia presentada por  tres  militares,  supra  nota  66,</w:t>
        <w:br/>
        <w:t>folio 4213.</w:t>
        <w:br/>
        <w:br/>
        <w:t>[127]       Cfr. Acta de traslado de personal y otros de 4 de mayo de  1999,</w:t>
        <w:br/>
        <w:t>supra nota 65, folio 4205.</w:t>
        <w:br/>
        <w:br/>
        <w:t>[128]       Cfr. CNDH. Recomendación No. 8/2000 de  14  de  julio  de  2000,</w:t>
        <w:br/>
        <w:t>supra nota 89, folio 8447.</w:t>
        <w:br/>
        <w:br/>
        <w:t>[129]       Cfr. Acta constancia y fe de 4 de  mayo  de  1999  (Averiguación</w:t>
        <w:br/>
        <w:t>Previa No. CUAU/01/119/999) (expediente de anexos a  la  demanda,  tomo  XI,</w:t>
        <w:br/>
        <w:t>folio 4211).</w:t>
        <w:br/>
        <w:br/>
        <w:t>[130]       Cfr. Acuerdo de remisión por  incompetencia  de  5  de  mayo  de</w:t>
        <w:br/>
        <w:t>1999, supra nota 72, folio 4239.</w:t>
        <w:br/>
        <w:br/>
        <w:t>[131]       Cfr. Ampliación de declaración preparatoria de 23  de  diciembre</w:t>
        <w:br/>
        <w:t>de 1999, supra nota 67, folio 10367.</w:t>
        <w:br/>
        <w:br/>
        <w:t>[132]       Cfr. Declaraciones de los señores  Cabrera  y  Montiel  ante  el</w:t>
        <w:br/>
        <w:t>Ministerio Público de Coyuca de Catalán de 6 de mayo de  1999  (Averiguación</w:t>
        <w:br/>
        <w:t>Previa 33/CC/999) (expediente de anexos a la  contestación  de  la  demanda,</w:t>
        <w:br/>
        <w:t>tomo XXIII, folios 9777 a 9785).</w:t>
        <w:br/>
        <w:br/>
        <w:t>[133]        Auto  de  ponencia  de  consignación  de  6  de  mayo  de  1999</w:t>
        <w:br/>
        <w:t>(Averiguación Previa 33/CC/999) (expediente de anexos a la  contestación  de</w:t>
        <w:br/>
        <w:t>la demanda, tomo XXIII, folios 9798 a 9821).</w:t>
        <w:br/>
        <w:br/>
        <w:t>[134]       Cfr. Auto de radicación y ratificación de detención legal  de  6</w:t>
        <w:br/>
        <w:t>de mayo de 1999 (Averiguación Previa 33/CC/999) (expediente de anexos  a  la</w:t>
        <w:br/>
        <w:t>contestación de la demanda, tomo XXIII, folios 9827 a 9832).</w:t>
        <w:br/>
        <w:br/>
        <w:t>[135]       Cfr. Auto de  excarcelación  emitido  por  el  Juez  de  Primera</w:t>
        <w:br/>
        <w:t>Instancia del Distrito  Judicial  de  Mina  de  fecha  7  de  mayo  de  1999</w:t>
        <w:br/>
        <w:t>(Expediente 03/999) (expediente de anexos a la contestación de  la  demanda,</w:t>
        <w:br/>
        <w:t>tomo XXIII, folio 9834).</w:t>
        <w:br/>
        <w:br/>
        <w:t>[136]       De acuerdo con la CNDH: a) constan “las bitácoras  de  vuelo  de</w:t>
        <w:br/>
        <w:t>los helicópteros Bell-212 con matrículas 1115 y 1117, de los oficios 2164  y</w:t>
        <w:br/>
        <w:t>2188 del 3 y 4 de mayo de 1999 suscritos por [un] Teniente  Coronel  […]  en</w:t>
        <w:br/>
        <w:t>los que informó al Comandante de la Base Aérea número 7 de la Fuerza  Aérea,</w:t>
        <w:br/>
        <w:t>el apoyo aéreo brindado en esas fechas  a  la  35/a  Zona  Militar”;  b)  el</w:t>
        <w:br/>
        <w:t>personal militar “al salir el 1º  de  mayo  de  1999  de  sus  instalaciones</w:t>
        <w:br/>
        <w:t>militares, con la orden de investigar lo relativo  a  una  ‘gavilla’,  contó</w:t>
        <w:br/>
        <w:t>antes y después del operativo […] con una estación de radio  y  4  vehículos</w:t>
        <w:br/>
        <w:t>orgánicos,  con  los  cuales  estaban  en  posibilidad  de  implementar  los</w:t>
        <w:br/>
        <w:t>mecanismos necesarios, tend[i]entes a notificar a la brevedad al agente  del</w:t>
        <w:br/>
        <w:t>Ministerio Público correspondiente los hechos ocurridos […]”, y c)  “[el]  3</w:t>
        <w:br/>
        <w:t>de mayo de 1999 a  petición  de  la  35/a  Zona  Militar,  la  Fuerza  Aérea</w:t>
        <w:br/>
        <w:t>Mexicana comisionó a la tripulación del  helicóptero  Bell,  matrícula  1117</w:t>
        <w:br/>
        <w:t>para que transportara a un pasajero militar perteneciente a la  citada  Zona</w:t>
        <w:br/>
        <w:t>Militar, con la finalidad de localizar treinta y tres plantíos de amapola  y</w:t>
        <w:br/>
        <w:t>uno de marihuana”. Cfr. CNDH. Recomendación No. 8/2000 de  14  de  julio  de</w:t>
        <w:br/>
        <w:t>2000, supra nota 89, folios 8443 y 8444.</w:t>
        <w:br/>
        <w:br/>
        <w:t>[137]       Cfr. CNDH. Recomendación No. 8/2000 de  14  de  julio  de  2000,</w:t>
        <w:br/>
        <w:t>supra nota 89, folio 8448.</w:t>
        <w:br/>
        <w:br/>
        <w:t>[138]       Algunos jueces internos consideraron “razonable”  o  “tolerable”</w:t>
        <w:br/>
        <w:t>la demora verificada en el presente caso para la  puesta  a  disposición  de</w:t>
        <w:br/>
        <w:t>las presuntas víctimas ante las autoridades  competentes.  Así,  de  acuerdo</w:t>
        <w:br/>
        <w:t>con la sentencia de  primera  instancia,  la  demora  era  razonable  porque</w:t>
        <w:br/>
        <w:t>solamente implicó seis minutos de retraso. De acuerdo con  dicha  sentencia:</w:t>
        <w:br/>
        <w:t>“si  bien  el  Agente  del  Ministerio  Público  […]  en  Arcelia  […]  tomó</w:t>
        <w:br/>
        <w:t>conocimiento de los hechos […] a las [18:00 horas del 4 de  mayo  de  1999],</w:t>
        <w:br/>
        <w:t>[…] aún cuando decretara la retención (sic),  legal  de  los  inculpados  de</w:t>
        <w:br/>
        <w:t>mérito a las [18:30 horas] de la  misma  data,  y  que  su  homólogo  de  la</w:t>
        <w:br/>
        <w:t>Federación  residente  en  Coyuca  de  Catalán,  Guerrero  empezó  a  actuar</w:t>
        <w:br/>
        <w:t>respecto de los mismos a las [23:45 horas] del [5 de mayo de 1999]; por  ser</w:t>
        <w:br/>
        <w:t>el  Ministerio  Público,  un  órgano  único  e  indivisible,  se  toma  como</w:t>
        <w:br/>
        <w:t>parámetro para  comenzar  a  contar  el  término  que  establece  el  citado</w:t>
        <w:br/>
        <w:t>precepto 16 constitucional las [18:00 horas del 4 de  mayo  de  1999]”.  Por</w:t>
        <w:br/>
        <w:t>tanto, conforme al juez de primera instancia, “la  aludida  temporalidad  de</w:t>
        <w:br/>
        <w:t>[48] horas con la que contaba el órgano Ministerial  fenecía  a  las  [18:00</w:t>
        <w:br/>
        <w:t>horas del 6 de mayo de 1999]”. Así,  “el  plazo  que  se  anota  se  excedió</w:t>
        <w:br/>
        <w:t>solamente por [6] minutos, temporalidad que se estima más o menos  tolerable</w:t>
        <w:br/>
        <w:t>e insuficiente para estimar una detención prolongada, si se toma  en  cuenta</w:t>
        <w:br/>
        <w:t>que como tal  se  debe  entender  el  que  los  detenidos  no  hayan  tenido</w:t>
        <w:br/>
        <w:t>comunicación o contacto con ninguna persona o que se estime que  se  ejerció</w:t>
        <w:br/>
        <w:t>alguna clase de coacción física  o  moral  en  su  contra”.  Cfr.  Sentencia</w:t>
        <w:br/>
        <w:t>emitida el 28 de agosto de 2000 por el Primer Tribunal Unitario, supra  nota</w:t>
        <w:br/>
        <w:t>75, folios 12161 a 12163.  La  sentencia  de  amparo  penal  directo  indicó</w:t>
        <w:br/>
        <w:t>nuevamente que “de ninguna manera” se está “en presencia de  una  prolongada</w:t>
        <w:br/>
        <w:t>e injustificada detención por  parte  de  los  agentes  captores”.  En  este</w:t>
        <w:br/>
        <w:t>sentido, el juez indicó que “de las constancias  de  autos  no  aparece  que</w:t>
        <w:br/>
        <w:t>cuando los elementos castrenses realizaron su recorrido por  el  poblado  de</w:t>
        <w:br/>
        <w:t>Pizotla, Guerrero, hubiesen contado con medio  de  transporte”.  Agregó  que</w:t>
        <w:br/>
        <w:t>“los elementos castrenses no estaban en aptitud de  separarse  del  referido</w:t>
        <w:br/>
        <w:t>lugar que sirvió de escenario a los eventos delictivos de mérito,  toda  vez</w:t>
        <w:br/>
        <w:t>que  con  motivo  del  fallecimiento  de  una  de  las  personas  tenían  la</w:t>
        <w:br/>
        <w:t>obligación  de  permanecer  […]  hasta  que  arribara  […]  el  Agente   del</w:t>
        <w:br/>
        <w:t>Ministerio Público”. Cfr. Sentencia emitida el 14 de agosto de 2002  por  el</w:t>
        <w:br/>
        <w:t>Segundo Tribunal Colegiado, supra nota 84, folio 14441.</w:t>
        <w:br/>
        <w:br/>
        <w:t>[139] Cfr. Caso Juan Humberto Sánchez vs. Honduras, supra  nota  119,  párr.</w:t>
        <w:br/>
        <w:t>82; Caso Yvon Neptune vs. Haití, supra nota  49,  párr.  107,  y  Caso  Usón</w:t>
        <w:br/>
        <w:t>Ramírez vs. Venezuela, supra nota 99, párr. 147.</w:t>
        <w:br/>
        <w:br/>
        <w:t>[140]       Cfr. Caso Chaparro Álvarez y Lapo  Íñiguez  Vs.  Ecuador,  supra</w:t>
        <w:br/>
        <w:t>nota 99, párr. 71; Caso Yvon Neptune vs. Haití, supra nota 49, párr. 107,  y</w:t>
        <w:br/>
        <w:t>Caso Usón Ramírez Vs. Venezuela, supra nota 99, párr. 147.</w:t>
        <w:br/>
        <w:br/>
        <w:t>[141]        El  artículo  5  (Derecho  a  la  Integridad  Personal)  de  la</w:t>
        <w:br/>
        <w:t>Convención establece que:</w:t>
        <w:br/>
        <w:br/>
        <w:t xml:space="preserve">            1. Toda persona tiene derecho a que  se  respete  su  integridad</w:t>
        <w:br/>
        <w:t>física, psíquica y moral.</w:t>
        <w:br/>
        <w:br/>
        <w:t xml:space="preserve">      2. Nadie debe ser sometido a torturas  ni  a  penas  graves  o  tratos</w:t>
        <w:br/>
        <w:t xml:space="preserve">      crueles, inhumanos o degradantes. Toda persona privada de liberad será</w:t>
        <w:br/>
        <w:t xml:space="preserve">      tratada con el respeto debido a la dignidad inherente al  ser  humano.</w:t>
        <w:br/>
        <w:t xml:space="preserve">      […]</w:t>
        <w:br/>
        <w:br/>
        <w:t>[142]       Cfr. Declaraciones de los señores  Cabrera  y  Montiel  ante  el</w:t>
        <w:br/>
        <w:t>Ministerio Público de Arcelia de 4 de  mayo  de  1999  (Averiguación  Previa</w:t>
        <w:br/>
        <w:t>33/CC/999) (expediente de anexos a  la  demanda,  tomo  XI,  folios  4232  a</w:t>
        <w:br/>
        <w:t>4236).</w:t>
        <w:br/>
        <w:br/>
        <w:t>[143]       El 6 de mayo de 1999  en  la  declaración  ante  el  Ministerio</w:t>
        <w:br/>
        <w:t>Público de Coyuca de Catalán el señor Cabrera García declaró: “[q]ue  cuando</w:t>
        <w:br/>
        <w:t>estuvo detenido en las [i]nstalaciones militares  recibió  un  golpe  en  el</w:t>
        <w:br/>
        <w:t>abdomen, sin saber qui[é]n [se] lo dio, pero  [que]  si  se  [le]  pone  una</w:t>
        <w:br/>
        <w:t>fotografía sí lo reconocería”. Por su parte, el señor Montiel Flores  señaló</w:t>
        <w:br/>
        <w:t>que: “cuando estuvo en el río no [recibió golpes o malos  tratos],  pero  en</w:t>
        <w:br/>
        <w:t>las instalaciones  de  los  militares  recibió  un  golpe  en  la  boca  del</w:t>
        <w:br/>
        <w:t>est[ó]mago y una bofetada del izquierdo”. Cfr. Declaraciones de los  señores</w:t>
        <w:br/>
        <w:t>Cabrera y Montiel de 6 de mayo de 1999, supra nota 132, folios 9781 y 9785.</w:t>
        <w:br/>
        <w:br/>
        <w:t>[144]       El 7 de mayo de 1999  el  señor  Cabrera  García  declaró:  “que</w:t>
        <w:br/>
        <w:t>cuando estuv[o] en el Cuarenta Batallón  llegó  un  amigo  borracho  de  los</w:t>
        <w:br/>
        <w:t>[m]ilitares y  luego  le  empezaron  a  dar  golpes  en  su  cuerpo  lo  que</w:t>
        <w:br/>
        <w:t>ocasionaba tumbarlo, que lo  tenían  [h]incado[,]  amarrado  con  las  manos</w:t>
        <w:br/>
        <w:t>hacia atrás, así como también estaba amarrado de los pies, agregando que  en</w:t>
        <w:br/>
        <w:t>Pizotla le  vendaron  los  ojos  y  escuchaba  que  le  querían  cortar  sus</w:t>
        <w:br/>
        <w:t>testículos, y le abrían la boca y le ponían la pistola”. Por  su  parte,  el</w:t>
        <w:br/>
        <w:t>señor Montiel Flores indicó: “por la noche cuando lo tenían los  [m]ilitares</w:t>
        <w:br/>
        <w:t>le pisaron la cara  y  le  pus[ieron]  la  boca  del  rifle  en  su  frente,</w:t>
        <w:br/>
        <w:t>diciéndo[l]e un militar [‘]si algo me pasa buey, toda la carga del rifle  te</w:t>
        <w:br/>
        <w:t>la  voy  a  meter  a  t[i’],  que  fu[e]  amarrado  un  rato  al  igual  que</w:t>
        <w:br/>
        <w:t>TEODORO[,]”.  Asimismo,  indicó  “que  el  día  lunes  por  la  noche,   los</w:t>
        <w:br/>
        <w:t>[m]ilitares [les] dijeron que [se] acostara[n] con la cabeza  donde  el  sol</w:t>
        <w:br/>
        <w:t>nace y más tarde [los] despertaron y [les] dijeron que [se] acostara[n]  por</w:t>
        <w:br/>
        <w:t>donde el sol muere y poco rato los volvieron a levantar  y  [los]  acostaron</w:t>
        <w:br/>
        <w:t>formando una cruz y ya después fueron por ellos y los llevaron  al  monte  y</w:t>
        <w:br/>
        <w:t>vi[o] que se encontraban otras personas  armadas  con  la  cara  tapada  […]</w:t>
        <w:br/>
        <w:t>dici[é]ndole [‘]que no se hiciera buey, que lo tenían bien ubicado al  igual</w:t>
        <w:br/>
        <w:t>que a su familia[’], y otro lo jaló de [los]  testículos,  diciendo  que  se</w:t>
        <w:br/>
        <w:t>los [i]ban [a] cortar si no decía lo que sabía, y les  dijo  que  [i]ba  [a]</w:t>
        <w:br/>
        <w:t>decir  lo  que  dijeran  ellos  a  cambio  de  que   no   golpearan”.   Cfr.</w:t>
        <w:br/>
        <w:t>Declaraciones preparatorias de los señores Cabrera y Montiel  ante  el  Juez</w:t>
        <w:br/>
        <w:t>de Primera Instancia Penal del Distrito Judicial de Mina de  7  de  mayo  de</w:t>
        <w:br/>
        <w:t>1999 (Expediente 03/999) (expediente de  anexos  a  la  contestación  de  la</w:t>
        <w:br/>
        <w:t>demanda, tomo XXIII, folios 9836, 9837 y 9841).</w:t>
        <w:br/>
        <w:br/>
        <w:t>[145]       El 13 de julio de 1999, en la  ampliación  a  sus  declaraciones</w:t>
        <w:br/>
        <w:t>preparatorias el señor Cabrera  García  manifestó  que:  “en  el  Ministerio</w:t>
        <w:br/>
        <w:t>Público, [le] pusieron la pistola en  la  cabeza,  [diciéndole]  que  si  no</w:t>
        <w:br/>
        <w:t>firmaba [se la] iban a volar […] y por eso firmó”. Por su  parte,  el  señor</w:t>
        <w:br/>
        <w:t>Montiel Flores indicó: “que los militares, a [él le] p[usieron] uno  de  los</w:t>
        <w:br/>
        <w:t>militares un rifle en la cabeza […] y también [un] pie [sobre ésta], y  [le]</w:t>
        <w:br/>
        <w:t>dijo que si algo les pasaba [le] iba a volar  la  cabeza  a  chingada[z]os”.</w:t>
        <w:br/>
        <w:t>Asimismo, “que el día lunes [3] de  mayo  [le  llevaron]  de  comer  y  [se]</w:t>
        <w:br/>
        <w:t>quis[o] lavar las manos y uno de los militares se  enojó  [y  le]  dijo  que</w:t>
        <w:br/>
        <w:t>[les] iba a aplastar la cabeza con una piedra y los [llevaron]  al  [Juzgado</w:t>
        <w:br/>
        <w:t>y al Ministerio Público]”.  Además  señaló  que  “en  algunos  momentos  por</w:t>
        <w:br/>
        <w:t>medio de las torturas, [le] hicieron firmar  o  aceptar  que  la  pistola  y</w:t>
        <w:br/>
        <w:t>marihuana [eran suyas]”, advirtiéndole “que si no lo aceptaba tenían a  [su]</w:t>
        <w:br/>
        <w:t>familia bien ubicada y, por temor a que golpearan a [su] familia […]  tuv[o]</w:t>
        <w:br/>
        <w:t>que callar”. Cfr. Ampliación de  declaración  preparatoria  de  los  señores</w:t>
        <w:br/>
        <w:t>Cabrera y Montiel ante el Juez  de  Primera  Instancia  Penal  del  Distrito</w:t>
        <w:br/>
        <w:t>Judicial de Mina de 13 de julio de 1999 (Causa Penal 61/99)  (expediente  de</w:t>
        <w:br/>
        <w:t>anexos a la contestación de la demanda, tomo XXIII, folios  10037,  10039  y</w:t>
        <w:br/>
        <w:t>10040).</w:t>
        <w:br/>
        <w:br/>
        <w:t>[146]       El 23  de  diciembre  de  1999  el  señor  Cabrera  García  dejó</w:t>
        <w:br/>
        <w:t>constancia que: “al tiempo que  lo  anduvieron  jaloneando  se  enc[ontraba]</w:t>
        <w:br/>
        <w:t>enfermo, pues se le est[aban] secando sus testículos y orina[ba]  sangre  de</w:t>
        <w:br/>
        <w:t>los  golpes  que  le  dieron”.  Asimismo,  enfatizó  “que   fueron   “cuatro</w:t>
        <w:br/>
        <w:t>militares” los que “lo jaloneaban de sus  testículos”.  Además,  indicó  que</w:t>
        <w:br/>
        <w:t>“los llevaron a la orilla del Río de Pizotla y ahí  los  tuvieron  amarrados</w:t>
        <w:br/>
        <w:t>de pies y manos,  que  no  les  daban  de  comer  y  que  de  ahí  donde  se</w:t>
        <w:br/>
        <w:t>encontraban tirados con los codos escarbaban y el agua que  se  juntaba  ahí</w:t>
        <w:br/>
        <w:t>se la tomaban, porque no les daban agua”. “[Y]a estando en el  […]  batallón</w:t>
        <w:br/>
        <w:t>siguieron golpeándolo y […] que el jueves llegó  un  soldado  en  estado  de</w:t>
        <w:br/>
        <w:t>ebriedad y los siguió golpeando y torturando […]”. El señor  Montiel  Flores</w:t>
        <w:br/>
        <w:t>dejó constancia que cuando estaba detenido en el río Pizotla  “uno  [de  los</w:t>
        <w:br/>
        <w:t>militares] le bajó el pantalón y le jaló los testículos […] otro militar  lo</w:t>
        <w:br/>
        <w:t>agarraba de la mandíbula y  lo  jalaba,  otro  militar  se  apoyaba  en  sus</w:t>
        <w:br/>
        <w:t>hombros y al parecer le caía de rodillas en su estómago, que esto lo  hacían</w:t>
        <w:br/>
        <w:t>los tres militares al  mismo  tiempo  y  [l]e  decían  que  dijera  que  […]</w:t>
        <w:br/>
        <w:t>pertenecía al E.P.R y que dijera porque si  no  decían  que  tenían  a  [su]</w:t>
        <w:br/>
        <w:t>familia  bien  ubicada   […],   que   lo   mojaban   para   darle   toques”.</w:t>
        <w:br/>
        <w:t>“[P]osteriormente [en el Cuarenta Batallón] lo[s] separaron y lo llevaron  a</w:t>
        <w:br/>
        <w:t>un cuarto y ahí lo querían obligar a que dijera  que  portaba  armas  y  que</w:t>
        <w:br/>
        <w:t>pertenecía a un grupo guerrillero […]”. Por la noche,  “los  sacaron  y  los</w:t>
        <w:br/>
        <w:t>subieron amarrados […] a un  carro  de  los  militares,  […]  poniéndole  al</w:t>
        <w:br/>
        <w:t>declarante la boca del rifle en la cabeza cerca de la nuca y el  pie  en  la</w:t>
        <w:br/>
        <w:t>espalda,  diciéndoles  que  los  llevarían  al  pozo”.  Cfr.  Ampliación  de</w:t>
        <w:br/>
        <w:t>declaración de los señores Cabrera y Montiel de 23  de  diciembre  de  1999,</w:t>
        <w:br/>
        <w:t>supra nota 67, folios 10360 a 10362 y 10364 a 10366.</w:t>
        <w:br/>
        <w:br/>
        <w:t>[147]       El señor Cabrera  García  manifestó  que:  “[e]n  la  noche  nos</w:t>
        <w:br/>
        <w:t>sacaron, a mi me echaron agua mineral en las narices, me jalaban las  greñas</w:t>
        <w:br/>
        <w:t>y de lo fuerte del refresco ese Tehuacán pues uno siente que se le sube  por</w:t>
        <w:br/>
        <w:t>toda la nariz y la cabeza, me estaba ahogando[,] así  que  me  golpeaban  la</w:t>
        <w:br/>
        <w:t>cabeza para que volviera y  mientras  que  yo  volvía  y  reaccionaba[,]  le</w:t>
        <w:br/>
        <w:t>hacían lo mismo a  Rodolfo”  Cfr.  Declaración  del  señor  Teodoro  Cabrera</w:t>
        <w:br/>
        <w:t>García rendida ante fedatario público de 4 de marzo de 2010  (expediente  de</w:t>
        <w:br/>
        <w:t>fondo, tomo III, folio 1193).</w:t>
        <w:br/>
        <w:br/>
        <w:t>[148]        En  relación  con  las  contradicciones  en  las  que   habrían</w:t>
        <w:br/>
        <w:t>incurrido las víctimas, el  Tribunal  Unitario  declaró:  “son  inatendibles</w:t>
        <w:br/>
        <w:t>porque con independencia de su vaguedad  e  imprecisión  no  señalan  a  qué</w:t>
        <w:br/>
        <w:t>autoridad judicial  y  ministerial  se  refieren,  las  torturas  físicas  y</w:t>
        <w:br/>
        <w:t>morales que aluden no se desprenden del sumario, habida cuenta  de  que  […]</w:t>
        <w:br/>
        <w:t>las declaraciones que rindieron ante el Agente del  Ministerio  Público  del</w:t>
        <w:br/>
        <w:t>Fuero común en Arcelia, Guerrero, de la Federación en Coyuca de Catalán,  de</w:t>
        <w:br/>
        <w:t>la misma, [e]ntidad y Juez de Primera Instancia en  Materia  Penal  de  esta</w:t>
        <w:br/>
        <w:t>última ciudad, fueron emitidas con apego a la ley, […].  En  particular,  el</w:t>
        <w:br/>
        <w:t>Juez de instancia señaló que las  principales  contradicciones  residían  en</w:t>
        <w:br/>
        <w:t>que: “mientras RODOLFO MONTIEL FLORES adujo en su  declaración  inicial  que</w:t>
        <w:br/>
        <w:t>uno de los militares se molestó cuando le  llevaron  de  comer  y  se  quiso</w:t>
        <w:br/>
        <w:t>lavar las manos, amenazándolo con  aplastarle  la  cabeza  con  una  piedra,</w:t>
        <w:br/>
        <w:t>Teodoro  Cabrera  García  en  su  ampliación  de  declaración   preparatoria</w:t>
        <w:br/>
        <w:t>manifestó que no les daban de comer y que incluso tomaban agua que  lograban</w:t>
        <w:br/>
        <w:t>juntar escarbando con los codos; así que  mientras  RODOLFO  MONTIEL  FLORES</w:t>
        <w:br/>
        <w:t>afirma que en presencia de sus vecinos y familiares eran torturados por  los</w:t>
        <w:br/>
        <w:t>militares, Cabrera García aseveró  que  cuando  lo  detuvieron  había  mucha</w:t>
        <w:br/>
        <w:t>gente ‘ya ‘después’ que andaba golpeado; que en tanto  que  Teodoro  Cabrera</w:t>
        <w:br/>
        <w:t>García sostiene que el ‘mismo día de su detención’  lo  llevaron  al  campo,</w:t>
        <w:br/>
        <w:t>para ser sometidos a tortura, RODOLFO MONTIEL afirmó que  durante  ‘todo  el</w:t>
        <w:br/>
        <w:t>día domingo’ permanecieron en el río y que fue el ‘lunes  siguiente  en  que</w:t>
        <w:br/>
        <w:t>‘los llevaron  al  monto’  y  siendo  entonces  cuando  los  torturaron  los</w:t>
        <w:br/>
        <w:t>militares, ello aunado a que Teodoro Cabrera García no hace  alusión  alguna</w:t>
        <w:br/>
        <w:t>a que le aplicaran toques eléctricos, como en cambio sí  lo  relata  RODOLFO</w:t>
        <w:br/>
        <w:t>MONTIEL FLORES; y que  mientras  Teodoro  Cabrera  negó  haber  firmado  los</w:t>
        <w:br/>
        <w:t>documentos elaborados por los elementos militares,  RODOLFO  MONTIEL  FLORES</w:t>
        <w:br/>
        <w:t>aseveró que por haber sido víctima de tortura se vio obligado  a  firmar  el</w:t>
        <w:br/>
        <w:t>documento que se elaboró en el Cuarenta Batallón”.  Cfr.  Sentencia  emitida</w:t>
        <w:br/>
        <w:t>el 21 de agosto de 2002 por el Primer Tribunal Unitario del Vigésimo  Primer</w:t>
        <w:br/>
        <w:t>Circuito (Toca Penal 406/2000) (expediente de anexos a  la  contestación  de</w:t>
        <w:br/>
        <w:t>la demanda, tomo XXXI, folios 15139 y 15140, y 15152 a 15155).</w:t>
        <w:br/>
        <w:br/>
        <w:t>[149]       El párrafo 142 del Protocolo  de  Estambul  indica  que:  “[l]os</w:t>
        <w:br/>
        <w:t>supervivientes  de  tortura   pueden  tropezar  con  dificultades  para  dar</w:t>
        <w:br/>
        <w:t>detalles  concretos  sobre  lo  sucedido  y  ello   por   diversas   razones</w:t>
        <w:br/>
        <w:t>importantes entre las que figuran las siguientes: a) Factores propios de  la</w:t>
        <w:br/>
        <w:t>tortura en sí  misma,  por  ejemplo  los  ojos  vendados,  las  drogas,  las</w:t>
        <w:br/>
        <w:t>pérdidas de conciencia, etc.; b) Miedo a ponerse en peligro  o  a  poner  en</w:t>
        <w:br/>
        <w:t>peligro a otros; c) Falta  de  confianza  en  el  clínico  examinador  o  el</w:t>
        <w:br/>
        <w:t>intérprete; d) El impacto  psicológico  de  la  tortura  y  el  trauma,  por</w:t>
        <w:br/>
        <w:t>ejemplo la hiperexcitación emocional y las pérdidas de memoria  consecutivas</w:t>
        <w:br/>
        <w:t>a  trastornos  mentales  relacionados  con  el  trauma,  como  depresión   y</w:t>
        <w:br/>
        <w:t>trastorno de estrés postraumático; e) Pérdida neuropsiquiátrica  de  memoria</w:t>
        <w:br/>
        <w:t>consecutiva a golpes en la cabeza, asfixia, casi ahogamiento o privación  de</w:t>
        <w:br/>
        <w:t>alimentos; f) Mecanismos compensatorios protectores, como  la  denegación  y</w:t>
        <w:br/>
        <w:t>la evitación, y g) Sanciones culturalmente prescritas según las cuales  sólo</w:t>
        <w:br/>
        <w:t>en un ambiente estrictamente confidencial  puede  revelarse  la  experiencia</w:t>
        <w:br/>
        <w:t>traumática”.  El  Protocolo   también   señala,   al   definir   el   estrés</w:t>
        <w:br/>
        <w:t>postraumático en los casos de tortura,  que  en  algunos  casos  “[e]n  esas</w:t>
        <w:br/>
        <w:t>circunstancias, la incapacidad de recordar detalles precisos apoya, más  que</w:t>
        <w:br/>
        <w:t>reduce, la credibilidad de la  historia  que  narra  el  superviviente.  Los</w:t>
        <w:br/>
        <w:t>principales temas de la historia mantendrán su coherencia en  las  distintas</w:t>
        <w:br/>
        <w:t>entrevistas”. Cfr. Naciones Unidas. Protocolo de Estambul.  Manual  para  la</w:t>
        <w:br/>
        <w:t>investigación y documentación eficaces de la tortura y otros tratos o  penas</w:t>
        <w:br/>
        <w:t>crueles, inhumanos o degradantes, 9 de agosto de 1999, párr. 142.</w:t>
        <w:br/>
        <w:t>[150]       Dicho médico dio “fe de la integridad física” de  las  víctimas.</w:t>
        <w:br/>
        <w:t>En el caso del señor Cabrera  García  señaló:  “que  se  le  encontró  [una]</w:t>
        <w:br/>
        <w:t>herida punzocortante en región retroauricular izquierda, lesión que no  puso</w:t>
        <w:br/>
        <w:t>en peligro la vida y tardaba en  sanar  menos  de  15  días  en  sanar,  sin</w:t>
        <w:br/>
        <w:t>presentar ninguna huella de lesión reciente por golpes o tortura en  ninguna</w:t>
        <w:br/>
        <w:t>parte del cuerpo”. En cuanto al señor  Montiel  Flores,  indicó  que:  “[no]</w:t>
        <w:br/>
        <w:t>presenta[ba] ninguna huella de lesión  reciente  por  golpes  o  tortura  en</w:t>
        <w:br/>
        <w:t>ninguna parte del cuerpo”. Cfr. Certificados médico  legal  de  los  señores</w:t>
        <w:br/>
        <w:t>Cabrera y Montiel realizado por un Subteniente Auxiliar médico cirujano  del</w:t>
        <w:br/>
        <w:t>Ejército  mexicano  de  4  de  mayo  de  1999   (Averiguación   Previa   No.</w:t>
        <w:br/>
        <w:t>CUAU/01/119/999) (expediente de anexos a la demanda, tomo XI, folios 4216  y</w:t>
        <w:br/>
        <w:t>4217).</w:t>
        <w:br/>
        <w:br/>
        <w:t>[151]       En cuanto al señor Teodoro Cabrera  señaló:  “[que]  presenta  1</w:t>
        <w:br/>
        <w:t>herida punzocortante en región  retro-auricular  izquierda.  Signos  vitales</w:t>
        <w:br/>
        <w:t>dentro de límites normales, con reflejos óculo-motores con  buena  respuesta</w:t>
        <w:br/>
        <w:t>a estímulos luminosos, no presenta huellas de violencia, ni golpes  contusos</w:t>
        <w:br/>
        <w:t>visibles. Conclusión:  Teodoro  Cabrera  García  presenta  buena  integridad</w:t>
        <w:br/>
        <w:t>física, sin huellas de violencia, presenta 1 herida no  reciente  en  región</w:t>
        <w:br/>
        <w:t>retro-auricular’”.  Respecto  al  señor  Montiel  Flores,   señaló:   “[que]</w:t>
        <w:br/>
        <w:t>presenta: [s]ignos [v]itales dentro de  límites  normales,  reflejos  óculo-</w:t>
        <w:br/>
        <w:t>motores  con  buena  respuesta  a  estímulos  luminosos,  sin   huellas   de</w:t>
        <w:br/>
        <w:t>violencia, […], 2 escoriaciones en  región  frontal  en  su  porción  media.</w:t>
        <w:br/>
        <w:t>Conclusión: Rodolfo Montiel Flores, presente buena  integridad  física,  sin</w:t>
        <w:br/>
        <w:t>huellas de violencia”. Cfr. Exámenes de integridad  física  de  los  señores</w:t>
        <w:br/>
        <w:t>Cabrera y Montiel realizados por un médico legista del Distrito Judicial  de</w:t>
        <w:br/>
        <w:t>Arcelia de 4 de mayo  de  1999  (Averiguación  Previa  No.  CUAU/01/119/999)</w:t>
        <w:br/>
        <w:t>(expediente de anexos a la demanda, tomo XI, folios 4216 y 4217).</w:t>
        <w:br/>
        <w:br/>
        <w:t>[152]       Dicho médico expidió dos (2) certificados médicos de  integridad</w:t>
        <w:br/>
        <w:t>física concluyendo en cada caso que las presuntas  víctimas  se  encontraban</w:t>
        <w:br/>
        <w:t>“física y mentalmente íntegr[as]”. Cfr. Certificados médicos  de  integridad</w:t>
        <w:br/>
        <w:t>física de los señores Cabrera y Montiel realizados  por  un  médico  legista</w:t>
        <w:br/>
        <w:t>adscrito al Distrito Judicial de Mina de 6 de  mayo  de  1999  (Averiguación</w:t>
        <w:br/>
        <w:t>Previa No. CUAU/01/119/999) (expediente de anexos a  la  demanda,  tomo  XI,</w:t>
        <w:br/>
        <w:t>folios 4274 a 4276).</w:t>
        <w:br/>
        <w:br/>
        <w:t>[153]       A partir de una visita al Centro de  Readaptación  Social  donde</w:t>
        <w:br/>
        <w:t>se  encontraban  las  presuntas  víctimas,  la  visitadora  acreditó   haber</w:t>
        <w:br/>
        <w:t>encontrado  a  los  señores  Cabrera  y  Montiel  con  varios   “hematomas”,</w:t>
        <w:br/>
        <w:t>indicando que ambos aludieron que  las  lesiones  fueron  “producto  de  los</w:t>
        <w:br/>
        <w:t>golpes recibidos  por  parte  de  los  servidores  públicos  señalados  como</w:t>
        <w:br/>
        <w:t>responsables [de la detención]”. Cfr. Comisión de Defensa  de  los  Derechos</w:t>
        <w:br/>
        <w:t>Humanos  del   Estado   de   Guerrero   (Coddehum),   Acta   Circunstanciada</w:t>
        <w:br/>
        <w:t>CRTC/CODDEHUMI03111999-1 de 15 de mayo de 1999 firmada por  la  Coordinadora</w:t>
        <w:br/>
        <w:t>Regional de la Coddehum (expediente de anexos a la demanda, tomo  X,  folios</w:t>
        <w:br/>
        <w:t>4006 a 4007).</w:t>
        <w:br/>
        <w:br/>
        <w:t>[154]        Esto  “con  la  finalidad  de  practicar  [un]  examen  médico,</w:t>
        <w:br/>
        <w:t>psicofísico y de lesiones”, emitiendo un (1) certificado  respecto  de  cada</w:t>
        <w:br/>
        <w:t>una de las víctimas, en los que concluyó que sí presentaban lesiones  y  que</w:t>
        <w:br/>
        <w:t>éstas “fue[ron] producida[s] en un tiempo mayor a quince días y menor  a  30</w:t>
        <w:br/>
        <w:t>días”. Respecto al señor Cabrera García: LESIONES EXTERNAS:  Excoriación  de</w:t>
        <w:br/>
        <w:t>forma estelar irregular, cubierta con  costra  hemática,  de  un  centímetro</w:t>
        <w:br/>
        <w:t>localizada en cara lateral  derecha  de  cuello  por  debajo  de  la  región</w:t>
        <w:br/>
        <w:t>retroauricular del mismo lado,  se  palpa  en  la  región  temporal  derecha</w:t>
        <w:br/>
        <w:t>cubierta de pelo un ligero (probable  lipoma)  elevamiento  de  considerable</w:t>
        <w:br/>
        <w:t>movible que mide cinco por cinco  milímetros  no  doloroso.  COMENTARIO:  la</w:t>
        <w:br/>
        <w:t>lesión que presenta […] fue producida en un tiempo mayor  a  quince  días  y</w:t>
        <w:br/>
        <w:t>menor a  30  días.   Con  relación  a  Montiel  Flores:  LESIONES  EXTERNAS:</w:t>
        <w:br/>
        <w:t>Excoriación de forma irregular, cubierta con costra hemática, de cero  punto</w:t>
        <w:br/>
        <w:t>cinco centímetros localizada  en  cara  lateral  tercio  proximal  de  muslo</w:t>
        <w:br/>
        <w:t>derecho. COMENTARIO: La lesión que presenta [responde a] una  antigüedad  de</w:t>
        <w:br/>
        <w:t>haberse producido mayor a 15 días y menor  a  30  días”.  Cfr.  Certificados</w:t>
        <w:br/>
        <w:t>médicos de estado psicofísico y lesiones de los señores  Cabrera  y  Montiel</w:t>
        <w:br/>
        <w:t>realizados por  un  perito  médico  de  la  CNDH  de  4  de  junio  de  1999</w:t>
        <w:br/>
        <w:t>(Expediente 99/2336) (expediente de fondo, tomo IV, folios 2053 a 2056).</w:t>
        <w:br/>
        <w:br/>
        <w:t>[155]       Dicho médico emitió un certificado en el Centro de  Readaptación</w:t>
        <w:br/>
        <w:t>Social de Iguala, Guerrero, en el cual señaló inter alia, que “el  testículo</w:t>
        <w:br/>
        <w:t>izquierdo [del señor Montiel Flores tenía]  aumento  de  volumen  con  dolor</w:t>
        <w:br/>
        <w:t>importante a la palpación (al parecer simulado por el  paciente  ya  que  no</w:t>
        <w:br/>
        <w:t>presentan alteraciones los signos vitales)”. Concluyó  que  “[l]a  patología</w:t>
        <w:br/>
        <w:t>presentada […]  ha[bía]  sido  diagnosticada  y  atendida  adecuadamente  en</w:t>
        <w:br/>
        <w:t>tiempo y forma desde el inicio de la  misma”.  Cfr.  Certificado  médico  de</w:t>
        <w:br/>
        <w:t>salud de Rodolfo Montiel realizado por un médico legista de la  CNDH  de  23</w:t>
        <w:br/>
        <w:t>de septiembre de 1999 (expediente de anexos a la demanda,  tomo  XI,  folios</w:t>
        <w:br/>
        <w:t>4403 a 4404).</w:t>
        <w:br/>
        <w:br/>
        <w:t>[156]       Dicho peritaje fue practicado debido a  la  información  de  los</w:t>
        <w:br/>
        <w:t>medios sobre “un trato inadecuado por parte del servicio médico” del  Centro</w:t>
        <w:br/>
        <w:t>de  Readaptación  Social  de  Iguala.   Al   respecto,   se   concluyó   que</w:t>
        <w:br/>
        <w:t>“presenta[ban] estado de conciencia normal […]  [s]in  huellas  de  lesiones</w:t>
        <w:br/>
        <w:t>externas […] con estado psicofísico Normal.  […]  Con  referencia  al  señor</w:t>
        <w:br/>
        <w:t>Teodoro Cabrera  García  se  concluye  que  la  cirugía  practicada  por  el</w:t>
        <w:br/>
        <w:t>[m]édico especialista fue un lipoma de pequeñas  dimensiones  localizado  en</w:t>
        <w:br/>
        <w:t>la región paravertebral a la izquierda de la línea media  sin  consecuencias</w:t>
        <w:br/>
        <w:t>ni secuelas (no  un  tumor  canceroso  como  manifestó  el  agraviado)  […]:</w:t>
        <w:br/>
        <w:t>paciente masculino en buenas condiciones generales  al  cual  se  le  indica</w:t>
        <w:br/>
        <w:t>medidas  higiénico  dietéticas  y  no   amerita   tratamiento   médico   y/o</w:t>
        <w:br/>
        <w:t>quirúrgico”. Cfr. Certificado médico y estado  psicofísico  de  los  señores</w:t>
        <w:br/>
        <w:t>Cabrera y Montiel realizado por un  perito  médico  de  la  Coordinación  de</w:t>
        <w:br/>
        <w:t>Servicios Periciales de la CNDH de 19 de mayo de 2000 (expediente de  anexos</w:t>
        <w:br/>
        <w:t>a la demanda, tomo V, folios 1713 a 1719).</w:t>
        <w:br/>
        <w:br/>
        <w:t>[157]       Se emitió un (1) certificado médico, en el cual  se  señaló  que</w:t>
        <w:br/>
        <w:t>su “[e]stado [p]sicofísico[ era n]ormal”. Cfr. Certificado Médico de  Estado</w:t>
        <w:br/>
        <w:t>Psicofísico del señor Montiel Flores emitido por  un  perito  médico  de  la</w:t>
        <w:br/>
        <w:t>Coordinación de Servicios Periciales de la  CNDH  de  6  de  julio  de  2000</w:t>
        <w:br/>
        <w:t>(expediente de anexos a la demanda, tomo V, folios 1642 y 1643).</w:t>
        <w:br/>
        <w:br/>
        <w:t>[158]       Cfr. Oficios No. 210/3430/2001  y  No.  210/3431/2001  de  7  de</w:t>
        <w:br/>
        <w:t>noviembre  de  2001  mediante  los  cuales  se  modificaron  las   sanciones</w:t>
        <w:br/>
        <w:t>impuestas a los señores Cabrera y Montiel (expediente  de  fondo,  tomo  IV,</w:t>
        <w:br/>
        <w:t>folios 1738 y 1740).</w:t>
        <w:br/>
        <w:br/>
        <w:t>[159]       Respecto al señor Cabrera  García  concluyó:  “dolor  testicular</w:t>
        <w:br/>
        <w:t>[que]  hace  necesaria  una  valoración  médica  por  la   especialidad   de</w:t>
        <w:br/>
        <w:t>[u]rología”. Además que “en [la] valoración médica directa, se apreci[ó]  un</w:t>
        <w:br/>
        <w:t>deterioro general progresivo, y [que] la actitud física  era  de  descuido”.</w:t>
        <w:br/>
        <w:t>Respecto al señor Montiel Flores, que: i)  “[l]a  deformidad  de  la  región</w:t>
        <w:br/>
        <w:t>clavicular izquierda, ha  provocado  que  se  acompañe  dolor  intenso,  con</w:t>
        <w:br/>
        <w:t>irradiación a la articulación del hombro  del  mismo  lado  y  hacia  región</w:t>
        <w:br/>
        <w:t>precordial  (área  cardíaca)”;  ii)  “[responde  a]  un  cuadro   de   dolor</w:t>
        <w:br/>
        <w:t>abdominal, que si bien sin esfuerzos es tolerable, al realizarlos de  manera</w:t>
        <w:br/>
        <w:t>fuerte le provoca aumento intenso de dolor”; iii) “[l]a zona  dermatona  con</w:t>
        <w:br/>
        <w:t>insensibilidad en muslo derecho,  alterna  con  períodos  de  dolor  que  se</w:t>
        <w:br/>
        <w:t>irradia hacia región lumbar del mismo lado”, y iv)  “[l]a  orquiepididimitis</w:t>
        <w:br/>
        <w:t>(inflamación de testículo y epididimo) izquierdos, le  provocan  aparte  del</w:t>
        <w:br/>
        <w:t>dolor intenso, dificultad para la deambulación”,  haciendo  “necesari[a]  la</w:t>
        <w:br/>
        <w:t>atención a nivel de la especialidad médica  de  [u]rología”.  Cfr.  Análisis</w:t>
        <w:br/>
        <w:t>médico directo de los señores Cabrera y  Montiel  realizado  por  un  médico</w:t>
        <w:br/>
        <w:t>legista de 7 de octubre de 2001 (expediente de fondo, tomo IV,  folios  1734</w:t>
        <w:br/>
        <w:t>a 1737).</w:t>
        <w:br/>
        <w:br/>
        <w:t>[160]       El diagnóstico señalado por el Estado para Teodoro  Cabrera  fue</w:t>
        <w:br/>
        <w:t>el siguiente: “[p]érdida completa de la visión en el ojo derecho  secundaria</w:t>
        <w:br/>
        <w:t>a catarata y opacidad corneal por traumatismo directo sufrido a la  edad  de</w:t>
        <w:br/>
        <w:t>10 años. Pérdida parcial de  la  visión  en  el  ojo  derecho  secundaria  a</w:t>
        <w:br/>
        <w:t>pterigión  (carnosidad)  localizada  en  el  ángulo  interno.  Insuficiencia</w:t>
        <w:br/>
        <w:t>vascular en miembros inferiores Grado II. Osteoartritis (la cual se  agudiza</w:t>
        <w:br/>
        <w:t>con los cambios de temperatura).  Testículo  derecho  doloroso,  retraído  y</w:t>
        <w:br/>
        <w:t>disminuido en su tamaño con relación al  izquierdo.  Onicomicosis  en  ambos</w:t>
        <w:br/>
        <w:t>pies (destrucción de las uñas por hongos). Además de  un  ostensible  ataque</w:t>
        <w:br/>
        <w:t>al estado general incluyendo el estado de ánimo, ya que  la  pérdida  de  la</w:t>
        <w:br/>
        <w:t>visión le impide participar en diferentes actividades de la Institución.  El</w:t>
        <w:br/>
        <w:t>conjunto  de  sus  patologías  son  de  carácter  progresivo   y   requieren</w:t>
        <w:br/>
        <w:t>tratamiento médico inmediato a nivel hospitalario de 2º o 3º nivel,  que  le</w:t>
        <w:br/>
        <w:t>proporcione un  tratamiento  médico  y  quirúrgico  integral  en  diferentes</w:t>
        <w:br/>
        <w:t>especialidades”. Por tanto, se declaró que en el caso  de  Teodoro  Cabrera:</w:t>
        <w:br/>
        <w:t>“existe incompatibilidad entre su edad, salud y constitución física, con  el</w:t>
        <w:br/>
        <w:t>cumplimiento de la sanción impuesta, designando su domicilio como  el  lugar</w:t>
        <w:br/>
        <w:t>para continuar con la extinción de la pena toda vez que el interno  requiere</w:t>
        <w:br/>
        <w:t>de atención médica y asistencia por parte de su familia”.  Cfr.  Oficio  No.</w:t>
        <w:br/>
        <w:t>210/3430/2001 de 7 de noviembre de 2001,  supra  nota  158,  folios  1740  y</w:t>
        <w:br/>
        <w:t>1741.</w:t>
        <w:br/>
        <w:br/>
        <w:t>[161]       El diagnóstico señalado por el Estado para Rodolfo Montiel  fue:</w:t>
        <w:br/>
        <w:t>“Hipoacusia  de  oído  izquierdo  secundaria  a  otitis  bilateral  crónica,</w:t>
        <w:br/>
        <w:t>deformacidad de la región subclavicular y  supraclavicular  izquierda  grado</w:t>
        <w:br/>
        <w:t>II a III, secuelas de fibrosis contráctil secundarias a cicatriz  de  herida</w:t>
        <w:br/>
        <w:t>por proyectil de arma de fuego localizada en el abdomen, así  como  zona  de</w:t>
        <w:br/>
        <w:t>dermatoma con insensibilidad de 5 cm de  diámetro,  localizada  en  la  cara</w:t>
        <w:br/>
        <w:t>externa de tercio  proximal  de  muslo  derecho,  orquiepididimitis  crónica</w:t>
        <w:br/>
        <w:t>agudizada, así como disminución de agudeza  visual.  Patologías  que  en  su</w:t>
        <w:br/>
        <w:t>conjunto limitan de manera significativa su capacidad de cumplimento  de  la</w:t>
        <w:br/>
        <w:t>pena. En el caso del señor Montiel Flores:  “[…]  se  determina  que  existe</w:t>
        <w:br/>
        <w:t>incompatibilidad entre su estado de salud y su constitución física,  con  el</w:t>
        <w:br/>
        <w:t>cumplimiento de la sanción impuesta, designando su domicilio como  el  lugar</w:t>
        <w:br/>
        <w:t>para continuar con la extinción de la pena toda vez que el interno  requiere</w:t>
        <w:br/>
        <w:t>de atención médica y asistencia por parte de su familia”.  Cfr.  Oficio  No.</w:t>
        <w:br/>
        <w:t>210/3431/2001 de 7 de noviembre de 2001,  supra  nota  158,  folios  1738  y</w:t>
        <w:br/>
        <w:t>1739.</w:t>
        <w:br/>
        <w:br/>
        <w:t>[162]        Cfr.  Dictamen  rendido  por  la  perita  Juana  Ma.  Gutiérrez</w:t>
        <w:br/>
        <w:t>Hernández en la audiencia pública en el presente caso.</w:t>
        <w:br/>
        <w:br/>
        <w:br/>
        <w:t>[163]       Cfr. Coddehum, Acta Circunstanciada  de  15  de  mayo  de  1999,</w:t>
        <w:br/>
        <w:t>supra nota 153, folios 4006 a 4007.</w:t>
        <w:br/>
        <w:br/>
        <w:t>[164]       Cfr. Certificados médicos de estado psicofísico y lesiones de  4</w:t>
        <w:br/>
        <w:t>de junio de 1999, supra nota 154, folios 2053 a 2056.</w:t>
        <w:br/>
        <w:br/>
        <w:t>[165]       Dicho dictamen fue presentado en el marco del proceso  impulsado</w:t>
        <w:br/>
        <w:t>por las víctimas denunciando específicamente los alegados actos  de  tortura</w:t>
        <w:br/>
        <w:t>en su contra. De acuerdo con lo señalado en el informe, los médicos  Tramsen</w:t>
        <w:br/>
        <w:t>y Tidball-Binz llevaron  a  cabo  la  respectiva  entrevista  médica  a  los</w:t>
        <w:br/>
        <w:t>señores Cabrera y Montiel “en el pasillo  de  recepción  a  la  oficina  del</w:t>
        <w:br/>
        <w:t>director del penal […]. El examen físico  [se  habría]  realizado  en  total</w:t>
        <w:br/>
        <w:t>privacidad  en  una  habitación  aledaña  usada  como  baño  y  bodega,   lo</w:t>
        <w:br/>
        <w:t>suficientemente iluminada. [Las víctimas habrían  sido]  desvestid[a]s  para</w:t>
        <w:br/>
        <w:t>el examen físico”. Asimismo, indicaron que “[d]urante  la  entrevista  y  el</w:t>
        <w:br/>
        <w:t>examen,  Rodolfo   Montiel   y   Teodoro   Cabrera   estuvieron   totalmente</w:t>
        <w:br/>
        <w:t>conscientes, orientados en tiempo, espacio, lugar y persona y  ambos  tenían</w:t>
        <w:br/>
        <w:t>un  nivel  normal  de  memoria  de  corto  y   largo   plazo.   Respondieron</w:t>
        <w:br/>
        <w:t>adecuadamente a las preguntas y de manera coherente a  los  sucesos  médicos</w:t>
        <w:br/>
        <w:t>relevantes. Sin embargo, en el  caso  de  Teodoro  Cabrera,  su  impedimento</w:t>
        <w:br/>
        <w:t>visual ha[bría] influido, como  era  de  esperar,  sus  observaciones  y  la</w:t>
        <w:br/>
        <w:t>reconstrucción de los eventos”. En el marco  de  la  audiencia  pública,  el</w:t>
        <w:br/>
        <w:t>señor Tramsen agregó que dicho examen  se  realizó  de  conformidad  con  la</w:t>
        <w:br/>
        <w:t>metodología establecida en el Protocolo de Estambul y por  el  International</w:t>
        <w:br/>
        <w:t>Rehabilitation Center of Torture Victims. Cfr. Physicians for Human  Rights-</w:t>
        <w:br/>
        <w:t>Denmark. El caso  de  Rodolfo  Montiel  Flores  y  Teodoro  Cabrera  García,</w:t>
        <w:br/>
        <w:t>campesinos  mexicanos  y  activistas  ecologistas,  29  de  julio  de   2000</w:t>
        <w:br/>
        <w:t>(expediente de anexos a la demanda, tomo XIX, folios 8374 a 8383).</w:t>
        <w:br/>
        <w:br/>
        <w:t>[166]       Cfr. Physicians for  Human  Rights-  Denmark.  El  caso  de  los</w:t>
        <w:br/>
        <w:t>señores Cabrera y Montiel, supra nota 165, folio 8382.</w:t>
        <w:br/>
        <w:br/>
        <w:t>[167]       Cfr. Physicians for  Human  Rights-  Denmark.  El  caso  de  los</w:t>
        <w:br/>
        <w:t>señores Cabrera y Montiel, supra nota 165,  folio 8383.</w:t>
        <w:br/>
        <w:br/>
        <w:t>[168]        El  Estado  anexó  un  “Análisis  del  peritaje  exhibido  como</w:t>
        <w:br/>
        <w:t>prueba”, emitido sin  fecha,  en  el  que  la  Procuraduría  General  de  la</w:t>
        <w:br/>
        <w:t>República (PGR) “realizó un análisis en el cual se contrastaron por un  lado</w:t>
        <w:br/>
        <w:t>el dictamen pericial emitido  por  la  organización  “Physicians  for  Human</w:t>
        <w:br/>
        <w:t>Rights Denmark” y  por  el  otro[,]  las  actuaciones  que  consta[ban]  […]</w:t>
        <w:br/>
        <w:t>respecto a las diferentes certificaciones médicas […] en [el expediente  del</w:t>
        <w:br/>
        <w:t>caso]” . A partir de ello, la PGR concluyó,  inter  alia,  que  el  dictamen</w:t>
        <w:br/>
        <w:t>elaborado por los señores Tramsen y Tidball-Binz: i) “de ninguna  manera  se</w:t>
        <w:br/>
        <w:t>ajusta a lo que contempla como mínimo un dictamen  pericial  médico  forense</w:t>
        <w:br/>
        <w:t>metodológicamente en forma, además de que no fue ofrecido  como  una  prueba</w:t>
        <w:br/>
        <w:t>pericial con las formalidades que exige el Código Federal de  Procedimientos</w:t>
        <w:br/>
        <w:t>Penales”; ii) “[c]arece  de  metodología  técnica  científica”;  iii)  “[n]o</w:t>
        <w:br/>
        <w:t>contempla los elementos informativos  de  estándares  internacionales”;  iv)</w:t>
        <w:br/>
        <w:t>“[e]s dogm[á]tico, por no seleccionar  y  ordenar  la  información  obtenida</w:t>
        <w:br/>
        <w:t>mediante  la  versión  de  los   examinados,   búsqueda   e   identificación</w:t>
        <w:br/>
        <w:t>intencionada de  huellas,  indicios  o  secuelas  de  lesiones  físicas  y/o</w:t>
        <w:br/>
        <w:t>alteraciones  psicológicas   relacionadas   íntimamente   con   los   hechos</w:t>
        <w:br/>
        <w:t>denunciados”; v) “[la] investigación médica la llev[ó] a cabo 14 meses y  27</w:t>
        <w:br/>
        <w:t>días posteriores a los hechos y fue presentada  con  un  estilo  informativo</w:t>
        <w:br/>
        <w:t>del  tipo  Informe,  respecto  de  hechos  supuestamente  vividos  por   los</w:t>
        <w:br/>
        <w:t>denunciantes”; vi) “no tom[ó] en cuenta los informes o certificados  médicos</w:t>
        <w:br/>
        <w:t>preexistentes”, y vii) que  “las  evidencias  no  son  consistentes  con  la</w:t>
        <w:br/>
        <w:t>presunta  narración  de  los  hechos  por  lo  que  de  manera  integral  el</w:t>
        <w:br/>
        <w:t>diagnóstico físico-clínico-psicológico no sugiere un  verdadero  alegato  de</w:t>
        <w:br/>
        <w:t>tortura física, ni psicológica”. Cfr. Análisis del  peritaje  exhibido  como</w:t>
        <w:br/>
        <w:t>prueba. Procuraduría General de la República (PGR) sin fecha (expediente  de</w:t>
        <w:br/>
        <w:t>anexos a la contestación de la demanda, tomo XLV, folios 22471 a 22477).</w:t>
        <w:br/>
        <w:br/>
        <w:t>[169]       Cfr. Sentencia emitida el 14 de agosto de 2002  por  el  Segundo</w:t>
        <w:br/>
        <w:t>Tribunal Colegiado, supra nota 84, folio 14464.</w:t>
        <w:br/>
        <w:br/>
        <w:t>[170]       Cfr. Protocolo de Estambul, supra nota 149, párr. 82.</w:t>
        <w:br/>
        <w:br/>
        <w:t>[171]       Cfr. Protocolo de Estambul, supra nota 149, párr. 103.</w:t>
        <w:br/>
        <w:br/>
        <w:t>[172]       De otra parte, la perito Gutiérrez Hernández indicó que  “en  el</w:t>
        <w:br/>
        <w:t>caso del señor Teodoro Cabrera  se  habían  realizado  ocho  certificaciones</w:t>
        <w:br/>
        <w:t>médicas, de las cuales todas coincidieron en señalar que se  encontraba  sin</w:t>
        <w:br/>
        <w:t>lesiones físicas, […] hablaban los dos primeros de ellos únicamente  de  una</w:t>
        <w:br/>
        <w:t>herida punzocortante localizada atrás de la oreja, […] que no  era  reciente</w:t>
        <w:br/>
        <w:t>de tal manera que […] ya existía al momento de la detención. Por  lo  tanto,</w:t>
        <w:br/>
        <w:t>para el caso concreto del señor Teodoro Cabrera no  existió  ninguna  lesión</w:t>
        <w:br/>
        <w:t>compatible con actos de  tortura  física.  En  el  caso  del  señor  Rodolfo</w:t>
        <w:br/>
        <w:t>Montiel, a quien se le hicieron siete certificaciones médicas […],  los  dos</w:t>
        <w:br/>
        <w:t>primeros certificados médicos señalan  la  presencia  de  dos  excoriaciones</w:t>
        <w:br/>
        <w:t>lineales de 1 cm. de longitud que se localizaban en  la  frente  y  que  […]</w:t>
        <w:br/>
        <w:t>después de hacer el análisis correspondiente [se]  determin[ó]  que  por  el</w:t>
        <w:br/>
        <w:t>tipo de lesión, sus características, sus magnitudes, esto es,  que  era  una</w:t>
        <w:br/>
        <w:t>lesión muy leve, pues definitivamente no es  compatible  con  los  actos  de</w:t>
        <w:br/>
        <w:t>tortura que se estaban denunciando”. Cfr. Declaración rendida por la  perita</w:t>
        <w:br/>
        <w:t>Juana Ma. Gutiérrez Hernández en la audiencia pública, supra nota 162.</w:t>
        <w:br/>
        <w:br/>
        <w:t>[173]       Específicamente, respecto al señor Cabrera  Montiel  señaló  que</w:t>
        <w:br/>
        <w:t>presenta “episodios diarios de dolor de cabeza moderado a severo asociado  a</w:t>
        <w:br/>
        <w:t>tensión emocional consistente  con  el  diagnóstico  de  cefalea  tensional.</w:t>
        <w:br/>
        <w:t>También se queja de un dolor lumbar (espalda) crónico, recurrente,  agravado</w:t>
        <w:br/>
        <w:t>por la actividad física y los años desde que fue  detenido  y  golpeado  que</w:t>
        <w:br/>
        <w:t>limita sus posibilidades de trabajo”. Además “presenta dos cicatrices en  la</w:t>
        <w:br/>
        <w:t>región temporal (oídos) secundarias a heridas antiguas  infringidas  por  un</w:t>
        <w:br/>
        <w:t>instrumento cortante […] consistentes con su historia de  trauma  ocasionado</w:t>
        <w:br/>
        <w:t>por esquirlas  metálicas”.  También  “presenta  una  cicatriz  en  el  tórax</w:t>
        <w:br/>
        <w:t>secundari[a]  a  una  intervención  quirúrgica   para   remover   una   masa</w:t>
        <w:br/>
        <w:t>posiblemente relacionada con el trauma”.  Finalmente,  “[e]l  examen  médico</w:t>
        <w:br/>
        <w:t>demuestra una atrofia del testículo derecho […] consistente con una  atrofia</w:t>
        <w:br/>
        <w:t>testicular secundaria a trauma”.  En relación con el  señor  Montiel  Flores</w:t>
        <w:br/>
        <w:t>indicó que “[p]resenta una disminución de la agudeza auditiva bilateral  que</w:t>
        <w:br/>
        <w:t>se ha incrementado debido a procesos de  otitis  recurrentes  que  empezaron</w:t>
        <w:br/>
        <w:t>durante el periodo de  detención”.  Asimismo  “Rodolfo  sufre  de  un  dolor</w:t>
        <w:br/>
        <w:t>crónico de cabeza, cuello, hombros y de la región lumbar. Dolor  crónico  es</w:t>
        <w:br/>
        <w:t>el síntoma más frecuente en víctimas de trauma severo  bien  documentado  en</w:t>
        <w:br/>
        <w:t>la literatura”. Además, “[l]a disminución de fuerza en  las  manos  ha  sido</w:t>
        <w:br/>
        <w:t>progresiva y empezó durante el período de detención”. “La disminución de  la</w:t>
        <w:br/>
        <w:t>sensibilidad en la región anterior de  ambos  muslos  […]  requiere  de  una</w:t>
        <w:br/>
        <w:t>evaluación neurológica”. Cfr. Dictamen rendido por el  perito  José  Quiroga</w:t>
        <w:br/>
        <w:t>ante fedatario público (affidávit) el 8 de agosto  de  2010  (expediente  de</w:t>
        <w:br/>
        <w:t>fondo, tomo III, folios 1316 a 1328).</w:t>
        <w:br/>
        <w:br/>
        <w:t>[174]       Cfr. Dictamen rendido por la perita Ana Deutsch  ante  fedatario</w:t>
        <w:br/>
        <w:t>público (affidávit) el 8 de agosto de 2010 (expediente de fondo,  tomo  III,</w:t>
        <w:br/>
        <w:t>folios 1295 a 1304). Respecto a este peritaje, el Estado  señaló  que  “[e]l</w:t>
        <w:br/>
        <w:t>análisis de  la  perito  no  describe  ni  sustenta  los  criterios  que  se</w:t>
        <w:br/>
        <w:t>encuentran en el Anexo 4 del Protocolo de Estambul”. Igualmente, señaló  que</w:t>
        <w:br/>
        <w:t>“[e]l peritaje ofrecido carece de la descripción y de la información  básica</w:t>
        <w:br/>
        <w:t>mínima respecto a la  personalidad  previa  de  los  evaluados,  ya  que  se</w:t>
        <w:br/>
        <w:t>desconoce  si  existen  factores  de  dicha  personalidad  que  influyan   o</w:t>
        <w:br/>
        <w:t>determinen o en su caso modifiquen la sintomatología descrita”.  Por  tanto,</w:t>
        <w:br/>
        <w:t>el Estado indico que todo lo anterior denota que este  peritaje  “carece  de</w:t>
        <w:br/>
        <w:t>objetividad debido a que utiliza y  hace  alusión  a  diversas  opiniones  y</w:t>
        <w:br/>
        <w:t>expresiones tanto de orden valorativo como  personales,  acotando  solamente</w:t>
        <w:br/>
        <w:t>aquellos elementos que son del  interés  del  denunciante,  por  lo  que  se</w:t>
        <w:br/>
        <w:t>demerita sustantivamente la objetividad y por ende la  confiabilidad  de  la</w:t>
        <w:br/>
        <w:t>investigación presentada”.</w:t>
        <w:br/>
        <w:br/>
        <w:t>[175] Cfr. Caso Ximenes Lopes vs.  Brasil.  Fondo,  Reparaciones  y  Costas.</w:t>
        <w:br/>
        <w:t>Sentencia de  4 de julio de 2006. Serie C No. 149, párr. 147;  Caso  Bayarri</w:t>
        <w:br/>
        <w:t>vs. Argentina, supra nota 123, párr. 88, y Caso  González  y  otras  (“Campo</w:t>
        <w:br/>
        <w:t>Algodonero”) vs. México, supra nota 48, párr. 246.</w:t>
        <w:br/>
        <w:br/>
        <w:br/>
        <w:t>[176] El  artículo  1  de  la  Convención  Interamericana  para  Prevenir  y</w:t>
        <w:br/>
        <w:t>Sancionar la Tortura dispone que:</w:t>
        <w:br/>
        <w:br/>
        <w:br/>
        <w:t xml:space="preserve">      Los Estados partes se obligan a prevenir y a sancionar la  tortura  en</w:t>
        <w:br/>
        <w:t xml:space="preserve">      los términos de la presente Convención.</w:t>
        <w:br/>
        <w:br/>
        <w:br/>
        <w:t>Asimismo, el artículo 6 dispone que:</w:t>
        <w:br/>
        <w:br/>
        <w:br/>
        <w:t xml:space="preserve">      De conformidad con lo dispuesto en el artículo 1, los  Estados  partes</w:t>
        <w:br/>
        <w:t xml:space="preserve">      tomarán medidas efectivas para prevenir y sancionar la tortura  en  el</w:t>
        <w:br/>
        <w:t xml:space="preserve">      ámbito de su jurisdicción.</w:t>
        <w:br/>
        <w:br/>
        <w:br/>
        <w:t xml:space="preserve">      Los Estados partes se asegurarán de que todos los actos de  tortura  y</w:t>
        <w:br/>
        <w:t xml:space="preserve">      los intentos de cometer tales actos constituyan delitos conforme a  su</w:t>
        <w:br/>
        <w:t xml:space="preserve">      derecho penal, estableciendo para castigarlos  sanciones  severas  que</w:t>
        <w:br/>
        <w:t xml:space="preserve">      tengan en cuenta su gravedad.</w:t>
        <w:br/>
        <w:br/>
        <w:br/>
        <w:t xml:space="preserve">      Igualmente, los Estados partes tomarán medidas efectivas para prevenir</w:t>
        <w:br/>
        <w:t xml:space="preserve">      y sancionar,  además,  otros  tratos  o  penas  crueles,  inhumanos  o</w:t>
        <w:br/>
        <w:t xml:space="preserve">      degradantes en el ámbito de su jurisdicción.</w:t>
        <w:br/>
        <w:br/>
        <w:br/>
        <w:t>Por su parte, el artículo 8 establece que:</w:t>
        <w:br/>
        <w:br/>
        <w:br/>
        <w:t xml:space="preserve">      Los Estados partes garantizarán a toda persona que denuncie haber sido</w:t>
        <w:br/>
        <w:t xml:space="preserve">      sometida a tortura en el ámbito de su jurisdicción el derecho a que el</w:t>
        <w:br/>
        <w:t xml:space="preserve">      caso sea examinado imparcialmente.</w:t>
        <w:br/>
        <w:br/>
        <w:br/>
        <w:t xml:space="preserve">      Asimismo, cuando exista denuncia o razón fundada para creer que se  ha</w:t>
        <w:br/>
        <w:t xml:space="preserve">      cometido un acto de tortura en  el  ámbito  de  su  jurisdicción,  los</w:t>
        <w:br/>
        <w:t xml:space="preserve">      Estados partes garantizarán que sus respectivas autoridades procederán</w:t>
        <w:br/>
        <w:t xml:space="preserve">      de oficio y de inmediato a realizar una investigación sobre el caso  y</w:t>
        <w:br/>
        <w:t xml:space="preserve">      a iniciar, cuando corresponda, el respectivo proceso penal.</w:t>
        <w:br/>
        <w:br/>
        <w:br/>
        <w:t xml:space="preserve">      Una vez agotado el ordenamiento jurídico interno del respectivo Estado</w:t>
        <w:br/>
        <w:t xml:space="preserve">      y los recursos que éste prevé, el caso podrá ser sometido a instancias</w:t>
        <w:br/>
        <w:t xml:space="preserve">      internacionales cuya competencia haya sido aceptada por ese Estado.</w:t>
        <w:br/>
        <w:br/>
        <w:t>[177]       Así, en su declaración ante fedatario público, el señor  Cabrera</w:t>
        <w:br/>
        <w:t>García señaló que a partir de los golpes recibidos “[l]e dolían mucho  [sus]</w:t>
        <w:br/>
        <w:t>partes, […] estaban muy hinchad[a]s, no podía tener [sus]  piernas  abiertas</w:t>
        <w:br/>
        <w:t>pero tampoco cerradas”. Cfr. Declaración rendida por Teodoro Cabrera  García</w:t>
        <w:br/>
        <w:t>ante fedatario público, supra nota 147, folios 1194. Por  su  parte,  en  su</w:t>
        <w:br/>
        <w:t>declaración ante el  Tribunal  en  la  audiencia  pública  celebrada  en  el</w:t>
        <w:br/>
        <w:t>presente caso, el señor Rodolfo Montiel señaló, inter alia, que uno  de  los</w:t>
        <w:br/>
        <w:t>militares “[le] bajó [sus] pantalones y [su] trusa y [le]  jalaron  […]  los</w:t>
        <w:br/>
        <w:t>testículos” y que “por momentos perdía el  conocimiento”.  Cfr.  Declaración</w:t>
        <w:br/>
        <w:t>rendida por  el  señor  Rodolfo  Montiel  Flores  en  la  audiencia  pública</w:t>
        <w:br/>
        <w:t>celebrada en este caso.</w:t>
        <w:br/>
        <w:br/>
        <w:t>[178]       Cfr. Physicians for  Human  Rights-  Denmark.  El  caso  de  los</w:t>
        <w:br/>
        <w:t>señores Cabrera y Montiel, supra nota 165, folio 8381.</w:t>
        <w:br/>
        <w:br/>
        <w:t>[179]       Cfr. Physicians for  Human  Rights-  Denmark.  El  caso  de  los</w:t>
        <w:br/>
        <w:t>señores Cabrera y Montiel, supra nota 165, folio 8380).</w:t>
        <w:br/>
        <w:br/>
        <w:t>[180]       El perito indicó que el señor Cabrera  García  presentaba  “pene</w:t>
        <w:br/>
        <w:t>normal, testículo derecho atrofiado,  izquierdo  normal”.  La  atrofia  “fue</w:t>
        <w:br/>
        <w:t>confirmada durante [su] evaluación física y documentada con  un  ultrasonido</w:t>
        <w:br/>
        <w:t>de la región testicular en mayo de 2010. La atrofia  testicular  derecha  es</w:t>
        <w:br/>
        <w:t>consistente con una atrofia testicular secundaria a trauma”.  En  cuanto  al</w:t>
        <w:br/>
        <w:t>señor Montiel Flores declaró que su “pene [se encontraba]  normal,  [y  los]</w:t>
        <w:br/>
        <w:t>testículos [también]”. Cfr. Dictamen rendido  por  el  perito  José  Quiroga</w:t>
        <w:br/>
        <w:t>ante fedatario público, supra nota 173, folios 1318, 1319 y 1326.</w:t>
        <w:br/>
        <w:br/>
        <w:t>[181]       Cfr. Dictamen rendido por el perito José Quiroga ante  fedatario</w:t>
        <w:br/>
        <w:t>público, supra nota 173, folio 1319.</w:t>
        <w:br/>
        <w:br/>
        <w:t>[182]        Cfr.  Dictamen  rendido  por  la  perito  Juana  Ma.  Gutiérrez</w:t>
        <w:br/>
        <w:t>Hernández en la audiencia pública, supra nota 35.</w:t>
        <w:br/>
        <w:br/>
        <w:t>[183]       Cfr. Declaración rendida por el señor Rodolfo Montiel Flores  en</w:t>
        <w:br/>
        <w:t>la audiencia pública, supra nota 177.</w:t>
        <w:br/>
        <w:br/>
        <w:t>[184]       En este sentido, el Protocolo de Estambul señala que  “[c]iertas</w:t>
        <w:br/>
        <w:t>formas de tortura, como  los  choques  eléctricos  o  los  traumatismos  por</w:t>
        <w:br/>
        <w:t>golpes pueden ser indetectables en un primer momento pero se harán  patentes</w:t>
        <w:br/>
        <w:t>durante un examen ulterior”.  Igualmente,  se  indica  que  “la  exploración</w:t>
        <w:br/>
        <w:t>física  de  la  víctima  no  permite  determinar  el  tipo,  el  momento  de</w:t>
        <w:br/>
        <w:t>aplicación, la  intensidad  y  el  voltaje  de  la  energía  utilizada.  Los</w:t>
        <w:br/>
        <w:t>torturadores  utilizan  con  frecuencia  agua  o  geles  para  aumentar   la</w:t>
        <w:br/>
        <w:t>eficiencia de la tortura, ampliar  el  punto  de  entrada  de  la  corriente</w:t>
        <w:br/>
        <w:t>eléctrica y prevenir  la  aparición  de  quemaduras  eléctricas  detectables</w:t>
        <w:br/>
        <w:t>[…]”. Cfr. Protocolo de Estambul, supra nota 149, párrs. 174 y 211.</w:t>
        <w:br/>
        <w:br/>
        <w:t>[185]       Cfr. Análisis médico directo de los señores  Cabrera  y  Montiel</w:t>
        <w:br/>
        <w:t>de 7 de octubre de 2001, supra nota 159, folio 1734.</w:t>
        <w:br/>
        <w:br/>
        <w:t>[186]       Cfr. Physicians for  Human  Rights-  Denmark.  El  caso  de  los</w:t>
        <w:br/>
        <w:t>señores Cabrera y Montiel, supra nota 165, folio 8380.</w:t>
        <w:br/>
        <w:br/>
        <w:t>[187]       Cfr. Physicians for  Human  Rights-  Denmark.  El  caso  de  los</w:t>
        <w:br/>
        <w:t>señores Cabrera y Montiel, supra nota 165, folio 8381.</w:t>
        <w:br/>
        <w:br/>
        <w:t>[188]       Cfr. Dictamen rendido por el perito José Quiroga ante  fedatario</w:t>
        <w:br/>
        <w:t>público, supra nota 173, folios 1327.</w:t>
        <w:br/>
        <w:br/>
        <w:t>[189]       En su  declaración  ante  fedatario  público  el  señor  Cabrera</w:t>
        <w:br/>
        <w:t>García señaló lo siguiente: a)“[l]os pateaban, a  [él  l]e  pegaron  con  el</w:t>
        <w:br/>
        <w:t>rifle en la oreja”; b)  “[l]e  d[ieron  golpes]  en  las  costillas  y  [lo]</w:t>
        <w:br/>
        <w:t>tira[ron] y luego en las nalgas, y [l]e di[jeron] ‘pero en  la  noche  va  a</w:t>
        <w:br/>
        <w:t>estar lo bueno’”; c) [le] echaron agua mineral  en  las  narices,  [  y  lo]</w:t>
        <w:br/>
        <w:t>jalaban [de] las greñas”, y d) “[lo] pusieron a lo largo, [lo] levantaron  y</w:t>
        <w:br/>
        <w:t>[lo] volvieron a poner formando una cruz”. Cfr. Declaración rendida  por  el</w:t>
        <w:br/>
        <w:t>señor Teodoro Cabrera García ante fedatario público, supra nota 147,  folios</w:t>
        <w:br/>
        <w:t>1192 a 1194. Por su  parte,  en  su  declaración  ante  el  Tribunal  en  la</w:t>
        <w:br/>
        <w:t>audiencia pública celebrada en el presente caso,  el  señor  Montiel  Flores</w:t>
        <w:br/>
        <w:t>señaló, inter alia, que: a) el día de la detención, “rápidamente un  militar</w:t>
        <w:br/>
        <w:t>[lo] agarró de la greñas, [lo] tiró al suelo, ya una vez estando  tirado  en</w:t>
        <w:br/>
        <w:t>el suelo [lo] arrastró de una mano, como por cuatro  o  cinco  metros,  [lo]</w:t>
        <w:br/>
        <w:t>llevó a la orilla del río, ahí [le] puso la bota en el pulmón y la boca  del</w:t>
        <w:br/>
        <w:t>arma en la cabeza, al pie de la nuca y [le] dijo que [le]  iba  a  volar  la</w:t>
        <w:br/>
        <w:t>cabeza de un balazo, entonces igual hicieron con  Teodoro,  [los]  amarraron</w:t>
        <w:br/>
        <w:t>con las manos para atrás y [los] cruzaron [a]l río, una vez ya  cruzando  el</w:t>
        <w:br/>
        <w:t>río [los] amarraron de los pies […] en la orilla del playón en pleno  sol  y</w:t>
        <w:br/>
        <w:t>[los] tiraron boca abajo,  no  [les]  permitían  […]  sent[arse],  solamente</w:t>
        <w:br/>
        <w:t>est[aban] tirados boca abajo o boca arriba,  y  así  fue  un  tormento  para</w:t>
        <w:br/>
        <w:t>[ellos]”; b) al día siguiente, “en la noche [les] hicieron formar  una  cruz</w:t>
        <w:br/>
        <w:t>con [su] propio cuerpo, a los cuatros lados cardinales,  [i]ba[n]  volteando</w:t>
        <w:br/>
        <w:t>[su] cabeza, después [les] vendaro[n] los ojos, [los] desataron de los  pies</w:t>
        <w:br/>
        <w:t>y [les hicieron] cruza[r] el  río,  [los]  llevaron  a  otro  lugar,  cuando</w:t>
        <w:br/>
        <w:t>llega[ron] allá [les] quitaron la venda, [él] pud[o] ver  que  habían  otros</w:t>
        <w:br/>
        <w:t>hombres allí”. Después, “[le] pusieron una lámpara con una luz muy  azul  en</w:t>
        <w:br/>
        <w:t>la cara y [le] decía con una voz chillante que mire esa  luz”.  Luego  “[lo]</w:t>
        <w:br/>
        <w:t>vendaron de los ojos y [lo] jalaba[n], se  apoya[ban]  de  [sus]  hombros  y</w:t>
        <w:br/>
        <w:t>[le] brincaba de  rodillas  en  el  estómago”,  y  c)  en  el  40  Batallón,</w:t>
        <w:br/>
        <w:t>“siguieron la tortura entre golpes con palos”. “En la noche  [los]  llevaron</w:t>
        <w:br/>
        <w:t>a un cuarto […] allí [les] volvieron a dar  golpes,  [los]  subieron  en  un</w:t>
        <w:br/>
        <w:t>carro […] los volvieron a bajar, [los] volvieron a amenazar y [les]  echaron</w:t>
        <w:br/>
        <w:t>costales encima y se subieron […] sobre [ellos, les] pusieron las  armas  en</w:t>
        <w:br/>
        <w:t>la cabeza y [se los] llevaron, [diciéndoles] que [los]  llevaban  al  pozo”.</w:t>
        <w:br/>
        <w:t>Cfr.  Declaración  rendida  por  el  señor  Rodolfo  Montiel  Flores  en  la</w:t>
        <w:br/>
        <w:t>audiencia pública, supra nota 177.</w:t>
        <w:br/>
        <w:br/>
        <w:t>[190]       Cfr. Physicians for  Human  Rights-  Denmark.  El  caso  de  los</w:t>
        <w:br/>
        <w:t>señores Cabrera y Montiel, supra nota 165, folios 8380 y 8341.</w:t>
        <w:br/>
        <w:br/>
        <w:t>[191]        Cfr.  Dictamen  rendido  por  la  perito  Juana  Ma.  Gutiérrez</w:t>
        <w:br/>
        <w:t>Hernández en la audiencia pública, supra nota 162.</w:t>
        <w:br/>
        <w:br/>
        <w:t>[192]       Cfr. Protocolo de Estambul, supra nota 149, párr. 169.</w:t>
        <w:br/>
        <w:br/>
        <w:t>[193]       Por otra parte, un testigo manifestó que “se los llevaron  a  la</w:t>
        <w:br/>
        <w:t>orilla del río Pizotla, […] allá los tuvieron boca abajo en el agua  de  ahí</w:t>
        <w:br/>
        <w:t>no se supo más que hizo  el  Ejército,  con  Rodolfo  y  Teodoro  porque  no</w:t>
        <w:br/>
        <w:t>dejaron ir nadie”. Cfr. Testimonio rendido ante el Juez Quinto  de  Distrito</w:t>
        <w:br/>
        <w:t>el 26 de octubre de 1999 por Silvino Jaimes Maldonado  (Causa  Penal  61/99)</w:t>
        <w:br/>
        <w:t>(expediente de anexos a la contestación de  la  demanda,  tomo  XXIV,  folio</w:t>
        <w:br/>
        <w:t>10237). Igualmente, otra testigo, al ser interrogada acerca de la  distancia</w:t>
        <w:br/>
        <w:t>a la que se hallaba de las víctimas mientras  permanecían  en  el  río,  que</w:t>
        <w:br/>
        <w:t>“[c]omo a unos sesenta metros aproximadamente por  fuerita  de  mi  casa  de</w:t>
        <w:br/>
        <w:t>donde vi que los tenían detenidos” Cfr.  Testimonio  rendido  por  Cresencia</w:t>
        <w:br/>
        <w:t>Jaimes Maldonado, supra nota 61, folios  10245  y  10246.  Por  último,  una</w:t>
        <w:br/>
        <w:t>tercer testigo señaló que  al  señor  Montiel  Flores  “lo  tenían  junto  a</w:t>
        <w:br/>
        <w:t>Teodoro en la playa del río sobre la arena mojada boca abajo, con las  manos</w:t>
        <w:br/>
        <w:t>hacia atrás, pero no alcancé a ver si las manos las tenían amarradas en  ese</w:t>
        <w:br/>
        <w:t>lugar [debido a que estaba ubicada] a unos  cincuenta  metros  de  distancia</w:t>
        <w:br/>
        <w:t>[…] en [su] casa”. Cfr. Testimonio rendido ante el Juez Quinto  de  Distrito</w:t>
        <w:br/>
        <w:t>el 26 de octubre de 1999 al de hechos vertida por Esperaza Jaimes  Maldonado</w:t>
        <w:br/>
        <w:t>(Causa Penal 61/99) (expediente de anexos a la contestación de  la  demanda,</w:t>
        <w:br/>
        <w:t>tomo XXIV, folios 10252 y 10253).</w:t>
        <w:br/>
        <w:t>[194]       En particular, la señora Ubalda Cortés Salgado expresó que el  2</w:t>
        <w:br/>
        <w:t>de  mayo:  “Para  que  [los  señores  Cabrera  y  Montiel]  salieran    [los</w:t>
        <w:br/>
        <w:t>militares]  tiraban piedras y venían y me  decían  que  [a]donde  se  habían</w:t>
        <w:br/>
        <w:t>metido […] posteriormente yo me retiré  para  mi  casa  y  como  a  la  hora</w:t>
        <w:br/>
        <w:t>regresé y una señora de ahí me dijo a que mi esposo lo tenían detenido y  me</w:t>
        <w:br/>
        <w:t>fui a asomar y me di cuenta que lo tenían tirado boca abajo  con  las  manos</w:t>
        <w:br/>
        <w:t>hacia atrás […] después subieron  al  helicóptero  a  Rodolfo  Montiel  y  a</w:t>
        <w:br/>
        <w:t>Teodoro [Cabrera] y [a los militares les] dije que me dejaran  platicar  con</w:t>
        <w:br/>
        <w:t>él para saber a donde lo iban a llevar y me contestaron que yo no tenía  que</w:t>
        <w:br/>
        <w:t>no platicar con él que después lo  buscara”.  Cfr.  Testimonio  rendido  por</w:t>
        <w:br/>
        <w:t>Ubalda Cortés Salgado, supra nota 61, folios 10072 y 10073.  También  señaló</w:t>
        <w:br/>
        <w:t>que “estaban al pie de la orilla [del río], “nos fuimos  asomando  y  fuimos</w:t>
        <w:br/>
        <w:t>hasta un patio de esa señora, y me orillé a  las  matas  de  ciruela,  y  me</w:t>
        <w:br/>
        <w:t>dijeron que qué andaba haciendo y le pedí […]  que  cortara  unas  ciruelas,</w:t>
        <w:br/>
        <w:t>pero era para que yo me acercara para ver cómo los tenían, los tenían en  la</w:t>
        <w:br/>
        <w:t>arena ahí tirados”. Cfr. Declaración rendida por  la  señora  Ubalda  Cortés</w:t>
        <w:br/>
        <w:t>Salgado  ante  fedatario  público  (affidávit)  el  15  de  junio  de   2010</w:t>
        <w:br/>
        <w:t>(expediente de fondo, tomo  III,  folio  1208).  La  Corte  observa  que  la</w:t>
        <w:br/>
        <w:t>sentencia de amparo penal directo rechazó el testimonio de la señora  Ubalda</w:t>
        <w:br/>
        <w:t>Cortés  Salgado,  ya  que  “se  […]  advierte  su  parcialidad  y  ánimo  de</w:t>
        <w:br/>
        <w:t>beneficiar a su marido RODOLFO MONTIEL FLORES, debido a que va más  allá  de</w:t>
        <w:br/>
        <w:t>lo afirmado por los encausados al destacar que el Capitán le dijo que si  no</w:t>
        <w:br/>
        <w:t>lo acompañaba a buscarlos les iba a aventar una granada para  matarlos,  que</w:t>
        <w:br/>
        <w:t>le metieron fuego alrededor de  donde  los  acusados  permanecían  para  que</w:t>
        <w:br/>
        <w:t>salieran y  les  aventaban  piedras,  circunstancias  a  las  que  no  hacen</w:t>
        <w:br/>
        <w:t>referencia los enjuiciados; así también resulta  increíble  el  que  si  los</w:t>
        <w:br/>
        <w:t>soldados perseguían a su marido y acompañantes y ya le habían expresado  que</w:t>
        <w:br/>
        <w:t>si no salían del sitio en donde se escondían los iban a matar,  se  retirara</w:t>
        <w:br/>
        <w:t>a su casa y regresara después  de  una  hora”.  Además,  argumentó  que  “no</w:t>
        <w:br/>
        <w:t>existe explicación lógica del porqué se retiró a su casa por una hora si  no</w:t>
        <w:br/>
        <w:t>era avecindada de esa población”. Cfr. Sentencia emitida el 21 de agosto  de</w:t>
        <w:br/>
        <w:t>2002 por el Primer Tribunal Unitario, supra nota 148, folios 15130 y 15131.</w:t>
        <w:br/>
        <w:br/>
        <w:t>[195]       Cfr. Declaración rendida por el señor Rodolfo Montiel Flores  en</w:t>
        <w:br/>
        <w:t>la audiencia pública, supra nota 177.</w:t>
        <w:br/>
        <w:br/>
        <w:t>[196]       Cfr. Careos constitucionales de 26  de  agosto  de  1999,  supra</w:t>
        <w:br/>
        <w:t>nota 86, folios 10157 y 10158.</w:t>
        <w:br/>
        <w:br/>
        <w:t>[197]        Naciones  Unidas.  Consejo  Económico  y  Social.  Informe  del</w:t>
        <w:br/>
        <w:t>Relator Especial sobre la Tortura, Sir Nigel Rodley. Visita a México UN  Doc</w:t>
        <w:br/>
        <w:t>(E/CNA/1998/38/Add.2), 14 de enero de 1998, párr. 43.</w:t>
        <w:br/>
        <w:br/>
        <w:t>[198]        Naciones  Unidas.  Consejo  Económico  y  Social.  Informe  del</w:t>
        <w:br/>
        <w:t>Relator Especial sobre la Tortura, supra nota 197, párr. 64.</w:t>
        <w:br/>
        <w:br/>
        <w:t>[199]       Cfr. Caso Loayza Tamayo vs. Perú, supra nota  37,  párr.  57,  y</w:t>
        <w:br/>
        <w:t>Caso  Del  Penal  Miguel  Castro  Castro  vs.  Perú.  Interpretación  de  la</w:t>
        <w:br/>
        <w:t>Sentencia de Fondo, Reparaciones y Costas. Sentencia de 2 de agosto de  2008</w:t>
        <w:br/>
        <w:t>Serie C No. 181, párr. 76.</w:t>
        <w:br/>
        <w:br/>
        <w:t>[200]       Cfr. Caso López Álvarez  vs.  Honduras.  Fondo,  Reparaciones  y</w:t>
        <w:br/>
        <w:t>Costas. Sentencia de 1 de febrero de 2006. Serie C No.  141,  párrs.  104  a</w:t>
        <w:br/>
        <w:t>106; Caso del Penal Miguel Castro Castro vs.  Perú.  Fondo,  Reparaciones  y</w:t>
        <w:br/>
        <w:t>Costas. Sentencia de 25 de noviembre de 2006. Serie C No. 160, párr. 273,  y</w:t>
        <w:br/>
        <w:t>Caso Ibsen Cárdenas e Ibsen Peña vs. Bolivia, supra nota 30, párr. 117.</w:t>
        <w:br/>
        <w:br/>
        <w:t>[201]       Cfr. Caso Juan Humberto Sánchez vs. Honduras,  supra  nota  119,</w:t>
        <w:br/>
        <w:t>párr. 100, y Caso Bulacio vs. Argentina, supra nota 123, párr. 127.</w:t>
        <w:br/>
        <w:br/>
        <w:t>[202] Cfr. Caso de los “Niños de la Calle” (Villagrán Morales y  otros)  vs.</w:t>
        <w:br/>
        <w:t>Guatemala, supra nota 29, párr. 170; Caso Escué Zapata vs.  Colombia,  supra</w:t>
        <w:br/>
        <w:t>nota 53, párr. 71, y Caso Ibsen Cárdenas e Ibsen  Peña  vs.  Bolivia,  supra</w:t>
        <w:br/>
        <w:t>nota 30, párr. 95.</w:t>
        <w:br/>
        <w:br/>
        <w:t>[203] Cfr. Caso Juan Humberto Sánchez vs. Honduras, supra  nota  119,  párr.</w:t>
        <w:br/>
        <w:t>111; Caso del Penal Miguel Castro Castro vs.  Perú.  Fondo,  Reparaciones  y</w:t>
        <w:br/>
        <w:t>Costas, supra nota 200, párr.  273,  y  Caso  Zambrano  Vélez  y  otros  vs.</w:t>
        <w:br/>
        <w:t>Ecuador, supra nota 24, párr. 108.</w:t>
        <w:br/>
        <w:br/>
        <w:t>[204]       Cfr. Caso Gutiérrez Soler vs. Colombia.  Fondo,  Reparaciones  y</w:t>
        <w:br/>
        <w:t>Costas. Sentencia de 12 de septiembre de 2005. Serie C No.  132,  párr.  54;</w:t>
        <w:br/>
        <w:t>Caso Bayarri vs. Argentina, supra nota 123, párr. 92,  y  Caso  Bueno  Alves</w:t>
        <w:br/>
        <w:t>Vs. Argentina. Fondo, Reparaciones y Costas. Sentencia  de  11  de  mayo  de</w:t>
        <w:br/>
        <w:t>2007. Serie C No. 164, párr. 88.</w:t>
        <w:br/>
        <w:br/>
        <w:t>[205]       Cfr. Protocolo de Estambul, supra nota 149, párr. 76.</w:t>
        <w:br/>
        <w:br/>
        <w:t>[206]       Cfr. Protocolo de Estambul, supra nota 149, párrs. 56, 60, 65  y</w:t>
        <w:br/>
        <w:t>66.</w:t>
        <w:br/>
        <w:br/>
        <w:t>[207]       Cfr. Naciones Unidas. Comité contra la Tortura. PE vs.  Francia,</w:t>
        <w:br/>
        <w:t>Comunicación 193/2001, Informe de 21 de noviembre de 2002, párr. 6.3.</w:t>
        <w:br/>
        <w:br/>
        <w:t>[208]       El Subcomité para la Prevención de la Tortura ha  indicado  que:</w:t>
        <w:br/>
        <w:t>“En lo que respecta a la valoración de  la  prueba,  es  la  obligación  del</w:t>
        <w:br/>
        <w:t>Estado parte demostrar que sus  agentes  y  sus  instituciones  no  comenten</w:t>
        <w:br/>
        <w:t>actos de tortura y no ha de ser la víctima la que tenga  que  demostrar  que</w:t>
        <w:br/>
        <w:t>se han dado casos  de  tortura,  aún  más  si  ésta  ha  estado  sometida  a</w:t>
        <w:br/>
        <w:t>condiciones que le imposibilitan demostrarlo” Cfr. Naciones  Unidas,  Comité</w:t>
        <w:br/>
        <w:t>Contra la Tortura, Informe sobre México Preparado en el Marco  del  Artículo</w:t>
        <w:br/>
        <w:t>20 de la Convención, párr 39. Asimismo, Naciones Unidas. Comité de  Derechos</w:t>
        <w:br/>
        <w:t>Humanos. Singarasa vs. Sri Lanka, Informe de 21  de  julio  de  2004,  párr.</w:t>
        <w:br/>
        <w:t>7.4.</w:t>
        <w:br/>
        <w:t>[209]        El  artículo  8.1  de  la   Convención   Americana   (Garantías</w:t>
        <w:br/>
        <w:t>Judiciales) establece que:</w:t>
        <w:br/>
        <w:br/>
        <w:t xml:space="preserve">      1.     Toda  persona  tiene  derecho  a  ser  oída,  con  las  debidas</w:t>
        <w:br/>
        <w:t xml:space="preserve">      garantías y dentro de un plazo  razonable,  por  un  juez  o  tribunal</w:t>
        <w:br/>
        <w:t xml:space="preserve">      competente, independiente e imparcial,  establecido  con  anterioridad</w:t>
        <w:br/>
        <w:t xml:space="preserve">      por la ley, en la sustanciación de cualquier acusación penal formulada</w:t>
        <w:br/>
        <w:t xml:space="preserve">      contra ella, o para la determinación de sus derechos y obligaciones de</w:t>
        <w:br/>
        <w:t xml:space="preserve">      orden civil, laboral, fiscal o de cualquier otro carácter.</w:t>
        <w:br/>
        <w:br/>
        <w:t xml:space="preserve">       2. Toda persona inculpada de delito tiene derecho a que se presuma su</w:t>
        <w:br/>
        <w:t xml:space="preserve">      inocencia  mientras  no  se  establezca  legalmente  su  culpabilidad.</w:t>
        <w:br/>
        <w:t xml:space="preserve">      Durante el proceso, toda persona tiene derecho, en plena  igualdad,  a</w:t>
        <w:br/>
        <w:t xml:space="preserve">      las siguientes garantías mínimas:</w:t>
        <w:br/>
        <w:br/>
        <w:t xml:space="preserve">            a)    derecho del inculpado de ser asistido gratuitamente por el</w:t>
        <w:br/>
        <w:t xml:space="preserve">        traductor o intérprete, si no comprende o no habla  el  idioma  del</w:t>
        <w:br/>
        <w:t xml:space="preserve">        juzgado o tribunal;</w:t>
        <w:br/>
        <w:br/>
        <w:t xml:space="preserve">             b)    comunicación  previa  y  detallada  al  inculpado  de  la</w:t>
        <w:br/>
        <w:t>acusación formulada;</w:t>
        <w:br/>
        <w:br/>
        <w:t xml:space="preserve">             c)    concesión  al  inculpado  del  tiempo  y  de  los  medios</w:t>
        <w:br/>
        <w:t xml:space="preserve">        adecuados para la preparación de su defensa;</w:t>
        <w:br/>
        <w:br/>
        <w:t xml:space="preserve">        d)       derecho del inculpado de defenderse personalmente o de ser</w:t>
        <w:br/>
        <w:t xml:space="preserve">        asistido por un defensor de su elección y de  comunicarse  libre  y</w:t>
        <w:br/>
        <w:t xml:space="preserve">        privadamente con su defensor;</w:t>
        <w:br/>
        <w:br/>
        <w:t xml:space="preserve">        e)       derecho irrenunciable de  ser  asistido  por  un  defensor</w:t>
        <w:br/>
        <w:t xml:space="preserve">        proporcionado por el Estado, remunerado o no según  la  legislación</w:t>
        <w:br/>
        <w:t xml:space="preserve">        interna, si el inculpado no se defendiere por sí mismo ni  nombrare</w:t>
        <w:br/>
        <w:t xml:space="preserve">        defensor dentro del plazo establecido por la ley;</w:t>
        <w:br/>
        <w:br/>
        <w:t xml:space="preserve">        f)       derecho  de  la  defensa  de  interrogar  a  los  testigos</w:t>
        <w:br/>
        <w:t xml:space="preserve">        presentes en el  tribunal  y  de  obtener  la  comparecencia,  como</w:t>
        <w:br/>
        <w:t xml:space="preserve">        testigos o peritos, de otras personas que puedan arrojar luz  sobre</w:t>
        <w:br/>
        <w:t xml:space="preserve">        los hechos;</w:t>
        <w:br/>
        <w:br/>
        <w:t xml:space="preserve">            g)   derecho a no ser obligado a declarar contra sí mismo  ni  a</w:t>
        <w:br/>
        <w:t>declararse culpable, y</w:t>
        <w:br/>
        <w:br/>
        <w:t xml:space="preserve">            h)    derecho  de  recurrir  del  fallo  ante  juez  o  tribunal</w:t>
        <w:br/>
        <w:t>superior.</w:t>
        <w:br/>
        <w:br/>
        <w:t xml:space="preserve">      3.    La confesión del inculpado solamente es válida si es  hecha  sin</w:t>
        <w:br/>
        <w:t>coacción de ninguna naturaleza.</w:t>
        <w:br/>
        <w:br/>
        <w:t>[210] El artículo 25.1 de  la  Convención  Americana  (Protección  Judicial)</w:t>
        <w:br/>
        <w:t>establece que:</w:t>
        <w:br/>
        <w:br/>
        <w:t xml:space="preserve">       1.   Toda persona tiene derecho a un recurso sencillo y  rápido  o  a</w:t>
        <w:br/>
        <w:t xml:space="preserve">      cualquier  otro  recurso  efectivo  ante  los  jueces   o   tribunales</w:t>
        <w:br/>
        <w:t xml:space="preserve">      competentes, que la  ampare  contra  actos  que  violen  sus  derechos</w:t>
        <w:br/>
        <w:t xml:space="preserve">      fundamentales reconocidos por la Constitución, la ley  o  la  presente</w:t>
        <w:br/>
        <w:t xml:space="preserve">      Convención, aun cuando tal violación sea  cometida  por  personas  que</w:t>
        <w:br/>
        <w:t xml:space="preserve">      actúen en ejercicio de sus funciones oficiales.</w:t>
        <w:br/>
        <w:br/>
        <w:t>[211]       El artículo 2 de  la  Convención  Americana  (Deber  de  Adoptar</w:t>
        <w:br/>
        <w:t xml:space="preserve">      Disposiciones de Derecho Interno) establece que:</w:t>
        <w:br/>
        <w:br/>
        <w:t xml:space="preserve">       Si el ejercicio de 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[212]       Cfr. Caso Genie Lacayo  vs.  Nicaragua.  Fondo,  Reparaciones  y</w:t>
        <w:br/>
        <w:t>Costas. Sentencia del 29 de enero de 1997. Serie C No. 30,  párr.  74;  Caso</w:t>
        <w:br/>
        <w:t>Yvon Neptune vs. Haití,  supra  nota  49,  párr.  79,  y  Caso  Bayarri  vs.</w:t>
        <w:br/>
        <w:t>Argentina, supra nota 123, párr. 101.</w:t>
        <w:br/>
        <w:br/>
        <w:br/>
        <w:t>[213]        Cfr.  Caso  Velásquez  Rodríguez  vs.   Honduras.   Excepciones</w:t>
        <w:br/>
        <w:t>Preliminares. Sentencia de 26 de junio de 1987. Serie C  No.  1,  párr.  91;</w:t>
        <w:br/>
        <w:t>Caso Fernández Ortega y otros. vs. México, supra nota 39, párr. 180, y  Caso</w:t>
        <w:br/>
        <w:t>Rosendo Cantú y otra vs. México, supra nota 30, párr. 164.</w:t>
        <w:br/>
        <w:br/>
        <w:t>[214]        Cfr.  Caso  Velásquez  Rodríguez  Vs.   Honduras.   Excepciones</w:t>
        <w:br/>
        <w:t>Preliminares, supra nota 213, párr. 91; Caso De la Masacre de las Dos  Erres</w:t>
        <w:br/>
        <w:t>vs.  Guatemala.  Excepción  Preliminar,  Fondo,   Reparaciones   y   Costas.</w:t>
        <w:br/>
        <w:t>Sentencia de 24 de noviembre de 2009. Serie C No. 211,  párr.  104,  y  Caso</w:t>
        <w:br/>
        <w:t>Chitay  Nech  y  otros  vs.  Guatemala.  Excepciones  Preliminares,   Fondo,</w:t>
        <w:br/>
        <w:t>Reparaciones y Costas. Sentencia de 25 de mayo de 2010.  Serie  C  No.  212,</w:t>
        <w:br/>
        <w:t>párr. 190.</w:t>
        <w:br/>
        <w:br/>
        <w:t>[215]       Cfr. Caso de los  “Niños  de  la  Calle”  (Villagrán  Morales  y</w:t>
        <w:br/>
        <w:t>otros) vs. Guatemala, supra nota 29, párr.  237;  Caso  Fernández  Ortega  y</w:t>
        <w:br/>
        <w:t>otros. vs. México, supra nota 39, párr. 182, y Caso  Rosendo  Cantú  y  otra</w:t>
        <w:br/>
        <w:t>vs. México,  supra nota 30, párr. 166.</w:t>
        <w:br/>
        <w:br/>
        <w:t>[216]            Cfr. Garantías Judiciales en Estados de  Emergencia  (arts.</w:t>
        <w:br/>
        <w:t>27.2,  25  y  8  Convención  Americana  sobre  Derechos  Humanos).   Opinión</w:t>
        <w:br/>
        <w:t>Consultiva OC-9/87 del 6 de octubre de 1987. Serie A No. 9, párr.  24;  Caso</w:t>
        <w:br/>
        <w:t>Fernández Ortega y otros. vs. México, supra  nota  39,  párr.  182,  y  Caso</w:t>
        <w:br/>
        <w:t>Rosendo Cantú y otra vs. México, supra nota 30, párr. 166.</w:t>
        <w:br/>
        <w:br/>
        <w:t>[217] Cfr. Opinión Consultiva  OC-9/87,  supra  nota  216,  párr.  23;  Caso</w:t>
        <w:br/>
        <w:t>Fernández Ortega y otros. vs. México, supra  nota  39,  párr.  182,  y  Caso</w:t>
        <w:br/>
        <w:t>Rosendo Cantú y otra vs. México, supra nota 30, párr. 166.</w:t>
        <w:br/>
        <w:br/>
        <w:t>[218]       Cfr. Caso Maritza Urrutia vs. Guatemala. Fondo,  Reparaciones  y</w:t>
        <w:br/>
        <w:t>Costas. Sentencia de 27 de noviembre de 2003. Serie C No.  103,  párr.  117;</w:t>
        <w:br/>
        <w:t>Caso Fernández Ortega y otros. vs. México, supra nota 39, párr. 182, y  Caso</w:t>
        <w:br/>
        <w:t>Rosendo Cantú y otra vs. México, supra nota 30, párr. 166.</w:t>
        <w:br/>
        <w:br/>
        <w:t>[219]       En sus  declaraciones  ante  la  Corte  los  señores  Cabrera  y</w:t>
        <w:br/>
        <w:t>Montiel manifestaron que no estaban cometiendo delito alguno al  momento  de</w:t>
        <w:br/>
        <w:t>ser detenidos. En particular, el señor Montiel Flores indicó  que  él  y  su</w:t>
        <w:br/>
        <w:t>esposa habían llegado a la casa del  señor  Cabrera  García  porque  estaban</w:t>
        <w:br/>
        <w:t>convocando a una marcha y, en ese mismo proceso, vendiendo ropa.  “El  2  de</w:t>
        <w:br/>
        <w:t>mayo de 1999 estaba […] afuera de la casa platicando con  un  viejecito  que</w:t>
        <w:br/>
        <w:t>[…]  tenía  como  82  años,  est[a]ba[n]  platicando  amistosamente  en  ese</w:t>
        <w:br/>
        <w:t>momento, también [su] esposa[…].  [Él]  no  vi[o]  que  la  gente  estuviera</w:t>
        <w:br/>
        <w:t>armada y solo pues vi[o] que los militares llegaron disparando […],  tampoco</w:t>
        <w:br/>
        <w:t>vi[o] que eran militares, porque se supone que los militares  cuando  llegan</w:t>
        <w:br/>
        <w:t>o anteriormente que llegaban a una comunidad se identificaban, ellos  no  se</w:t>
        <w:br/>
        <w:t>identificaron  hablando  con   palabras,   se   identificaron   a   balazos,</w:t>
        <w:br/>
        <w:t>corri[eron] y en eso una bala […] alcanzó a Salomé Sánchez Ortiz  […].  [Él]</w:t>
        <w:br/>
        <w:t>qui[so] dejar claro, [que] nunca h[an] traído arma, porque  […]  no  est[án]</w:t>
        <w:br/>
        <w:t>luchando en contra de la vida, el  portar  arma  es  como  quien  dice  para</w:t>
        <w:br/>
        <w:t>atacar a alguien  […]”.  Cfr.  Declaración  rendida  por  el  señor  Rodolfo</w:t>
        <w:br/>
        <w:t>Montiel Flores en la audiencia pública, supra nota 177.  Por  su  parte,  el</w:t>
        <w:br/>
        <w:t>señor Cabrera García indicó en su declaración jurada ante fedatario  público</w:t>
        <w:br/>
        <w:t>que  “la  cuadrilla   de   soldados   llegó   disparando,   entonces   todos</w:t>
        <w:br/>
        <w:t>corri[eron]”. Cfr. Declaración rendida por el señor Teodoro  Cabrera  García</w:t>
        <w:br/>
        <w:t>ante fedatario público, supra nota 147, folio 1192.</w:t>
        <w:br/>
        <w:br/>
        <w:t>[220]       Los peritos implicados declararon tener a la vista “una  pistola</w:t>
        <w:br/>
        <w:t>semiautomática, calibre 380,  de  la  marca  Pietro  Bereta,  fabricada  por</w:t>
        <w:br/>
        <w:t>Browning Arms Company; un rifle calibre .22 de la  marca  Remington,  Modelo</w:t>
        <w:br/>
        <w:t>550-1; un rifle calibre .22,  tipo  cerrojo,  sin  número  de  matrícula  ni</w:t>
        <w:br/>
        <w:t>marca; un rifle calibre .22,  de  la  marca  Remington,  modelo  550-1;  las</w:t>
        <w:br/>
        <w:t>cuales son de las que pueden poseer y portar un  particular  en  términos  y</w:t>
        <w:br/>
        <w:t>limitaciones establecidas en la Ley Federal de Armas de Fuego y  Explosivos,</w:t>
        <w:br/>
        <w:t>ilícito previsto y sancionado en el artículo 9º  fracción  I  y  II  segundo</w:t>
        <w:br/>
        <w:t>[p]árrafo[,] respectivamente en relación con el 81 primer párrafo de la  Ley</w:t>
        <w:br/>
        <w:t>antes aludida. Así mismo al tener  a  la  vista  la  pistola  semiautomática</w:t>
        <w:br/>
        <w:t>calibre .45 ma[r]ca Colt’s, con número de matrícula 85900G70; el fusil  tipo</w:t>
        <w:br/>
        <w:t>M1A, calibre 7.62 mm. de la  marca  Esprinfield,  con  número  de  matrícula</w:t>
        <w:br/>
        <w:t>035757; son de las reservadas para el uso exclusivo del Ejército,  Armada  y</w:t>
        <w:br/>
        <w:t>Fuerza Aérea Mexicana, ilícito previsto y sancionado  en  los  artículos  11</w:t>
        <w:br/>
        <w:t>incisos b) y c), en  relación  con  el  artículo  83  fracciones  II  y  III</w:t>
        <w:br/>
        <w:t>respectivamente de la [citada] Ley Federal de Armas de Fuego y  explosivos”.</w:t>
        <w:br/>
        <w:t>Cfr. Peritaje en materia de identificación de armas de fuego de  6  de  mayo</w:t>
        <w:br/>
        <w:t>de  1999  (Averiguación  Previa  33/CC/99)  (expediente  de  anexos   a   la</w:t>
        <w:br/>
        <w:t>contestación de la demanda, tomo XXIII, folio 9791).</w:t>
        <w:br/>
        <w:br/>
        <w:t>[221]       Cfr. Sentencia emitida el 21 de agosto de  2002  por  el  Primer</w:t>
        <w:br/>
        <w:t>Tribunal Unitario, supra nota 148, folios 14593 a 14596.</w:t>
        <w:br/>
        <w:br/>
        <w:t>[222]       Cfr. Sentencia emitida el 21 de agosto de  2002  por  el  Primer</w:t>
        <w:br/>
        <w:t>Tribunal Unitario, supra nota 148, folios 15321 a 15324.</w:t>
        <w:br/>
        <w:br/>
        <w:t>[223]       El 4 de mayo de 1999 un perito realizó la prueba  de  rodizonato</w:t>
        <w:br/>
        <w:t>de sodio a las muestras tomadas de ambas manos  de  los  señores  Cabrera  y</w:t>
        <w:br/>
        <w:t>Montiel. El correspondiente dictamen  señaló  que:  “[d]e  acuerdo  con  los</w:t>
        <w:br/>
        <w:t>resultados obtenidos de las muestras analizadas de  los  detenidos  […],  se</w:t>
        <w:br/>
        <w:t>establece que al [señor Cabrera García] en ambas manos SÍ,  se  le  encontró</w:t>
        <w:br/>
        <w:t>la  presencia  de  los  elementos  de  plomo  y  [b]ario,  constante  en  la</w:t>
        <w:br/>
        <w:t>deflagración de la pólvora por acción de un disparo de  un  arma  de  fuego.</w:t>
        <w:br/>
        <w:t>[Al señor Montiel Flores] únicamente en la mano derecha  se  le  encontraron</w:t>
        <w:br/>
        <w:t>los  elementos  antes  mencionados  constantes  en  la  deflagración  de  la</w:t>
        <w:br/>
        <w:t>p[ó]lvora, resultando negativo  en  la  mano  izquierda”.  Cfr.  Oficio  No.</w:t>
        <w:br/>
        <w:t>067/99 de fecha 4 de mayo de 1999, mediante el cual el  perito  químico  Rey</w:t>
        <w:br/>
        <w:t>Yáñez Sánchez rindió dictamen al Agente Titular del Ministerio  Público  del</w:t>
        <w:br/>
        <w:t>Fuero  Común,  Departamento  Judicial  de   Cuautemoc,   Arcelia,   Guerrero</w:t>
        <w:br/>
        <w:t>(expediente de anexos a la contestación de la  demanda,  tomo  XXIII,  folio</w:t>
        <w:br/>
        <w:t>9729).</w:t>
        <w:br/>
        <w:br/>
        <w:t>[224]       Cfr. Sentencia emitida el 26 de octubre de 2000  por  el  Primer</w:t>
        <w:br/>
        <w:t>Tribunal Unitario, supra nota 77, folio 12015.</w:t>
        <w:br/>
        <w:br/>
        <w:t>[225]       Cfr. Sentencia emitida el 26 de octubre de 2000  por  el  Primer</w:t>
        <w:br/>
        <w:t>Tribunal Unitario, supra nota 77, folio 12137.</w:t>
        <w:br/>
        <w:br/>
        <w:t>[226]       Cfr. Sentencia emitida el 16 de julio  de  2001  por  el  Primer</w:t>
        <w:br/>
        <w:t>Tribunal Unitario, supra nota 82, folio 13656.</w:t>
        <w:br/>
        <w:br/>
        <w:t>[227]       Según dicha declaración ante Ministerio Público de 6 de mayo  de</w:t>
        <w:br/>
        <w:t>1999, el señor Montiel Flores habría alegado que “[él]  sembr[ó]  marihuana,</w:t>
        <w:br/>
        <w:t>porque el Gobierno  no  [los]  ayuda  con  proyectos  productivos”.  Que  su</w:t>
        <w:br/>
        <w:t>plantío de marihuana era “máximo [de] un cuarto de  [h]ectárea[,]  que  [él]</w:t>
        <w:br/>
        <w:t>sembr[ó] por necesidad para venderla” y que “la  semilla  de  marihuana  que</w:t>
        <w:br/>
        <w:t>encontraron, era de otro dueño, ya que [él] sembr[ó] nada  más  hasta  donde</w:t>
        <w:br/>
        <w:t>[le] alcanzó la semilla, que la sembr[ó] el veintidós de  enero,  y  que  la</w:t>
        <w:br/>
        <w:t>cuidaba [él] solo”. Cfr. Declaración del señor Montiel Flores de 6  mayo  de</w:t>
        <w:br/>
        <w:t>1999, supra nota 132, folios 9778 al 9779.</w:t>
        <w:br/>
        <w:br/>
        <w:t>[228]        El  Primer  Tribunal  Unitario  afirmó  que  “ninguna  de   las</w:t>
        <w:br/>
        <w:t>autoridades encargadas de la investigación de los  delitos,  conforme  a  lo</w:t>
        <w:br/>
        <w:t>dispuesto en el artículo 21  de  la  Carta  Magna,  practicó  diligencia  de</w:t>
        <w:br/>
        <w:t>inspección  alguna  en  el  lugar  donde  se  encontraba  el  sembradío   de</w:t>
        <w:br/>
        <w:t>marihuana”; existe una “evidente y palpable  contradicción”  puesto  que  de</w:t>
        <w:br/>
        <w:t>las declaraciones de los inculpados se desprende que RODOLFO MONTIEL  FLORES</w:t>
        <w:br/>
        <w:t>“es el que había sembrado  marihuana”  y  “en  la  denuncia  los  castrenses</w:t>
        <w:br/>
        <w:t>aseveraron que el plantío era de ‘TEODORO CABRERA GARCÍA’”, es  decir,  “los</w:t>
        <w:br/>
        <w:t>castrenses mencionados introducen en su denuncia cuestiones incongruentes  y</w:t>
        <w:br/>
        <w:t>contradictorias entre sí” “en tanto que el supuesto plantío de marihuana  se</w:t>
        <w:br/>
        <w:t>encontraba a ‘tres horas a pie’ […] sin que con las probanzas  aportadas  al</w:t>
        <w:br/>
        <w:t>sumario se esté en aptitud de aclarar  dicha  circunstancia”.  El  “acta  de</w:t>
        <w:br/>
        <w:t>destrucción [de plantío de marihuana] no contiene la fecha en que  la  misma</w:t>
        <w:br/>
        <w:t>fue levantada […] ni se describe en ella la  ubicación  precisa  del  lugar”</w:t>
        <w:br/>
        <w:t>donde se llevó a cabo tal destrucción y “no ref[iere]  el  procedimiento  ni</w:t>
        <w:br/>
        <w:t>la forma” en que midieron el plantío y  su  densidad.  Además,  tampoco  las</w:t>
        <w:br/>
        <w:t>fotografías del plantío “[son] apta[s]  para  acreditar  [su]  destrucción”;</w:t>
        <w:br/>
        <w:t>respecto a la fe dada por  el  Agente  del  Ministerio  Público  Federal  de</w:t>
        <w:br/>
        <w:t>Coyuca de Catalán, Guerrero, como por el Secretario de Acuerdos del  Juzgado</w:t>
        <w:br/>
        <w:t>de Primera Instancia del Ramo  Penal  del  Distrito  Judicial  de  Mina,  se</w:t>
        <w:br/>
        <w:t>concluyó que el hecho “de haber tenido a la vista  quince  plantas  con  las</w:t>
        <w:br/>
        <w:t>características propias de la marihuana […], sólo  es  apta  para  demostrar</w:t>
        <w:br/>
        <w:t>que dicho vegetal se tuvo a  la  vista,  […]  pero  de  ninguna  manera  son</w:t>
        <w:br/>
        <w:t>demostrativas de la  existencia  del  plantío  de  marihuana  en  cuestión”;</w:t>
        <w:br/>
        <w:t>respecto a las  inconsistencias  en  las  aseveraciones  de  los  militares,</w:t>
        <w:br/>
        <w:t>indicó que mientras uno “manifestó […] no rec[ordar] la ubicación exacta  de</w:t>
        <w:br/>
        <w:t>la parcela” y que “no lo acompañó ninguno de los detenidos”; el otro por  su</w:t>
        <w:br/>
        <w:t>parte dijo que “ambos inculpados permanecieron juntos [y] que el día en  que</w:t>
        <w:br/>
        <w:t>se realizó la destrucción del plantío [los señores  Cabrera  y  Montiel]  se</w:t>
        <w:br/>
        <w:t>encontraban detenidos  en  la  comunidad  de  Pizotla”  y  que  ninguno  los</w:t>
        <w:br/>
        <w:t>acompañó. Cfr. Sentencia emitida el 21 de  agosto  de  2002  por  el  Primer</w:t>
        <w:br/>
        <w:t>Tribunal Unitario, supra nota 148, folios 14580 a 14585.</w:t>
        <w:br/>
        <w:br/>
        <w:t>[229]       Cfr. Sentencia emitida el 21 de agosto de  2002  por  el  Primer</w:t>
        <w:br/>
        <w:t>Tribunal Unitario, supra nota 148, folios 15317 a 15324.</w:t>
        <w:br/>
        <w:br/>
        <w:t>[230]       La defensa de los señores Cabrera y Montiel dejó  constancia  de</w:t>
        <w:br/>
        <w:t>“que el testigo declarante estaba  leyendo  en  una  hoja  de  libreta  tipo</w:t>
        <w:br/>
        <w:t>taquigrafía en la cual est[aba] la respuesta del día de  los  hechos,  misma</w:t>
        <w:br/>
        <w:t>que responde la pregunta […] que  acab[aba]  de  formular”.  Debido  a  esta</w:t>
        <w:br/>
        <w:t>petición  de  la  defensa,  la  Secretaría  Encargada  del   Despacho   dejó</w:t>
        <w:br/>
        <w:t>constancia de que “el testigo […] presente extrajo de su pantalón  una  hoja</w:t>
        <w:br/>
        <w:t>de papel en la cual se aprecia lo siguiente: 7.30 hrs 4 de mayo  de  1999  a</w:t>
        <w:br/>
        <w:t>las 19:30 en Arcelia […] Armas prohibidas Delito: enervantes 6:  armas  dif.</w:t>
        <w:br/>
        <w:t>Calibre Teodoro seña nu[b]e en un ojo Rodolfo”. Cfr. Actuación ante el  Juez</w:t>
        <w:br/>
        <w:t>Quinto de Distrito de 21 de enero de 2000  mediante  la  cual  se  rindieron</w:t>
        <w:br/>
        <w:t>testimonio dos testigos de asistencia y un abogado de  oficio,  durante  las</w:t>
        <w:br/>
        <w:t>declaraciones de 4 de mayo de 1999 (expediente de anexos a  la  contestación</w:t>
        <w:br/>
        <w:t>de la demanda, tomo XXIV, folios 10440 a 10441).</w:t>
        <w:br/>
        <w:br/>
        <w:t>[231]       En la sentencia de 26 de octubre  de  2000  se  indicó  que  “se</w:t>
        <w:br/>
        <w:t>advierte desacertado por parte de  los  enjuiciados  pues  señalan  que  tal</w:t>
        <w:br/>
        <w:t>altercado ocurrió  en  el  sitio  de  su  arresto  y  en  las  instalaciones</w:t>
        <w:br/>
        <w:t>militares, siendo que el testigo de cargo es  empleado  (…)  del  Ministerio</w:t>
        <w:br/>
        <w:t>Público (…) con asiento en Arcelia, Guerrero, amen que  fue  contundente  en</w:t>
        <w:br/>
        <w:t>señalar que nunca ha  salido  de  dicha  oficina  donde  se  desempeña  como</w:t>
        <w:br/>
        <w:t>intendente”. Respecto a lo anterior, la Corte observa que  este  funcionario</w:t>
        <w:br/>
        <w:t>fue, a  su  vez,  el  testigo  de  asistencia  durante  las  diligencias  de</w:t>
        <w:br/>
        <w:t>levantamiento  de  cadáver  del  señor  Salome  Sánchez  efectuadas  en   el</w:t>
        <w:br/>
        <w:t>municipio de Pizotla. Cfr. Acta de traslado de personal,  inspección  ocular</w:t>
        <w:br/>
        <w:t>y fe de cadáver de 4 de mayo de 1999, supra  nota  65,  folio  4208.  En  la</w:t>
        <w:br/>
        <w:t>sentencia de 21 de agosto de 2002, el Primer Tribunal  Unitario  declaró  al</w:t>
        <w:br/>
        <w:t>respecto: “y aún más se denota el ánimo de  los  acusados  en  sostener  sus</w:t>
        <w:br/>
        <w:t>argumentaciones defensivas al señalar a[l referido  testigo  de  asistencia]</w:t>
        <w:br/>
        <w:t>como uno de los que los agredieron físicamente en el lugar  de  su  arresto,</w:t>
        <w:br/>
        <w:t>de ahí que  al  pretender  reconocerlo  como  su  agresor  no  se  considera</w:t>
        <w:br/>
        <w:t>relevante el que se asentara en dicha  diligencia  que  se  le  encontró  un</w:t>
        <w:br/>
        <w:t>papel con datos de identificación de los  acusados,  aún  cuando  éste  solo</w:t>
        <w:br/>
        <w:t>fungió como testigo de asistencia en su deposado indagatorio ante el  Fiscal</w:t>
        <w:br/>
        <w:t>del Fuero Común de Arcelia, Guerrero, e indicó que era  auxiliar  intendente</w:t>
        <w:br/>
        <w:t>de dicha oficina, por  ende  si  los  que  lo  arrestaron  fueron  solamente</w:t>
        <w:br/>
        <w:t>militares, no es entendible que pretendan hacer notar  la  presencia  de  un</w:t>
        <w:br/>
        <w:t>civil que nunca mencionaron en  sus  primigenias  manifestaciones;  todo  lo</w:t>
        <w:br/>
        <w:t>cual  resta  eficacia  probatoria  a   sus   posteriores   declaraciones   y</w:t>
        <w:br/>
        <w:t>diligencias en donde sostienen las mismas”. Cfr. Sentencia emitida el 26  de</w:t>
        <w:br/>
        <w:t>octubre de 2000 por el Primer  Tribunal  Unitario,  supra  nota  77,  folios</w:t>
        <w:br/>
        <w:t>15265 a 15266.</w:t>
        <w:br/>
        <w:br/>
        <w:t>[232] El Tribunal Unitario en la sentencia de 26 de octubre de  2000  indicó</w:t>
        <w:br/>
        <w:t>que:  “resulta[ba]  irrelevante  [que  el  primer  militar]   refiriera   en</w:t>
        <w:br/>
        <w:t>principio que no tenía idea de la fecha y hora en que los  detenidos  fueron</w:t>
        <w:br/>
        <w:t>llevados a Arcelia y posteriormente en la misma  diligencia  que  en  ningún</w:t>
        <w:br/>
        <w:t>momento fueron trasladados  a  ese  lugar  […]  en  tanto  que  [el  segundo</w:t>
        <w:br/>
        <w:t>militar] indic[ó] que s[í]  fueron  llevados  a[l]  Ministerio  Público  del</w:t>
        <w:br/>
        <w:t>Fuero Común de Arcelia […], lo anterior  porque  […]  en  el  sumario  obran</w:t>
        <w:br/>
        <w:t>precisamente   las   actuaciones   practicadas   por    dicho    funcionario</w:t>
        <w:br/>
        <w:t>investigador, […] de lo que se colige que no existe la menor duda  sobre  si</w:t>
        <w:br/>
        <w:t>estuvieron o no ante la autoridad que se anota”. Cfr. Sentencia  emitida  el</w:t>
        <w:br/>
        <w:t>26 de octubre de 2000 por el Primer Tribunal Unitario, supra nota 77,  folio</w:t>
        <w:br/>
        <w:t>12083.</w:t>
        <w:br/>
        <w:br/>
        <w:t>[233]       En su declaración en audiencia pública el señor  Montiel  indicó</w:t>
        <w:br/>
        <w:t>que “no sabía leer,  no  sabía  escribir”  y  que  por  eso  al  firmar  las</w:t>
        <w:br/>
        <w:t>declaraciones “invent[ó]  una firma”. Cfr. Declaración rendida por el  señor</w:t>
        <w:br/>
        <w:t>Rodolfo  Montiel  Flores  en  la  audiencia   pública,   supra   nota   177.</w:t>
        <w:br/>
        <w:t>Previamente, en el proceso penal interno, en un careo con una defensora,  el</w:t>
        <w:br/>
        <w:t>señor Montiel indicó que “los militares nunca les leyeron los escritos,  que</w:t>
        <w:br/>
        <w:t>él sabe leer un poco pero que Teodoro  nada”.  Cfr.  Careo  entre  el  señor</w:t>
        <w:br/>
        <w:t>Rodolfo Montiel Flores y una defensora de oficio el 28 de febrero  del  2000</w:t>
        <w:br/>
        <w:t>ante el Juzgado Quinto del  Distrito  de  Iguala,  citado  en  la  Sentencia</w:t>
        <w:br/>
        <w:t>emitida el 26 de octubre de 2000 por  el  Primer  Tribunal  Unitario,  supra</w:t>
        <w:br/>
        <w:t>nota 77, folio 11616. En su declaración  ante  fedatario  el  señor  Cabrera</w:t>
        <w:br/>
        <w:t>manifestó que “no sabe leer ni escribir”. Cfr. Declaración  rendida  por  el</w:t>
        <w:br/>
        <w:t>señor Teodoro Cabrera García ante fedatario público, supra nota  147,  folio</w:t>
        <w:br/>
        <w:t>1191. Ello también fue certificado por la perito Deutsch, quien  indicó  que</w:t>
        <w:br/>
        <w:t>el señor Cabrera “no sabe leer ni escribir”. Cfr. Dictamen  rendido  por  la</w:t>
        <w:br/>
        <w:t>perito Ana Deustch ante fedatario público, supra nota 174,  folio  1311.  En</w:t>
        <w:br/>
        <w:t>el ámbito interno la defensa de los señores Cabrera y  Montiel  precisó  que</w:t>
        <w:br/>
        <w:t>“las tres primeras  declaraciones  que  se  atribuyen  a  los  sentenciados,</w:t>
        <w:br/>
        <w:t>también carecen de valor, pues evidentemente fueron previamente  formuladas,</w:t>
        <w:br/>
        <w:t>ellos no las realizaron, pues la estructura básica de cómo se  desarrollaron</w:t>
        <w:br/>
        <w:t>es simplemente la misma, aceptan el dicho militar, que  portaban  armas,  se</w:t>
        <w:br/>
        <w:t>auto incrimina mutuamente, si se deslindan de algún hecho  de  inmediato  lo</w:t>
        <w:br/>
        <w:t>incriminan para  el  coacusado  y  se  utilizan  términos  poco  propios  de</w:t>
        <w:br/>
        <w:t>campesinos sin instrucción”. Cfr. Recurso de Apelación presentado el  30  de</w:t>
        <w:br/>
        <w:t>agosto de 2000 ante el Juez Quinto de Distrito,  reseñada  en  la  Sentencia</w:t>
        <w:br/>
        <w:t>emitida el 26 de octubre de 2000 por  el  Primer  Tribunal  Unitario,  supra</w:t>
        <w:br/>
        <w:t>nota 77, folios 11528-11815. Por su parte,  una  autoridad  judicial  indicó</w:t>
        <w:br/>
        <w:t>que “Rodolfo Montiel estudió hasta primer año de primaria y que sabe leer  y</w:t>
        <w:br/>
        <w:t>escribir muy poco”. Cfr. Sentencia emitida el 26 de octubre de 2000  por  el</w:t>
        <w:br/>
        <w:t>Primer  Tribunal  Unitario,  supra  nota  77,  folio  12076.  Asimismo,   un</w:t>
        <w:br/>
        <w:t>certificado médico que se expidiera en mayo de  2000  en  relación  con  los</w:t>
        <w:br/>
        <w:t>señores Cabrera y Montiel indicó que eran “analfabeta[s]”. Cfr.  Certificado</w:t>
        <w:br/>
        <w:t>Médico y Estado Psicofísico emitido el 19 de mayo de 2000, supra  nota  156,</w:t>
        <w:br/>
        <w:t>folio 2074.</w:t>
        <w:br/>
        <w:br/>
        <w:br/>
        <w:t>[234]       Caso Barreto Leiva vs. Venezuela, supra nota 100, párr. 29.  Ver</w:t>
        <w:br/>
        <w:t>mutatis mutandis Caso Suárez Rosero vs. Ecuador. Fondo. Sentencia de  12  de</w:t>
        <w:br/>
        <w:t>noviembre de 1997. Serie C No. 35, párr. 71;  Caso  Heliodoro  Portugal  vs.</w:t>
        <w:br/>
        <w:t>Panamá. Excepciones Preliminares, Fondo, Reparaciones  y  Costas.  Sentencia</w:t>
        <w:br/>
        <w:t>de 12 de agosto de 2008. Serie C No. 186, párr.  148,  y  Caso  Bayarri  vs.</w:t>
        <w:br/>
        <w:t>Argentina, supra nota 123, párr. 105.</w:t>
        <w:br/>
        <w:br/>
        <w:t>[235]       Caso Barreto Leiva vs. Venezuela, supra nota 100, párr. 29.</w:t>
        <w:br/>
        <w:br/>
        <w:br/>
        <w:t>[236]       Cfr. ECHR, Case of Artico v. Italy, Judgment  of  13  May  1980,</w:t>
        <w:br/>
        <w:t>App. N°. 6694/74, paras. 31-37.</w:t>
        <w:br/>
        <w:br/>
        <w:t>[237]       Caso Barreto Leiva vs. Venezuela, supra nota 100, párr. 62.</w:t>
        <w:br/>
        <w:br/>
        <w:br/>
        <w:t>[238]       Cfr. Caso Palamara Iribarne vs.  Chile.  Fondo,  Reparaciones  y</w:t>
        <w:br/>
        <w:t>Costas. Sentencia de 22 de noviembre de 2005. Serie C No. 135, párr.  170  y</w:t>
        <w:br/>
        <w:t>Caso Barreto Leiva vs. Venezuela, supra nota 100, párr. 54.</w:t>
        <w:br/>
        <w:br/>
        <w:br/>
        <w:t>[239]       Declaración de los señores Cabrera y Montiel de  4  de  mayo  de</w:t>
        <w:br/>
        <w:t>1999, supra nota 142, folios 8198 a 8199.</w:t>
        <w:br/>
        <w:br/>
        <w:t>[240]       Declaración de los señores Cabrera y Montiel de 6 mayo de  1999,</w:t>
        <w:br/>
        <w:t>supra nota 132, folios 9777 a 9782 y 9783 a 9786.</w:t>
        <w:br/>
        <w:br/>
        <w:t>[241]       Auto de plazo constitucional emitido el 12 de mayo de  1999  por</w:t>
        <w:br/>
        <w:t>el Juzgado de Primera Instancia en materia Penal del  Distrito  Judicial  de</w:t>
        <w:br/>
        <w:t>Mina (expediente de anexos a la contestación  de  la  demanda,  tomo  XXIII,</w:t>
        <w:br/>
        <w:t>folios 9844 al 9874).</w:t>
        <w:br/>
        <w:br/>
        <w:t>[242]       Constancia de la apelación de la “resolución  por  no  estar  de</w:t>
        <w:br/>
        <w:t>acuerdo con ella”. Cfr. Auto de plazo constitucional emitido el 12  de  mayo</w:t>
        <w:br/>
        <w:t>de 1999, supra nota 241, folio 9874.</w:t>
        <w:br/>
        <w:br/>
        <w:t>[243]       Declaración del defensor  particular  ante  el  juez  Quinto  de</w:t>
        <w:br/>
        <w:t>Distrito de 13 de julio de 1999 (expediente de anexos a la  contestación  de</w:t>
        <w:br/>
        <w:t>la demanda, tomo XXIII, folio 10035).</w:t>
        <w:br/>
        <w:br/>
        <w:t>[244]       Escrito firmado por los señores  Cabrera  y  Montiel  de  20  de</w:t>
        <w:br/>
        <w:t>agosto de 1999 mediante  el  cual  solicitan  al  Juez  Quinto  de  Distrito</w:t>
        <w:br/>
        <w:t>“[t]ener como […] únicos abogados particulares a  [Digna  Ochoa  y  Plácido,</w:t>
        <w:br/>
        <w:t>María del Pilar Noriega  y  José  Cruz  Lavanderos  Yañez]”  (expediente  de</w:t>
        <w:br/>
        <w:t>anexos a la contestación de la demanda, tomo XXIV, folios 10108 al 10109).</w:t>
        <w:br/>
        <w:br/>
        <w:t>[245]       En este marco, el señor Montiel Flores indicó que  la  defensora</w:t>
        <w:br/>
        <w:t>de oficio que les asesoró el 6 de mayo de 1999 “la  vio  en  el  Juzgado  de</w:t>
        <w:br/>
        <w:t>[I]nstrucción; que si lo asistió fue cómplice de las torturas […] ya que  en</w:t>
        <w:br/>
        <w:t>donde estuvo había puros  soldados,  salvo  que  ella  se  haya  vestido  de</w:t>
        <w:br/>
        <w:t>militar; que las  únicas  declaraciones  que  admite  son  sus  ampliaciones</w:t>
        <w:br/>
        <w:t>rendidas ante  el  Juzgado  de  Distrito  que  emitió  voluntariamente,  sin</w:t>
        <w:br/>
        <w:t>amenazas ni torturas”. Por su parte, el  señor  Cabrera  García  indicó  que</w:t>
        <w:br/>
        <w:t>conoció a la defensora de oficio “en el Juzgado Quinto de Distrito y que  lo</w:t>
        <w:br/>
        <w:t>torturaron en el […] Batallón  […],  en  donde  como  ya  estaba  atarantado</w:t>
        <w:br/>
        <w:t>firmaron los documentos sin que les dieran  lectura  (sic),  pues  de  haber</w:t>
        <w:br/>
        <w:t>estado presente su careante no lo hubiesen hecho, ya  que  ésta  les  habría</w:t>
        <w:br/>
        <w:t>solicitado que no los golpearan, sin embargo no lo hizo porque no estuvo  ni</w:t>
        <w:br/>
        <w:t>nunca la vio”. Cfr. Sentencia emitida el 21 de agosto de 2002 por el  Primer</w:t>
        <w:br/>
        <w:t>Tribunal Unitario, supra nota 148, folio 15198.</w:t>
        <w:br/>
        <w:br/>
        <w:t>[246]       Cfr. Actuación ante el Juez Quinto de Distrito de  21  de  enero</w:t>
        <w:br/>
        <w:t>de 2000 mediante la cual se rindieron los testimonios  de  dos  testigos  de</w:t>
        <w:br/>
        <w:t>asistencia y un abogado de oficio, supra nota 230, folios  10437  al  10462.</w:t>
        <w:br/>
        <w:t>Asimismo, Actuación ante el Juzgado Quinto de Distrito de  27  de  enero  de</w:t>
        <w:br/>
        <w:t>2000, mediante la cual se rindieron los  testimonios  de  una  defensora  de</w:t>
        <w:br/>
        <w:t>oficio y dos testigos de asistencia (expediente de anexos a la  contestación</w:t>
        <w:br/>
        <w:t>de la demanda, tomo XXIV, folios 10478 al 10497).</w:t>
        <w:br/>
        <w:br/>
        <w:t>[247]       Cfr. Careos procesales ante el Juez Quinto de Distrito de 28  de</w:t>
        <w:br/>
        <w:t>febrero de 2000, entre lo señores Cabrera  y  Montiel  y  una  defensora  de</w:t>
        <w:br/>
        <w:t>oficio y una testigo de asistencia (expediente de anexos a  la  contestación</w:t>
        <w:br/>
        <w:t>de  la  demanda,  tomo  XXV,  folios  10599  a  10615).  Igualmente,  Careos</w:t>
        <w:br/>
        <w:t>procesales ante el Juez Quinto de Distrito de 29 de febrero y  15  de  marzo</w:t>
        <w:br/>
        <w:t>de 2000, entre lo señores Cabrera y Montiel y dos testigos de  asistencia  y</w:t>
        <w:br/>
        <w:t>un defensor de  oficio  (expediente  de  anexos  a  la  contestación  de  la</w:t>
        <w:br/>
        <w:t>demanda, tomo XXV, folios 10619 al 10624 y 10672 al 10687).</w:t>
        <w:br/>
        <w:br/>
        <w:t>[248]       Declaración de los señores Cabrera y Montiel de  4  de  mayo  de</w:t>
        <w:br/>
        <w:t>1999, supra nota 142, folios 8198 a 8199.</w:t>
        <w:br/>
        <w:br/>
        <w:t>[249]       Cfr. Denuncia presentada por el Capitán Segundo de Infantería  y</w:t>
        <w:br/>
        <w:t>otros, supra nota 66, folios 4212 a 4214.</w:t>
        <w:br/>
        <w:br/>
        <w:t>[250]       El Primer Tribunal Unitario señaló que en los careos  realizados</w:t>
        <w:br/>
        <w:t>entre las víctimas y el defensor de oficio en la declaración de  4  de  mayo</w:t>
        <w:br/>
        <w:t>de 1999 “este último  les  reiteró  que  sin  presión  alguna  rindieran  su</w:t>
        <w:br/>
        <w:t>declaración ante el Agente del  Ministerio  Público  del  Fuero  [C]omún  de</w:t>
        <w:br/>
        <w:t>Arcelia, Guerrero y que él los asistió  como  su  abogado  defensor  en  tal</w:t>
        <w:br/>
        <w:t>diligencia verificando que la misma se llevara a cabo conforme a  derecho  y</w:t>
        <w:br/>
        <w:t>que no se les violaran sus garantías individuales”. Cfr.  Sentencia  emitida</w:t>
        <w:br/>
        <w:t>el 21 de agosto de 2002 por el Primer Tribunal  Unitario,  supra  nota  148,</w:t>
        <w:br/>
        <w:t>folio 15187. Según el defensor de oficio que asesoró a las víctimas  en  sus</w:t>
        <w:br/>
        <w:t>declaraciones de 4 de mayo de 1999, antes de la diligencia les indicó a  los</w:t>
        <w:br/>
        <w:t>señores Cabrera y Montiel que “declarara[n] sin ninguna presión” y  que  “no</w:t>
        <w:br/>
        <w:t>se sintiera[n] presionado[s] por  la  presencia  de  los  judiciales”.  Cfr.</w:t>
        <w:br/>
        <w:t>Actuación ante el Juzgado  Quinto  de  Distrito  de  21  de  enero  de  2000</w:t>
        <w:br/>
        <w:t>mediante la cual se rindieron los testimonios de dos testigos de  asistencia</w:t>
        <w:br/>
        <w:t>y un abogado de oficio, supra  nota  230,  folio  10455.   Esta  versión  la</w:t>
        <w:br/>
        <w:t>ratificó en uno de los careos.</w:t>
        <w:br/>
        <w:br/>
        <w:t>[251]       Cfr. Careos procesales ante el Juzgado Quinto de Distrito de  28</w:t>
        <w:br/>
        <w:t>de febrero de 2000, supra nota 247, folios 10599 a 10615.</w:t>
        <w:br/>
        <w:br/>
        <w:t>[252]       Cfr. Sentencia emitida el 21 de agosto de  2002  por  el  Primer</w:t>
        <w:br/>
        <w:t>Tribunal Unitario, supra nota 148, folio 15191.</w:t>
        <w:br/>
        <w:br/>
        <w:br/>
        <w:t>[253]       Asimismo, la instancia judicial indicó que los  señores  Cabrera</w:t>
        <w:br/>
        <w:t>y Montiel “conta[ron] con la correspondiente  asesoría  jurídica  al  rendir</w:t>
        <w:br/>
        <w:t>sus declaraciones preparatorias, [a  través  de  los  señores]  Juan  Carlos</w:t>
        <w:br/>
        <w:t>Palacios  Sebastián[,]  Defensor  Público  Federal  y   Liberio   Melquiades</w:t>
        <w:br/>
        <w:t>Jardón[,]  abogado  particular  que  aparecen  designados  por  [aquellos]”.</w:t>
        <w:br/>
        <w:t>Adicionalmente estableció que si bien como  señalaban  los  recurrentes  los</w:t>
        <w:br/>
        <w:t>citados defensores “no [los] enteraron […] sobre  qu[é]  podían  declarar  o</w:t>
        <w:br/>
        <w:t>abstenerse de hace[r], ello  en  modo  alguno  demerita  su  actuación”,  ni</w:t>
        <w:br/>
        <w:t>tampoco “el que hayan tenido contacto con los acusados por un tiempo  breve,</w:t>
        <w:br/>
        <w:t>[que] no coincidan con los objetos que se les pusieron a la  vista,  lo  que</w:t>
        <w:br/>
        <w:t>como ya se dijo no acontece, y que señalen que no recuerdan  el  sentido  de</w:t>
        <w:br/>
        <w:t>lo que declararon”. Cfr. Sentencia emitida el 21 de agosto de  2002  por  el</w:t>
        <w:br/>
        <w:t>Primer Tribunal Unitario, supra nota 148, folios 15301 a  15302  y  15238  a</w:t>
        <w:br/>
        <w:t>15239.</w:t>
        <w:br/>
        <w:br/>
        <w:t>[254]       Cfr. Sentencia emitida el 21 de agosto de  2002  por  el  Primer</w:t>
        <w:br/>
        <w:t>Tribunal Unitario, supra nota 148, folios 15227 a 15228.</w:t>
        <w:br/>
        <w:br/>
        <w:t>[255]       Cfr. Sentencia emitida el 28 de agosto de 2000  por  el  Juzgado</w:t>
        <w:br/>
        <w:t>Quinto de Distrito, supra nota 75, folios 11137 a 11293;  sentencia  emitida</w:t>
        <w:br/>
        <w:t>el 26 de octubre de 2000 por el Primer Tribunal  Unitario,  supra  nota  77,</w:t>
        <w:br/>
        <w:t>folio 11322 a tomo XXVII, folio 12205, y sentencia emitida el  16  de  julio</w:t>
        <w:br/>
        <w:t>de 2001 por el Primer Tribunal Unitario, supra nota 82, tomo  XXVIII,  folio</w:t>
        <w:br/>
        <w:t>13022 al tomo XXIX, 13735. La Corte observa que en las  declaraciones  de  6</w:t>
        <w:br/>
        <w:t>de mayo de 1999 la defensora de oficio realizó preguntas para la defensa  de</w:t>
        <w:br/>
        <w:t>los señores Cabrera y Montiel y que  con  base  a  su  interrogatorio  ellos</w:t>
        <w:br/>
        <w:t>habrían hecho  la  primera  mención  a  malos  tratos  en  su  contra.  Cfr.</w:t>
        <w:br/>
        <w:t>Declaración de los señores Cabrera y Montiel de 6 mayo de 1999,  supra  nota</w:t>
        <w:br/>
        <w:t>132, tomo XXIII, folios 9777 a 9782 y 9783 a 9786.</w:t>
        <w:br/>
        <w:br/>
        <w:t>[256]       Cfr. Sentencia emitida el 29 de junio de 1999  por  el  Tribunal</w:t>
        <w:br/>
        <w:t>Unitario  del  Vigésimo  Primer  Circuito  (expedientes  de  anexos   a   la</w:t>
        <w:br/>
        <w:t>contestación de la demanda, tomo XXIII, folios 9961 al 10020).</w:t>
        <w:br/>
        <w:br/>
        <w:t>[257]       El artículo 15 de  la  Convención  contra  la  Tortura  y  Otros</w:t>
        <w:br/>
        <w:t>Tratos o Penas  Crueles,  Inhumanos  o  Degradantes  establece  que  “[t]odo</w:t>
        <w:br/>
        <w:t>Estado Parte se asegurará de que ninguna declaración que  se  demuestre  que</w:t>
        <w:br/>
        <w:t>ha sido hecha como resultado de tortura pueda ser invocada  como  prueba  en</w:t>
        <w:br/>
        <w:t>ningún procedimiento, salvo en contra de  una  persona  acusada  de  tortura</w:t>
        <w:br/>
        <w:t>como prueba de que se  ha  formulado  la  declaración”.  Por  su  parte,  el</w:t>
        <w:br/>
        <w:t>artículo 10 de la Convención Interamericana para  Prevenir  y  Sancionar  la</w:t>
        <w:br/>
        <w:t>Tortura indica que  “[n]inguna  declaración  que  se  compruebe  haber  sido</w:t>
        <w:br/>
        <w:t>obtenida mediante tortura podrá ser admitida como  medio  de  prueba  en  un</w:t>
        <w:br/>
        <w:t>proceso, salvo en el que se siga contra la persona o  personas  acusadas  de</w:t>
        <w:br/>
        <w:t>haberla obtenido mediante actos de tortura y únicamente como prueba  de  que</w:t>
        <w:br/>
        <w:t>por ese medio el acusado obtuvo tal declaración”.</w:t>
        <w:br/>
        <w:br/>
        <w:t>[258]       Al respecto, el Comité contra la Tortura ha  señalado  que  “las</w:t>
        <w:br/>
        <w:t>obligaciones previstas en los artículos 2 (según el  cual  “en  ningún  caso</w:t>
        <w:br/>
        <w:t>podrán invocarse  circunstancias  excepcionales  como  justificación  de  la</w:t>
        <w:br/>
        <w:t>tortura”), 15 (que prohíbe admitir como  prueba  las  confesiones  obtenidas</w:t>
        <w:br/>
        <w:t>mediante tortura, salvo en contra del torturador)  y  16  (que  prohíbe  los</w:t>
        <w:br/>
        <w:t>tratos o penas crueles, inhumanos o degradantes) deben  respetarse  en  todo</w:t>
        <w:br/>
        <w:t>momento”. Cfr.  Naciones  Unidas.  Comité  contra  la  Tortura.  Observación</w:t>
        <w:br/>
        <w:t>General No. 2, ‘Aplicación del artículo 2 por los Estados Partes’ de  24  de</w:t>
        <w:br/>
        <w:t>enero de 2008 (CAT/C/GC/2), párr. 6. Por su parte,  el  Comité  de  Derechos</w:t>
        <w:br/>
        <w:t>Humanos ha indicado lo siguiente: “Las  garantías  procesales  nunca  podrán</w:t>
        <w:br/>
        <w:t>ser objeto de medidas derogatorias que soslayen la  protección  de  derechos</w:t>
        <w:br/>
        <w:t>que no son susceptibles de suspensión.  (…) ninguna declaración o  confesión</w:t>
        <w:br/>
        <w:t>o, en principio,  ninguna  prueba  que  se  obtenga  en  violación  de  esta</w:t>
        <w:br/>
        <w:t>disposición podrá admitirse en los procesos previstos por  el  artículo  14,</w:t>
        <w:br/>
        <w:t>incluso  durante  un  estado  de  excepción,  salvo  si  una  declaración  o</w:t>
        <w:br/>
        <w:t>confesión obtenida en violación del artículo 7 se  utiliza  como  prueba  de</w:t>
        <w:br/>
        <w:t>tortura u otro trato  prohibido  por  esta  disposición”.  Naciones  Unidas.</w:t>
        <w:br/>
        <w:t>Comité de Derechos humanos. Observación general  N°  32,  El  derecho  a  un</w:t>
        <w:br/>
        <w:t>juicio imparcial y a la igualdad ante los tribunales y  cortes  de  justicia</w:t>
        <w:br/>
        <w:t>(HRI/GEN/1/Rev.9 (vol. I)), párr 6.</w:t>
        <w:br/>
        <w:br/>
        <w:t>[259]       Asimismo, el Comité  contra  la  Tortura  ha  indicado  que  “el</w:t>
        <w:br/>
        <w:t>amplio alcance de la prohibición que figura en el artículo 15, en el que  se</w:t>
        <w:br/>
        <w:t>prohíbe que pueda ser invocada como prueba “en  ningún  procedimiento”  toda</w:t>
        <w:br/>
        <w:t>declaración que se demuestre que ha sido hecha como  resultado  de  tortura,</w:t>
        <w:br/>
        <w:t>obedece  al  carácter  absoluto  de  la  prohibición  de   tortura   y,   en</w:t>
        <w:br/>
        <w:t>consecuencia, supone la obligación de que cada Estado Parte se  cerciore  de</w:t>
        <w:br/>
        <w:t>si las declaraciones admitidas como prueba en cualquier procedimiento  sobre</w:t>
        <w:br/>
        <w:t>el que tenga jurisdicción, incluidos los procedimientos de  extradición,  se</w:t>
        <w:br/>
        <w:t>han obtenido o no  como  resultado  de  tortura”.  Naciones  Unidas.  Comité</w:t>
        <w:br/>
        <w:t>contra la Tortura. GK c. Suiza, 7 de  mayo  de  2003  (CAT/C/30/D/219/2002),</w:t>
        <w:br/>
        <w:t>párr. 6.10.</w:t>
        <w:br/>
        <w:br/>
        <w:t>[260]       Cfr. Caso Bayarri vs. Argentina, supra nota 123, párr. 108.</w:t>
        <w:br/>
        <w:br/>
        <w:br/>
        <w:t>[261]       Cfr. ECHR, Case of John Murray v. UK,  Judgment  of  25  January</w:t>
        <w:br/>
        <w:t>1996, App. N°. 41/1994/488/570, paras. 45-46 y Case of  Jalloh  v.  Germany,</w:t>
        <w:br/>
        <w:t>Judgment of 11 July 2006, App. N°. 54810/00, paras. 121-123. Cfr. De  manera</w:t>
        <w:br/>
        <w:t>similar, el Tribunal Europeo  ha  señalado  que  "el  uso  de  declaraciones</w:t>
        <w:br/>
        <w:t>obtenidas como resultado de torturas o  malos  tratos  como  evidencia  para</w:t>
        <w:br/>
        <w:t>establecer los hechos en un proceso penal hace que dicho proceso sea  en  su</w:t>
        <w:br/>
        <w:t>totalidad injusto y esta conclusión es independiente  del  valor  probatorio</w:t>
        <w:br/>
        <w:t>asignado a tales declaraciones, o de si su utilización fue decisiva para  la</w:t>
        <w:br/>
        <w:t>condena”. ECHR, Case of Gafgen v. Germany, Judgment of  1  June  2010,  App.</w:t>
        <w:br/>
        <w:t>N°. 22978/05, para. 165 y Case Harutyunyan v Armenia, Judgment  of  28  June</w:t>
        <w:br/>
        <w:t>2007, App. N°. 36549/03, para. 63.</w:t>
        <w:br/>
        <w:br/>
        <w:t>[262]        Cfr. Artículo 16 de la Constitución  Política  de  los  Estados</w:t>
        <w:br/>
        <w:t>Unidos Mexicanos, supra nota 124.</w:t>
        <w:br/>
        <w:br/>
        <w:t>[263]       Naciones Unidas. Comité Contra la Tortura. Informe sobre  México</w:t>
        <w:br/>
        <w:t>de 25 de mayo de 2003, supra nota 203, párr. 202.</w:t>
        <w:br/>
        <w:br/>
        <w:br/>
        <w:t>[264]       Declaración de los señores Cabrera y Montiel de  4  de  mayo  de</w:t>
        <w:br/>
        <w:t>1999, supra nota 142, folios 8198 y 8199.</w:t>
        <w:br/>
        <w:br/>
        <w:t>[265]       Declaración de los señores Cabrera y Montiel de 6 mayo de  1999,</w:t>
        <w:br/>
        <w:t>supra nota 132, folios 9778 y 9784.</w:t>
        <w:br/>
        <w:br/>
        <w:t>[266]       Declaración preparatoria de los señores Cabrera y Montiel  de  7</w:t>
        <w:br/>
        <w:t>mayo de 1999, supra nota 144, folios 9835 a 9838 y 9839 a 9842.</w:t>
        <w:br/>
        <w:br/>
        <w:t>[267]       Cfr. Alegatos presentados  el  25  de  julio  de  2000  ante  el</w:t>
        <w:br/>
        <w:t>Juzgado Quinto de Distrito con sede en Iguala, Guerrero,  por  la  defensora</w:t>
        <w:br/>
        <w:t>particular de los señores Cabrera y  Montiel  (expediente  de  anexos  a  la</w:t>
        <w:br/>
        <w:t>contestación de la demanda, tomo XXVI, folio 11111).</w:t>
        <w:br/>
        <w:br/>
        <w:t>[268]       El Juez Quinto de Distrito declaró que los actos  delictivos  se</w:t>
        <w:br/>
        <w:t>“corrobora[ban] principalmente con las declaraciones de  los  acusados”.  En</w:t>
        <w:br/>
        <w:t>este sentido, señaló que “dichas declaraciones […]  fueron  hechas  ante  el</w:t>
        <w:br/>
        <w:t>Ministerio Público y ante el  Juez  de  Primera  Instancia  […],  con  pleno</w:t>
        <w:br/>
        <w:t>conocimiento, sin coacción, ni violencia”. Cfr. Sentencia emitida el  28  de</w:t>
        <w:br/>
        <w:t>agosto de 2000 por el Juzgado Quinto de  Distrito,  supra  nota  75,  folios</w:t>
        <w:br/>
        <w:t>11197 y 11213.</w:t>
        <w:br/>
        <w:br/>
        <w:t>[269]       El Segundo Tribunal Colegiado señaló que  “contrariamente  a  lo</w:t>
        <w:br/>
        <w:t>aducido por los quejosos, la sentencia reclamada no se fundó  únicamente  en</w:t>
        <w:br/>
        <w:t>las confesiones que emitieron en autos, sino  que  el  Tribunal  responsable</w:t>
        <w:br/>
        <w:t>adminiculó la referida prueba confesional  con  los  diversos  elementos  de</w:t>
        <w:br/>
        <w:t>convicción que conforman el  procedimiento  natural”.  Asimismo  indicó  que</w:t>
        <w:br/>
        <w:t>“aún en el supuesto de  que  sus  declaraciones  iniciales  no  se  hubiesen</w:t>
        <w:br/>
        <w:t>rendido de manera libre y espontánea la ratificación que  hicieron  ante  el</w:t>
        <w:br/>
        <w:t>órgano jurisdiccional, purgó de cualquier vicio del que  hubieren  adolecido</w:t>
        <w:br/>
        <w:t>las primigenias declaraciones de los  inculpados;  razón  por  la  cual  las</w:t>
        <w:br/>
        <w:t>confesiones de mérito cobran eficacia jurídica y, por  tanto,  la  sentencia</w:t>
        <w:br/>
        <w:t>impugnada que las toma en cuenta adminiculándolas con  las  demás  probanzas</w:t>
        <w:br/>
        <w:t>de autos, no resulta violatoria de garantías”. Cfr. Sentencia emitida el  14</w:t>
        <w:br/>
        <w:t>de agosto de 2002 por el Segundo Tribunal Colegiado, supra nota  84,  folios</w:t>
        <w:br/>
        <w:t>3139 y 3202.</w:t>
        <w:br/>
        <w:br/>
        <w:t>[270]        El Segundo Tribunal Colegiado consideró que “debe  decirse  que</w:t>
        <w:br/>
        <w:t>la sentencia ahora reclamada no se fundó únicamente en la confesión  vertida</w:t>
        <w:br/>
        <w:t>por los acusados tanto [ante] las autoridades ministeriales del fuero  común</w:t>
        <w:br/>
        <w:t>y federal, respectivamente, como ante el juez que  inicialmente  conoció  de</w:t>
        <w:br/>
        <w:t>la causa seguida en su contra, ni con  las  probanzas  aportadas  al  juicio</w:t>
        <w:br/>
        <w:t>natural se demostró que previamente a  su  emisión  se  hubieren  encontrado</w:t>
        <w:br/>
        <w:t>incomunicados y menos aún se desprende en forma alguna,  que  su  respectiva</w:t>
        <w:br/>
        <w:t>declaración se haya obtenido por medio de amenazas o de cualquier otro  tipo</w:t>
        <w:br/>
        <w:t>de coacción.” Cfr. Sentencia emitida el 14 de agosto de 2002 por el  Segundo</w:t>
        <w:br/>
        <w:t>Tribunal Colegiado, supra nota 84, folios 3137 a 3138.</w:t>
        <w:br/>
        <w:br/>
        <w:t>[271]       Cfr. ECHR, Case of  Harutyunyan  v.  Armenia,  supra  nota  261,</w:t>
        <w:br/>
        <w:t>para. 65.</w:t>
        <w:br/>
        <w:br/>
        <w:t>[272]       Cfr. Caso Cantoral Benavides vs. Perú. Fondo.  Sentencia  de  18</w:t>
        <w:br/>
        <w:t>de agosto de 2000. Serie C No. 69,  párr.  104;  Caso  Maritza  Urrutia  vs.</w:t>
        <w:br/>
        <w:t>Guatemala, supra nota 218, párr. 93, y Caso Tibi  vs.  Ecuador.  Excepciones</w:t>
        <w:br/>
        <w:t>Preliminares, Fondo, Reparaciones y Costas. Sentencia de 7 de septiembre  de</w:t>
        <w:br/>
        <w:t>2004. Serie C No. 114, párr. 146.</w:t>
        <w:br/>
        <w:br/>
        <w:t>[273]       Igualmente el Juez Quinto de Distrito expresó que “si  bien  los</w:t>
        <w:br/>
        <w:t>acusados refieren que al ser detenidos se les inflingieron torturas […],  no</w:t>
        <w:br/>
        <w:t>menos es verdadero que, con independencia de que según se ha  indicado,  esa</w:t>
        <w:br/>
        <w:t>violencia  alegada  no  se  demostró  en  este  proceso  penal  [...]   para</w:t>
        <w:br/>
        <w:t>corroborar  las  versiones  aducidas  en  sus  ampliaciones  de  declaración</w:t>
        <w:br/>
        <w:t>preparatoria, en defensa de los acusados, se  ofrecieron  [varias]  pr[uebas</w:t>
        <w:br/>
        <w:t>que, s]in embargo, […] son insuficientes para variar el sentido del  fallo”.</w:t>
        <w:br/>
        <w:t>Cfr. Sentencia emitida el 28 de agosto de 2000  por  el  Juzgado  Quinto  de</w:t>
        <w:br/>
        <w:t>Distrito, supra nota 75, folio 11220 a 11223.</w:t>
        <w:br/>
        <w:br/>
        <w:t>[274]       Cfr. Dictamen rendido por el perito Fernando Coronado Franco  en</w:t>
        <w:br/>
        <w:t>la audiencia pública en este caso.</w:t>
        <w:br/>
        <w:br/>
        <w:br/>
        <w:br/>
        <w:t>[275]       Cfr. Sentencia emitida el 28 de agosto de 2000  por  el  Juzgado</w:t>
        <w:br/>
        <w:t>Quinto de Distrito, supra nota 75, folio 11276.</w:t>
        <w:br/>
        <w:br/>
        <w:t>[276]       Cfr. Sentencia emitida el 21 de agosto de  2002  por  el  Primer</w:t>
        <w:br/>
        <w:t>Tribunal Unitario, supra nota 148, folio 15301.</w:t>
        <w:br/>
        <w:br/>
        <w:t>[277]       Cfr. Sentencia emitida el 14 de agosto de 2002  por  el  Segundo</w:t>
        <w:br/>
        <w:t>Tribunal Colegiado, supra nota 84, folios 14641 a 14642.</w:t>
        <w:br/>
        <w:br/>
        <w:t>[278]       Cfr. Caso Suárez Rosero vs. Ecuador, supra nota 234,  párr.  77;</w:t>
        <w:br/>
        <w:t>Caso García Asto y Ramírez Rojas vs. Perú, supra  nota  102,  párr.  160,  y</w:t>
        <w:br/>
        <w:t>Caso Chaparro Álvarez y Lapo Íñiguez. vs.  Ecuador,  supra  nota  99,  párr.</w:t>
        <w:br/>
        <w:t>145.</w:t>
        <w:br/>
        <w:br/>
        <w:t>[279]       Caso Ricardo Canese vs. Paraguay. Fondo, Reparaciones y  Costas.</w:t>
        <w:br/>
        <w:t>Sentencia de 31 de agosto de 2004. Serie C No. 111, párr. 154.</w:t>
        <w:br/>
        <w:br/>
        <w:t>[280]       Igualmente, el Comité de Derechos Humanos de Naciones Unidas  ha</w:t>
        <w:br/>
        <w:t>observado que “[l]a presunción de inocencia,  que  es  fundamental  para  la</w:t>
        <w:br/>
        <w:t>protección de los derechos humanos, impone  la  carga  de  la  prueba  a  la</w:t>
        <w:br/>
        <w:t>acusación, garantiza que no se presuma la culpabilidad a menos que  se  haya</w:t>
        <w:br/>
        <w:t>demostrado la acusación  fuera  de  toda  duda  razonable,  asegura  que  el</w:t>
        <w:br/>
        <w:t>acusado tenga el beneficio de la duda, y exige que las personas acusadas  de</w:t>
        <w:br/>
        <w:t>un delito sean  tratadas  de  conformidad  con  este  principio.  Todas  las</w:t>
        <w:br/>
        <w:t>autoridades  públicas  tienen  el  deber  de  abstenerse  de  prejuzgar  los</w:t>
        <w:br/>
        <w:t>resultados de un juicio, por ejemplo,  absteniéndose  de  hacer  comentarios</w:t>
        <w:br/>
        <w:t>públicos en que se declare la culpabilidad del  acusado.”  Naciones  Unidas.</w:t>
        <w:br/>
        <w:t>Comité de Derechos Humanos. Observación General  No.  32,  supra  nota  258,</w:t>
        <w:br/>
        <w:t>párr. 30.</w:t>
        <w:br/>
        <w:br/>
        <w:t>[281]       Cfr. Caso Cantoral Benavides vs. Perú,  supra  nota  272,  párr.</w:t>
        <w:br/>
        <w:t>120 y Caso Ricardo Canese vs. Paraguay, supra nota 279, párr. 153.</w:t>
        <w:br/>
        <w:br/>
        <w:t>[282]       Cfr. Caso Cantoral Benavides vs. Perú,  supra  nota  272,  párr.</w:t>
        <w:br/>
        <w:t>121.</w:t>
        <w:br/>
        <w:br/>
        <w:t>[283]       Cfr. Caso Ricardo Canese vs. Paraguay,  supra  nota  279,  párr.</w:t>
        <w:br/>
        <w:t>154.</w:t>
        <w:br/>
        <w:br/>
        <w:t>[284]       ECHR, Case of Barberà, Messegué and Jabardo  v  Spain,  Judgment</w:t>
        <w:br/>
        <w:t>of 6 December 1988, App. Nos. 10588/83, 10589/83, 10590/83, paras. 77 y  91.</w:t>
        <w:br/>
        <w:br/>
        <w:br/>
        <w:t>[285]       Declaración de los señores Cabrera y Montiel de  4  de  mayo  de</w:t>
        <w:br/>
        <w:t>1999, supra nota 142, folios 8198 a 8199.</w:t>
        <w:br/>
        <w:br/>
        <w:t>[286]       Declaración de los señores Cabrera y Montiel de 6 mayo de  1999,</w:t>
        <w:br/>
        <w:t>supra nota 132, folios 9781 y 9785.</w:t>
        <w:br/>
        <w:br/>
        <w:t>[287] Declaración preparatoria de los señores Cabrera y Montiel  de  7  mayo</w:t>
        <w:br/>
        <w:t>de 1999, supra nota 144, folios 9836 a 9837 y 9841.</w:t>
        <w:br/>
        <w:br/>
        <w:t>[288]       Cfr. Ampliación  de  declaración  preparatoria  de  los  señores</w:t>
        <w:br/>
        <w:t>Cabrera y Montiel de 13 de julio de 1999, supra nota  145,  folios  10036  a</w:t>
        <w:br/>
        <w:t>10041.</w:t>
        <w:br/>
        <w:br/>
        <w:t>[289]       Cfr. Ampliación de declaración de los señores Cabrera y  Montiel</w:t>
        <w:br/>
        <w:t>de 23 de diciembre de 1999, supra nota 67, folio 10360 a 10368.</w:t>
        <w:br/>
        <w:br/>
        <w:t>[290]       Cfr. Careos constitucionales de 26  de  agosto  de  1999,  supra</w:t>
        <w:br/>
        <w:t>nota 86, folios 10157 y 10158.</w:t>
        <w:br/>
        <w:br/>
        <w:t>[291]       Cfr. Auto de 31 de agosto de 1999  ante  el  Juzgado  Quinto  de</w:t>
        <w:br/>
        <w:t>Distrito, supra nota 87, folios 10162 a 10163.</w:t>
        <w:br/>
        <w:br/>
        <w:t>[292]       Caso Fernández Ortega y otros. vs. México, supra nota 39,  párr.</w:t>
        <w:br/>
        <w:t>192 y Caso Rosendo Cantú y otra vs. México, supra nota 30, párr. 176.</w:t>
        <w:br/>
        <w:br/>
        <w:t>[293]       En similar sentido Caso  Gutiérrez  Soler  vs.  Colombia,  supra</w:t>
        <w:br/>
        <w:t>nota 204, párr. 54.</w:t>
        <w:br/>
        <w:br/>
        <w:t>[294]       Cfr. A modo de  ejemplo  el  Código  Federal  de  Procedimientos</w:t>
        <w:br/>
        <w:t>Penales, artículo 141, el cual reconoce  los  derechos  de  las  víctimas  u</w:t>
        <w:br/>
        <w:t>ofendidos en la averiguación  previa  (apartado  A),  en  el  proceso  penal</w:t>
        <w:br/>
        <w:t>(apartado B) y durante la ejecución de sanciones (apartado C), y  el  Código</w:t>
        <w:br/>
        <w:t>de Procedimientos Penales para el estado de  Guerrero,  artículo  5,  primer</w:t>
        <w:br/>
        <w:t>párrafo, que reconoce el derecho de la víctima o el ofendido para  coadyuvar</w:t>
        <w:br/>
        <w:t>con el Ministerio Público,  proporcionando  al  juzgador,  por  conducto  de</w:t>
        <w:br/>
        <w:t>aquél o directamente, todos los datos que tenga y que conduzcan a  acreditar</w:t>
        <w:br/>
        <w:t>la procedencia y monto de los daños y perjuicios ocasionados por el  delito.</w:t>
        <w:br/>
        <w:t>Citado en Caso Fernández Ortega y otros vs. México,  supra  nota  39,  párr.</w:t>
        <w:br/>
        <w:t>192.</w:t>
        <w:br/>
        <w:br/>
        <w:t>[295]       Cfr. Consulta de incompetencia por materia de 10 de  octubre  de</w:t>
        <w:br/>
        <w:t>1999 (Proceso A.P.91/CC/99) (expediente de anexos a la  demanda,  tomo  XII,</w:t>
        <w:br/>
        <w:t>folios 4846 al 4849).</w:t>
        <w:br/>
        <w:br/>
        <w:t>[296]       CNDH. Recomendación No. 8/2000 de 14 de  julio  de  2000,  supra</w:t>
        <w:br/>
        <w:t>nota 89, folio 311.</w:t>
        <w:br/>
        <w:br/>
        <w:t>[297]       Cfr. Escrito de 20 de junio de 2006 mediante el cual  el  Estado</w:t>
        <w:br/>
        <w:t>presentó  “sus  observaciones  sobre  los  argumentos  de   fondo   de   los</w:t>
        <w:br/>
        <w:t>peticionarios, relativos al caso 11.449 Rodolfo  Montiel  Flores  y  Teodoro</w:t>
        <w:br/>
        <w:t>Cabrera  García”  a  la  Comisión   Interamericana   de   Derechos   Humanos</w:t>
        <w:br/>
        <w:t>(expediente de anexos a la demanda, tomo II, folio 676).</w:t>
        <w:br/>
        <w:br/>
        <w:t>[298]       CNDH. Recomendación No. 8/2000 de 14 de  julio  de  2000,  supra</w:t>
        <w:br/>
        <w:t>nota 89, folio 312.</w:t>
        <w:br/>
        <w:br/>
        <w:t>[299]       CNDH. Recomendación No. 8/2000 de 14 de  julio  de  2000,  supra</w:t>
        <w:br/>
        <w:t>nota 89, folio 313.</w:t>
        <w:br/>
        <w:br/>
        <w:t>[300]       Cfr. Escrito presentado  el  10  de  febrero  de  2001  por  los</w:t>
        <w:br/>
        <w:t>señores Cabrera y Montiel ante el  agente  del  Ministerio  Público  Militar</w:t>
        <w:br/>
        <w:t>(Averiguación Previa No. 5C/304/2000/VIII) (expediente de anexos al  escrito</w:t>
        <w:br/>
        <w:t>de solicitudes y argumentos, tomo XXI, folio 8904).</w:t>
        <w:br/>
        <w:t>[301] Cfr. Determinación de la Averiguación Previa SC/304/2000/VIII-I  de  3</w:t>
        <w:br/>
        <w:t>de noviembre de 2001 iniciada en virtud de la Recomendación 008/2000  de  la</w:t>
        <w:br/>
        <w:t>Comisión Nacional de Derechos Humanos de México. (expediente de anexos a  la</w:t>
        <w:br/>
        <w:t>demanda, tomo XIX, folios 8364 y 8367).</w:t>
        <w:br/>
        <w:br/>
        <w:t>[302]       Caso  Radilla  Pacheco  vs.  México.  Excepciones  Preliminares,</w:t>
        <w:br/>
        <w:t>Fondo, Reparaciones y Costas. Sentencia de 23 de Noviembre de 2009. Serie  C</w:t>
        <w:br/>
        <w:t>No. 209, párr. 272; Caso Fernández Ortega y otros. vs.  México,  supra  nota</w:t>
        <w:br/>
        <w:t>39, párr. 176, y Caso Rosendo Cantú y otra vs. México, supra nota 30,  párr.</w:t>
        <w:br/>
        <w:t>160.</w:t>
        <w:br/>
        <w:br/>
        <w:t>[303]       Caso Radilla Pacheco vs. México,  supra  nota  302,  párr.  273;</w:t>
        <w:br/>
        <w:t>Caso Fernández Ortega y otros. vs. México, supra nota 39, párr. 176, y  Caso</w:t>
        <w:br/>
        <w:t>Rosendo Cantú y otra vs. México, supra nota 30, párr. 160.</w:t>
        <w:br/>
        <w:br/>
        <w:t>[304]       Caso Radilla Pacheco vs. México,  supra  nota  302,  párr.  274;</w:t>
        <w:br/>
        <w:t>Caso Fernández Ortega y otros. vs. México, supra nota 39, párr. 176, y  Caso</w:t>
        <w:br/>
        <w:t>Rosendo Cantú y otra vs. México, supra nota 30, párr. 160.</w:t>
        <w:br/>
        <w:br/>
        <w:t>[305]       Caso Radilla Pacheco vs. México,  supra  nota  302,  párr.  275;</w:t>
        <w:br/>
        <w:t>Caso Fernández Ortega y otros. vs. México, supra nota 39, párr. 176, y  Caso</w:t>
        <w:br/>
        <w:t>Rosendo Cantú y otra vs. México, supra nota 30, párr. 160.</w:t>
        <w:br/>
        <w:br/>
        <w:t>[306]       Cfr. Caso Fernández Ortega y otros. vs. México, supra  nota  39,</w:t>
        <w:br/>
        <w:t>párr. 177, y Caso Rosendo Cantú y otra vs.  México,  supra  nota  30,  párr.</w:t>
        <w:br/>
        <w:t>161.</w:t>
        <w:br/>
        <w:br/>
        <w:t>[307]       Cfr. Caso Fernández Ortega y otros. vs. México, supra  nota  39,</w:t>
        <w:br/>
        <w:t>párr. 177, y Caso Rosendo Cantú y otra vs.  México,  supra  nota  30,  párr.</w:t>
        <w:br/>
        <w:t>161.</w:t>
        <w:br/>
        <w:br/>
        <w:t>[308]       Cfr. Caso Cantoral Benavides vs. Perú,  supra  nota  272,  párr.</w:t>
        <w:br/>
        <w:t>115; Caso Fernández Ortega y otros. vs. México, supra nota 39, párr. 177,  y</w:t>
        <w:br/>
        <w:t>Caso Rosendo Cantú y otra vs. México, supra nota 30, párr. 161.</w:t>
        <w:br/>
        <w:br/>
        <w:t>[309]        Cfr.  Caso  Velásquez  Rodríguez  vs.   Honduras.   Excepciones</w:t>
        <w:br/>
        <w:t>Preliminares, supra nota 213, párr. 91; Caso Fernández Ortega y  otros.  vs.</w:t>
        <w:br/>
        <w:t>México, supra nota 39, párr. 180, y Caso Rosendo Cantú y  otra  vs.  México,</w:t>
        <w:br/>
        <w:t>supra nota 30, párr. 164.</w:t>
        <w:br/>
        <w:br/>
        <w:t>[310]       El artículo 57.II.a) del  Código  de  Justicia  Militar,  en  lo</w:t>
        <w:br/>
        <w:t>pertinente dispone: “Son delitos contra la disciplina militar:</w:t>
        <w:br/>
        <w:br/>
        <w:t xml:space="preserve">      II.- los del orden  común  o  federal,  cuando  en  su  comisión  haya</w:t>
        <w:br/>
        <w:t xml:space="preserve">      concurrido  cualquiera  de  las  circunstancias  que  en  seguida   se</w:t>
        <w:br/>
        <w:t xml:space="preserve">      expresan: a) que fueren cometidos por militares  en  los  momentos  de</w:t>
        <w:br/>
        <w:t xml:space="preserve">      estar en servicio o con motivo de actos del mismo.</w:t>
        <w:br/>
        <w:br/>
        <w:t>[311]       Caso Radilla Pacheco vs. México,  supra  nota  302,  párr.  286;</w:t>
        <w:br/>
        <w:t>Caso Fernández Ortega y otros. vs. México, supra nota 39, párr. 178, y  Caso</w:t>
        <w:br/>
        <w:t>Rosendo Cantú y otra vs. México, supra nota 30, párr. 162.</w:t>
        <w:br/>
        <w:br/>
        <w:t>[312]            Cfr. Caso Durand y Ugarte vs. Perú. Fondo. Sentencia de  16</w:t>
        <w:br/>
        <w:t>de agosto de 2000. Serie C No.  68,  párr.  117;  Caso  Fernández  Ortega  y</w:t>
        <w:br/>
        <w:t>otros. vs. México, supra nota 39, párr. 179, y Caso  Rosendo  Cantú  y  otra</w:t>
        <w:br/>
        <w:t>vs. México, supra nota 30, párr. 163.</w:t>
        <w:br/>
        <w:br/>
        <w:t>[313]       Cfr. Caso Garrido y  Baigorria  vs.  Argentina.  Reparaciones  y</w:t>
        <w:br/>
        <w:t>Costas. Sentencia de 27 de agosto de 1998. Serie C No. 39,  párr.  68;  Caso</w:t>
        <w:br/>
        <w:t>Fernández Ortega y otros. vs. México, supra  nota  39,  párr.  179,  y  Caso</w:t>
        <w:br/>
        <w:t>Rosendo Cantú y otra vs. México, supra nota 30, párr. 163.</w:t>
        <w:br/>
        <w:br/>
        <w:t>[314]       Caso  Genie  Lacayo  vs.  Nicaragua.  Excepciones  Preliminares.</w:t>
        <w:br/>
        <w:t>Sentencia de 27 de enero de 1995. Serie  C  No.  21,  párr.  50;  Caso  Usón</w:t>
        <w:br/>
        <w:t>Ramírez vs. Venezuela, supra nota  99,  párr.  154,  y  Caso  Manuel  Cepeda</w:t>
        <w:br/>
        <w:t>Vargas vs. Colombia, supra nota 27, párr. 51.</w:t>
        <w:br/>
        <w:br/>
        <w:t>[315]       El artículo 63. 1 de  la  Convención  establece  que:  “[c]uando</w:t>
        <w:br/>
        <w:t>decida que hubo violación de  un  derecho  o  libertad  protegidos  en  [la]</w:t>
        <w:br/>
        <w:t>Convención, la Corte dispondrá que se garantice al lesionado en el  goce  de</w:t>
        <w:br/>
        <w:t>su derecho  o  libertad  conculcados.  Dispondrá  asimismo,  si  ello  fuera</w:t>
        <w:br/>
        <w:t>procedente, que se reparen las consecuencias de la medida  o  situación  que</w:t>
        <w:br/>
        <w:t>ha configurado la vulneración de esos  derechos  y  el  pago  de  una  justa</w:t>
        <w:br/>
        <w:t>indemnización a la parte lesionada”.</w:t>
        <w:br/>
        <w:br/>
        <w:t>[316]       Cfr. Caso  Velásquez  Rodríguez  vs.  Honduras.  Reparaciones  y</w:t>
        <w:br/>
        <w:t>Costas. Sentencia de 21 de julio de 1989. Serie C  No.  7,  párr.  25;  Caso</w:t>
        <w:br/>
        <w:t>Rosendo Cantú y otra vs. México, supra nota 30,  párr.  203,  y  Caso  Ibsen</w:t>
        <w:br/>
        <w:t>Cárdenas e Ibsen Peña vs. Bolivia, supra nota 30, párr. 231.</w:t>
        <w:br/>
        <w:br/>
        <w:t>[317] Cfr. Caso de los “Niños de la Calle” (Villagrán Morales y  otros)  vs.</w:t>
        <w:br/>
        <w:t>Guatemala. Reparaciones y Costas. Sentencia de 26 de mayo de 2001.  Serie  C</w:t>
        <w:br/>
        <w:t>No. 77, párr. 62; Caso Rosendo Cantú y  otra  vs.  México,  supra  nota  30,</w:t>
        <w:br/>
        <w:t>párr. 203, y Caso Ibsen Cárdenas e Ibsen Peña vs. Bolivia,  supra  nota  30,</w:t>
        <w:br/>
        <w:t>párr. 231.</w:t>
        <w:br/>
        <w:br/>
        <w:t>[318] Cfr. Caso Ticona Estrada y otros vs. Bolivia.  Fondo,  Reparaciones  y</w:t>
        <w:br/>
        <w:t>Costas. Sentencia de 27 de noviembre de 2008. Serie C No.  191,  párr.  110;</w:t>
        <w:br/>
        <w:t>Caso Rosendo Cantú y otra vs. México, supra  nota  30,  párr.  204,  y  Caso</w:t>
        <w:br/>
        <w:t>Ibsen Cárdenas e Ibsen Peña vs. Bolivia, supra nota 30, párr. 262.</w:t>
        <w:br/>
        <w:br/>
        <w:t>[319]       Cfr. Caso  Velásquez  Rodríguez  vs.  Honduras.  Reparaciones  y</w:t>
        <w:br/>
        <w:t>Costas, supra nota 316, párrs.  25  a  27;  Caso  Garrido  y  Baigorria  vs.</w:t>
        <w:br/>
        <w:t>Argentina, supra nota 313, párr. 43, y Caso de la “Panel  Blanca”  (Paniagua</w:t>
        <w:br/>
        <w:t>Morales y otros) vs. Guatemala, supra nota 30, párrs. 76 a 79.</w:t>
        <w:br/>
        <w:br/>
        <w:br/>
        <w:t>[320]       Cfr. Caso Fernández Ortega y otros vs. México,  supra  nota  39,</w:t>
        <w:br/>
        <w:t>párr. 224 y Caso Ibsen Cárdenas e Ibsen Peña vs.  Bolivia,  supra  nota  30,</w:t>
        <w:br/>
        <w:t>párr. 232.</w:t>
        <w:br/>
        <w:br/>
        <w:t>[321]       Cfr. Caso Acevedo Buendía y otros (“Cesantes y Jubilados  de  la</w:t>
        <w:br/>
        <w:t>Contraloría”) vs. Perú. Excepción Preliminar, Fondo, Reparaciones y  Costas.</w:t>
        <w:br/>
        <w:t>Sentencia de 1 de julio de 2009 Serie C No. 198, párr. 114.</w:t>
        <w:br/>
        <w:br/>
        <w:t>[322]       Respecto al señor Montiel Flores, su esposa,  la  señora  Ubalda</w:t>
        <w:br/>
        <w:t>Cortés Salgado, y los hijos de ambos: Claudia, Andrés, María Magda  Lizbeth,</w:t>
        <w:br/>
        <w:t>José Orvelín, Mareny y Leonor, todos  ellos  de  apellidos  Montiel  Cortés.</w:t>
        <w:br/>
        <w:t>Respecto al señor Cabrera García, su esposa, señora Ventura López Ramírez  y</w:t>
        <w:br/>
        <w:t>su hijo de crianza Miguel Olivar López.</w:t>
        <w:br/>
        <w:br/>
        <w:t>[323]       Cfr. Caso Velásquez Rodríguez vs. Honduras.  Fondo,  supra  nota</w:t>
        <w:br/>
        <w:t>25, párr. 174; Caso Fernández Ortega y otros. vs.  México,  supra  nota  39,</w:t>
        <w:br/>
        <w:t>párr. 228, y Caso Rosendo Cantú y otra vs.  México,  supra  nota  30,  párr.</w:t>
        <w:br/>
        <w:t>211.</w:t>
        <w:br/>
        <w:br/>
        <w:t>[324]       Cfr. Caso Radilla Pacheco vs.  México,  supra  nota  302,  párr.</w:t>
        <w:br/>
        <w:t>331; Caso Fernández Ortega y otros. vs. México, supra nota 39, párr. 228,  y</w:t>
        <w:br/>
        <w:t>Caso Rosendo Cantú y otra vs. México, supra nota 30, párr. 211.</w:t>
        <w:br/>
        <w:br/>
        <w:t>[325] Cfr. Caso Barrios Altos vs. Perú. Reparaciones y Costas. Sentencia  de</w:t>
        <w:br/>
        <w:t>30 de noviembre de 2001.  Serie  C  No.  87,  Punto  Resolutivo  5.d);  Caso</w:t>
        <w:br/>
        <w:t>Rosendo Cantú y otra vs. México, supra nota 30,  párr.  229,  y  Caso  Ibsen</w:t>
        <w:br/>
        <w:t>Cárdenas e Ibsen Peña vs. Bolivia, supra nota 30, párr. 244.</w:t>
        <w:br/>
        <w:br/>
        <w:t>[326] Cfr. Caso de  las  Hermanas  Serrano  Cruz  vs.  El  Salvador.  Fondo,</w:t>
        <w:br/>
        <w:t>Reparaciones y Costas. Sentencia de 1 de marzo de 2005.  Serie  C  No.  120,</w:t>
        <w:br/>
        <w:t>párr. 195; Caso Rosendo Cantú y otra vs. México, supra nota 30,  párr.  229,</w:t>
        <w:br/>
        <w:t>y Caso Ibsen Cárdenas e Ibsen Peña vs. Bolivia, supra nota 30, párr. 244.</w:t>
        <w:br/>
        <w:br/>
        <w:t>[327]  Cfr.  Caso  Comunidad  Indígena  Yakye  Axa   vs.   Paraguay.   Fondo</w:t>
        <w:br/>
        <w:t>Reparaciones y Costas. Sentencia 17 de junio  de  2005.  Serie  C  No.  125,</w:t>
        <w:br/>
        <w:t>párr. 227; Caso Fernández Ortega y otros. vs. México, supra nota  39,  párr.</w:t>
        <w:br/>
        <w:t>247, y Caso Rosendo Cantú y otra vs. México, supra nota 30, párr. 229.</w:t>
        <w:br/>
        <w:br/>
        <w:t>[328]       Cfr. Dictamen rendido por el perito José Quiroga ante  fedatario</w:t>
        <w:br/>
        <w:t>público, supra nota 173, folios 1316 a 1328.</w:t>
        <w:br/>
        <w:br/>
        <w:t>[329] Cfr. Caso Barrios Altos vs. Perú. Reparaciones y  Costas,  supra  nota</w:t>
        <w:br/>
        <w:t>325, párrs. 42 y 45; Caso Fernández Ortega y otros. vs. México,  supra  nota</w:t>
        <w:br/>
        <w:t>39, párr. 251, y Caso Rosendo Cantú y otra vs. México, supra nota 30,  párr.</w:t>
        <w:br/>
        <w:t>252.</w:t>
        <w:br/>
        <w:br/>
        <w:t>[330]       En referencia a los poderes de  representación  presentados  por</w:t>
        <w:br/>
        <w:t>los representantes de las  víctimas,  la  Comisión  Interamericana  solicitó</w:t>
        <w:br/>
        <w:t>mediante escrito de 9 de julio de 2009 “que se mantenga en la  más  estricta</w:t>
        <w:br/>
        <w:t>confidencialidad los datos relativos con el domicilio actual de los  señores</w:t>
        <w:br/>
        <w:t>Montiel y Cabrera, así como de sus respectivas familias  […]  debido  a  los</w:t>
        <w:br/>
        <w:t>riesgos [en] su vida e integridad personal” (expediente de  fondo,  tomo  I,</w:t>
        <w:br/>
        <w:t>folio 91).</w:t>
        <w:br/>
        <w:br/>
        <w:t>[331]       Cfr. Caso Velásquez Rodríguez vs. Honduras.  Fondo,  supra  nota</w:t>
        <w:br/>
        <w:t>25, párr. 134; Caso Lori Berenson Mejía  vs.  Perú.  Fondo,  Reparaciones  y</w:t>
        <w:br/>
        <w:t>Costas. Sentencia de 25 de noviembre de 2004. Serie C No. 119, párr.  92,  y</w:t>
        <w:br/>
        <w:t>Caso Barreto Leiva vs. Venezuela, supra nota 100, párr. 24</w:t>
        <w:br/>
        <w:br/>
        <w:t>[332]       Cfr. Caso Almonacid Arellano  y  otros  vs.  Chile.  Excepciones</w:t>
        <w:br/>
        <w:t>Preliminares, Fondo, Reparaciones y costas. Sentencia de  26  de  septiembre</w:t>
        <w:br/>
        <w:t>de 2006. Serie C No. 154, párr. 124; Caso Rosendo Cantú y otra  vs.  México,</w:t>
        <w:br/>
        <w:t>supra nota 30, párr. 219, y Caso Ibsen Cárdenas e Ibsen  Peña  vs.  Bolivia,</w:t>
        <w:br/>
        <w:t>supra nota 30, párr. 202.</w:t>
        <w:br/>
        <w:br/>
        <w:t>[333]       Cfr. Caso Almonacid Arellano y otros vs. Chile, supra nota  332,</w:t>
        <w:br/>
        <w:t>párr. 124; Caso Rosendo Cantú y otra vs. México, supra nota 30,  párr.  219,</w:t>
        <w:br/>
        <w:t>y Caso Ibsen Cárdenas e Ibsen Peña vs. Bolivia, supra nota 30, párr. 202.</w:t>
        <w:br/>
        <w:br/>
        <w:t>[334]       Cfr. Sentencia de  9  de  mayo  de  1995  emitida  por  la  Sala</w:t>
        <w:br/>
        <w:t>Constitucional de la  Corte  Suprema  de  Justicia  de  Costa  Rica.  Acción</w:t>
        <w:br/>
        <w:t>Inconstitucional. Voto 2313-95 (Expediente 0421-S-90), considerando VII.</w:t>
        <w:br/>
        <w:br/>
        <w:t>[335]       Sentencia emitida  el  10  de  mayo  de  2010  por  el  Tribunal</w:t>
        <w:br/>
        <w:t>Constitucional  de  Bolivia  (Expediente  No.  2006-13381-27-RAC),  apartado</w:t>
        <w:br/>
        <w:t>III.3.sobre “El Sistema Interamericano de Derechos  Humanos.  Fundamentos  y</w:t>
        <w:br/>
        <w:t>efectos de las Sentencias emanadas de la Corte  Interamericana  de  Derechos</w:t>
        <w:br/>
        <w:t>Humanos”.</w:t>
        <w:br/>
        <w:br/>
        <w:t>[336]       Resolución No. 1920-2003 emitida el 13 de noviembre de 2003  por</w:t>
        <w:br/>
        <w:t>la Suprema Corte de Justicia de República Dominicana.</w:t>
        <w:br/>
        <w:br/>
        <w:t>[337]       Sentencia emitida el  21  de  julio  de  2006  por  el  Tribunal</w:t>
        <w:br/>
        <w:t>Constitucional del Perú (Expediente No. 2730-2006-PA/TC), fundamento 12.</w:t>
        <w:br/>
        <w:br/>
        <w:t>[338]       Sentencia 00007-2007-PI/TC emitida el 19 de junio  de  2007  por</w:t>
        <w:br/>
        <w:t>el Pleno del Tribunal Constitucional  del  Perú  (Colegio  de  Abogados  del</w:t>
        <w:br/>
        <w:t>Callao c. Congreso de la República), fundamento 26.</w:t>
        <w:br/>
        <w:br/>
        <w:br/>
        <w:t>[339]       Sentencia emitida el 23  de  diciembre  de  2004  por  la  Corte</w:t>
        <w:br/>
        <w:t>Suprema de Justicia de  la  Nación,  República  Argentina  (Expediente  224.</w:t>
        <w:br/>
        <w:t>XXXIX), “Espósito, Miguel Angel s/ incidente de prescripción  de  la  acción</w:t>
        <w:br/>
        <w:t>penal promovido por su defensa”, considerando 6.</w:t>
        <w:br/>
        <w:br/>
        <w:t>[340]       Sentencia de la Corte  Suprema  de  Justicia  de  la  Nación  de</w:t>
        <w:br/>
        <w:t>Argentina,  Mazzeo,  Julio   Lilo   y   otros,   recurso   de   casación   e</w:t>
        <w:br/>
        <w:t>inconstitucionalidad. M. 2333. XLII. y otros de 13 de Julio de  2007,  párr.</w:t>
        <w:br/>
        <w:t>20</w:t>
        <w:br/>
        <w:br/>
        <w:t>[341]       Sentencia C-010/00 emitida el 19 de enero de 2000 por  la  Corte</w:t>
        <w:br/>
        <w:t>Constitucional de Colombia, párr. 6.</w:t>
        <w:br/>
        <w:br/>
        <w:t>[342]       Cfr. Caso Radilla Pacheco vs. México,  supra  nota  302,  párrs.</w:t>
        <w:br/>
        <w:t>340; Caso Fernández Ortega y otros. vs. México, supra nota 39, párr. 237,  y</w:t>
        <w:br/>
        <w:t>Caso Rosendo Cantú y otra vs. México, supra nota 30, párr. 220.</w:t>
        <w:br/>
        <w:br/>
        <w:t>[343]       Cfr. Caso Fernández Ortega y otros. vs. México, supra  nota  39,</w:t>
        <w:br/>
        <w:t>párr. 237, y Caso Rosendo Cantú y otra vs.  México,  supra  nota  30,  párr.</w:t>
        <w:br/>
        <w:t>220.</w:t>
        <w:br/>
        <w:br/>
        <w:t>[344]       Cfr. Caso Radilla Pacheco vs. México,  supra  nota  302,  párrs.</w:t>
        <w:br/>
        <w:t>341 y 342; Caso Fernández Ortega y otros. vs. México, supra nota 39,  párrs.</w:t>
        <w:br/>
        <w:t>238 y 239, y Caso Rosendo Cantú y otra vs. México,  supra  nota  30,  párrs.</w:t>
        <w:br/>
        <w:t>221 y 222.</w:t>
        <w:br/>
        <w:br/>
        <w:t>[345]       Cfr. Caso Fernández Ortega y otros vs. México,  supra  nota  39,</w:t>
        <w:br/>
        <w:t>párr. 240, y Caso Rosendo Cantú y otra vs.  México,  supra  nota  30,  párr.</w:t>
        <w:br/>
        <w:t>223.</w:t>
        <w:br/>
        <w:br/>
        <w:t>[346]       El párrafo quinto del artículo 16 de  la  Constitución  Política</w:t>
        <w:br/>
        <w:t>de los Estados Unidos Mexicanos establece que:  “[c]ualquier  persona  puede</w:t>
        <w:br/>
        <w:t>detener al indiciado en el momento  en  que  esté  cometiendo  un  delito  o</w:t>
        <w:br/>
        <w:t>inmediatamente  después  de  haberlo  cometido,  poniéndolo  sin  demora   a</w:t>
        <w:br/>
        <w:t>disposición de la autoridad más cercana y ésta con la misma prontitud, a  la</w:t>
        <w:br/>
        <w:t>del Ministerio Público. Existirá  un  registro  inmediato  de  la  detención</w:t>
        <w:br/>
        <w:t>[…]”. Constitución Política de los  Estados  Unidos  Mexicanos,  supra  nota</w:t>
        <w:br/>
        <w:t>124.</w:t>
        <w:br/>
        <w:br/>
        <w:t>[347]       El artículo segundo transitorio del Decreto de 18  de  junio  de</w:t>
        <w:br/>
        <w:t>2008 dispone, respecto a la entrada en vigor de  la  reforma  constitucional</w:t>
        <w:br/>
        <w:t>que “[e]l sistema procesal penal acusatorio previsto en  los  artículos  16,</w:t>
        <w:br/>
        <w:t>párrafos segundo y decimotercero; 17, párrafos tercero, cuarto y sexto;  19;</w:t>
        <w:br/>
        <w:t>20 y 21, párrafo séptimo, de la Constitución, entrará  en  vigor  cuando  lo</w:t>
        <w:br/>
        <w:t>establezca la legislación secundaria correspondiente, sin exceder  el  plazo</w:t>
        <w:br/>
        <w:t>de ocho años, contado a partir del día siguiente de la publicación  de  este</w:t>
        <w:br/>
        <w:t>Decreto. […]”. Cfr. Decreto por el que  se  reforman  y  adicionan  diversas</w:t>
        <w:br/>
        <w:t>disposiciones de la Constitución Política de los Estados  Unidos  Mexicanos,</w:t>
        <w:br/>
        <w:t>publicado en el Diario Oficial de la Federación  el  18  de  junio  de  2008</w:t>
        <w:br/>
        <w:t>(expediente de anexos a la contestación de la demanda,  anexo  3  presentado</w:t>
        <w:br/>
        <w:t>en formato digital).</w:t>
        <w:br/>
        <w:br/>
        <w:t>[348]       El artículo 114 de  la  Ley  General  del  Sistema  Nacional  de</w:t>
        <w:br/>
        <w:t>Seguridad Pública establece que:  “[e]l  Ministerio  Público  y  la  policía</w:t>
        <w:br/>
        <w:t>deberán informar a quien lo solicite de la detención de una  persona  y,  en</w:t>
        <w:br/>
        <w:t>su caso, la autoridad a cuya disposición se encuentre […]”.  (expediente  de</w:t>
        <w:br/>
        <w:t>anexos a la contestación de  la  demanda,  anexo  3  presentado  en  formato</w:t>
        <w:br/>
        <w:t>digital).</w:t>
        <w:br/>
        <w:br/>
        <w:t>[349]       Cfr.  Naciones  Unidas.  Subcomité  para  la  Prevención  de  la</w:t>
        <w:br/>
        <w:t>Tortura.  Informe  de  31  de  mayo  de  2010  sobre  la  visita  a   México</w:t>
        <w:br/>
        <w:t>(CAT/OP/MEX/1), párr. 119.</w:t>
        <w:br/>
        <w:br/>
        <w:t>[350]       Cfr. Caso González y  otras  (“Campo  Algodonero”)  vs.  México,</w:t>
        <w:br/>
        <w:t>supra nota 48, párr. 541 y Caso Rosendo Cantú y otra vs. México, supra  nota</w:t>
        <w:br/>
        <w:t>30, párrs. 245 y 246.</w:t>
        <w:br/>
        <w:br/>
        <w:t>[351]       Cfr. Caso de la Masacre de la Rochela vs. Colombia,  supra  nota</w:t>
        <w:br/>
        <w:t>56, párr. 303 y Caso Fernández Ortega y otros vs.  México,  supra  nota  39,</w:t>
        <w:br/>
        <w:t>párr. 262</w:t>
        <w:br/>
        <w:br/>
        <w:t>[352]       Cfr. Caso Radilla Pacheco vs.  México,  supra  nota  302,  párr.</w:t>
        <w:br/>
        <w:t>359; Caso Manuel Cepeda Vargas vs. Colombia, supra nota  27,  párr.  238,  y</w:t>
        <w:br/>
        <w:t>Caso Rosendo Cantú y otra vs. México, supra nota 30, párr. 267.</w:t>
        <w:br/>
        <w:br/>
        <w:t>[353]        Cfr.  Caso  Bámaca  Velásquez  vs.  Guatemala.  Reparaciones  y</w:t>
        <w:br/>
        <w:t>Costas. Sentencia de 22 de febrero de 2002. Serie C No. 91, párr.  43;  Caso</w:t>
        <w:br/>
        <w:t>Rosendo Cantú y otra vs. México, supra nota 30,  párr.  270,  y  Caso  Ibsen</w:t>
        <w:br/>
        <w:t>Cárdenas e Ibsen Peña vs. Bolivia, supra nota 30, párr. 260.</w:t>
        <w:br/>
        <w:br/>
        <w:t>[354]       Declaración de los señores Cabrera y Montiel de 6 mayo de  1999,</w:t>
        <w:br/>
        <w:t>supra nota 132, folio 9783.</w:t>
        <w:br/>
        <w:br/>
        <w:t>[355]       Cfr. Caso de los  “Niños  de  la  Calle”  (Villagrán  Morales  y</w:t>
        <w:br/>
        <w:t>otros) vs. Guatemala. Reparaciones y Costas, supra nota 317, párr. 84;  Caso</w:t>
        <w:br/>
        <w:t>Rosendo Cantú y otra vs. México, supra nota 30,  párr.  275,  y  Caso  Ibsen</w:t>
        <w:br/>
        <w:t>Cárdenas e Ibsen Peña vs. Bolivia, supra nota 30, párr. 278.</w:t>
        <w:br/>
        <w:br/>
        <w:t>[356]       Cfr. Declaración rendida por el  señor  Teodoro  Cabrera  García</w:t>
        <w:br/>
        <w:t>ante fedatario público, supra nota 147, folio 1192.</w:t>
        <w:br/>
        <w:br/>
        <w:t>[357]       Cfr. Declaración rendida por el  señor  Rodolfo  Montiel  Flores</w:t>
        <w:br/>
        <w:t>durante la audiencia pública, supra nota 177.</w:t>
        <w:br/>
        <w:br/>
        <w:t>[358]       Cfr. Caso  Neira  Alegría  y  otros  vs.  Perú.  Reparaciones  y</w:t>
        <w:br/>
        <w:t>Costas. Sentencia de 19 de septiembre de 1996. Serie C  No.  29,  párr.  56;</w:t>
        <w:br/>
        <w:t>Caso Rosendo Cantú y otra vs. México, supra nota  30,  párr.  278,  y  Ibsen</w:t>
        <w:br/>
        <w:t>Cárdenas e Ibsen Peña vs. Bolivia, supra nota 30, párr. 282.</w:t>
        <w:br/>
        <w:br/>
        <w:t>[359]       Cfr. Caso  Neira  Alegría  y  otros  vs.  Perú.  Reparaciones  y</w:t>
        <w:br/>
        <w:t>Costas, supra nota 358, párr. 56; Caso Rosendo  Cantú  y  otra  vs.  México,</w:t>
        <w:br/>
        <w:t>supra nota 30, párr. 278, y Caso Ibsen Cárdenas e Ibsen  Peña  vs.  Bolivia,</w:t>
        <w:br/>
        <w:t>supra nota 30, párr. 282.</w:t>
        <w:br/>
        <w:br/>
        <w:t>[360]       Cfr. Caso Garrido y Baigorria vs.  Argentina,  supra  nota  313,</w:t>
        <w:br/>
        <w:t>párr. 79; Caso Rosendo Cantú y otra vs. México, supra nota 30, párr. 280,  y</w:t>
        <w:br/>
        <w:t>Caso Ibsen Cárdenas e Ibsen Peña Vs. Bolivia, supra nota 30, párr. 284.</w:t>
        <w:br/>
        <w:br/>
        <w:t>[361]       Cfr. Caso Garrido y Baigorria vs.  Argentina,  supra  nota  313,</w:t>
        <w:br/>
        <w:t>párr. 82; Caso Rosendo Cantú y otra vs. México, supra nota 30, párr. 284,  y</w:t>
        <w:br/>
        <w:t>Caso Ibsen Cárdenas e Ibsen Peña vs. Bolivia, supra nota 313, párr. 288.</w:t>
        <w:br/>
        <w:br/>
        <w:t>[362]       Respecto a CEJIL: pasajes vía aérea  y  terrestre,  viáticos  de</w:t>
        <w:br/>
        <w:t>funcionarios  (traslado  al  aeropuerto,  per  diem,  llamadas  telefónicas,</w:t>
        <w:br/>
        <w:t>hospedaje) y honorarios (expediente de anexos al escrito  de  solicitudes  y</w:t>
        <w:br/>
        <w:t>argumentos, tomo XXII, folios 9243 a  9321),  viajes,  salarios,  papelería,</w:t>
        <w:br/>
        <w:t>peritajes,  participación  de  perito  en  audiencia  pública,   fotocopias,</w:t>
        <w:br/>
        <w:t>llamadas, (expediente de fondo, tomo VI, folios 3429 a  3468).  Respecto  al</w:t>
        <w:br/>
        <w:t>Centro Prodh: pasajes  vía  aérea  y  terrestre,  viáticos  de  funcionarios</w:t>
        <w:br/>
        <w:t>(traslado  al  aeropuerto,  per  diem,  llamadas  telefónicas,   y   hotel),</w:t>
        <w:br/>
        <w:t>honorarios, fotocopias, envíos  de  papelería,  impresiones  (expediente  de</w:t>
        <w:br/>
        <w:t>anexos al escrito de solicitudes y argumentos,  tomo  XXII,  folios  9323  a</w:t>
        <w:br/>
        <w:t>9592),  viajes,  declaraciones  juradas  ante  fedatario  público,  salarios</w:t>
        <w:br/>
        <w:t>(expediente de fondo, tomo VI, folios 3470 a 3675).</w:t>
        <w:br/>
        <w:br/>
        <w:t>[363]       Respecto del  Centro  Prodh:  gastos  de  viaje  a  Iguala  para</w:t>
        <w:br/>
        <w:t>entrega  de  premio  “Chico  Mendes”  por  caso  de  Campesinos  Ecologistas</w:t>
        <w:br/>
        <w:t>(expediente de anexos al ESAP, tomo XXII, folios 9477), gastos  de  viaje  a</w:t>
        <w:br/>
        <w:t>Iguala por motivo de entrega de permio de la  Fundación  Goldman  a  Rodolfo</w:t>
        <w:br/>
        <w:t>Montiel (expediente de anexos al ESAP, tomo XXII, folio 9548),  factura  por</w:t>
        <w:br/>
        <w:t>servicio médico (expediente de anexos  al  ESAP,  tomo  XXII,  folios  9460-</w:t>
        <w:br/>
        <w:t>9461), factura por gastos médicos (lentes) (expediente de  anexos  al  ESAP,</w:t>
        <w:br/>
        <w:t>tomo XXII, folios 9475-9476) y facturas por servicio  médico  asistencial  y</w:t>
        <w:br/>
        <w:t>exámenes bacteriológicos (expediente de anexos al ESAP,  tomo  XXII,  folios</w:t>
        <w:br/>
        <w:t>9482-9486). Asimismo,  estudio  de  ultrasonido  del  señor  Cabrera  García</w:t>
        <w:br/>
        <w:t>(expediente de fondo, tomo VI, folio 3659).</w:t>
        <w:br/>
        <w:br/>
        <w:t>[364]        Cfr.  Caso  Cabrera  García  y  Montiel  Flores   vs.   México.</w:t>
        <w:br/>
        <w:t>Excepciones Preliminares, Fondo, Reparaciones y Costas. Sentencia de  26  de</w:t>
        <w:br/>
        <w:t>noviembre de 2010, párrs. 12 a 22.</w:t>
        <w:br/>
        <w:br/>
        <w:t>[365]       Caso Cabrera García y Montiel Flores vs. México, supra  nota  1,</w:t>
        <w:br/>
        <w:t>párrs. 224 a 235.</w:t>
        <w:br/>
        <w:t>[366]       Cfr. Caso de los  “Niños  de  la  Calle”  (Villagrán  Morales  y</w:t>
        <w:br/>
        <w:t>otros) vs. Guatemala. Fondo. Sentencia de 19 de noviembre de 1999.  Serie  C</w:t>
        <w:br/>
        <w:t>No.  63,  párr.  222;  Caso  Escher  y   otros   vs.   Brasil.   Excepciones</w:t>
        <w:br/>
        <w:t>Preliminares, Fondo, Reparaciones y Costas.  Sentencia  de  6  de  julio  de</w:t>
        <w:br/>
        <w:t>2009. Serie C No. 200, párr. 44, y  Caso  Da  Costa  Cadogan  vs.  Barbados.</w:t>
        <w:br/>
        <w:t>Excepciones Preliminares, Fondo, Reparaciones y Costas. Sentencia de  24  de</w:t>
        <w:br/>
        <w:t>septiembre de 2009, Serie C No. 204, párr. 12.</w:t>
        <w:br/>
        <w:br/>
        <w:t>[367]       Cfr. Caso Gomes Lund  y  Otros  (“Guerrilha  do  Araguala”)  vs.</w:t>
        <w:br/>
        <w:t>Brasil. Excepciones Preliminares, Fondo, Reparaciones  y  Costas.  Sentencia</w:t>
        <w:br/>
        <w:t>de 24 de noviembre de 2010, párr. 49.</w:t>
        <w:br/>
        <w:br/>
        <w:t>[368]       Caso Velásquez Rodríguez vs. Honduras. Fondo.  Sentencia  de  29</w:t>
        <w:br/>
        <w:t>de julio de 1988. Serie C No. 4, párr. 61: “La regla del previo  agotamiento</w:t>
        <w:br/>
        <w:t>de los recursos internos permite al Estado resolver  el  problema  según  su</w:t>
        <w:br/>
        <w:t>derecho interno antes de verse enfrentado a  un  proceso  internacional,  lo</w:t>
        <w:br/>
        <w:t>cual es  especialmente  válido  en  la  jurisdicción  internacional  de  los</w:t>
        <w:br/>
        <w:t>derechos humanos, por ser ésta "coadyuvante o complementaria" de la  interna</w:t>
        <w:br/>
        <w:t>(Convención Americana, Preámbulo).”</w:t>
        <w:br/>
        <w:br/>
        <w:t>[369]       Expresión del actual presidente de la Corte IDH,  Diego  García-</w:t>
        <w:br/>
        <w:t>Sayán; cfr. su  trabajo,  “Una  Viva  Interacción:  Corte  Interamericana  y</w:t>
        <w:br/>
        <w:t>Tribunales Internos”, en La Corte Interamericana  de  Derechos  Humanos:  Un</w:t>
        <w:br/>
        <w:t>Cuarto de Siglo: 1979-2004,  San  José,  Corte  Interamericana  de  Derechos</w:t>
        <w:br/>
        <w:t>Humanos, 2005, pp. 323-384.</w:t>
        <w:br/>
        <w:t>[370]       Si bien no  existe  de  manera  expresa  referencia  al  “debido</w:t>
        <w:br/>
        <w:t>proceso” en la Convención Americana, el  conjunto  de  derechos  del  propio</w:t>
        <w:br/>
        <w:t>Pacto y el desarrollo jurisprudencial de la Corte  IDH,  ha  creado,  en  su</w:t>
        <w:br/>
        <w:t>conjunto, lo  que  podría  denominarse  el  “debido  proceso  convencional”,</w:t>
        <w:br/>
        <w:t>integrado por diversos derechos. En un interesante voto concurrente,  Sergio</w:t>
        <w:br/>
        <w:t>García Ramírez advierte que  “[…]  Entre  los  temas  examinados  con  mayor</w:t>
        <w:br/>
        <w:t>frecuencia por la Corte Interamericana se halla el  llamado  debido  proceso</w:t>
        <w:br/>
        <w:t>legal,  concepto  desenvuelto  por  la  regulación   y   la   jurisprudencia</w:t>
        <w:br/>
        <w:t>angloamericana. El Pacto de San José no  invoca,  literalmente,  el  “debido</w:t>
        <w:br/>
        <w:t>proceso”.  Con  otras  palabras,  sin  embargo,  organiza  el   sistema   de</w:t>
        <w:br/>
        <w:t>audiencia, defensa y decisión  entrañado  en  aquel  concepto.  Cumple  esta</w:t>
        <w:br/>
        <w:t>misión --esencial para la tutela de  los  derechos  humanos--  con  diversas</w:t>
        <w:br/>
        <w:t>expresiones y en distintos  preceptos,  entre  ellos  el  artículo  8º,  que</w:t>
        <w:br/>
        <w:t>figura bajo el rubro de “Garantías judiciales”. Lo que se pretende con  ello</w:t>
        <w:br/>
        <w:t>es asegurar al individuo que los órganos del Estado  llamados  a  determinar</w:t>
        <w:br/>
        <w:t>sus derechos y deberes --en múltiples vertientes-- lo harán a través  de  un</w:t>
        <w:br/>
        <w:t>procedimiento que provea  a  la  persona  con  los  medios  necesarios  para</w:t>
        <w:br/>
        <w:t>defender sus intereses  legítimos  y  obtener  pronunciamientos  debidamente</w:t>
        <w:br/>
        <w:t>motivados y fundados, de manera que se halle bajo el amparo de la ley  y  al</w:t>
        <w:br/>
        <w:t>abrigo del arbitrio” (Párr. 3, del voto razonado que  formuló,  en  relación</w:t>
        <w:br/>
        <w:t>con  la  Sentencia  del  Caso  Claude  Reyes  y  otros  vs.  Chile.   Fondo,</w:t>
        <w:br/>
        <w:t>Reparaciones y Costas. Sentencia de 19 de septiembre de 2006.  Serie  C  No.</w:t>
        <w:br/>
        <w:t>151).</w:t>
        <w:br/>
        <w:br/>
        <w:t>[371]       Párr. 3 del voto razonado formulado por el  juez  Sergio  García</w:t>
        <w:br/>
        <w:t>Ramírez, a propósito de la sentencia emitida en el  Caso  Vargas  Areco  vs.</w:t>
        <w:br/>
        <w:t>Paraguay. Fondo, Reparaciones y Costas, de 26 de septiembre de  2006.  Serie</w:t>
        <w:br/>
        <w:t>C No. 155.</w:t>
        <w:br/>
        <w:br/>
        <w:t>[372]       Artículo 33 de la Convención Americana sobre Derechos Humanos.</w:t>
        <w:br/>
        <w:br/>
        <w:t>[373]       Artículo 1 del Estatuto de la Corte Interamericana  de  Derechos</w:t>
        <w:br/>
        <w:t>Humanos.</w:t>
        <w:br/>
        <w:t>[374]        Con   anterioridad   existen   referencias   al   “control   de</w:t>
        <w:br/>
        <w:t>convencionalidad” en algunos  votos  concurrentes  del  juez  Sergio  García</w:t>
        <w:br/>
        <w:t>Ramírez. Cfr. sus votos  en  los  Casos  Myrna  Mack  Chang  vs.  Guatemala,</w:t>
        <w:br/>
        <w:t>resuelto el 25 de noviembre de 2003, párr. 27; Caso Tibi vs. Ecuador,  de  7</w:t>
        <w:br/>
        <w:t>de septiembre de 2004, párr. 3; Caso Vargas Areco vs. Paraguay,  supra  nota</w:t>
        <w:br/>
        <w:t>8, párrs. 6 y 12.</w:t>
        <w:br/>
        <w:br/>
        <w:t>[375]       Caso Almonacid Arellano  vs.  Chile.  Excepciones  Preliminares,</w:t>
        <w:br/>
        <w:t>Fondo, Reparaciones y Costas. Sentencia de 26 de septiembre de  2006.  Serie</w:t>
        <w:br/>
        <w:t>C No. 154, párrs. 123 a 125.</w:t>
        <w:br/>
        <w:br/>
        <w:t>[376]       Cfr. Caso  Ximenes  Lopes  vs.  Brasil.  Fondo,  Reparaciones  y</w:t>
        <w:br/>
        <w:t>Costas. Sentencia de 4 de julio de 2006. Serie C No. 149, párr. 172; y  Caso</w:t>
        <w:br/>
        <w:t>Baldeón García vs. Perú. Fondo, Reparaciones y Costas.  Sentencia  de  6  de</w:t>
        <w:br/>
        <w:t>abril de 2006. Serie C No. 147, párr. 140.</w:t>
        <w:br/>
        <w:br/>
        <w:t>[377]       Cfr. Responsabilidad Internacional por Expedición  y  Aplicación</w:t>
        <w:br/>
        <w:t>de Leyes Violatorias de la Convención (Arts.  1  y  2  Convención  Americana</w:t>
        <w:br/>
        <w:t>Sobre Derechos Humanos), Opinión Consultiva OC-14/94 del 9 de  diciembre  de</w:t>
        <w:br/>
        <w:t>1994, Serie A No. 14, párr. 35.</w:t>
        <w:br/>
        <w:br/>
        <w:t>[378]       Caso Trabajadores Cesados del Congreso (Aguado Alfaro  y  otros)</w:t>
        <w:br/>
        <w:t>vs. Perú. Excepciones Preliminares, Fondo, Reparaciones y Costas.  Sentencia</w:t>
        <w:br/>
        <w:t>de 24 de Noviembre de 2006. Serie C No. 158, párr. 128:  “Cuando  un  Estado</w:t>
        <w:br/>
        <w:t>ha ratificado un tratado internacional como  la  Convención  Americana,  sus</w:t>
        <w:br/>
        <w:t>jueces también están sometidos a ella, lo que les obliga a velar  porque  el</w:t>
        <w:br/>
        <w:t>efecto útil de la Convención no se vea mermado o anulado por  la  aplicación</w:t>
        <w:br/>
        <w:t>de leyes contrarias a sus disposiciones, objeto y fin.  En  otras  palabras,</w:t>
        <w:br/>
        <w:t>los órganos  del  Poder  Judicial  deben  ejercer  no  sólo  un  control  de</w:t>
        <w:br/>
        <w:t>constitucionalidad,  sino  también  “de  convencionalidad”[379]  ex  officio</w:t>
        <w:br/>
        <w:t>entre las normas internas y la Convención  Americana,  evidentemente  en  el</w:t>
        <w:br/>
        <w:t>marco de sus respectivas  competencias  y  de  las  regulaciones  procesales</w:t>
        <w:br/>
        <w:t>correspondientes.  Esta función no debe quedar limitada  exclusivamente  por</w:t>
        <w:br/>
        <w:t>las manifestaciones o actos  de  los  accionantes  en  cada  caso  concreto,</w:t>
        <w:br/>
        <w:t>aunque  tampoco  implica  que  ese  control  deba  ejercerse  siempre,   sin</w:t>
        <w:br/>
        <w:t>considerar otros presupuestos  formales  y  materiales  de  admisibilidad  y</w:t>
        <w:br/>
        <w:t>procedencia de ese tipo de acciones. (Subrayado añadido).</w:t>
        <w:br/>
        <w:br/>
        <w:t>[380]        Caso  La  Cantuta  vs.  Perú.  Fondo,  Reparaciones  y  Costas.</w:t>
        <w:br/>
        <w:t>Sentencia de 29 de noviembre de 2006. Serie C No. 162, párr. 173.</w:t>
        <w:br/>
        <w:br/>
        <w:t>[381]       Caso Boyce y otros vs. Barbados.  Excepción  Preliminar,  Fondo,</w:t>
        <w:br/>
        <w:t>Reparaciones y Costas. Sentencia de 20 de noviembre de  2007.  Serie  C  No.</w:t>
        <w:br/>
        <w:t>169, párr. 79.</w:t>
        <w:br/>
        <w:br/>
        <w:t>[382]       Caso Heliodoro Portugal vs.  Panamá.  Excepciones  Preliminares,</w:t>
        <w:br/>
        <w:t>Fondo, Reparaciones y Costas. Sentencia de 12 de agosto  de  2008.  Serie  C</w:t>
        <w:br/>
        <w:t>No. 186, párr. 180.</w:t>
        <w:br/>
        <w:br/>
        <w:t>[383]       Caso Rosendo  Radilla  Pacheco  vs.  Estados  Unidos  Mexicanos.</w:t>
        <w:br/>
        <w:t>Excepciones Preliminares, Fondo, Reparaciones y Costas. Sentencia de  23  de</w:t>
        <w:br/>
        <w:t>noviembre de 2009. Serie C No. 209, párr. 339.</w:t>
        <w:br/>
        <w:br/>
        <w:t>[384]        Caso   Manuel   Cepeda   Vargas   vs.   Colombia.   Excepciones</w:t>
        <w:br/>
        <w:t>Preliminares, Fondo y Reparaciones. Sentencia de 26 de mayo de  2010.  Serie</w:t>
        <w:br/>
        <w:t>C No. 213, párr. 208, nota 307.</w:t>
        <w:br/>
        <w:br/>
        <w:t>[385]        Comunidad  Indígena   Xákmok   Kásek   vs.   Paraguay.   Fondo,</w:t>
        <w:br/>
        <w:t>Reparaciones y Costas. Sentencia de 24 de agosto de 2010. Serie C  No.  214,</w:t>
        <w:br/>
        <w:t>párr. 311.</w:t>
        <w:br/>
        <w:br/>
        <w:t>[386]       Caso Fernández Ortega y Otros vs. México. Excepción  Preliminar,</w:t>
        <w:br/>
        <w:t>Fondo, Reparaciones y Costas. Sentencia de 30 de agosto  de  2010.  Serie  C</w:t>
        <w:br/>
        <w:t>No. 215, párr. 234.</w:t>
        <w:br/>
        <w:br/>
        <w:t>[387]       Caso Rosendo Cantú y  Otra  vs.  México.  Excepción  Preliminar,</w:t>
        <w:br/>
        <w:t>Fondo, Reparaciones y Costas. Sentencia de 31 de agosto  de  2010.  Serie  C</w:t>
        <w:br/>
        <w:t>No. 216, párr. 219.</w:t>
        <w:br/>
        <w:br/>
        <w:t>[388]        Caso  Ibsen  Cárdenas  e  Ibsen  Peña   vs.   Bolivia.   Fondo,</w:t>
        <w:br/>
        <w:t>Reparaciones y Costas. Sentencia de 1º de septiembre de 2010.  Serie  C  No.</w:t>
        <w:br/>
        <w:t>217, párr. 202.</w:t>
        <w:br/>
        <w:br/>
        <w:t>[389]       Caso Vélez Loor vs.  Panamá.  Excepciones  preliminares,  fondo,</w:t>
        <w:br/>
        <w:t>reparaciones y costas. Sentencia de 23 de noviembre de  2010.  Serie  C  No.</w:t>
        <w:br/>
        <w:t>218, párr. 287.</w:t>
        <w:br/>
        <w:br/>
        <w:t>[390]       Caso Gomes Lund y Otros  (Guerrilha  do  Araguaia)  vs.  Brasil.</w:t>
        <w:br/>
        <w:t>Excepciones preliminares, fondo, reparaciones y costas. Sentencia de  24  de</w:t>
        <w:br/>
        <w:t>noviembre de 2010. Serie C No. 219, párr. 106.</w:t>
        <w:br/>
        <w:br/>
        <w:t>[391]       Caso Cabrera García y Montiel Flores vs. México, supra  nota  1,</w:t>
        <w:br/>
        <w:t>párr. 225.</w:t>
        <w:br/>
        <w:br/>
        <w:t>[392]       Resolución de la Corte Interamericana de Derechos Humanos  de  9</w:t>
        <w:br/>
        <w:t>de mayo de 2008, párr. 63.</w:t>
        <w:br/>
        <w:t>[393]       Además de los votos razonados referidos supra  nota  11,  véanse</w:t>
        <w:br/>
        <w:t>sus votos  posteriores  al  leading  case  Almonacid  Arellano,  que  emitió</w:t>
        <w:br/>
        <w:t>reflexionando sobre el  “control  de  convencionalidad”:  Caso  Trabajadores</w:t>
        <w:br/>
        <w:t>Cesados del Congreso (Aguado Alfaro  y  otros)  vs.  Perú,  supra  nota  15,</w:t>
        <w:br/>
        <w:t>párrs. 1 a 13 del  voto  razonado;  y  Caso  Valle  Jaramillo  y  Otros  vs.</w:t>
        <w:br/>
        <w:t>Colombia. Fondo, Reparaciones y Costas. Sentencia  de  27  de  noviembre  de</w:t>
        <w:br/>
        <w:t>2008. Serie C No. 192, párr. 3 del voto razonado.</w:t>
        <w:br/>
        <w:br/>
        <w:t>[394]       Cfr. sus votos razonados en los Casos Trabajadores  Cesados  del</w:t>
        <w:br/>
        <w:t>Congreso (Aguado Alfaro y otros) vs. Perú,   supra  nota  15,  especialmente</w:t>
        <w:br/>
        <w:t>los párrs. 2 y 3 de su voto; así como en la solicitud de  interpretación  de</w:t>
        <w:br/>
        <w:t>sentencia derivada de dicho caso, de 30 de noviembre de 2007,  especialmente</w:t>
        <w:br/>
        <w:t>los párrs. 5 a 12, 45 y 49, de su voto disidente.</w:t>
        <w:br/>
        <w:br/>
        <w:t>[395]       Cfr. su voto razonado y concurrente en  el  Caso  Gomes  Lund  y</w:t>
        <w:br/>
        <w:t>Otros (Guerrilha do Araguaia) vs. Brasil. supra nota 4, párrs. 4 y 5.</w:t>
        <w:br/>
        <w:br/>
        <w:t>[396]       Argentina, Barbados, Bolivia,  Brasil,  Chile,  Colombia,  Costa</w:t>
        <w:br/>
        <w:t>Rica,  Dominicana,  Ecuador,  El  Salvador,  Guatemala,   Haití,   Honduras,</w:t>
        <w:br/>
        <w:t>Jamaica, México, Nicaragua, Panamá, Paraguay,  Perú,  República  Dominicana,</w:t>
        <w:br/>
        <w:t>Suriname, Uruguay y Venezuela. Trinidad  y  Tobago  denunció  la  Convención</w:t>
        <w:br/>
        <w:t>Americana sobre Derechos Humanos.</w:t>
        <w:br/>
        <w:br/>
        <w:t>[397]        Los Estados citados en  la  nota  anterior,  con  excepción  de</w:t>
        <w:br/>
        <w:t>Dominicana  y  Jamaica  (que  hasta  la  fecha  no    han   aceptado   dicha</w:t>
        <w:br/>
        <w:t>jurisdicción) y Trinidad y Tobago (por denuncia en 1999).</w:t>
        <w:br/>
        <w:br/>
        <w:t>[398]        Cfr.  Ferrer  Mac-Gregor,  Eduardo,  “El  control   difuso   de</w:t>
        <w:br/>
        <w:t>convencionalidad en el Estado constitucional”,  en  Fix-Zamudio,  Héctor,  y</w:t>
        <w:br/>
        <w:t>Valadés, Diego (coords.),  Formación  y  perspectiva  del  Estado  mexicano,</w:t>
        <w:br/>
        <w:t>México, El Colegio Nacional-UNAM, 2010, pp. 151-188.</w:t>
        <w:br/>
        <w:br/>
        <w:t>[399]       Caso Trabajadores Cesados del Congreso (Aguado Alfaro  y  otros)</w:t>
        <w:br/>
        <w:t>vs. Perú, supra nota 15, párrs. 4, 12 y 13 del voto razonado.</w:t>
        <w:br/>
        <w:br/>
        <w:t>[400]       De manera explícita, por  ejemplo,  en  Argentina  (art.  73)  y</w:t>
        <w:br/>
        <w:t>República Dominicana (art. 74.3, de  la  nueva  Constitución  proclamada  en</w:t>
        <w:br/>
        <w:t>enero de 2010).</w:t>
        <w:br/>
        <w:br/>
        <w:t>[401]       Bolivia (art. 256); Ecuador (art. 424); y Venezuela (art. 23).</w:t>
        <w:br/>
        <w:br/>
        <w:t>[402]       Con independencia de la jerarquía normativa que le otorguen,  un</w:t>
        <w:br/>
        <w:t>número  importante  de  textos  constitucionales  reconocen  algún  tipo  de</w:t>
        <w:br/>
        <w:t>especificidad  de  los  tratados  internacionales  en  materia  de  derechos</w:t>
        <w:br/>
        <w:t>humanos, por ejemplo, en  Argentina,  Bolivia,  Chile,  Ecuador,  Guatemala,</w:t>
        <w:br/>
        <w:t>Colombia, Paraguay, Perú, República Dominicana y Venezuela. Además,  en  las</w:t>
        <w:br/>
        <w:t>Entidades Federativas mexicanas de Sinaloa, Tlaxcala y Querétaro.</w:t>
        <w:br/>
        <w:br/>
        <w:t>[403]       Por ejemplo, en  el  Perú  (art.  Transitorio  Cuarto);  Ecuador</w:t>
        <w:br/>
        <w:t>(art. 417); y en la nueva Constitución de la República Dominicana, de  enero</w:t>
        <w:br/>
        <w:t>de 2010 (art. 74.4).</w:t>
        <w:br/>
        <w:br/>
        <w:t>[404]        Por  ejemplo,  Brasil  (artículo  5.LXXVII.2),  Bolivia   (art.</w:t>
        <w:br/>
        <w:t>13.II), Colombia (art. 94), Ecuador  (art.  417),  Panamá  (art.  17),  Perú</w:t>
        <w:br/>
        <w:t>(art. 3), República Dominicana (art. 74.1) y Uruguay (art. 72).</w:t>
        <w:br/>
        <w:br/>
        <w:t>[405]       Por ejemplo, Bolivia (art. 13.IV),  Colombia  (art.  93),  Haití</w:t>
        <w:br/>
        <w:t>(art. 19) y en las Entidades Federativas mexicanas de Sinaloa  (4º  Bis  C),</w:t>
        <w:br/>
        <w:t>Tlaxcala (artículo 16 B) y Querétaro (Considerando 15).</w:t>
        <w:br/>
        <w:br/>
        <w:t>[406]         Sobre   la   “interpretación   conforme”   con   los    pactos</w:t>
        <w:br/>
        <w:t>internacionales,  véase  Caballero,  José  Luis,  La  incorporación  de  los</w:t>
        <w:br/>
        <w:t>tratados internacionales sobre derechos humanos en México y España,  México,</w:t>
        <w:br/>
        <w:t>Porrúa, 2009.</w:t>
        <w:br/>
        <w:br/>
        <w:t>[407]       Dos de las jurisdicciones constitucionales  más  representativos</w:t>
        <w:br/>
        <w:t>que  desde  principios  de  la  década   de   los   noventa   han   adoptado</w:t>
        <w:br/>
        <w:t>interpretaciones sobresalientes  para  favorecer  la  aplicabilidad  de  los</w:t>
        <w:br/>
        <w:t>tratados internacionales  en  materia  de  derechos  humanos,  son  la  Sala</w:t>
        <w:br/>
        <w:t>Constitucional de la Corte Suprema de Costa Rica y la  Corte  Constitucional</w:t>
        <w:br/>
        <w:t>de Colombia. La primera otorgó carácter supraconstitucional a  los  tratados</w:t>
        <w:br/>
        <w:t>internacionales de derechos humanos en la  medida  en  que  éstos  sean  más</w:t>
        <w:br/>
        <w:t>favorables a los previstos a nivel constitucional. La segunda, al  reconocer</w:t>
        <w:br/>
        <w:t>dentro  del  “bloque  de  constitucionalidad”  a  dichos   tratados.   Ambas</w:t>
        <w:br/>
        <w:t>jurisdicciones  han  tenido  importantes  desarrollos  posteriores  en  esta</w:t>
        <w:br/>
        <w:t>materia.</w:t>
        <w:br/>
        <w:br/>
        <w:t>[408]       Párr. 9 del voto razonado emitido  por  el  juez  Sergio  García</w:t>
        <w:br/>
        <w:t>Ramírez, con motivo de la sentencia referida al  Caso  Trabajadores  Cesados</w:t>
        <w:br/>
        <w:t>del Congreso (Aguado Alfaro y otros) vs. Perú, supra nota 15.</w:t>
        <w:br/>
        <w:br/>
        <w:t>[409]        Cfr.  García-Sayán,  Diego,  “Una   Viva   Interacción:   Corte</w:t>
        <w:br/>
        <w:t>Interamericana y Tribunales Internos”, op. cit., supra nota 6.</w:t>
        <w:br/>
        <w:br/>
        <w:t>[410]       Caso “Mazzeo,  Lulio  Lilo  y  otros  s/Recurso  de  Casación  e</w:t>
        <w:br/>
        <w:t>Inconstitucionalidad, de 13 de julio de 2007. Sobre este importante fallo  y</w:t>
        <w:br/>
        <w:t>en  general  sobre  el  carácter  evolutivo   de   recepción   del   derecho</w:t>
        <w:br/>
        <w:t>internacional por parte de la Corte Suprema de Justicia de Argentina,  véase</w:t>
        <w:br/>
        <w:t>Bazán, Víctor, “El derecho internacional en la jurisprudencia  de  la  Corte</w:t>
        <w:br/>
        <w:t>Suprema  de  Justicia,  con  particular  énfasis  en  materia  de   derechos</w:t>
        <w:br/>
        <w:t>humanos”, en La Ley,  Suplemento  Extraordinario  (75  Aniversario),  Buenos</w:t>
        <w:br/>
        <w:t>Aires, Agosto de 2010, pp. 1-17, especialmente sobre el caso “Mazzeo”  véase</w:t>
        <w:br/>
        <w:t>pp.  10,  11  y  16;   asimismo,   Hitters,   Juan   Carlos,   “Control   de</w:t>
        <w:br/>
        <w:t>constitucionalidad y control  de  onvencionalidad.  Comparación.  (Criterios</w:t>
        <w:br/>
        <w:t>fijados por la  Corte  Interamericana  de  Derechos  Humanos)”  en  Estudios</w:t>
        <w:br/>
        <w:t>Constitucionales,  Santiago,  Centro   de   Estudios   Constitucionales   de</w:t>
        <w:br/>
        <w:t>Chile/Universidad de Talca, Año 7,  N°  2,  2009,  pp.  109-128;  y  Loiano,</w:t>
        <w:br/>
        <w:t>Adelina, “El marco conceptual del control  de  convencionalidad  en  algunos</w:t>
        <w:br/>
        <w:t>fallos  de  la  Corte  Suprema  Argentina:  “Arancibia   Clavel”,   “Simón”,</w:t>
        <w:br/>
        <w:t>“Mazzeo”, en Albanese, Susana  (coord.),  El  control  de  convencionalidad,</w:t>
        <w:br/>
        <w:t>Buenos Aires, Editorial Ediar, 2008.</w:t>
        <w:br/>
        <w:br/>
        <w:t>[411]       Precisamente Diálogo Jurisprudencial es el nombre de la  revista</w:t>
        <w:br/>
        <w:t>semestral que edita conjuntamente el Instituto de Investigaciones  Jurídicas</w:t>
        <w:br/>
        <w:t>de la UNAM, la Corte Interamericana  de  Derechos  Humanos  y  la  Fundación</w:t>
        <w:br/>
        <w:t>Konrad Adenauer Stiftung, desde el segundo semestre de 2006. El objetivo  es</w:t>
        <w:br/>
        <w:t>dar a conocer los  fallos  de  los  tribunales  nacionales  que  aplican  la</w:t>
        <w:br/>
        <w:t>jurisprudencia de la Corte IDH y el derecho internacional  de  los  derechos</w:t>
        <w:br/>
        <w:t>humanos, y el influjo que a su vez recibe ese  Tribunal  Interamericano  por</w:t>
        <w:br/>
        <w:t>parte de la jurisprudencia nacional.</w:t>
        <w:br/>
        <w:br/>
        <w:t>[412]       Supra  nota 15, párr. 3  del  voto  razonado  del  juez  Antônio</w:t>
        <w:br/>
        <w:t>Augusto Cançade Trindade.</w:t>
        <w:br/>
        <w:br/>
        <w:br/>
        <w:t>[413]       Precisión que fue  realizada  a  partir  del  Caso  Trabajadores</w:t>
        <w:br/>
        <w:t>Cesados del Congreso (Aguado Alfaro y  otros)   vs.  Perú,  supra  nota  15,</w:t>
        <w:br/>
        <w:t>párr. 128.</w:t>
        <w:br/>
        <w:br/>
        <w:t>[414]       Este precepto señala: “Artículo 29.  Normas  de  Interpretación.</w:t>
        <w:br/>
        <w:t>Ninguna disposición de la presente Convención puede ser interpretada  en  el</w:t>
        <w:br/>
        <w:t>sentido de: a) permitir a alguno de los Estados  Partes,  grupo  o  persona,</w:t>
        <w:br/>
        <w:t>suprimir el goce y ejercicio de los derechos y libertades reconocidos en  la</w:t>
        <w:br/>
        <w:t>Convención o limitarlos en mayor medida que la prevista en ella; b)  limitar</w:t>
        <w:br/>
        <w:t>el goce y  ejercicio  de  cualquier  derecho  o  libertad  que  pueda  estar</w:t>
        <w:br/>
        <w:t>reconocido de acuerdo con las leyes de cualquiera de los  Estados  Partes  o</w:t>
        <w:br/>
        <w:t>de acuerdo con otra convención en que sea parte uno de  dichos  Estados;  c)</w:t>
        <w:br/>
        <w:t>excluir otros derechos y garantías que son inherentes al ser  humano  o  que</w:t>
        <w:br/>
        <w:t>se derivan  de  la  forma  democrática  representativa  de  gobierno,  y  d)</w:t>
        <w:br/>
        <w:t>excluir o limitar el efecto que puedan producir la Declaración Americana  de</w:t>
        <w:br/>
        <w:t>Derechos y Deberes del Hombre y otros  actos  internacionales  de  la  misma</w:t>
        <w:br/>
        <w:t>naturaleza”.</w:t>
        <w:br/>
        <w:br/>
        <w:t>[415]       Opinión Consultiva OC-5/85. 13 de noviembre  de  1985.  Serie  A</w:t>
        <w:br/>
        <w:t>No. 5, relativa a La Colegiación Obligatoria de Periodistas (Arts. 13  y  29</w:t>
        <w:br/>
        <w:t>Convención Americana sobre Derechos Humanos), párrs. 51 y 52.</w:t>
        <w:br/>
        <w:t>[416]       Caso Almonacid Arellano vs. Chile, supra nota 13, párr. 123.</w:t>
        <w:br/>
        <w:br/>
        <w:t>[417]       Cfr. Caso Ximenes Lopes,  supra  nota  13,  párr.  172;  y  Caso</w:t>
        <w:br/>
        <w:t>Baldeón García, supra nota 13, párr. 140.</w:t>
        <w:br/>
        <w:br/>
        <w:t>[418]       Idem.</w:t>
        <w:br/>
        <w:br/>
        <w:t>[419]       Párr. 128, in  fine,  Caso  Trabajadores  Cesados  del  Congreso</w:t>
        <w:br/>
        <w:t>(Aguado Alfaro y otros) vs. Perú, supra nota 15.</w:t>
        <w:br/>
        <w:br/>
        <w:t>[420]       Caso Cabrera García y Montiel Flores vs. México, supra  nota  1,</w:t>
        <w:br/>
        <w:t>párr. 227.</w:t>
        <w:br/>
        <w:br/>
        <w:t>[421]       Artículo 29, inciso d). Véase supra nota 50.</w:t>
        <w:br/>
        <w:br/>
        <w:t>[422]       Párr. 3 del  voto  razonado  del  juez  Sergio  García  Ramírez,</w:t>
        <w:br/>
        <w:t>respecto de la sentencia del caso citado, de 24 de noviembre de 2006.</w:t>
        <w:br/>
        <w:t>[423]       Cfr. Caso Ibsen Cárdenas e Ibsen Peña vs.  Bolivia,  supra  nota</w:t>
        <w:br/>
        <w:t>24, párr. 199.</w:t>
        <w:br/>
        <w:br/>
        <w:t>[424]       OC-16/99 de 1 de octubre de 1999, párr. 114.</w:t>
        <w:br/>
        <w:br/>
        <w:t>[425]       OC-16/99, supra nota 60, párr. 115.</w:t>
        <w:br/>
        <w:br/>
        <w:t>[426]        En  términos  del  artículo  29  del  Reglamento  de  la  Corte</w:t>
        <w:br/>
        <w:t>Interamericana, vigente a partir del 1 de  enero  de  2010,  que  establece:</w:t>
        <w:br/>
        <w:t>“Artículo 31. Resoluciones. 1. Las sentencias y las resoluciones que  pongan</w:t>
        <w:br/>
        <w:t>término al proceso son de la competencia  exclusiva  de  la  Corte.  2.  Las</w:t>
        <w:br/>
        <w:t>demás resoluciones serán dictadas por la corte, si estuviere reunida; si  no</w:t>
        <w:br/>
        <w:t>lo estuviere, por la  Presidencia,  salvo  disposición  en  contrario.  Toda</w:t>
        <w:br/>
        <w:t>decisión de la Presidencia, que no sea de mero trámite, es  recurrible  ante</w:t>
        <w:br/>
        <w:t>la Corte. 3. Contra las sentencias y resoluciones de  la  Corte  no  procede</w:t>
        <w:br/>
        <w:t>ningún medio de impugnación.”</w:t>
        <w:br/>
        <w:br/>
        <w:t>[427]       Cfr. Opinión Consultiva  OC-1/82.  24  de  septiembre  de  1982.</w:t>
        <w:br/>
        <w:t>Serie A No. 1, relativa a “Otros Tratados” objeto de la  función  consultiva</w:t>
        <w:br/>
        <w:t>de  la  Corte  (art.  64  Convención  Americana  sobre  Derechos   Humanos),</w:t>
        <w:br/>
        <w:t>presentada por el gobierno del Perú.</w:t>
        <w:br/>
        <w:br/>
        <w:t>[428]        De  esta  manera,  por  ejemplo,  pueden  formar  parte  de  su</w:t>
        <w:br/>
        <w:t>jurisprudencia los estándares establecidos por la Corte Europea de  Derechos</w:t>
        <w:br/>
        <w:t>Humanos, tratados internacionales del sistema universal,   las  resoluciones</w:t>
        <w:br/>
        <w:t>de los Comités de Naciones  Unidas,   las  recomendaciones  de  la  Comisión</w:t>
        <w:br/>
        <w:t>Interamericana de Derechos Humanos o incluso los informes de  los  relatores</w:t>
        <w:br/>
        <w:t>especiales de la OEA o de Naciones Unidas, entre otros, siempre y cuando  la</w:t>
        <w:br/>
        <w:t>Corte IDH los utilice y los haga suyos para  formar  su  interpretación  del</w:t>
        <w:br/>
        <w:t>corpus juris interamericano y crear la norma convencional interpretada  como</w:t>
        <w:br/>
        <w:t>estándar interamericano.</w:t>
        <w:br/>
        <w:br/>
        <w:t>[429]       Artículo 1 del Estatuto de la Corte Interamericana  de  Derechos</w:t>
        <w:br/>
        <w:t>Humanos, aprobado por resolución núm. 448 de la Asamblea General de la  OEA,</w:t>
        <w:br/>
        <w:t>en la Paz, Bolivia (octubre de 1979).</w:t>
        <w:br/>
        <w:br/>
        <w:t>[430]        Ferrer  Mac-Gregor,  Eduardo,   y   Silva   García,   Fernando,</w:t>
        <w:br/>
        <w:t>“Homicidios de mujeres por razón de género. El Caso  Campo  Algodonero”,  en</w:t>
        <w:br/>
        <w:t>von Bogdandy, Armin,  Ferrer  Mac-Gregor,  Eduardo,  y  Morales  Antoniazzi,</w:t>
        <w:br/>
        <w:t>Mariela (coords.), La justicia  constitucional  y  su  internacionalización:</w:t>
        <w:br/>
        <w:t>¿Hacia un Ius Constitutionale Commune en América Latina?,  México,  UNAM-Max</w:t>
        <w:br/>
        <w:t>Planck Institut, 2010, tomo II, pp. 259-333, en pp. 296-297.</w:t>
        <w:br/>
        <w:br/>
        <w:t>[431]       Cfr. Caso Almonacid Arellano y otros vs. Chile, supra  nota  13,</w:t>
        <w:br/>
        <w:t>párr. 124.</w:t>
        <w:br/>
        <w:br/>
        <w:t>[432]       Por ejemplo, en el Caso La Cantuta  vs.  Perú,  supra  nota  16,</w:t>
        <w:br/>
        <w:t>párr. 174: “En ese marco  de  interpretación,  la  controversia  subsistente</w:t>
        <w:br/>
        <w:t>debe ser ubicada en aquella primera  vertiente  de  medidas  que  deben  ser</w:t>
        <w:br/>
        <w:t>adoptadas para adecuar la normativa interna a la  Convención.  Para  efectos</w:t>
        <w:br/>
        <w:t>de la discusión planteada, es necesario precisar que la Corte consideró  que</w:t>
        <w:br/>
        <w:t>en Perú dichas leyes de auto amnistía son ab  initio  incompatibles  con  la</w:t>
        <w:br/>
        <w:t>Convención;  es  decir,  su  promulgación  misma  “constituye  per  se   una</w:t>
        <w:br/>
        <w:t>violación de la Convención” por ser “una  ley  manifiestamente  contraria  a</w:t>
        <w:br/>
        <w:t>las obligaciones asumidas por un Estado parte” en dicho tratado. Ese  es  el</w:t>
        <w:br/>
        <w:t>rationale de la declaratoria con efectos generales realizado  por  la  Corte</w:t>
        <w:br/>
        <w:t>en el caso Barrios Altos. De ahí que su aplicación por parte  de  un  órgano</w:t>
        <w:br/>
        <w:t>estatal en un caso concreto, mediante  actos  normativos  posteriores  o  su</w:t>
        <w:br/>
        <w:t>aplicación por  funcionarios  estatales,  constituya  una  violación  de  la</w:t>
        <w:br/>
        <w:t>Convención”. Asimismo,  en  el  Caso  Gomes  Lund  y  Otros  (“Guerrilha  do</w:t>
        <w:br/>
        <w:t>Araguala”) vs. Brasil, supra nota 4, párr. 106.</w:t>
        <w:br/>
        <w:br/>
        <w:br/>
        <w:t>[433]       Por ejemplo, en el  Caso  Radilla  Pacheco  vs.  Estados  Unidos</w:t>
        <w:br/>
        <w:t>Mexicanos, supra nota 19, párr. 339; así como  en  el  reciente  Caso  Ibsen</w:t>
        <w:br/>
        <w:t>Cárdenas e Ibsen Peña vs. Bolivia, supra nota 24, párr. 202.</w:t>
        <w:br/>
        <w:br/>
        <w:t>[434]       Cfr.,  por  ejemplo,  Caso  Trabajadores  Cesados  del  Congreso</w:t>
        <w:br/>
        <w:t>(Aguado Alfaro y otros) vs. Perú, supra nota 15, párr. 128;  Caso  Comunidad</w:t>
        <w:br/>
        <w:t>Indígena  Xármok  Kásek  vs.  Paraguay,  supra  nota  21,  párr.  311;  Caso</w:t>
        <w:br/>
        <w:t>Fernández Ortega y otros. vs. México, supra  nota  22,  párr.  234;  Rosendo</w:t>
        <w:br/>
        <w:t>Cantú y Otra vs. México, supra nota 23, párr. 234; y  Caso  Vélez  Loor  vs.</w:t>
        <w:br/>
        <w:t>Panamá, supra nota 25, párr. 287.</w:t>
        <w:br/>
        <w:br/>
        <w:t>[435]       Cfr. Caso Velásquez Rodríguez vs. Honduras, supra nota 5,  párr.</w:t>
        <w:br/>
        <w:t>25; Caso Chitay Nech y Otros. Excepciones Preliminares, Fondo,  Reparaciones</w:t>
        <w:br/>
        <w:t>y Costas. Sentencia de 25 de mayo de 2010. Serie C  No.  212  párr.  227;  y</w:t>
        <w:br/>
        <w:t>Caso Manuel Cepeda Vargas. Excepciones Preliminares, Fondo  y  Reparaciones.</w:t>
        <w:br/>
        <w:t>Sentencia de 26 de mayo de 2010. Serie C No. 213, párr. 211.</w:t>
        <w:br/>
        <w:br/>
        <w:t>[436]       Cfr.  Caso  Castillo  Páez  vs.  Perú.  Reparaciones  y  Costas.</w:t>
        <w:br/>
        <w:t>Sentencia de 27 de noviembre de 1998. Serie C No. 43, párr. 43; Caso  Chitay</w:t>
        <w:br/>
        <w:t>Nech y Otros, supra nota 71, párr. 227, y Caso Manuel Cepeda  Vargas,  supra</w:t>
        <w:br/>
        <w:t>nota 71, párr. 211.</w:t>
        <w:br/>
        <w:br/>
        <w:t>[437]       Supra nota 12, párr. 125.</w:t>
        <w:br/>
        <w:br/>
        <w:t>[438]             Cfr.  Responsabilidad  Internacional  por   Expedición   y</w:t>
        <w:br/>
        <w:t>Aplicación de Leyes Violatorias de la Convención (Arts.  1  y  2  Convención</w:t>
        <w:br/>
        <w:t>Americana Sobre Derechos Humanos), Opinión  Consultiva  OC-14/94  del  9  de</w:t>
        <w:br/>
        <w:t>diciembre de 1994, Serie A No. 14.</w:t>
        <w:br/>
        <w:br/>
        <w:t>[439]       “Artículo 1.  Obligación  de  Respetar  los  Derechos.   1.  Los</w:t>
        <w:br/>
        <w:t>Estados Partes en esta Convención se comprometen a respetar los  derechos  y</w:t>
        <w:br/>
        <w:t>libertades reconocidos en ella y a garantizar su libre y pleno  ejercicio  a</w:t>
        <w:br/>
        <w:t>toda persona que esté sujeta a su jurisdicción,  sin  discriminación  alguna</w:t>
        <w:br/>
        <w:t>por motivos de raza, color, sexo, idioma, religión,  opiniones  políticas  o</w:t>
        <w:br/>
        <w:t>de cualquier otra índole, origen  nacional  o  social,  posición  económica,</w:t>
        <w:br/>
        <w:t>nacimiento o cualquier otra condición social.”</w:t>
        <w:br/>
        <w:br/>
        <w:t>[440]       “Artículo 2. Deber de Adoptar Disposiciones de Derecho  Interno.</w:t>
        <w:br/>
        <w:t xml:space="preserve"> Si el ejercicio de los derechos y libertades mencionados en el  artículo  1</w:t>
        <w:br/>
        <w:t>no estuviere  ya  garantizado  por  disposiciones  legislativas  o  de  otro</w:t>
        <w:br/>
        <w:t>carácter, los Estados Partes se comprometen a adoptar,  con  arreglo  a  sus</w:t>
        <w:br/>
        <w:t>procedimientos constitucionales y a las disposiciones  de  esta  Convención,</w:t>
        <w:br/>
        <w:t>las medidas legislativas o de  otro  carácter  que  fueren  necesarias  para</w:t>
        <w:br/>
        <w:t>hacer efectivos tales derechos y libertades”.</w:t>
        <w:br/>
        <w:br/>
        <w:t>[441]       “Art. 26: Pacta sunt servanda. Todo tratado en  vigor  obliga  a</w:t>
        <w:br/>
        <w:t>las partes y debe ser cumplido por ellas de buena fe”.</w:t>
        <w:br/>
        <w:br/>
        <w:t>[442]       “Art. 27. El derecho interno y la observancia de  los  tratados.</w:t>
        <w:br/>
        <w:t>Una parte no podrá invocar las disposiciones  de  su  derecho  interno  como</w:t>
        <w:br/>
        <w:t>justificación del incumplimiento de un tratado. Esta norma se entenderá  sin</w:t>
        <w:br/>
        <w:t>perjuicio de lo dispuesto en el artículo 46”.</w:t>
        <w:br/>
        <w:br/>
        <w:t>[443]       Cfr. párr. 27 de su voto razonado  con  motivo  del  Caso  Myrna</w:t>
        <w:br/>
        <w:t>Mack Chang vs. Guatemala, supra nota 11.</w:t>
        <w:br/>
        <w:br/>
        <w:t>[444]       Cfr. supra párrs. 44 a 52 de este voto razonado.</w:t>
        <w:br/>
        <w:br/>
        <w:t>[445]       Art. 69 de la Convención Americana sobre Derechos Humanos.</w:t>
        <w:br/>
        <w:br/>
        <w:t>[446]       Supra nota 19, párrs. 338 a 342.</w:t>
        <w:br/>
        <w:br/>
        <w:t>[447]       Supra nota 22, párrs. 233 a 238.</w:t>
        <w:br/>
        <w:br/>
        <w:t>[448]       Supra nota 23, párrs. 218 a 223.</w:t>
        <w:br/>
        <w:br/>
        <w:t>[449]       Supra nota 27, párrs. 225 a 235.</w:t>
        <w:br/>
        <w:br/>
        <w:t>[450]        Artículo  68.1  de  la  Convención  Americana  sobre   Derechos</w:t>
        <w:br/>
        <w:t>Humanos: “Los Estados partes en la Convención se comprometen  a  cumplir  la</w:t>
        <w:br/>
        <w:t>decisión de la corte en todo caso en que sean partes”.</w:t>
        <w:br/>
        <w:br/>
        <w:t>[451]        Artículo  67.1  de  la  Convención  Americana  sobre   Derechos</w:t>
        <w:br/>
        <w:t>Humanos: “El fallo de la Corte será definitivo e inapelable […]”.</w:t>
        <w:br/>
        <w:br/>
        <w:t>[452]       Véanse estos preceptos supra notas 77 y 78.</w:t>
        <w:br/>
        <w:br/>
        <w:t>[453]        Sobre  el  “bloque  de  convencionalidad”  como  parámetro  del</w:t>
        <w:br/>
        <w:t>“control difuso de convencionalidad, véase supra párrs.  44  a  52  de  este</w:t>
        <w:br/>
        <w:t>voto razonado.</w:t>
        <w:br/>
        <w:br/>
        <w:t>[454]       Caso Rosendo  Radilla  Pacheco  vs.  Estados  Unidos  Mexicanos,</w:t>
        <w:br/>
        <w:t>supra nota 19, párr. 338; Caso Fernández Ortega y Otros  vs.  México,  supra</w:t>
        <w:br/>
        <w:t>nota 22, párr. 233; y Caso Rosendo Cantú y Otra vs. México, supra  nota  23,</w:t>
        <w:br/>
        <w:t>párr. 218.</w:t>
        <w:br/>
        <w:br/>
        <w:t>[455]       Cfr. Caso Castillo Petruzzi y otros vs.  Perú,  supra  nota  72,</w:t>
        <w:br/>
        <w:t>párr. 207; Caso Ximenes Lopes vs. Brasil, supra nota 13, párr.  83,  y  Caso</w:t>
        <w:br/>
        <w:t>Almonacid Arellano y otros vs. Chile, supra nota 13, párr. 118.</w:t>
        <w:br/>
        <w:br/>
        <w:t>[456]       Este artículo  sólo  ha  sufrido  una  reforma  desde  el  texto</w:t>
        <w:br/>
        <w:t>original de 1917, en el año de 1934, publicada en el Diario  Oficial  de  la</w:t>
        <w:br/>
        <w:t>Federación de 18 de enero de ese año. El precepto ha  sido  interpretado  de</w:t>
        <w:br/>
        <w:t>diferentes maneras por parte de los tribunales y la doctrina mexicana  a  lo</w:t>
        <w:br/>
        <w:t>largo de su vigencia, incluso en las Constituciones anteriores a  la  actual</w:t>
        <w:br/>
        <w:t>de 1917. Sobre  las  diferentes  posturas  interpretativas,  véase  Carpizo,</w:t>
        <w:br/>
        <w:t>Jorge, “La interpretación  del  artículo  133  constitucional”,  en  Boletín</w:t>
        <w:br/>
        <w:t>Mexicano de Derecho Comparado, México, IIJ-UNAM, núm. 4, 1969, pp. 3-32.</w:t>
        <w:br/>
        <w:br/>
        <w:t>[457]       Caso Trabajadores Cesados del Congreso (Aguado Alfaro  y  otros)</w:t>
        <w:br/>
        <w:t>vs. Perú, supra nota 15, párr. 128.</w:t>
        <w:br/>
        <w:br/>
        <w:t>[458]       Tesis IX/2007, del Pleno de  la  Suprema  Corte,  cuyo  rubro  y</w:t>
        <w:br/>
        <w:t>texto son:</w:t>
        <w:br/>
        <w:t xml:space="preserve">      “TRATADOS INTERNACIONALES. SON PARTE INTEGRANTE DE LA LEY  SUPREMA  DE</w:t>
        <w:br/>
        <w:t>LA UNIÓN Y SE UBICAN JERÁRQUICAMENTE POR  ENCIMA  DE  LAS  LEYES  GENERALES,</w:t>
        <w:br/>
        <w:t>FEDERALES Y LOCALES. INTERPRETACIÓN DEL ARTÍCULO 133 CONSTITUCIONAL.</w:t>
        <w:br/>
        <w:t xml:space="preserve">      La interpretación sistemática del  artículo  133  de  la  Constitución</w:t>
        <w:br/>
        <w:t>Política de los Estados Unidos Mexicanos permite identificar  la  existencia</w:t>
        <w:br/>
        <w:t>de un orden jurídico  superior,  de  carácter  nacional,  integrado  por  la</w:t>
        <w:br/>
        <w:t>Constitución Federal, los tratados internacionales y  las  leyes  generales.</w:t>
        <w:br/>
        <w:t>Asimismo, a partir de dicha interpretación, armonizada  con  los  principios</w:t>
        <w:br/>
        <w:t>de derecho internacional dispersos en el texto constitucional, así como  con</w:t>
        <w:br/>
        <w:t>las normas y premisas fundamentales de esa rama  del  derecho,  se  concluye</w:t>
        <w:br/>
        <w:t>que los tratados internacionales  se  ubican  jerárquicamente  abajo  de  la</w:t>
        <w:br/>
        <w:t>Constitución Federal y por  encima  de  las  leyes  generales,  federales  y</w:t>
        <w:br/>
        <w:t>locales, en la  medida  en  que  el  Estado  Mexicano  al  suscribirlos,  de</w:t>
        <w:br/>
        <w:t>conformidad con lo dispuesto en la Convención de Viena Sobre el  Derecho  de</w:t>
        <w:br/>
        <w:t>los Tratados entre los Estados  y  Organizaciones  Internacionales  o  entre</w:t>
        <w:br/>
        <w:t>Organizaciones  Internacionales   y,   además,   atendiendo   al   principio</w:t>
        <w:br/>
        <w:t>fundamental de derecho internacional consuetudinario "pacta sunt  servanda",</w:t>
        <w:br/>
        <w:t>contrae libremente obligaciones frente a la comunidad internacional  que  no</w:t>
        <w:br/>
        <w:t>pueden  ser  desconocidas  invocando  normas  de  derecho  interno  y   cuyo</w:t>
        <w:br/>
        <w:t>incumplimiento  supone,  por  lo  demás,  una  responsabilidad  de  carácter</w:t>
        <w:br/>
        <w:t>internacional.” (Subrayado añadido). Publicada en el Semanario  Judicial  de</w:t>
        <w:br/>
        <w:t>la Federación y su Gaceta, Pleno, Tomo XXV, abril de 2007, p. 6.</w:t>
        <w:br/>
        <w:br/>
        <w:br/>
        <w:t>[459]       Tesis jurisprudencial 74/99, del  Pleno  de  la  Suprema  Corte,</w:t>
        <w:br/>
        <w:t>cuyo rubro y texto son:</w:t>
        <w:br/>
        <w:t xml:space="preserve">      “CONTROL DIFUSO DE LA CONSTITUCIONALIDAD DE NORMAS  GENERALES.  NO  LO</w:t>
        <w:br/>
        <w:t>AUTORIZA EL ARTÍCULO 133 DE LA CONSTITUCIÓN.</w:t>
        <w:br/>
        <w:t xml:space="preserve">      El texto expreso del artículo 133 de la Constitución Federal  previene</w:t>
        <w:br/>
        <w:t>que "Los Jueces de cada Estado se arreglarán a dicha Constitución,  leyes  y</w:t>
        <w:br/>
        <w:t>tratados a pesar de las disposiciones en contrario que pueda  haber  en  las</w:t>
        <w:br/>
        <w:t>Constituciones o leyes de los Estados.". En dicho sentido  literal  llegó  a</w:t>
        <w:br/>
        <w:t>pronunciarse  la  Suprema  Corte  de  Justicia;  sin  embargo,  la   postura</w:t>
        <w:br/>
        <w:t>sustentada  con  posterioridad   por   este   Alto   Tribunal,   de   manera</w:t>
        <w:br/>
        <w:t>predominante, ha sido en otro sentido, tomando en cuenta una  interpretación</w:t>
        <w:br/>
        <w:t>sistemática  del  precepto  y   los   principios   que   conforman   nuestra</w:t>
        <w:br/>
        <w:t>Constitución. En efecto,  esta  Suprema  Corte  de  Justicia  de  la  Nación</w:t>
        <w:br/>
        <w:t>considera que el artículo 133 constitucional, no es fuente de facultades  de</w:t>
        <w:br/>
        <w:t>control  constitucional  para  las   autoridades   que   ejercen   funciones</w:t>
        <w:br/>
        <w:t>materialmente jurisdiccionales, respecto  de  actos  ajenos,  como  son  las</w:t>
        <w:br/>
        <w:t>leyes emanadas del propio Congreso, ni de sus propias actuaciones,  que  les</w:t>
        <w:br/>
        <w:t>permitan desconocer unos y otros, pues dicho precepto debe ser  interpretado</w:t>
        <w:br/>
        <w:t>a la luz del régimen previsto por la propia Carta Magna  para  ese  efecto.”</w:t>
        <w:br/>
        <w:t>(Subrayado añadido). Publicada en el Semanario Judicial de la  Federación  y</w:t>
        <w:br/>
        <w:t>su Gaceta, Pleno, tomo X, agosto de 1999, p. 5.</w:t>
        <w:br/>
        <w:br/>
        <w:br/>
        <w:t>[460]        En  términos  del  artículo  192  de  la  Ley  de  Amparo,  las</w:t>
        <w:br/>
        <w:t>resoluciones constituirán jurisprudencia obligatoria, siempre que lo que  se</w:t>
        <w:br/>
        <w:t>resuelva en ellas se sustente en cinco ejecutorias ininterrumpidas por  otra</w:t>
        <w:br/>
        <w:t>en contrario, y se requiere además  de  por  lo  menos  ocho  votos  de  los</w:t>
        <w:br/>
        <w:t>ministros integrantes del Tribunal Pleno. En el  caso  concreto,  el  asunto</w:t>
        <w:br/>
        <w:t>fue aprobado por mayoría de seis votos contra cinco.</w:t>
        <w:br/>
        <w:br/>
        <w:t>[461]       Por ejemplo, la Tesis XI.1º.A.T.45 K, cuyo rubro y texto son:</w:t>
        <w:br/>
        <w:t xml:space="preserve">      “TRATADOS  INTERNACIONALES.  CUANDO  LOS  CONFLICTOS  SE  SUSCITEN  EN</w:t>
        <w:br/>
        <w:t>RELACIÓN CON DERECHOS HUMANOS, DEBEN UBICARSE A NIVEL DE LA CONSTITUCIÓN.</w:t>
        <w:br/>
        <w:t xml:space="preserve">      Los tratados o convenciones suscritos por el Estado mexicano relativos</w:t>
        <w:br/>
        <w:t>a derechos humanos, deben ubicarse a nivel de la  Constitución  Política  de</w:t>
        <w:br/>
        <w:t>los Estados Unidos Mexicanos, porque dichos instrumentos internacionales  se</w:t>
        <w:br/>
        <w:t>conciben como una extensión de lo previsto en esa Ley  Fundamental  respecto</w:t>
        <w:br/>
        <w:t>a los derechos humanos, en tanto que constituyen la razón  y  el  objeto  de</w:t>
        <w:br/>
        <w:t>las instituciones. Por lo  que  los  principios  que  conforman  el  derecho</w:t>
        <w:br/>
        <w:t>subjetivo público, deben adecuarse a las diversas finalidades de los  medios</w:t>
        <w:br/>
        <w:t>de defensa que prevé la propia Constitución y de  acuerdo  con  su  artículo</w:t>
        <w:br/>
        <w:t>133 las autoridades mexicanas deben respetarlos, por  lo  que  bajo  ninguna</w:t>
        <w:br/>
        <w:t>circunstancia pueden ser ignorados por ellos  al  actuar  de  acuerdo  a  su</w:t>
        <w:br/>
        <w:t>ámbito  competencial.”  (Subrayado  añadido)  (Publicada  en  el   Semanario</w:t>
        <w:br/>
        <w:t>Judicial de la Federación y su Gaceta, TCC, Tomo  XXXI,  mayo  de  2010,  p.</w:t>
        <w:br/>
        <w:t>2079).</w:t>
        <w:br/>
        <w:br/>
        <w:br/>
        <w:t>[462]       Por lo que aquí interesa, destaca de esta reforma  el  “Artículo</w:t>
        <w:br/>
        <w:t>1. En los Estados  Unidos  Mexicanos  todas  las  personas  gozarán  de  los</w:t>
        <w:br/>
        <w:t>derechos  humanos  reconocidos  en  esta  Constitución  y  en  los  tratados</w:t>
        <w:br/>
        <w:t>internacionales sobre derechos humanos de los que  el  Estado  Mexicano  sea</w:t>
        <w:br/>
        <w:t>parte, así como de las garantías para su protección, los  cuales  no  podrán</w:t>
        <w:br/>
        <w:t>restringirse ni suspenderse, salvo en los casos y bajo las  condiciones  que</w:t>
        <w:br/>
        <w:t>esta Constitución establece.</w:t>
        <w:br/>
        <w:t xml:space="preserve">      Las normas relativas  a  los  derechos  humanos  se  interpretarán  de</w:t>
        <w:br/>
        <w:t>conformidad con esta Constitución y con los tratados  internacionales  sobre</w:t>
        <w:br/>
        <w:t>derechos humanos antes señalados.</w:t>
        <w:br/>
        <w:t xml:space="preserve">      Todas las autoridades, en el ámbito de  sus  competencias,  tienen  la</w:t>
        <w:br/>
        <w:t>obligación  de  promover,  respetar,  proteger  y  garantizar  los  derechos</w:t>
        <w:br/>
        <w:t>humanos   de   conformidad   con   los    principios    de    universalidad,</w:t>
        <w:br/>
        <w:t>interdependencia,  indivisibilidad  y  progresividad.  En  consecuencia,  el</w:t>
        <w:br/>
        <w:t>Estado deberá prevenir, investigar, sancionar y reparar  las  violaciones  a</w:t>
        <w:br/>
        <w:t>los derechos humanos, en los términos que  establezca  la  ley”.  (Subrayado</w:t>
        <w:br/>
        <w:t>nuestro).</w:t>
        <w:br/>
        <w:br/>
        <w:br/>
        <w:t>[463]       El artículo 103, fracción I, de esta reforma  señala:  “Artículo</w:t>
        <w:br/>
        <w:t>103. Los  tribunales de la Federación resolverán toda  controversia  que  se</w:t>
        <w:br/>
        <w:t>suscite: I. Por normas generales, actos u  omisiones  de  la  autoridad  que</w:t>
        <w:br/>
        <w:t>violen los derechos humanos reconocidos y las garantías  otorgadas  para  su</w:t>
        <w:br/>
        <w:t>protección por esta Constitución, así como por los tratados  internacionales</w:t>
        <w:br/>
        <w:t>de los que el Estado Mexicano sea parte.” (Subrayado añadido).</w:t>
        <w:br/>
        <w:br/>
        <w:t>[464]       La “consulta a  trámite”  corresponde  al  expediente  489/2010,</w:t>
        <w:br/>
        <w:t>habiendo sido discutido el proyecto  correspondiente  por  el  Pleno  de  la</w:t>
        <w:br/>
        <w:t>Suprema Corte los días 31 de agosto, 2, 6 y 7  de  septiembre  de  2010.  El</w:t>
        <w:br/>
        <w:t>debate realizado en esos cuatro días resulta de la  mayor  importancia  para</w:t>
        <w:br/>
        <w:t>las relaciones entre el derecho nacional y el derecho internacional  de  los</w:t>
        <w:br/>
        <w:t>derechos humanos, incluso se dejaron ver posturas a favor y  en  contra  del</w:t>
        <w:br/>
        <w:t>“control difuso de convencionalidad”; sin embargo, por mayoría se  determinó</w:t>
        <w:br/>
        <w:t>restringir la consulta a “realizar una  declaración  acerca  de  la  posible</w:t>
        <w:br/>
        <w:t>participación del Poder Judicial de la Federación  en  la  ejecución  de  la</w:t>
        <w:br/>
        <w:t>sentencia dictada por la Corte Interamericana  de  Derechos  Humanos  en  el</w:t>
        <w:br/>
        <w:t>“Caso Cabrera García y Montiel Flores”, por lo que el  asunto  pasó  a  otro</w:t>
        <w:br/>
        <w:t>Ministro para definir  qué  obligaciones  concretas  le  resultan  al  Poder</w:t>
        <w:br/>
        <w:t>Judicial de la Federación y la forma de instrumentarlas.</w:t>
        <w:br/>
        <w:br/>
        <w:br/>
        <w:t xml:space="preserve">      Cabe resaltar, que la Suprema  Corte  en  esta  “consulta  a  trámite”</w:t>
        <w:br/>
        <w:t>estableció, por mayoría, el  objeto  de  análisis,  señalando,  inter  alia,</w:t>
        <w:br/>
        <w:t>“será necesario interpretar el  alcance  de  las  reservas  o  declaraciones</w:t>
        <w:br/>
        <w:t>interpretativas que formuló el Estado Mexicano,  tanto  al  adherirse  a  la</w:t>
        <w:br/>
        <w:t>Convención Americana  de  (sic(  Derechos  Humanos,  como  a  la  Convención</w:t>
        <w:br/>
        <w:t>Interamericana sobre Desaparición Forzada de Personas, dada  la  repercusión</w:t>
        <w:br/>
        <w:t>que tales salvedades podrían tener en el caso concreto, y  las  que  podrían</w:t>
        <w:br/>
        <w:t>tener en otros litigios internacionales en los que en un futuro los  Estados</w:t>
        <w:br/>
        <w:t>Unidos Mexicanos también pudieran llegar a ser parte”. (Subrayado añadido).</w:t>
        <w:br/>
        <w:t>[465]       Publicada en  el  Semanario  Judicial  de  la  Federación  y  su</w:t>
        <w:br/>
        <w:t>Gaceta, Novena Época, TCC, Tomo XXI, febrero de 2005, p. 1744.</w:t>
        <w:br/>
        <w:br/>
        <w:t>[466]       Cfr. Caso Radilla Pacheco vs. Estados  Unidos  Mexicanos,  supra</w:t>
        <w:br/>
        <w:t>nota 19, párr. 340; Caso Fernández Ortega y otros. vs.  México,  supra  nota</w:t>
        <w:br/>
        <w:t>21, párr. 237, y Caso Rosendo Cantú y otra vs. México, supra nota 22,  párr.</w:t>
        <w:br/>
        <w:t>220.</w:t>
        <w:br/>
        <w:br/>
        <w:t>[467]       Cfr. Caso Fernández Ortega y otros. vs. México, supra  nota  21,</w:t>
        <w:br/>
        <w:t>párr. 237, y Caso Rosendo Cantú y otra vs.  México,  supra  nota  22,  párr.</w:t>
        <w:br/>
        <w:t>220.</w:t>
        <w:br/>
        <w:br/>
        <w:t>[468]       “Sin  interposición  de  otra  cosa”  y  “Ahora,  al  punto,  al</w:t>
        <w:br/>
        <w:t>instante” (Real Academia de la Lengua Española, vigésima segunda edición).</w:t>
        <w:br/>
        <w:br/>
        <w:t>[469]       “Por imposición a la iniciativa privada, dícese de la  acción  o</w:t>
        <w:br/>
        <w:t>injerencia espontánea que cumple el juez en el  proceso,  sin  necesidad  de</w:t>
        <w:br/>
        <w:t>requerimiento  o  petición  de  parte,  o  iniciativa  del  magistrado,  sin</w:t>
        <w:br/>
        <w:t>instancia  de  parte”.  Cfr.  Couture,  Eduardo  J.,  Vocabulario  Jurídico.</w:t>
        <w:br/>
        <w:t>Español  y  latín,  con  traducción  de  vocablos  al   francés,   italiano,</w:t>
        <w:br/>
        <w:t>portugués, inglés y alemán, 4ta. ed., corregida, actualizada y ampliada  por</w:t>
        <w:br/>
        <w:t>Ángel Landoni Sosa, Montevideo, Julio César Faira-Editor, 2010, p. 534.</w:t>
        <w:br/>
        <w:br/>
        <w:t>[470]       Párr. 4 del voto razonado y concurrente que formuló  con  motivo</w:t>
        <w:br/>
        <w:t>de la  sentencia  relativa  al  Caso  Gomes  Lund  y  Otros  (“GUERRILHA  DO</w:t>
        <w:br/>
        <w:t>ARAGUAIA”) vs. Brasil, supra nota 4.</w:t>
        <w:br/>
        <w:br/>
        <w:t>[471]       Caso Radilla Pacheco vs. Estados Unidos  Mexicanos,  supra  nota</w:t>
        <w:br/>
        <w:t>19, párr. 275.</w:t>
        <w:br/>
        <w:br/>
        <w:t>[472]       Párr. 198 de la sentencia del  Caso  Cabrera  García  y  Montiel</w:t>
        <w:br/>
        <w:t>Flores vs. México, a que se refiere el presente voto  razonado,  supra  nota</w:t>
        <w:br/>
        <w:t>1.</w:t>
        <w:br/>
        <w:br/>
        <w:t>[473]       En la parte respectiva, este precepto señala: “Artículo 13.  (…)</w:t>
        <w:br/>
        <w:t>Subsiste el fuero de guerra para los delitos y faltas contra  la  disciplina</w:t>
        <w:br/>
        <w:t>militar; pero los tribunales militares en ningún caso y por  ningún  motivo,</w:t>
        <w:br/>
        <w:t>podrán extender  su  jurisdicción  sobre  personas  que  no  pertenezcan  al</w:t>
        <w:br/>
        <w:t>Ejército.  Cuando  en  un  delito  o  falta  del  orden  militar   estuviese</w:t>
        <w:br/>
        <w:t>complicado  un  paisano,  conocerá  del  caso   la   autoridad   civil   que</w:t>
        <w:br/>
        <w:t>corresponda”.</w:t>
        <w:br/>
        <w:br/>
        <w:t>[474]       Caso Rosendo Cantú y Otra vs. México, supra nota 22, párr. 218.</w:t>
        <w:br/>
        <w:br/>
        <w:t>[475]       Cfr. Caso Radilla Pacheco vs. Estados  Unidos  Mexicanos,  supra</w:t>
        <w:br/>
        <w:t>nota 19, párr. 338.</w:t>
        <w:br/>
        <w:br/>
        <w:t>[476]       Véase supra párrs. 63 y 75.</w:t>
        <w:br/>
        <w:br/>
        <w:t>[477]       Véase la tesis I.7o.C.51 K, del Séptimo  Tribunal  Colegiado  en</w:t>
        <w:br/>
        <w:t>Materia Civil del Primer Circuito, cuyo rubro y texto son:</w:t>
        <w:br/>
        <w:t xml:space="preserve">      “JURISPRUDENCIA INTERNACIONAL. SU UTILIDAD ORIENTADORA EN  MATERIA  DE</w:t>
        <w:br/>
        <w:t>DERECHOS HUMANOS.</w:t>
        <w:br/>
        <w:t xml:space="preserve">      Una vez incorporados a la Ley Suprema de toda la  Unión  los  tratados</w:t>
        <w:br/>
        <w:t>internacionales suscritos por México, en  materia  de  derechos  humanos,  y</w:t>
        <w:br/>
        <w:t>dado  el  reconocimiento  de  la  competencia  contenciosa   de   la   Corte</w:t>
        <w:br/>
        <w:t>Interamericana de Derechos Humanos, es posible invocar la jurisprudencia  de</w:t>
        <w:br/>
        <w:t>dicho tribunal internacional como criterio orientador cuando se trate de  la</w:t>
        <w:br/>
        <w:t>interpretación y  cumplimiento  de  las  disposiciones  protectoras  de  los</w:t>
        <w:br/>
        <w:t>derechos humanos”. (Subrayado añadido). Publicada en el  Semanario  Judicial</w:t>
        <w:br/>
        <w:t>de la Federación y su Gaceta, TCC, Tomo XXVIII, diciembre de 2008, p. 1052.</w:t>
        <w:br/>
        <w:t>[478]       Publicada en  el  Semanario  Judicial  de  la  Federación  y  su</w:t>
        <w:br/>
        <w:t>Gaceta, Novena Época, TCC, Tomo XXXI, mayo de 2010, p. 1932.</w:t>
        <w:br/>
        <w:br/>
        <w:t>[479]       Publicadas en el  Semanario  Judicial  de  la  Federación  y  su</w:t>
        <w:br/>
        <w:t>Gaceta, Novena Época, TCC, tomo XXXI, marzo de 2010, p. 2927.</w:t>
        <w:br/>
        <w:br/>
        <w:t>[480]       Artículo 4 Bis C-II. La reforma fue publicada  en  el  Periódico</w:t>
        <w:br/>
        <w:t>Oficial de dicha Entidad Federativa el 26 de mayo de 2008.</w:t>
        <w:br/>
        <w:br/>
        <w:t>[481]       Sobre esta doctrina, cfr. García  Roca,  Javier,  El  margen  de</w:t>
        <w:br/>
        <w:t>apreciación nacional en la interpretación del Convenio Europeo  de  Derechos</w:t>
        <w:br/>
        <w:t>Humanos: soberanía e integración, Madrid, Civitas, 2010.</w:t>
        <w:br/>
        <w:br/>
        <w:t>[482]       Sagués, Néstor Pedro, “El  “control  de  convencionalidad”  como</w:t>
        <w:br/>
        <w:t>instrumento para la elaboración de un ius  commune  interamericano”,  en  La</w:t>
        <w:br/>
        <w:t>justicia  constitucional  y   su   internacionalización.   ¿Hacia   un   Ius</w:t>
        <w:br/>
        <w:t>Constitutionale Commune en América Latina?, op. cit.  supra  nota  66,  tomo</w:t>
        <w:br/>
        <w:t>II, pp. 449-468, en p. 467.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