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br/>
        <w:br/>
        <w:br/>
        <w:br/>
        <w:br/>
        <w:br/>
        <w:br/>
        <w:br/>
        <w:br/>
        <w:t xml:space="preserve">                  Corte Interamericana de Derechos Humanos</w:t>
        <w:br/>
        <w:br/>
        <w:br/>
        <w:br/>
        <w:t xml:space="preserve">                    Caso Abrill Alosilla y otros Vs. perú</w:t>
        <w:br/>
        <w:br/>
        <w:br/>
        <w:br/>
        <w:t xml:space="preserve">                       Sentencia de 4 DE MARZO de 2011</w:t>
        <w:br/>
        <w:t xml:space="preserve">                       (Fondo, Reparaciones y Costas)</w:t>
        <w:br/>
        <w:br/>
        <w:br/>
        <w:br/>
        <w:br/>
        <w:t>En el Caso Abrill Alosilla y otros,</w:t>
        <w:br/>
        <w:br/>
        <w:t>la  Corte  Interamericana  de  Derechos  Humanos  (en  adelante  “la   Corte</w:t>
        <w:br/>
        <w:t>Interamericana”, “la Corte”, o “el Tribunal”), integrada por los  siguientes</w:t>
        <w:br/>
        <w:t>jueces[1]:</w:t>
        <w:br/>
        <w:br/>
        <w:t xml:space="preserve">      Leonardo A. Franco, Presidente en ejercicio;</w:t>
        <w:br/>
        <w:t xml:space="preserve">      Manuel E. Ventura Robles, Juez;</w:t>
        <w:br/>
        <w:t xml:space="preserve">      Margarette May Macaulay, Jueza;</w:t>
        <w:br/>
        <w:t xml:space="preserve">      Rhadys Abreu Blondet, Jueza;</w:t>
        <w:br/>
        <w:t xml:space="preserve">      Alberto Pérez Pérez, Juez, y</w:t>
        <w:br/>
        <w:t xml:space="preserve">      Eduardo Vio Grossi, Juez;</w:t>
        <w:br/>
        <w:br/>
        <w:t>presentes además,</w:t>
        <w:br/>
        <w:br/>
        <w:t xml:space="preserve">      Pablo Saavedra Alessandri, Secretario, y</w:t>
        <w:br/>
        <w:t xml:space="preserve">      Emilia Segares Rodríguez, Secretaria Adjunta;</w:t>
        <w:br/>
        <w:br/>
        <w:t>de conformidad con los artículos 62.3 y  63.1  de  la  Convención  Americana</w:t>
        <w:br/>
        <w:t>sobre Derechos  Humanos  (en  adelante  “la  Convención”  o  “la  Convención</w:t>
        <w:br/>
        <w:t>Americana”) y con los artículos 32, 34,  41,  y  68  del  Reglamento  de  la</w:t>
        <w:br/>
        <w:t>Corte[2] (en adelante “el Reglamento”), dicta la presente Sentencia  que  se</w:t>
        <w:br/>
        <w:t>estructura en el siguiente orden:</w:t>
        <w:br/>
        <w:br/>
        <w:br/>
        <w:br/>
        <w:br/>
        <w:br/>
        <w:br/>
        <w:br/>
        <w:br/>
        <w:br/>
        <w:br/>
        <w:br/>
        <w:br/>
        <w:br/>
        <w:br/>
        <w:t>|I. INTRODUCCIÓN DE LA CAUSA Y OBJETO DE LA CONTROVERSIA   |párrs. 1-6   |</w:t>
        <w:br/>
        <w:t>|                                                          |             |</w:t>
        <w:br/>
        <w:t>|II. PROCEDIMIENTO ANTE LA CORTE                           |párrs. 7-15  |</w:t>
        <w:br/>
        <w:t>|                                                          |             |</w:t>
        <w:br/>
        <w:t>|III. COMPETENCIA                                          |párr. 16     |</w:t>
        <w:br/>
        <w:t>|                                                          |             |</w:t>
        <w:br/>
        <w:t>|IV. RECONOCIMIENTO DE RESPONSABILIDAD INTERNACIONAL       |párrs. 17-27 |</w:t>
        <w:br/>
        <w:t>|                                                          |             |</w:t>
        <w:br/>
        <w:t>|V. CONSIDERACIÓN PREVIA RESPECTO A LA PRESUNTA FALTA DE   |párrs. 28-34 |</w:t>
        <w:br/>
        <w:t>|AGOTAMIENTO DE RECURSOS INTERNOS POR PARTE DE ALGUNAS     |             |</w:t>
        <w:br/>
        <w:t>|VÍCTIMAS                                                  |             |</w:t>
        <w:br/>
        <w:t>|                                                          |             |</w:t>
        <w:br/>
        <w:t>|VI. PRUEBA                                                |párr. 35     |</w:t>
        <w:br/>
        <w:t>|1. Prueba documental, testimonial y pericial              |párrs. 36-37 |</w:t>
        <w:br/>
        <w:t>|2. Admisión de la prueba documental                       |párrs. 38-43 |</w:t>
        <w:br/>
        <w:t>|3. Admisión de la prueba testimonial y pericial           |párrs. 44-49 |</w:t>
        <w:br/>
        <w:t>|                                                          |             |</w:t>
        <w:br/>
        <w:t>|VII. DERECHO A LA PROTECCIÓN JUDICIAL Y A LA PROPIEDAD    |párr. 50     |</w:t>
        <w:br/>
        <w:t>|PRIVADA EN RELACIÓN CON LAS OBLIGACIONES DE RESPETAR Y    |             |</w:t>
        <w:br/>
        <w:t>|GARANTIZAR LOS DERECHOS                                   |             |</w:t>
        <w:br/>
        <w:t>|1. Hechos establecidos                                    |párrs. 51-69 |</w:t>
        <w:br/>
        <w:t>|2. Alcances de la violación del derecho a la protección   |párrs. 70-76 |</w:t>
        <w:br/>
        <w:t>|judicial en el presente caso.                             |             |</w:t>
        <w:br/>
        <w:t>|3. Alegada violación del derecho a la propiedad privada   |párrs. 77-85 |</w:t>
        <w:br/>
        <w:t>|                                                          |             |</w:t>
        <w:br/>
        <w:t>|VIII. REPARACIONES                                        |párrs. 86-88 |</w:t>
        <w:br/>
        <w:t>|A. Parte Lesionada                                        |párrs. 89-90 |</w:t>
        <w:br/>
        <w:t>|B. Medidas de satisfacción                                |             |</w:t>
        <w:br/>
        <w:t>|B.1 Publicación de la Sentencia                           |párrs. 91-92 |</w:t>
        <w:br/>
        <w:t>|C. Indemnizaciones compensatorias                         |             |</w:t>
        <w:br/>
        <w:t>|C.1 Daño material                                         |párrs. 93-115|</w:t>
        <w:br/>
        <w:t>|C.2 Daño inmaterial                                       |párrs.       |</w:t>
        <w:br/>
        <w:t>|                                                          |116-132      |</w:t>
        <w:br/>
        <w:t>|D. Costas y Gastos                                        |párrs.       |</w:t>
        <w:br/>
        <w:t>|                                                          |133-139      |</w:t>
        <w:br/>
        <w:t>|E. Modalidad de cumplimiento de los pagos ordenados       |párrs.       |</w:t>
        <w:br/>
        <w:t>|                                                          |140-145      |</w:t>
        <w:br/>
        <w:t>|                                                          |             |</w:t>
        <w:br/>
        <w:t>|IX. PUNTOS RESOLUTIVOS                                    |párr.  146   |</w:t>
        <w:br/>
        <w:br/>
        <w:br/>
        <w:br/>
        <w:br/>
        <w:br/>
        <w:br/>
        <w:br/>
        <w:br/>
        <w:br/>
        <w:br/>
        <w:t xml:space="preserve">                                      I</w:t>
        <w:br/>
        <w:br/>
        <w:br/>
        <w:t xml:space="preserve">            Introducción de la Causa y OBJETO DE LA CONTROVERSIA</w:t>
        <w:br/>
        <w:br/>
        <w:br/>
        <w:br/>
        <w:t xml:space="preserve">   1. El 16 de enero de 2010 la Comisión Interamericana de Derechos  Humanos</w:t>
        <w:br/>
        <w:t xml:space="preserve">      (en adelante “la Comisión” o “la Comisión  Interamericana”)  presentó,</w:t>
        <w:br/>
        <w:t xml:space="preserve">      de conformidad con los artículos 51 y 61 de la Convención, una demanda</w:t>
        <w:br/>
        <w:t xml:space="preserve">      contra la República del Perú (en adelante “el Estado” o “el Perú”)  en</w:t>
        <w:br/>
        <w:t xml:space="preserve">      relación  con  el  caso  No.  12.384,   Sindicato   de   Funcionarios,</w:t>
        <w:br/>
        <w:t xml:space="preserve">      Profesionales y Técnicos de la Empresa de Servicio de Agua  Potable  y</w:t>
        <w:br/>
        <w:t xml:space="preserve">      Alcantarillado de Lima, la cual se originó con la   petición  recibida</w:t>
        <w:br/>
        <w:t xml:space="preserve">      en la Comisión el 14 de  abril  de  2000  y  registrada  bajo  el  No.</w:t>
        <w:br/>
        <w:t xml:space="preserve">      166/2000. El 18 de abril de 2002 el Estado reconoció ante la  Comisión</w:t>
        <w:br/>
        <w:t xml:space="preserve">      Interamericana su responsabilidad internacional en  el  presente  caso</w:t>
        <w:br/>
        <w:t xml:space="preserve">      por la violación del artículo 25 de la Convención Americana. A  partir</w:t>
        <w:br/>
        <w:t xml:space="preserve">      de lo anterior se inició un proceso de solución amistosa del caso  que</w:t>
        <w:br/>
        <w:t xml:space="preserve">      finalizó sin un acuerdo entre las partes. El 17 de marzo  de  2009  la</w:t>
        <w:br/>
        <w:t xml:space="preserve">      Comisión emitió el informe de admisibilidad y fondo No. 8/09,  en  los</w:t>
        <w:br/>
        <w:t xml:space="preserve">      términos  de  los  artículos  37.3  de  su  Reglamento  y  50  de   la</w:t>
        <w:br/>
        <w:t xml:space="preserve">      Convención[3]. El 16 de  abril  de  2009  se  notificó  al  Estado  el</w:t>
        <w:br/>
        <w:t xml:space="preserve">      referido informe y se le concedió un  plazo  de  dos  meses  para  que</w:t>
        <w:br/>
        <w:t xml:space="preserve">      informara sobre las medidas adoptadas  para  dar  cumplimiento  a  las</w:t>
        <w:br/>
        <w:t xml:space="preserve">      recomendaciones de la Comisión[4]. Después de considerar que  el  Perú</w:t>
        <w:br/>
        <w:t xml:space="preserve">      “no dio cumplimiento a la recomendación efectuada”  en  el  mencionado</w:t>
        <w:br/>
        <w:t xml:space="preserve">      informe,  la  Comisión  decidió  someter  el  presente   caso   a   la</w:t>
        <w:br/>
        <w:t xml:space="preserve">      jurisdicción de la Corte. La Comisión designó a la señora Luz Patricia</w:t>
        <w:br/>
        <w:t xml:space="preserve">      Mejía,  Comisionada,  y  al  señor  Santiago  A.  Canton,   Secretario</w:t>
        <w:br/>
        <w:t xml:space="preserve">      Ejecutivo, como  Delegados,  y  a  la  señora  Elizabeth  Abi-Mershed,</w:t>
        <w:br/>
        <w:t xml:space="preserve">      Secretaria Ejecutiva Adjunta, y a la  señora  Silvia  Serrano  Guzmán,</w:t>
        <w:br/>
        <w:t xml:space="preserve">      especialista de la Secretaría Ejecutiva, como asesoras legales.</w:t>
        <w:br/>
        <w:br/>
        <w:t xml:space="preserve">   2. La demanda se relaciona con la alegada “violación  del  derecho  a  la</w:t>
        <w:br/>
        <w:t xml:space="preserve">      protección judicial en perjuicio de 233  miembros  de[l  Sindicato  de</w:t>
        <w:br/>
        <w:t xml:space="preserve">      Funcionarios, Profesionales y Técnicos de la Empresa  de  Servicio  de</w:t>
        <w:br/>
        <w:t xml:space="preserve">      Agua Potable y Alcantarillado de Lima (en adelante SIFUSE)], debido  a</w:t>
        <w:br/>
        <w:t xml:space="preserve">      que el Estado no les [habría] prove[ído] un recurso efectivo frente  a</w:t>
        <w:br/>
        <w:t xml:space="preserve">      la [alegada] aplicación retroactiva de decretos que entre 1991 y  1992</w:t>
        <w:br/>
        <w:t xml:space="preserve">      eliminaron el sistema de escala salarial que los regía, […] a pesar de</w:t>
        <w:br/>
        <w:t xml:space="preserve">      que la Constitución Política aplicable establecía la  garantía  de  no</w:t>
        <w:br/>
        <w:t xml:space="preserve">      retroactividad de las leyes[,] salvo en materia penal cuando fuera más</w:t>
        <w:br/>
        <w:t xml:space="preserve">      favorable”.</w:t>
        <w:br/>
        <w:br/>
        <w:t xml:space="preserve">   3. La Comisión solicitó  a  la  Corte  que  “otorgue  plenos  efectos  al</w:t>
        <w:br/>
        <w:t xml:space="preserve">      reconocimiento de responsabilidad  efectuado  por  el  Estado”  y  que</w:t>
        <w:br/>
        <w:t xml:space="preserve">      declare  la  violación  del  artículo  25  (Protección  Judicial),  en</w:t>
        <w:br/>
        <w:t xml:space="preserve">      relación con el artículo 1.1 (Obligación de Respetar y Garantizar  los</w:t>
        <w:br/>
        <w:t xml:space="preserve">      Derechos)  de  la  Convención  Americana,  en  perjuicio  de  las  233</w:t>
        <w:br/>
        <w:t xml:space="preserve">      presuntas víctimas del presente caso. Asimismo, la  Comisión  solicitó</w:t>
        <w:br/>
        <w:t xml:space="preserve">      al  Tribunal  que  ordenara  al  Estado  la  adopción  de  medidas  de</w:t>
        <w:br/>
        <w:t xml:space="preserve">      reparación, así como el pago de las costas y gastos.</w:t>
        <w:br/>
        <w:br/>
        <w:t xml:space="preserve">   4. El 14 de abril de 2010 el representante de las presuntas  víctimas[5],</w:t>
        <w:br/>
        <w:t xml:space="preserve">      señor Juan  José  Tello  Harster  (en  adelante  “el  representante”),</w:t>
        <w:br/>
        <w:t xml:space="preserve">      presentó ante la Corte su escrito de solicitudes, argumentos y pruebas</w:t>
        <w:br/>
        <w:t xml:space="preserve">      (en adelante “escrito de solicitudes y argumentos”), en  los  términos</w:t>
        <w:br/>
        <w:t xml:space="preserve">      del artículo 40 del Reglamento. Además de lo indicado por la  Comisión</w:t>
        <w:br/>
        <w:t xml:space="preserve">      en la demanda, el representante  solicitó  que  la  Corte  declare  la</w:t>
        <w:br/>
        <w:t xml:space="preserve">      responsabilidad  del  Estado  por  la  violación   de   los   derechos</w:t>
        <w:br/>
        <w:t xml:space="preserve">      reconocidos en los artículos 21.1  y  21.2  (Derecho  a  la  Propiedad</w:t>
        <w:br/>
        <w:t xml:space="preserve">      Privada) en relación con el artículo 1.1. de la Convención Americana y</w:t>
        <w:br/>
        <w:t xml:space="preserve">      precisó la solicitud de reparaciones, costas y gastos.</w:t>
        <w:br/>
        <w:br/>
        <w:t xml:space="preserve">   5. El 22 de junio de 2010 el Estado presentó su escrito  de  contestación</w:t>
        <w:br/>
        <w:t xml:space="preserve">      de la demanda y observaciones al escrito de solicitudes  y  argumentos</w:t>
        <w:br/>
        <w:t xml:space="preserve">      (en adelante “contestación  de  la  demanda”),  en  los  términos  del</w:t>
        <w:br/>
        <w:t xml:space="preserve">      artículo 41 del Reglamento. En dicho  escrito  el  Estado  señaló  que</w:t>
        <w:br/>
        <w:t xml:space="preserve">      “únicamente reconoce su responsabilidad internacional  respecto  a  la</w:t>
        <w:br/>
        <w:t xml:space="preserve">      violación del artículo 25 de la  Convención  Americana,  en  tanto  se</w:t>
        <w:br/>
        <w:t xml:space="preserve">      aplicó en forma retroactiva el Decreto Ley No. 25876”. En ese sentido,</w:t>
        <w:br/>
        <w:t xml:space="preserve">      precisó que “[d]icho reconocimiento no implica una aceptación total de</w:t>
        <w:br/>
        <w:t xml:space="preserve">      los argumentos presentados por  las  presuntas  víctimas  respecto  al</w:t>
        <w:br/>
        <w:t xml:space="preserve">      quantum  del  daño  material”.   Asimismo,  indicó  que  “no  [se]  ha</w:t>
        <w:br/>
        <w:t xml:space="preserve">      configurado la violación d[e  los]  artículo[s]  21.1  y  21.2  de  la</w:t>
        <w:br/>
        <w:t xml:space="preserve">      Convención”,  ya  que  un  Estado  “puede  legítimamente   limitar   o</w:t>
        <w:br/>
        <w:t xml:space="preserve">      restringir el derecho a la propiedad pues no toda restricción  implica</w:t>
        <w:br/>
        <w:t xml:space="preserve">      necesariamente una vulneración”. El 25 de febrero de  2010  el  Estado</w:t>
        <w:br/>
        <w:t xml:space="preserve">      designó a la señora Delia Muñoz Muñoz como Agente en el presente caso.</w:t>
        <w:br/>
        <w:br/>
        <w:br/>
        <w:br/>
        <w:t xml:space="preserve">   6. El  19  y  23  de  julio  de  2010  el  representante  y  la  Comisión</w:t>
        <w:br/>
        <w:t xml:space="preserve">      presentaron, respectivamente, sus observaciones al  reconocimiento  de</w:t>
        <w:br/>
        <w:t xml:space="preserve">      responsabilidad internacional realizado por el Estado en  el  presente</w:t>
        <w:br/>
        <w:t xml:space="preserve">      caso, de conformidad con el artículo 62 del Reglamento.</w:t>
        <w:br/>
        <w:br/>
        <w:br/>
        <w:t xml:space="preserve">                                     II</w:t>
        <w:br/>
        <w:t xml:space="preserve">                         PROCEDIMIENTO ANTE LA CORTE</w:t>
        <w:br/>
        <w:br/>
        <w:br/>
        <w:t xml:space="preserve">   7. La demanda fue notificada al  Estado  y  al  representante  el  17  de</w:t>
        <w:br/>
        <w:t xml:space="preserve">      febrero de 2010.</w:t>
        <w:br/>
        <w:br/>
        <w:t xml:space="preserve">   8. Mediante Resolución de 8 de septiembre de 2010[6] el Presidente de  la</w:t>
        <w:br/>
        <w:t xml:space="preserve">      Corte en ejercicio para el presente caso (en adelante “el Presidente”)</w:t>
        <w:br/>
        <w:t xml:space="preserve">      ordenó recibir  las  declaraciones  rendidas  ante  fedatario  público</w:t>
        <w:br/>
        <w:t xml:space="preserve">      (affidávit) de dos peritos propuestos por la Comisión y el  Estado,  y</w:t>
        <w:br/>
        <w:t xml:space="preserve">      convocó a  las  partes  a  una  audiencia  pública  para  escuchar  la</w:t>
        <w:br/>
        <w:t xml:space="preserve">      declaración de un testigo  propuesto  por  el  Estado,  así  como  las</w:t>
        <w:br/>
        <w:t xml:space="preserve">      observaciones finales por parte de la Comisión y los alegatos  finales</w:t>
        <w:br/>
        <w:t xml:space="preserve">      orales sobre el fondo, reparaciones y costas en el presente  caso  del</w:t>
        <w:br/>
        <w:t xml:space="preserve">      representante y el Estado, respectivamente.</w:t>
        <w:br/>
        <w:br/>
        <w:t xml:space="preserve">   9. El 27 de septiembre de 2010 la Comisión y  el  Estado  remitieron  las</w:t>
        <w:br/>
        <w:t xml:space="preserve">      declaraciones rendidas ante fedatario público. El 28 de  septiembre  y</w:t>
        <w:br/>
        <w:t xml:space="preserve">      el 4 de octubre de 2010 el representante y  la  Comisión  presentaron,</w:t>
        <w:br/>
        <w:t xml:space="preserve">      respectivamente, sus observaciones a las declaraciones  remitidas.  El</w:t>
        <w:br/>
        <w:t xml:space="preserve">      Estado no presentó observaciones.</w:t>
        <w:br/>
        <w:br/>
        <w:t xml:space="preserve">  10. Mediante nota de la Secretaría de 1 de octubre de 2010  se  informó  a</w:t>
        <w:br/>
        <w:t xml:space="preserve">      las partes y a la Comisión que debido a la situación que  se  presentó</w:t>
        <w:br/>
        <w:t xml:space="preserve">      en Ecuador en dicho mes, la Corte decidió aplazar  la  celebración  de</w:t>
        <w:br/>
        <w:t xml:space="preserve">      las   audiencias   públicas   programadas   para   el   XLII   Período</w:t>
        <w:br/>
        <w:t xml:space="preserve">      Extraordinario de Sesiones de la Corte en ese país.</w:t>
        <w:br/>
        <w:br/>
        <w:t xml:space="preserve">  11. El 14 y 19 de octubre de  2010  el  Estado  solicitó  al  Tribunal  se</w:t>
        <w:br/>
        <w:t xml:space="preserve">      “reconsidere la participación del perito Jorge Luis González Izquierdo</w:t>
        <w:br/>
        <w:t xml:space="preserve">      en la [a]udiencia para el caso”, ya  que  “su  declaración  servir[ía]</w:t>
        <w:br/>
        <w:t xml:space="preserve">      para entender el contexto en  que  se  desarrollaron  los  hechos  del</w:t>
        <w:br/>
        <w:t xml:space="preserve">      presente caso”. El 25 de octubre de 2010 el representante presentó sus</w:t>
        <w:br/>
        <w:t xml:space="preserve">      observaciones a dicha  solicitud  y  la  Comisión  manifestó  que  “no</w:t>
        <w:br/>
        <w:t xml:space="preserve">      t[enía] observaciones que formular”. El 14 de  noviembre  de  2010  el</w:t>
        <w:br/>
        <w:t xml:space="preserve">      pleno de la Corte rechazó la solicitud de  reconsideración  presentada</w:t>
        <w:br/>
        <w:t xml:space="preserve">      por el Estado[7].</w:t>
        <w:br/>
        <w:br/>
        <w:t xml:space="preserve">  12. La audiencia pública fue celebrada el 16 de noviembre de 2010  durante</w:t>
        <w:br/>
        <w:t xml:space="preserve">      el 42 Período Extraordinario de Sesiones de  la  Corte[8],  llevado  a</w:t>
        <w:br/>
        <w:t xml:space="preserve">      cabo en la ciudad de Quito, Ecuador.</w:t>
        <w:br/>
        <w:br/>
        <w:t xml:space="preserve">  13. Mediante nota de la Secretaría de la Corte de 1 de diciembre de 2010 y</w:t>
        <w:br/>
        <w:t xml:space="preserve">      con fundamento en lo dispuesto en el artículo 58.b del  Reglamento  de</w:t>
        <w:br/>
        <w:t xml:space="preserve">      la Corte, se requirió a las partes y a la Comisión que, junto con  sus</w:t>
        <w:br/>
        <w:t xml:space="preserve">      alegatos y observaciones finales escritas,  presentaran  argumentos  y</w:t>
        <w:br/>
        <w:t xml:space="preserve">      documentación de respaldo en relación con diversos temas concernientes</w:t>
        <w:br/>
        <w:t xml:space="preserve">      al presente caso. Asimismo, el 11 de enero y el 7 de febrero  de  2011</w:t>
        <w:br/>
        <w:t xml:space="preserve">      se solicitó a las partes y a la Comisión más  información  para  mejor</w:t>
        <w:br/>
        <w:t xml:space="preserve">      resolver, lo cual fue presentado el 24 de enero de 2011 y el  2 y 3 de</w:t>
        <w:br/>
        <w:t xml:space="preserve">      febrero de 2011, respectivamente.</w:t>
        <w:br/>
        <w:br/>
        <w:t xml:space="preserve">  14. El 4 y  6  de  diciembre  de  2010  el  representante  y  la  Comisión</w:t>
        <w:br/>
        <w:t xml:space="preserve">      Interamericana  presentaron  sus  alegatos  y  observaciones   finales</w:t>
        <w:br/>
        <w:t xml:space="preserve">      escritos en el presente caso. El 6 de  diciembre  de  2010  el  Estado</w:t>
        <w:br/>
        <w:t xml:space="preserve">      remitió sus respectivos alegatos finales y el 15 de diciembre de  2010</w:t>
        <w:br/>
        <w:t xml:space="preserve">      sus anexos. El 21 de diciembre de 2010 y el 5  de  enero  de  2011  el</w:t>
        <w:br/>
        <w:t xml:space="preserve">      Estado remitió “información adicional” sobre el presente caso.  El  21</w:t>
        <w:br/>
        <w:t xml:space="preserve">      de enero y 3 de  febrero  de  2011  el  representante  y  la  Comisión</w:t>
        <w:br/>
        <w:t xml:space="preserve">      presentaron observaciones a dicha información.</w:t>
        <w:br/>
        <w:br/>
        <w:t xml:space="preserve">  15. El 21 de enero  de  2011  se  solicitó  al  representante  información</w:t>
        <w:br/>
        <w:t xml:space="preserve">      específica en relación con argumentos y prueba sobre costas y  gastos.</w:t>
        <w:br/>
        <w:t xml:space="preserve">      Dicha información no fue remitida.  Además, el 7 de febrero de 2011 se</w:t>
        <w:br/>
        <w:t xml:space="preserve">      requirió al representante y al Estado presentar información específica</w:t>
        <w:br/>
        <w:t xml:space="preserve">      sobre una de las presuntas  víctimas  en  el  presente  caso[9].  Esta</w:t>
        <w:br/>
        <w:t xml:space="preserve">      información fue remitida el 14 de febrero de 2011.</w:t>
        <w:br/>
        <w:br/>
        <w:br/>
        <w:t xml:space="preserve">                                     III</w:t>
        <w:br/>
        <w:br/>
        <w:t xml:space="preserve">                                 Competencia</w:t>
        <w:br/>
        <w:br/>
        <w:br/>
        <w:br/>
        <w:t xml:space="preserve">  16. La Corte es competente para conocer del presente caso, en los términos</w:t>
        <w:br/>
        <w:t xml:space="preserve">      del artículo 62.3 de la Convención Americana, ya que el Perú es Estado</w:t>
        <w:br/>
        <w:t xml:space="preserve">      Parte de la Convención desde el 28 de julio de  1978  y  reconoció  la</w:t>
        <w:br/>
        <w:t xml:space="preserve">      competencia contenciosa de la Corte el 21 de enero de 1981.</w:t>
        <w:br/>
        <w:br/>
        <w:br/>
        <w:t xml:space="preserve">                                     IV</w:t>
        <w:br/>
        <w:t xml:space="preserve">               RECONOCIMIENTO DE RESPONSABILIDAD INTERNACIONAL</w:t>
        <w:br/>
        <w:br/>
        <w:br/>
        <w:t xml:space="preserve">      1.    Allanamiento del Estado y observaciones de las partes</w:t>
        <w:br/>
        <w:br/>
        <w:t xml:space="preserve">  17. El Tribunal observa que el presente caso se relaciona con los  efectos</w:t>
        <w:br/>
        <w:t xml:space="preserve">      que habría producido la aplicación retroactiva de una  norma  (Decreto</w:t>
        <w:br/>
        <w:t xml:space="preserve">      Ley 25876) en perjuicio de las presuntas víctimas. El  Estado  precisó</w:t>
        <w:br/>
        <w:t xml:space="preserve">      que “[s]obre la base de lo dispuesto por el Decreto Ley No. 25876, [la</w:t>
        <w:br/>
        <w:t xml:space="preserve">      Empresa de Servicios de Agua Potable  y  Alcantarillado  de  Lima  (en</w:t>
        <w:br/>
        <w:t xml:space="preserve">      adelante SEDAPAL)] optó por: i)  rebajar  las  remuneraciones  de  las</w:t>
        <w:br/>
        <w:t xml:space="preserve">      presuntas víctimas; ii) “aplicar la rebaja  de  remuneraciones  […]  a</w:t>
        <w:br/>
        <w:t xml:space="preserve">      [ciertas] remuneraciones ya pagadas”, y iii) “no aplicar, a partir  de</w:t>
        <w:br/>
        <w:t xml:space="preserve">      julio de 1992, el incremento de  las  remuneraciones  mensuales”.  Los</w:t>
        <w:br/>
        <w:t xml:space="preserve">      anteriores efectos se produjeron como consecuencia de la derogación de</w:t>
        <w:br/>
        <w:t xml:space="preserve">       un sistema de reajuste salarial denominado “ratios salariales”.</w:t>
        <w:br/>
        <w:br/>
        <w:t xml:space="preserve">  18. Asimismo el Tribunal hace notar que, en el marco del proceso  ante  la</w:t>
        <w:br/>
        <w:t xml:space="preserve">      Comisión Interamericana, desde el  18  de  abril  de  2002  el  Estado</w:t>
        <w:br/>
        <w:t xml:space="preserve">      reconoció su responsabilidad en los siguientes términos:</w:t>
        <w:br/>
        <w:br/>
        <w:t xml:space="preserve">      “Del análisis de los dispositivos constitucionales […],  se  desprende</w:t>
        <w:br/>
        <w:t xml:space="preserve">      que sólo sería posible que una ley disponga su entrada en vigencia con</w:t>
        <w:br/>
        <w:t xml:space="preserve">      una fecha posterior al día siguiente a su  publicación  en  el  Diario</w:t>
        <w:br/>
        <w:t xml:space="preserve">      Oficial, pero nunca puede disponer su  entrada  en  vigencia  con  una</w:t>
        <w:br/>
        <w:t xml:space="preserve">      fecha anterior a dicho momento […]</w:t>
        <w:br/>
        <w:br/>
        <w:br/>
        <w:t xml:space="preserve">      De  lo  expuesto,  el  Estado  peruano  reconoce  su   responsabilidad</w:t>
        <w:br/>
        <w:t xml:space="preserve">      internacional al haberse afectado el derecho a la protección  judicial</w:t>
        <w:br/>
        <w:t xml:space="preserve">      establecido en  el  Artículo  25  de  la  Convención  Americana  sobre</w:t>
        <w:br/>
        <w:t xml:space="preserve">      Derechos Humanos, teniendo en cuenta que  las  autoridades  judiciales</w:t>
        <w:br/>
        <w:t xml:space="preserve">      debieron en su momento pronunciarse, a través de un recurso  efectivo,</w:t>
        <w:br/>
        <w:t xml:space="preserve">      a favor de los derechos y principios fundamentales reconocidos por  la</w:t>
        <w:br/>
        <w:t xml:space="preserve">      Constitución Política del Perú, la cual tiene primacía, en el  derecho</w:t>
        <w:br/>
        <w:t xml:space="preserve">      interno, sobre cualquier norma de inferior jerarquía”[10].</w:t>
        <w:br/>
        <w:br/>
        <w:t xml:space="preserve">  19.  Ante  la  Corte,   el   Estado   reiteró   este   reconocimiento   de</w:t>
        <w:br/>
        <w:t xml:space="preserve">      responsabilidad internacional  “por  la  aplicación  retroactiva  de[l</w:t>
        <w:br/>
        <w:t xml:space="preserve">      Decreto] Ley No. 25876 y por la falta de protección judicial ante esta</w:t>
        <w:br/>
        <w:t xml:space="preserve">      situación”. Asimismo, indicó que “NO EXISTE  CONTROVERSIA  respecto  a</w:t>
        <w:br/>
        <w:t xml:space="preserve">      los  hechos  alegados  por  las  presuntas  víctimas  y   los   hechos</w:t>
        <w:br/>
        <w:t xml:space="preserve">      reconocidos por el Perú en el presente caso”.  Además,  manifestó  que</w:t>
        <w:br/>
        <w:t xml:space="preserve">      “[su] reconocimiento no implica una aceptación total de los argumentos</w:t>
        <w:br/>
        <w:t xml:space="preserve">      presentados por las presuntas víctimas respecto al  quantum  del  daño</w:t>
        <w:br/>
        <w:t xml:space="preserve">      material", “debiendo así la […] Corte pronunciarse de manera exclusiva</w:t>
        <w:br/>
        <w:t xml:space="preserve">      y definitiva respecto a[ dicho] quantum de la reparación […]  producto</w:t>
        <w:br/>
        <w:t xml:space="preserve">      de[l] descuento de los incrementos otorgados por la aplicación de  los</w:t>
        <w:br/>
        <w:t xml:space="preserve">      ratios salariales”. De esta manera, el Estado destacó que “SOLO EXISTE</w:t>
        <w:br/>
        <w:t xml:space="preserve">      VULNERACION POR LOS 11 MESES (ENERO A NOVIEMBRE DE 1992)  respecto  de</w:t>
        <w:br/>
        <w:t xml:space="preserve">      los cuales SEDAPAL pidió descuento de los incrementos otorgados por la</w:t>
        <w:br/>
        <w:t xml:space="preserve">      aplicación de los ratios salariales, puesto que de allí en adelante (a</w:t>
        <w:br/>
        <w:t xml:space="preserve">      partir del año  1993)  [la  Corporación  Nacional  de  Desarrollo  (en</w:t>
        <w:br/>
        <w:t xml:space="preserve">      adelante  CONADE)]  establec[ió]   una   nueva   escala   remunerativa</w:t>
        <w:br/>
        <w:t xml:space="preserve">      salarial”.</w:t>
        <w:br/>
        <w:br/>
        <w:t xml:space="preserve">  20. La Comisión “valor[ó] positivamente la reiteración del  reconocimiento</w:t>
        <w:br/>
        <w:t xml:space="preserve">      de responsabilidad internacional  por  parte  del  Estado  peruano”  y</w:t>
        <w:br/>
        <w:t xml:space="preserve">      “consider[ó] que  […] constituye un avance  positivo  en  el  presente</w:t>
        <w:br/>
        <w:t xml:space="preserve">      caso”. Agregó que “entiende que la manifestación del Estado  incorpora</w:t>
        <w:br/>
        <w:t xml:space="preserve">      tanto la aceptación del marco fáctico como el allanamiento total a las</w:t>
        <w:br/>
        <w:t xml:space="preserve">      pretensiones planteadas por la Comisión en su demanda”.</w:t>
        <w:br/>
        <w:br/>
        <w:t xml:space="preserve">  21. El representante sostuvo que “el [r]econocimiento de [r]esponsabilidad</w:t>
        <w:br/>
        <w:t xml:space="preserve">      [i]nternacional total formulado por  el  Estado”,  “no  hace  distingo</w:t>
        <w:br/>
        <w:t xml:space="preserve">      alguno respecto de  los  efectos  de  la  aplicación  retroactiva  del</w:t>
        <w:br/>
        <w:t xml:space="preserve">      Decreto Ley No. 25876” y no puede implicar  que  “sólo  abar[que]  los</w:t>
        <w:br/>
        <w:t xml:space="preserve">      descuentos de  los  incrementos  pagados  por  el  período  [e]nero  a</w:t>
        <w:br/>
        <w:t xml:space="preserve">      [n]oviembre de 1992”. Asimismo, el representante indicó que “en virtud</w:t>
        <w:br/>
        <w:t xml:space="preserve">      del [p]rincipio [j]urídico de [e]stoppel”  es  contradictorio  que  el</w:t>
        <w:br/>
        <w:t xml:space="preserve">      Estado efectúe un reconocimiento de responsabilidad internacional pero</w:t>
        <w:br/>
        <w:t xml:space="preserve">      que no acepte, a su vez, la totalidad de los daños de orden material e</w:t>
        <w:br/>
        <w:t xml:space="preserve">      inmaterial reclamados por las presuntas víctimas. Por  otro  lado,  el</w:t>
        <w:br/>
        <w:t xml:space="preserve">      representante señaló que el daño  por  la  omisión  en  el  incremento</w:t>
        <w:br/>
        <w:t xml:space="preserve">      salarial se debe contabilizar hasta hoy en día y no hasta 1993 como lo</w:t>
        <w:br/>
        <w:t xml:space="preserve">      señala el Estado. Finalmente, el representante consideró que  subsiste</w:t>
        <w:br/>
        <w:t xml:space="preserve">      la controversia sobre la alegada  violación  del  artículo  21  de  la</w:t>
        <w:br/>
        <w:t xml:space="preserve">      Convención Americana.</w:t>
        <w:br/>
        <w:br/>
        <w:t xml:space="preserve">       2. Consideraciones de la Corte sobre el allanamiento del Estado</w:t>
        <w:br/>
        <w:br/>
        <w:br/>
        <w:t xml:space="preserve">  22. De conformidad con los artículos 62 y  64  del  Reglamento[11],  y  en</w:t>
        <w:br/>
        <w:t xml:space="preserve">      ejercicio de sus poderes de tutela judicial internacional de  derechos</w:t>
        <w:br/>
        <w:t xml:space="preserve">      humanos, cuestión de orden público  internacional  que  trasciende  la</w:t>
        <w:br/>
        <w:t xml:space="preserve">      voluntad de las partes, concierne al Tribunal velar porque  los  actos</w:t>
        <w:br/>
        <w:t xml:space="preserve">      de allanamiento resulten aceptables para los fines que  busca  cumplir</w:t>
        <w:br/>
        <w:t xml:space="preserve">      el sistema interamericano. En esta tarea, no se  limita  únicamente  a</w:t>
        <w:br/>
        <w:t xml:space="preserve">      constatar, registrar o tomar nota del reconocimiento efectuado por  el</w:t>
        <w:br/>
        <w:t xml:space="preserve">      Estado, o a verificar las  condiciones  formales  de  los  mencionados</w:t>
        <w:br/>
        <w:t xml:space="preserve">      actos, sino que los debe confrontar con la naturaleza  y  gravedad  de</w:t>
        <w:br/>
        <w:t xml:space="preserve">      las violaciones alegadas, las exigencias e interés de la justicia, las</w:t>
        <w:br/>
        <w:t xml:space="preserve">      circunstancias particulares del caso concreto y la actitud y  posición</w:t>
        <w:br/>
        <w:t xml:space="preserve">      de las partes[12], de manera tal que pueda  precisar,  en  cuanto  sea</w:t>
        <w:br/>
        <w:t xml:space="preserve">      posible y  en  el  ejercicio  de  su  competencia,  la  verdad  de  lo</w:t>
        <w:br/>
        <w:t xml:space="preserve">      acontecido.</w:t>
        <w:br/>
        <w:br/>
        <w:br/>
        <w:t xml:space="preserve">  23. En el presente caso, la Corte observa que no existe controversia entre</w:t>
        <w:br/>
        <w:t xml:space="preserve">      las partes respecto a los  hechos  ni  respecto  a  la  violación  del</w:t>
        <w:br/>
        <w:t xml:space="preserve">      artículo 25.1 en relación con la obligación establecida en el artículo</w:t>
        <w:br/>
        <w:t xml:space="preserve">      1.1 de la Convención Americana.</w:t>
        <w:br/>
        <w:br/>
        <w:t xml:space="preserve">  24. Asimismo, el Tribunal toma nota de que  desde  la  contestación  a  la</w:t>
        <w:br/>
        <w:t xml:space="preserve">      demanda, el Estado enfatizó que su reconocimiento  de  responsabilidad</w:t>
        <w:br/>
        <w:t xml:space="preserve">      no implicaba la aceptación del monto solicitado por  el  representante</w:t>
        <w:br/>
        <w:t xml:space="preserve">      por concepto de daño material  e  inmaterial.  En  particular,  existe</w:t>
        <w:br/>
        <w:t xml:space="preserve">      controversia entre las partes sobre la reparación, ya  que  no  existe</w:t>
        <w:br/>
        <w:t xml:space="preserve">      acuerdo respecto a si se debe contabilizar el monto del daño  material</w:t>
        <w:br/>
        <w:t xml:space="preserve">      hasta la reestructuración salarial que ocurrió en la empresa en 1993 o</w:t>
        <w:br/>
        <w:t xml:space="preserve">      si se debe hacer el cálculo hasta la actualidad (infra  párrs.  105  a</w:t>
        <w:br/>
        <w:t xml:space="preserve">      115).</w:t>
        <w:br/>
        <w:br/>
        <w:t xml:space="preserve">  25. Por  otro  lado,  el  Tribunal  advierte  que  el  Estado  rechazó  su</w:t>
        <w:br/>
        <w:t xml:space="preserve">      responsabilidad por la alegada violación del artículo 21, en  relación</w:t>
        <w:br/>
        <w:t xml:space="preserve">      con la obligación establecida en el  artículo  1.1  de  la  Convención</w:t>
        <w:br/>
        <w:t xml:space="preserve">      Americana. Por ello, la Corte considera que subsiste una  controversia</w:t>
        <w:br/>
        <w:t xml:space="preserve">      de derecho sobre dicha presunta violación.</w:t>
        <w:br/>
        <w:br/>
        <w:t xml:space="preserve">  26. El Tribunal estima que la admisión de los  hechos  y  el  allanamiento</w:t>
        <w:br/>
        <w:t xml:space="preserve">      respecto a la violación del artículo 25.1 de la  Convención  Americana</w:t>
        <w:br/>
        <w:t xml:space="preserve">      constituyen una contribución positiva al desarrollo de este proceso, a</w:t>
        <w:br/>
        <w:t xml:space="preserve">      la  vigencia  de   los   principios   que   inspiran   la   Convención</w:t>
        <w:br/>
        <w:t xml:space="preserve">      Americana[13], y a la conducta a la que están obligados los Estados en</w:t>
        <w:br/>
        <w:t xml:space="preserve">      esta materia, en virtud de los compromisos que asumen como  partes  en</w:t>
        <w:br/>
        <w:t xml:space="preserve">      los instrumentos internacionales sobre derechos humanos. Asimismo,  la</w:t>
        <w:br/>
        <w:t xml:space="preserve">      Corte considera, como en  otros  casos[14],  que  tal  reconocimiento,</w:t>
        <w:br/>
        <w:t xml:space="preserve">      efectuado por el  Estado  en  el  procedimiento  ante  la  Comisión  y</w:t>
        <w:br/>
        <w:t xml:space="preserve">      reiterado ante esta instancia, produce  plenos  efectos  jurídicos  de</w:t>
        <w:br/>
        <w:t xml:space="preserve">      acuerdo a los artículos 62 y 64 del Reglamento de la Corte.</w:t>
        <w:br/>
        <w:br/>
        <w:t xml:space="preserve">  27. Sin perjuicio de lo anterior, la  Corte  considera  que  es  necesario</w:t>
        <w:br/>
        <w:t xml:space="preserve">      precisar los alcances del allanamiento y, en ese marco,  resolver  las</w:t>
        <w:br/>
        <w:t xml:space="preserve">      controversias subsistentes. Por  lo  tanto,  teniendo  en  cuenta  las</w:t>
        <w:br/>
        <w:t xml:space="preserve">      atribuciones que le incumben de velar por la mejor protección  de  los</w:t>
        <w:br/>
        <w:t xml:space="preserve">      derechos humanos, el Tribunal estima necesario dictar una Sentencia en</w:t>
        <w:br/>
        <w:t xml:space="preserve">      la cual se determinen los hechos y todos los elementos del  fondo  del</w:t>
        <w:br/>
        <w:t xml:space="preserve">      asunto, así como las correspondientes consecuencias[15].</w:t>
        <w:br/>
        <w:br/>
        <w:br/>
        <w:t xml:space="preserve">                                      V</w:t>
        <w:br/>
        <w:t xml:space="preserve">     CONSIDERACIÓN PREVIA RESPECTO A LA PRESUNTA FALTA DE AGOTAMIENTO DE</w:t>
        <w:br/>
        <w:t xml:space="preserve">               RECURSOS INTERNOS POR PARTE DE ALGUNAS VÍCTIMAS</w:t>
        <w:br/>
        <w:br/>
        <w:br/>
        <w:t xml:space="preserve">  28. En su contestación a  la  demanda,  el  Estado  señaló  que  “deja[ba]</w:t>
        <w:br/>
        <w:t xml:space="preserve">      constancia de su disconformidad y malestar  en  cuanto  a  un  aspecto</w:t>
        <w:br/>
        <w:t xml:space="preserve">      procesal de la decisión  de  la  [Comisión  Interamericana]  sobre  la</w:t>
        <w:br/>
        <w:t xml:space="preserve">      admisibilidad del presente caso. Ello, en tanto  el  Estado  considera</w:t>
        <w:br/>
        <w:t xml:space="preserve">      que en su informe de admisibilidad, la [Comisión] debió dividir a  los</w:t>
        <w:br/>
        <w:t xml:space="preserve">      ‘peticionarios’ en dos  grupos:  a)  el  primero,  compuesto  por  185</w:t>
        <w:br/>
        <w:t xml:space="preserve">      trabajadores que agotaron los recursos  internos;  y  b)  el  segundo,</w:t>
        <w:br/>
        <w:t xml:space="preserve">      compuesto por 48 trabajadores que no cumplieron con tal requisito pues</w:t>
        <w:br/>
        <w:t xml:space="preserve">      se abstuvieron voluntariamente de interponer el  recurso  impugnatorio</w:t>
        <w:br/>
        <w:t xml:space="preserve">      correspondiente contra la sentencia que  no  acogió  su  pretensión[,]</w:t>
        <w:br/>
        <w:t xml:space="preserve">      esto, aún cuando tenía[n] totalmente expedita la vía para hacerlo”. En</w:t>
        <w:br/>
        <w:t xml:space="preserve">      ese sentido, el Estado “precis[ó] que la  [Comisión],  al  momento  de</w:t>
        <w:br/>
        <w:t xml:space="preserve">      presentar su Informe de Admisibilidad y Fondo Nº  08/09,  no  tuvo  la</w:t>
        <w:br/>
        <w:t xml:space="preserve">      diligencia necesaria para exigir el  cumplimiento  de  los  requisitos</w:t>
        <w:br/>
        <w:t xml:space="preserve">      [de] admisibilidad […] a las […] víctimas así como para interpretar  y</w:t>
        <w:br/>
        <w:t xml:space="preserve">      valorar la existencia o no de alguno de los supuestos de  excepción  a</w:t>
        <w:br/>
        <w:t xml:space="preserve">      la regla general del agotamiento de la vía  previa”.  De  esta  manera</w:t>
        <w:br/>
        <w:t xml:space="preserve">      indicó que:</w:t>
        <w:br/>
        <w:br/>
        <w:t xml:space="preserve">      a)    “[…] las […] víctimas tuvieron en  todo  momento  acceso  a  los</w:t>
        <w:br/>
        <w:t xml:space="preserve">      tribunales especializados jurisdiccionales y libre  disponibilidad  de</w:t>
        <w:br/>
        <w:t xml:space="preserve">      recursos impugnatorios internos, recursos que decidieron  no  utilizar</w:t>
        <w:br/>
        <w:t xml:space="preserve">      en su momento. Tan es así, que contrariamente al accionar de  [e]stos,</w:t>
        <w:br/>
        <w:t xml:space="preserve">      los peticionarios del caso del primer grupo sí pudieron acceder  hasta</w:t>
        <w:br/>
        <w:t xml:space="preserve">      la última instancia y la agotaron con  la  emisión  de  una  sentencia</w:t>
        <w:br/>
        <w:t xml:space="preserve">      definitiva y con calidad de cosa juzgada. Siendo ello así,  el  Estado</w:t>
        <w:br/>
        <w:t xml:space="preserve">      peruano cumplió con garantizar el debido proceso de las  […]  víctimas</w:t>
        <w:br/>
        <w:t xml:space="preserve">      en el marco de un proceso judicial regular”, y</w:t>
        <w:br/>
        <w:br/>
        <w:br/>
        <w:t xml:space="preserve">      b)     “[a]ún  cuando  la  sentencia  de  primera  instancia  (que  no</w:t>
        <w:br/>
        <w:t xml:space="preserve">      impugnaron los peticionarios) haya  resultado  desfavorable  para  los</w:t>
        <w:br/>
        <w:t xml:space="preserve">      recurrentes, ello de ninguna [manera] implica que el proceso  judicial</w:t>
        <w:br/>
        <w:t xml:space="preserve">      que se encontraba en trámite no se haya desarrollado en el marco de un</w:t>
        <w:br/>
        <w:t xml:space="preserve">      proceso regular y respetando las garantías del debido proceso”.</w:t>
        <w:br/>
        <w:br/>
        <w:t xml:space="preserve">  29. Por tanto, el Estado “observ[ó] con preocupación el criterio  ‘lógico’</w:t>
        <w:br/>
        <w:t xml:space="preserve">      utilizado  por   la   Comisión   Interamericana   al   presuponer   la</w:t>
        <w:br/>
        <w:t xml:space="preserve">      inefectividad de las resoluciones  no  emitidas  por  las  autoridades</w:t>
        <w:br/>
        <w:t xml:space="preserve">      judiciales peruanas”.</w:t>
        <w:br/>
        <w:br/>
        <w:t xml:space="preserve">  30.  Sobre  el  particular,  la  Comisión  resaltó  que  en   la   primera</w:t>
        <w:br/>
        <w:t xml:space="preserve">      comunicación del Estado ante dicho órgano, recibida el 4 de octubre de</w:t>
        <w:br/>
        <w:t xml:space="preserve">      2001, aquél “indicó expresamente que los  requisitos  contemplados  en</w:t>
        <w:br/>
        <w:t xml:space="preserve">      los artículos 46.1 a) y b) se encontraban  cumplidos  en  el  presente</w:t>
        <w:br/>
        <w:t xml:space="preserve">      caso, sin distinción alguna respecto de los dos grupos  de  víctimas”.</w:t>
        <w:br/>
        <w:t xml:space="preserve">      La Comisión agregó que “[e]n ese momento, el Estado  no  solicitó  […]</w:t>
        <w:br/>
        <w:t xml:space="preserve">      que [se] otorgara algún efecto procesal a la afirmación  sobre  la  no</w:t>
        <w:br/>
        <w:t xml:space="preserve">      interposición del  recurso  de  apelación  por  el  segundo  grupo  de</w:t>
        <w:br/>
        <w:t xml:space="preserve">      trabajadores” y que, por el contrario, “el Estado  no  consideró  este</w:t>
        <w:br/>
        <w:t xml:space="preserve">      hecho como un incumplimiento  del  requisito  de  agotamiento  de  los</w:t>
        <w:br/>
        <w:t xml:space="preserve">      recursos internos”. Por tanto, “la Comisión consider[ó] que en  virtud</w:t>
        <w:br/>
        <w:t xml:space="preserve">      del principio de estoppel, el Estado no estaba facultado para  cambiar</w:t>
        <w:br/>
        <w:t xml:space="preserve">      la posición mantenida en la primera respuesta ante  la  Comisión,  más</w:t>
        <w:br/>
        <w:t xml:space="preserve">      aún  cuando  los  peticionarios  pudieron  asumir  ciertas  decisiones</w:t>
        <w:br/>
        <w:t xml:space="preserve">      procesales –como iniciar un  proceso  de  solución  amistosa-  basadas</w:t>
        <w:br/>
        <w:t xml:space="preserve">      precisamente en dicha posición”. De otra parte, la Comisión indicó que</w:t>
        <w:br/>
        <w:t xml:space="preserve">      el Estado “no presentó ni ante la Comisión ni ante la Corte argumentos</w:t>
        <w:br/>
        <w:t xml:space="preserve">      específicos sobre la efectividad del  recurso  que  menciona  como  no</w:t>
        <w:br/>
        <w:t xml:space="preserve">      agotado”  y  agregó  que   “el   reconocimiento   de   responsabilidad</w:t>
        <w:br/>
        <w:t xml:space="preserve">      internacional del Estado por  la  violación  del  artículo  25  de  la</w:t>
        <w:br/>
        <w:t xml:space="preserve">      Convención, se basa precisamente en la falta  de  efectividad  de  los</w:t>
        <w:br/>
        <w:t xml:space="preserve">      procesos judiciales internos intentados por las víctimas”.</w:t>
        <w:br/>
        <w:br/>
        <w:t xml:space="preserve">  31. Conforme a lo expuesto por la  Comisión,  ésta  declaró  admisible  la</w:t>
        <w:br/>
        <w:t xml:space="preserve">      petición tomando en consideración “el largo período transcurrido desde</w:t>
        <w:br/>
        <w:t xml:space="preserve">      la interposición de la  acción  de  amparo  y  el  pronunciamiento  de</w:t>
        <w:br/>
        <w:t xml:space="preserve">      primera instancia y […] las mínimas perspectivas  de  efectividad  que</w:t>
        <w:br/>
        <w:t xml:space="preserve">      hubie[se] podido tener un recurso de impugnación  contra  la  referida</w:t>
        <w:br/>
        <w:t xml:space="preserve">      sentencia debido a la jurisprudencia reiterada de la Sala  de  Derecho</w:t>
        <w:br/>
        <w:t xml:space="preserve">      Constitucional   y   Social   de   la   Corte   Suprema    sobre    la</w:t>
        <w:br/>
        <w:t xml:space="preserve">      constitucionalidad de la  aplicación  retroactiva  del  Decreto  [Ley]</w:t>
        <w:br/>
        <w:t xml:space="preserve">      25876”. Por tanto, “la Comisión consider[ó] que lo presentado  por  el</w:t>
        <w:br/>
        <w:t xml:space="preserve">      Estado […] en el escrito sobre la admisibilidad del caso además de ser</w:t>
        <w:br/>
        <w:t xml:space="preserve">      extemporáne[o] result[aba] improcedent[e] en lo sustantivo”.</w:t>
        <w:br/>
        <w:br/>
        <w:t xml:space="preserve">  32. Por su parte, el representante indicó  que  el  segundo  grupo  de  48</w:t>
        <w:br/>
        <w:t xml:space="preserve">      peticionarios se acogió “a  la  excepción  contenida  en  el  artículo</w:t>
        <w:br/>
        <w:t xml:space="preserve">      46.2.c de la Convención Americana, para el no agotamiento” de recursos</w:t>
        <w:br/>
        <w:t xml:space="preserve">      internos debido al “injustificado retraso mayor a los cinco (05)  años</w:t>
        <w:br/>
        <w:t xml:space="preserve">      y siete  (07)  meses,  sin  que  se  expidiera  decisión  judicial  de</w:t>
        <w:br/>
        <w:t xml:space="preserve">      [primera] instancia y  obviamente  un  retraso  mucho  mayor  para  la</w:t>
        <w:br/>
        <w:t xml:space="preserve">      decisión final”.  Asimismo,  el  representante  indicó  que  “bajo  la</w:t>
        <w:br/>
        <w:t xml:space="preserve">      [d]ictadura del ex Presidente Fujimori”, “obtener  una  declaración  o</w:t>
        <w:br/>
        <w:t xml:space="preserve">      [r]esolución judicial imparcial  e  independiente,  y  menos  aún  una</w:t>
        <w:br/>
        <w:t xml:space="preserve">      [r]esolución [j]udicial en contra del Estado, no  sólo  era  altamente</w:t>
        <w:br/>
        <w:t xml:space="preserve">      improbable sino que imposible”. Finalmente,  el  representante  señaló</w:t>
        <w:br/>
        <w:t xml:space="preserve">      que los argumentos del Estado respecto  a  este  punto  “no  han  sido</w:t>
        <w:br/>
        <w:t xml:space="preserve">      planteados […] como una [e]xcepción [p]reliminar de [i]ncompetencia en</w:t>
        <w:br/>
        <w:t xml:space="preserve">      razón de una supuesta falta de agotamiento de los recursos internos”.</w:t>
        <w:br/>
        <w:br/>
        <w:t xml:space="preserve">  33. Al respecto, pese a no tratarse de la interposición de  una  excepción</w:t>
        <w:br/>
        <w:t xml:space="preserve">      preliminar, el Tribunal hace notar que, en otro caso  contra  el  Perú</w:t>
        <w:br/>
        <w:t xml:space="preserve">      indicó que:</w:t>
        <w:br/>
        <w:br/>
        <w:t xml:space="preserve">      cada acto de reconocimiento realizado por [dicho Estado, tanto a nivel</w:t>
        <w:br/>
        <w:t xml:space="preserve">      interno como] ante la Comisión creó un estoppel.  Por ello,  al  haber</w:t>
        <w:br/>
        <w:t xml:space="preserve">      admitido como legítima, por medio de un acto  jurídico  unilateral  de</w:t>
        <w:br/>
        <w:t xml:space="preserve">      reconocimiento, la pretensión planteada en el  procedimiento  ante  la</w:t>
        <w:br/>
        <w:t xml:space="preserve">      Comisión, el Perú qued[ó] impedido  de  contradecirse  posteriormente.</w:t>
        <w:br/>
        <w:t xml:space="preserve">      Tanto las presuntas víctimas[ y] sus representantes como  la  Comisión</w:t>
        <w:br/>
        <w:t xml:space="preserve">      Interamericana actuaron en el procedimiento ante dicho órgano con base</w:t>
        <w:br/>
        <w:t xml:space="preserve">      en esa posición de reconocimiento adoptada por el Estado[16].</w:t>
        <w:br/>
        <w:br/>
        <w:t xml:space="preserve">  34. De esta manera, los actos de reconocimiento realizados por  el  Estado</w:t>
        <w:br/>
        <w:t xml:space="preserve">      durante  el  trámite  de  una  petición  ante  la  Comisión   resultan</w:t>
        <w:br/>
        <w:t xml:space="preserve">      necesariamente relevantes para la determinación de la  aplicación  del</w:t>
        <w:br/>
        <w:t xml:space="preserve">      principio de  estoppel  respecto  de  posiciones  contrarias  alegadas</w:t>
        <w:br/>
        <w:t xml:space="preserve">      durante el procedimiento del caso ante la Corte.  Si  la  controversia</w:t>
        <w:br/>
        <w:t xml:space="preserve">      planteada por la Comisión ante el Tribunal se basa  necesariamente  en</w:t>
        <w:br/>
        <w:t xml:space="preserve">      ciertos actos de reconocimiento realizados  por  el  Estado,  éste  no</w:t>
        <w:br/>
        <w:t xml:space="preserve">      puede posteriormente  negar  el  efecto  jurídico  que  tienen  dichos</w:t>
        <w:br/>
        <w:t xml:space="preserve">      pronunciamientos en la determinación de la controversia que plantee la</w:t>
        <w:br/>
        <w:t xml:space="preserve">      Comisión ante el Tribunal. Por  lo  tanto,  la  Corte  considera  que,</w:t>
        <w:br/>
        <w:t xml:space="preserve">      mediante los actos en el proceso ante la Comisión, el  Estado  peruano</w:t>
        <w:br/>
        <w:t xml:space="preserve">      no planteó una excepción al agotamiento de  recursos  internos  y  que</w:t>
        <w:br/>
        <w:t xml:space="preserve">      esto, consecuentemente,  generó  un  efecto  jurídico  sobre  el  cual</w:t>
        <w:br/>
        <w:t xml:space="preserve">      actuaron tanto el representante como la Comisión.</w:t>
        <w:br/>
        <w:br/>
        <w:br/>
        <w:t xml:space="preserve">                                     VI</w:t>
        <w:br/>
        <w:t xml:space="preserve">                                   Prueba</w:t>
        <w:br/>
        <w:br/>
        <w:br/>
        <w:t xml:space="preserve">  35. Con base  en  lo  establecido  en  los  artículos  46,  49  y  50  del</w:t>
        <w:br/>
        <w:t xml:space="preserve">      Reglamento, así como en su jurisprudencia relativa a la  prueba  y  su</w:t>
        <w:br/>
        <w:t xml:space="preserve">      apreciación[17],  la  Corte  examinará  y   valorará   los   elementos</w:t>
        <w:br/>
        <w:t xml:space="preserve">      probatorios  documentales  remitidos  por  las  partes   en   diversas</w:t>
        <w:br/>
        <w:t xml:space="preserve">      oportunidades procesales, así como las declaraciones de las  víctimas,</w:t>
        <w:br/>
        <w:t xml:space="preserve">      los  testimonios  y  los  dictámenes  periciales   rendidos   mediante</w:t>
        <w:br/>
        <w:t xml:space="preserve">      declaración jurada ante fedatario público y en  la  audiencia  pública</w:t>
        <w:br/>
        <w:t xml:space="preserve">      ante la Corte, así como las pruebas para  mejor  resolver  solicitadas</w:t>
        <w:br/>
        <w:t xml:space="preserve">      por el Tribunal. Para ello, el Tribunal se atendrá a los principios de</w:t>
        <w:br/>
        <w:t xml:space="preserve">      la sana crítica, dentro del marco normativo correspondiente[18].</w:t>
        <w:br/>
        <w:br/>
        <w:br/>
        <w:br/>
        <w:t xml:space="preserve">      1.    Prueba documental, testimonial y pericial</w:t>
        <w:br/>
        <w:br/>
        <w:br/>
        <w:br/>
        <w:t xml:space="preserve">  36. El Tribunal recibió las declaraciones rendidas ante fedatario  público</w:t>
        <w:br/>
        <w:t xml:space="preserve">      (affidávit) por los siguientes peritos:</w:t>
        <w:br/>
        <w:br/>
        <w:br/>
        <w:t xml:space="preserve">      a)     Samuel  Abad  Yupanqui,  perito  propuesto  por   la   Comisión</w:t>
        <w:br/>
        <w:t xml:space="preserve">      Interamericana, quien  rindió  un  dictamen  pericial  sobre:  i)  “la</w:t>
        <w:br/>
        <w:t xml:space="preserve">      relación entre el derecho interno y el derecho  internacional  de  los</w:t>
        <w:br/>
        <w:t xml:space="preserve">      derechos humanos en lo que respecta al acceso a un recurso efectivo en</w:t>
        <w:br/>
        <w:t xml:space="preserve">      los términos del artículo 25 de la Convención Americana”, y  ii)  “las</w:t>
        <w:br/>
        <w:t xml:space="preserve">      razones por las  cuales  la  arbitrariedad  en  la  decisión  judicial</w:t>
        <w:br/>
        <w:t xml:space="preserve">      proferida en el caso, constituyó una denegación de  justicia  bajo  el</w:t>
        <w:br/>
        <w:t xml:space="preserve">      artículo 25 del mismo instrumento, entre otros aspectos del objeto  de</w:t>
        <w:br/>
        <w:t xml:space="preserve">      la […] demanda” [19], y</w:t>
        <w:br/>
        <w:br/>
        <w:t xml:space="preserve">      b)    Jorge González Izquierdo, perito propuesto por el Estado,  quien</w:t>
        <w:br/>
        <w:t xml:space="preserve">      rindió un dictamen pericial sobre: i) “la situación  económico-laboral</w:t>
        <w:br/>
        <w:t xml:space="preserve">      de los años 1991 y 1992 en el Perú”;  ii)  las  implicancias  de  esta</w:t>
        <w:br/>
        <w:t xml:space="preserve">      situación “en cuanto a la suspensión de la indexación salarial”;  iii)</w:t>
        <w:br/>
        <w:t xml:space="preserve">      “la subsiguiente  afectación  de  las  formas  de  regulación  de  los</w:t>
        <w:br/>
        <w:t xml:space="preserve">      salarios, regulación del mercado laboral en el Perú en  la  década  de</w:t>
        <w:br/>
        <w:t xml:space="preserve">      los noventa, incremento de los salarios en el  Perú  a  partir  de  la</w:t>
        <w:br/>
        <w:t xml:space="preserve">      década de los noventa”, y iv) las implicaciones de  todo  lo  anterior</w:t>
        <w:br/>
        <w:t xml:space="preserve">      para resolver la controversia de las partes respecto a la situación de</w:t>
        <w:br/>
        <w:t xml:space="preserve">      las 233 víctimas del presente caso.</w:t>
        <w:br/>
        <w:br/>
        <w:br/>
        <w:t xml:space="preserve">  37. En cuanto a la prueba rendida en audiencia pública, la  Corte  escuchó</w:t>
        <w:br/>
        <w:t xml:space="preserve">      la declaración de:</w:t>
        <w:br/>
        <w:br/>
        <w:br/>
        <w:t xml:space="preserve">      a)    Víctor Hugo de los Santos León, testigo propuesto por el Estado,</w:t>
        <w:br/>
        <w:t xml:space="preserve">      quien declaró sobre: i)  “la  aplicación  del  Decreto  Ley  Nº  25876</w:t>
        <w:br/>
        <w:t xml:space="preserve">      especificando a partir de cuándo se aplicó  y  qué  implicancias  tuvo</w:t>
        <w:br/>
        <w:t xml:space="preserve">      para los trabajadores”; ii) “la forma en que SEDAPAL  venía  aplicando</w:t>
        <w:br/>
        <w:t xml:space="preserve">      el reajuste salarial de ratios para los funcionarios”; iii) “la  forma</w:t>
        <w:br/>
        <w:t xml:space="preserve">      en que CONADE autorizaba la  regulación  salarial”,  y  iv)  cómo  “la</w:t>
        <w:br/>
        <w:t xml:space="preserve">      empresa SEDAPAL a partir de 1994 realiza una nueva estructura salarial</w:t>
        <w:br/>
        <w:t xml:space="preserve">      que incluía a los ratios modificados”.</w:t>
        <w:br/>
        <w:br/>
        <w:br/>
        <w:t xml:space="preserve">      2.    Admisión de la prueba documental</w:t>
        <w:br/>
        <w:br/>
        <w:br/>
        <w:t xml:space="preserve">  38. En el presente caso, como en otros[20], el Tribunal  admite  el  valor</w:t>
        <w:br/>
        <w:t xml:space="preserve">      probatorio de aquellos documentos  remitidos  por  las  partes  en  la</w:t>
        <w:br/>
        <w:t xml:space="preserve">      debida  oportunidad  procesal,  que  no   fueron   controvertidos   ni</w:t>
        <w:br/>
        <w:t xml:space="preserve">      objetados, ni cuya autenticidad fue puesta en duda.</w:t>
        <w:br/>
        <w:br/>
        <w:t xml:space="preserve">  39. El representante, al presentar su escrito de solicitudes y argumentos,</w:t>
        <w:br/>
        <w:t xml:space="preserve">      remitió, a modo de anexos, las declaraciones ante fedatario público de</w:t>
        <w:br/>
        <w:t xml:space="preserve">      132 víctimas. Asimismo, el representante adjuntó el  informe  pericial</w:t>
        <w:br/>
        <w:t xml:space="preserve">      técnico de la señora Lily Isabel Albornoz Castro, sobre “la forma como</w:t>
        <w:br/>
        <w:t xml:space="preserve">      se ha[n] cuantificado los montos de [r]eparación por [d]año [m]aterial</w:t>
        <w:br/>
        <w:t xml:space="preserve">      de las [233 v]íctimas [en el presente caso]”. En similar  sentido,  al</w:t>
        <w:br/>
        <w:t xml:space="preserve">      presentar su contestación de la demanda, el Estado adjuntó a  modo  de</w:t>
        <w:br/>
        <w:t xml:space="preserve">      anexo un “peritaje  sobre  el  quantum  de  la  reparación  económica”</w:t>
        <w:br/>
        <w:t xml:space="preserve">      elaborado por el señor Félix  Aquije  Soler.  De  conformidad  con  lo</w:t>
        <w:br/>
        <w:t xml:space="preserve">      resuelto  mediante  Resolución  de  convocatoria  a  audiencia  en  el</w:t>
        <w:br/>
        <w:t xml:space="preserve">      presente  caso[21],  el  Tribunal  reitera  que  dichas  declaraciones</w:t>
        <w:br/>
        <w:t xml:space="preserve">      únicamente tienen carácter de prueba documental y que, de esa  manera,</w:t>
        <w:br/>
        <w:t xml:space="preserve">      las valorará dentro del contexto del  acervo  probatorio  existente  y</w:t>
        <w:br/>
        <w:t xml:space="preserve">      según las reglas de la sana crítica.</w:t>
        <w:br/>
        <w:br/>
        <w:t xml:space="preserve">  40. En cuanto a las notas de prensa,  este  Tribunal  ha  considerado  que</w:t>
        <w:br/>
        <w:t xml:space="preserve">      podrán ser apreciadas cuando recojan  hechos  públicos  y  notorios  o</w:t>
        <w:br/>
        <w:t xml:space="preserve">      declaraciones de funcionarios del Estado, o cuando corroboren aspectos</w:t>
        <w:br/>
        <w:t xml:space="preserve">      relacionados  con  el  caso[22].  El  Tribunal  decide   admitir   los</w:t>
        <w:br/>
        <w:t xml:space="preserve">      documentos que se encuentren completos o que, por lo  menos,  permitan</w:t>
        <w:br/>
        <w:t xml:space="preserve">      constatar su fuente y fecha de publicación, y los valorará tomando  en</w:t>
        <w:br/>
        <w:t xml:space="preserve">      cuenta el conjunto del acervo probatorio,  las  observaciones  de  las</w:t>
        <w:br/>
        <w:t xml:space="preserve">      partes y las reglas de la sana crítica.</w:t>
        <w:br/>
        <w:br/>
        <w:t xml:space="preserve">  41. Durante el transcurso de la audiencia pública el testigo De Los Santos</w:t>
        <w:br/>
        <w:t xml:space="preserve">      León  entregó  una  copia  del  documento  identificado  como  “Ratios</w:t>
        <w:br/>
        <w:t xml:space="preserve">      Salariales”, presentado a través de un formato power point durante  la</w:t>
        <w:br/>
        <w:t xml:space="preserve">      rendición de su testimonio. Por considerarlo útil para  la  resolución</w:t>
        <w:br/>
        <w:t xml:space="preserve">      del presente caso, de conformidad con el artículo 58  del  Reglamento,</w:t>
        <w:br/>
        <w:t xml:space="preserve">      el Tribunal decide incorporar esta prueba  al  acervo  probatorio  del</w:t>
        <w:br/>
        <w:t xml:space="preserve">      presente caso.</w:t>
        <w:br/>
        <w:br/>
        <w:t xml:space="preserve">  42. De otra parte,  el  representante  y  el  Estado  remitieron  diversos</w:t>
        <w:br/>
        <w:t xml:space="preserve">      documentos como prueba, los cuales fueron solicitados por el  Tribunal</w:t>
        <w:br/>
        <w:t xml:space="preserve">      con fundamento en lo dispuesto en el artículo 58.b del  Reglamento  de</w:t>
        <w:br/>
        <w:t xml:space="preserve">      la Corte (supra párrs. 13 y 15), por lo cual también los  incorpora  y</w:t>
        <w:br/>
        <w:t xml:space="preserve">      serán valorados en lo pertinente teniendo en cuenta  el  conjunto  del</w:t>
        <w:br/>
        <w:t xml:space="preserve">      acervo probatorio, las observaciones de las partes y las reglas de  la</w:t>
        <w:br/>
        <w:t xml:space="preserve">      sana crítica.</w:t>
        <w:br/>
        <w:br/>
        <w:t xml:space="preserve">  43. Finalmente, el Tribunal observa  que  el  Estado  y  el  representante</w:t>
        <w:br/>
        <w:t xml:space="preserve">      presentaron alegatos y pruebas en momentos que no correspondían con la</w:t>
        <w:br/>
        <w:t xml:space="preserve">      oportunidad procesal otorgada por la Presidencia. Así, en  el  escrito</w:t>
        <w:br/>
        <w:t xml:space="preserve">      de observaciones al reconocimiento de responsabilidad  presentado  por</w:t>
        <w:br/>
        <w:t xml:space="preserve">      el representante el 19 de julio de 2010, se incluyeron alegatos que no</w:t>
        <w:br/>
        <w:t xml:space="preserve">      se restringieron a las observaciones solicitadas y abarcaron  diversos</w:t>
        <w:br/>
        <w:t xml:space="preserve">      aspectos del caso. Al respecto, se hizo notar al representante que  la</w:t>
        <w:br/>
        <w:t xml:space="preserve">      solicitud de observaciones no era una nueva oportunidad procesal  para</w:t>
        <w:br/>
        <w:t xml:space="preserve">      ampliar alegatos, sino únicamente para observar el  reconocimiento  de</w:t>
        <w:br/>
        <w:t xml:space="preserve">      responsabilidad efectuado por el Estado. Sin embargo, el Tribunal hace</w:t>
        <w:br/>
        <w:t xml:space="preserve">      notar que los argumentos  incluidos  en  dichas  observaciones  fueron</w:t>
        <w:br/>
        <w:t xml:space="preserve">      desarrollados posteriormente en el escrito  de  alegatos  finales  del</w:t>
        <w:br/>
        <w:t xml:space="preserve">      representante, de manera que resulta innecesario pronunciarse sobre la</w:t>
        <w:br/>
        <w:t xml:space="preserve">      admisibilidad de los mismos.</w:t>
        <w:br/>
        <w:br/>
        <w:br/>
        <w:t xml:space="preserve">      3.    Admisión de la prueba testimonial y pericial</w:t>
        <w:br/>
        <w:br/>
        <w:br/>
        <w:t xml:space="preserve">  44. En cuanto a las declaraciones rendidas ante fedatario público por  los</w:t>
        <w:br/>
        <w:t xml:space="preserve">      peritos Samuel Abad Yupanqui y  Jorge  González  Izquierdo  y  la  del</w:t>
        <w:br/>
        <w:t xml:space="preserve">      testigo Víctor Hugo  De  Los  Santos  León,  presentada  en  audiencia</w:t>
        <w:br/>
        <w:t xml:space="preserve">      pública, la Corte las admite y estima pertinentes sólo en  lo  que  se</w:t>
        <w:br/>
        <w:t xml:space="preserve">      ajusten al objeto definido  por  el  Presidente  del  Tribunal  en  la</w:t>
        <w:br/>
        <w:t xml:space="preserve">      Resolución que ordenó recibirlos (supra  párr.  8)  y  al  objeto  del</w:t>
        <w:br/>
        <w:t xml:space="preserve">      presente caso, tomando en cuenta las observaciones formuladas.</w:t>
        <w:br/>
        <w:br/>
        <w:t xml:space="preserve">  45. La Corte observa que el representante y la  Comisión  presentaron  sus</w:t>
        <w:br/>
        <w:t xml:space="preserve">      observaciones a los affidávits el 28 de septiembre y 4 de  octubre  de</w:t>
        <w:br/>
        <w:t xml:space="preserve">      2010,  respectivamente.  Por  su  parte,   el   Estado   no   presentó</w:t>
        <w:br/>
        <w:t xml:space="preserve">      observaciones a las declaraciones juradas remitidas (supra párr. 9).</w:t>
        <w:br/>
        <w:br/>
        <w:t xml:space="preserve">  46. El representante solicitó a la Corte  que  “res[uelva]  sin  tomar  en</w:t>
        <w:br/>
        <w:t xml:space="preserve">      cuenta” el peritaje del señor  González  Izquierdo.  El  representante</w:t>
        <w:br/>
        <w:t xml:space="preserve">      alegó, inter alia, que “ninguno de los puntos tratados [...]  est[aba]</w:t>
        <w:br/>
        <w:t xml:space="preserve">      estrictamente relacionado a  la  controversia  de  las  partes  en  el</w:t>
        <w:br/>
        <w:t xml:space="preserve">      presente [c]aso”, y que el peritaje habría sido rendido sobre un  tema</w:t>
        <w:br/>
        <w:t xml:space="preserve">      en “el que no existe controversia”, pues todas las partes de este caso</w:t>
        <w:br/>
        <w:t xml:space="preserve">      compartirían con el perito “la apreciación sobre el contexto económico</w:t>
        <w:br/>
        <w:t xml:space="preserve">      laboral” en el que  se  expidieron  los  decretos  que  afectaron  los</w:t>
        <w:br/>
        <w:t xml:space="preserve">      derechos de las víctimas.  Además,  el  representante  señaló  que  el</w:t>
        <w:br/>
        <w:t xml:space="preserve">      dictamen pericial tendría la finalidad  de  “inducir  a  error  a  los</w:t>
        <w:br/>
        <w:t xml:space="preserve">      Jueces de este Tribunal”, haciéndoles  pensar  que  este  caso  “versa</w:t>
        <w:br/>
        <w:t xml:space="preserve">      sobre la forma y la política de una regulación salarial”,  siendo  que</w:t>
        <w:br/>
        <w:t xml:space="preserve">      la posición de las víctimas  acepta  explícitamente  la  suspensión  y</w:t>
        <w:br/>
        <w:t xml:space="preserve">      eliminación del sistema de ratios salariales, y  se  orienta  sólo  “a</w:t>
        <w:br/>
        <w:t xml:space="preserve">      cuestionar la aplicación retroactiva del Decreto Ley  No.  25876  y  a</w:t>
        <w:br/>
        <w:t xml:space="preserve">      solicitar la [r]eparación que corresponde”.</w:t>
        <w:br/>
        <w:br/>
        <w:t xml:space="preserve">  47. Al respecto, la Corte toma nota  de  las  objeciones  y  observaciones</w:t>
        <w:br/>
        <w:t xml:space="preserve">      presentadas por  el  representante,  sin  embargo,  considera  que  el</w:t>
        <w:br/>
        <w:t xml:space="preserve">      peritaje del señor González Izquierdo se refiere a cuestiones de valor</w:t>
        <w:br/>
        <w:t xml:space="preserve">      probatorio y no de admisibilidad de la prueba[23]. En consecuencia, la</w:t>
        <w:br/>
        <w:t xml:space="preserve">      Corte admite el dictamen mencionado, sin perjuicio  de  que  su  valor</w:t>
        <w:br/>
        <w:t xml:space="preserve">      probatorio sea considerado sólo respecto de aquello que  efectivamente</w:t>
        <w:br/>
        <w:t xml:space="preserve">      se ajuste al  objeto  delimitado  en  la  debida  oportunidad  por  el</w:t>
        <w:br/>
        <w:t xml:space="preserve">      Presidente de la Corte (supra párr. 8), teniendo en cuenta el conjunto</w:t>
        <w:br/>
        <w:t xml:space="preserve">      del acervo probatorio, las observaciones de las partes y las reglas de</w:t>
        <w:br/>
        <w:t xml:space="preserve">      la sana  crítica.  Así,  las  observaciones  del  representante  serán</w:t>
        <w:br/>
        <w:t xml:space="preserve">      consideradas,  en  lo  pertinente,  al  analizar  el   fondo   de   la</w:t>
        <w:br/>
        <w:t xml:space="preserve">      controversia.</w:t>
        <w:br/>
        <w:br/>
        <w:t xml:space="preserve">  48. Respecto al peritaje del señor Aquije Soler, en el  transcurso  de  la</w:t>
        <w:br/>
        <w:t xml:space="preserve">      audiencia pública el representante hizo entrega de un  documento  que,</w:t>
        <w:br/>
        <w:t xml:space="preserve">      según sus alegatos, lo desvirtuaría.  El  representante  presentó  una</w:t>
        <w:br/>
        <w:t xml:space="preserve">      copia del documento identificado como “Adjudicación Directa  Selectiva</w:t>
        <w:br/>
        <w:t xml:space="preserve">      Nº  0043-2010-SEDAPAL”  relacionado  con  una  consultoría  sobre   el</w:t>
        <w:br/>
        <w:t xml:space="preserve">      presente  caso[24].  El  representante  destacó  que  “es   totalmente</w:t>
        <w:br/>
        <w:t xml:space="preserve">      contradictorio” que SEDAPAL  presente  el  15  de  junio  de  2010  su</w:t>
        <w:br/>
        <w:t xml:space="preserve">      propuesta de reparación sustentada en el  peritaje  del  señor  Aquije</w:t>
        <w:br/>
        <w:t xml:space="preserve">      Soler, mientras que “casi un mes después” convoque a un “[c]oncurso de</w:t>
        <w:br/>
        <w:t xml:space="preserve">      [c]ontratación  de  [s]ervicios  de  [c]onsultoría  cuyo  objetivo  es</w:t>
        <w:br/>
        <w:t xml:space="preserve">      realizar un peritaje contable que determine  el  importe  adeudado”  a</w:t>
        <w:br/>
        <w:t xml:space="preserve">      cada una de las víctimas del presente caso.</w:t>
        <w:br/>
        <w:br/>
        <w:t xml:space="preserve">  49. Al respecto, el Estado informó que el citado proceso  de  adjudicación</w:t>
        <w:br/>
        <w:t xml:space="preserve">      directa “fue  declarado  desierto”  por  “no  present[arse]  propuesta</w:t>
        <w:br/>
        <w:t xml:space="preserve">      alguna”. De acuerdo con  el  Estado  “es  falso  lo  señalado  por  el</w:t>
        <w:br/>
        <w:t xml:space="preserve">      [re]presentante […] puesto [que] se pretende sostener  equivocadamente</w:t>
        <w:br/>
        <w:t xml:space="preserve">      que el peritaje” del señor Aquije Soler “fue resultado del proceso  de</w:t>
        <w:br/>
        <w:t xml:space="preserve">      adjudicación selectiva [en  mención]”.  El  Tribunal  observa  que  el</w:t>
        <w:br/>
        <w:t xml:space="preserve">      proceso  de  adjudicación  iniciado  por  el  Estado  no   afecta   la</w:t>
        <w:br/>
        <w:t xml:space="preserve">      admisibilidad de la prueba. De otra parte, las precisiones  efectuadas</w:t>
        <w:br/>
        <w:t xml:space="preserve">      por el Estado, en el sentido que la licitación fue declarada desierta,</w:t>
        <w:br/>
        <w:t xml:space="preserve">      hacen que la controversia sobre este tema carezca  de  objeto.  En  el</w:t>
        <w:br/>
        <w:t xml:space="preserve">      fondo del caso se analizará si la prueba obrante sobre  el  mencionado</w:t>
        <w:br/>
        <w:t xml:space="preserve">      proceso  de  adjudicación   contiene   elementos   que   afecten   las</w:t>
        <w:br/>
        <w:t xml:space="preserve">      conclusiones del peritaje presentado por el Estado (infra párr. 114).</w:t>
        <w:br/>
        <w:br/>
        <w:t xml:space="preserve">                                     VII</w:t>
        <w:br/>
        <w:t xml:space="preserve">  DERECHO A LA PROTECCIÓN JUDICIAL y a la propiedad PRIVADA EN RELACIÓN CON</w:t>
        <w:br/>
        <w:t xml:space="preserve">           LAS OBLIGACIONES DE RESPETAR Y GARANTIZAR LOS DERECHOS</w:t>
        <w:br/>
        <w:br/>
        <w:br/>
        <w:t xml:space="preserve">  50. En el  presente  caso  la  Corte  ha  aceptado  el  reconocimiento  de</w:t>
        <w:br/>
        <w:t xml:space="preserve">      responsabilidad internacional efectuado por el Estado en relación  con</w:t>
        <w:br/>
        <w:t xml:space="preserve">      la falta de protección judicial respecto a la  aplicación  retroactiva</w:t>
        <w:br/>
        <w:t xml:space="preserve">      de normas relacionadas con el  sistema  de  ratios  salariales  (supra</w:t>
        <w:br/>
        <w:t xml:space="preserve">      párrs. 23 y 26). Para determinar los alcances de  esta  violación  del</w:t>
        <w:br/>
        <w:t xml:space="preserve">      artículo 25.1[25] en relación con el artículo 1.1[26] de la Convención</w:t>
        <w:br/>
        <w:t xml:space="preserve">      Americana y resolver la controversia en torno a la  violación  de  los</w:t>
        <w:br/>
        <w:t xml:space="preserve">      artículos 21.1 y 21.2[27] de dicha  Convención,  así  como  las  demás</w:t>
        <w:br/>
        <w:t xml:space="preserve">      controversias  subsistentes,   se   desarrollarán:   1)   los   hechos</w:t>
        <w:br/>
        <w:t xml:space="preserve">      establecidos, para luego analizar 2) los alcances de la violación  del</w:t>
        <w:br/>
        <w:t xml:space="preserve">      derecho a la protección judicial en el presente caso y 3)  la  alegada</w:t>
        <w:br/>
        <w:t xml:space="preserve">      violación del derecho a la propiedad privada.</w:t>
        <w:br/>
        <w:br/>
        <w:br/>
        <w:t xml:space="preserve">   1.       Hechos establecidos</w:t>
        <w:br/>
        <w:br/>
        <w:br/>
        <w:t xml:space="preserve">  51.  Los  hechos  del  presente  caso   abarcan:   1.1)   pronunciamientos</w:t>
        <w:br/>
        <w:t xml:space="preserve">      administrativos y judiciales que implementaron el  sistema  de  ratios</w:t>
        <w:br/>
        <w:t xml:space="preserve">      salariales; 1.2) derogación de dicho sistema a través de la aplicación</w:t>
        <w:br/>
        <w:t xml:space="preserve">      retroactiva de normas; 1.3) descuentos y omisiones  de  incremento  en</w:t>
        <w:br/>
        <w:t xml:space="preserve">      las  remuneraciones  de  las  víctimas,  y  1.4)  recursos  judiciales</w:t>
        <w:br/>
        <w:t xml:space="preserve">      interpuestos en relación con lo anterior.</w:t>
        <w:br/>
        <w:br/>
        <w:t xml:space="preserve">   1. El sistema de ratios salariales y los pronunciamientos administrativos</w:t>
        <w:br/>
        <w:t xml:space="preserve">      y judiciales que lo implementaron</w:t>
        <w:br/>
        <w:br/>
        <w:t xml:space="preserve">  52. En 1989 la empresa  pública  SEDAPAL  clasificaba  los  cargos  de  su</w:t>
        <w:br/>
        <w:t xml:space="preserve">      personal en tres grupos: “1)  [o]breros  y  empleados  cuyo  mecanismo</w:t>
        <w:br/>
        <w:t xml:space="preserve">      legal en materia remunerativa  se  r[egía]  por  el  procedimiento  de</w:t>
        <w:br/>
        <w:t xml:space="preserve">      negociación colectiva; 2) Funcionarios[,] y 3) [A]lta Dirección”[28].</w:t>
        <w:br/>
        <w:br/>
        <w:br/>
        <w:t xml:space="preserve">  53. En junio  de  1989  SEDAPAL  estableció  un  sistema  de  reajuste  de</w:t>
        <w:br/>
        <w:t xml:space="preserve">      remuneración denominado “Ratios Salariales”. Este  sistema  no  estaba</w:t>
        <w:br/>
        <w:t xml:space="preserve">      sujeto a negociación colectiva y consistía en el  reajuste  automático</w:t>
        <w:br/>
        <w:t xml:space="preserve">      de  la  remuneración  mensual  al  personal  entonces  denominado   de</w:t>
        <w:br/>
        <w:t xml:space="preserve">      Funcionarios y de Alta Dirección de la empresa, tomando como  base  i)</w:t>
        <w:br/>
        <w:t xml:space="preserve">      la remuneración del peón o cargo más bajo de  la  empresa  y  ii)  los</w:t>
        <w:br/>
        <w:t xml:space="preserve">      Ratios Salariales o Índices, o Coeficientes de Variación,  previamente</w:t>
        <w:br/>
        <w:t xml:space="preserve">      establecidos y asignados a cada cargo. Este sistema tenía la finalidad</w:t>
        <w:br/>
        <w:t xml:space="preserve">      de mantener la equidistancia salarial en la mencionada  estructura  de</w:t>
        <w:br/>
        <w:t xml:space="preserve">      cargos[29] y funcionaba de manera automática. En efecto, cada vez  que</w:t>
        <w:br/>
        <w:t xml:space="preserve">      la  empresa  aumentaba  la  remuneración  del  cargo  más  bajo   como</w:t>
        <w:br/>
        <w:t xml:space="preserve">      consecuencia del proceso de negociación colectiva, debía producirse un</w:t>
        <w:br/>
        <w:t xml:space="preserve">      incremento  en  los  demás  cargos  de  la  empresa  que   no   podían</w:t>
        <w:br/>
        <w:t xml:space="preserve">      beneficiarse de dicho proceso[30].</w:t>
        <w:br/>
        <w:br/>
        <w:br/>
        <w:t xml:space="preserve">  54. El sistema de ratios salariales fue establecido por el  Directorio  de</w:t>
        <w:br/>
        <w:t xml:space="preserve">      la  empresa,  previa  autorización  de  la  Corporación  Nacional   de</w:t>
        <w:br/>
        <w:t xml:space="preserve">      Desarrollo (CONADE), la cual se otorgó el 12 de junio de 1990[31].  La</w:t>
        <w:br/>
        <w:t xml:space="preserve">      CONADE también “autoriz[ó] la recuperación de los ratios aprobados  en</w:t>
        <w:br/>
        <w:t xml:space="preserve">      junio de 1989” y que no se habían hecho efectivos[32].</w:t>
        <w:br/>
        <w:br/>
        <w:br/>
        <w:t xml:space="preserve">  55. Sin embargo, el incremento de las ratios salariales no fue  ejecutado.</w:t>
        <w:br/>
        <w:t xml:space="preserve">      Por esta razón, en octubre de 1990 un grupo de  trabajadores  presentó</w:t>
        <w:br/>
        <w:t xml:space="preserve">      una acción de amparo  ante  el  16º  Juzgado  en  lo  Civil  de  Lima,</w:t>
        <w:br/>
        <w:t xml:space="preserve">      solicitando la aplicación del sistema. El 3 de diciembre de 1990 dicho</w:t>
        <w:br/>
        <w:t xml:space="preserve">      Juzgado dictó sentencia acogiendo en su integridad las  peticiones  de</w:t>
        <w:br/>
        <w:t xml:space="preserve">      los demandantes y ordenó a SEDAPAL[33]: i)  “otorg[ar] a  su  personal</w:t>
        <w:br/>
        <w:t xml:space="preserve">      de los sectores laborales de Funcionarios  y  de  Alta  Dirección,  la</w:t>
        <w:br/>
        <w:t xml:space="preserve">      recuperación en sus remuneraciones mensuales de los ratios  salariales</w:t>
        <w:br/>
        <w:t xml:space="preserve">      que fueran vigentes en SEDAPAL en el mes de Junio de [1989], sobre  la</w:t>
        <w:br/>
        <w:t xml:space="preserve">      base de la remuneración correspondiente al último nivel o categoría de</w:t>
        <w:br/>
        <w:t xml:space="preserve">      la Estructura de Cargos y Remuneraciones (Peón),  vigente  al  mes  de</w:t>
        <w:br/>
        <w:t xml:space="preserve">      Octubre de [1990]”, y ii) “pag[ar] las remuneraciones impagas, que  se</w:t>
        <w:br/>
        <w:t xml:space="preserve">      devenguen de la aplicación de los citados ratios salariales”[34].</w:t>
        <w:br/>
        <w:br/>
        <w:t xml:space="preserve">  56. Como respuesta a este fallo judicial SEDAPAL presentó  un  recurso  de</w:t>
        <w:br/>
        <w:t xml:space="preserve">      casación, pero el 29 de  mayo  de  1991  la  sentencia  favorable  fue</w:t>
        <w:br/>
        <w:t xml:space="preserve">      confirmada por la Quinta Sala Civil de la Corte Superior  de  Lima[35]</w:t>
        <w:br/>
        <w:t xml:space="preserve">      y, posteriormente, por la Sala Civil de la Corte Suprema  de  Justicia</w:t>
        <w:br/>
        <w:t xml:space="preserve">      el 12 de febrero de  1992[36].  La  Corte  Suprema  se  pronunció  “de</w:t>
        <w:br/>
        <w:t xml:space="preserve">      conformidad  con  el  dict[a]men  del  […]  Fiscal  [Supremo,]”  quien</w:t>
        <w:br/>
        <w:t xml:space="preserve">      encontró probada la “violación por omisión de acto  administrativo,  a</w:t>
        <w:br/>
        <w:t xml:space="preserve">      expresos derechos laborales que han sido expresamente reconocidos  por</w:t>
        <w:br/>
        <w:t xml:space="preserve">      la propia empresa demandada”[37].</w:t>
        <w:br/>
        <w:br/>
        <w:br/>
        <w:t xml:space="preserve">  57. Dicha sentencia no  se  ejecutó  inmediatamente,  razón  por  la  cual</w:t>
        <w:br/>
        <w:t xml:space="preserve">      SEDAPAL y los representantes de los funcionarios iniciaron un  proceso</w:t>
        <w:br/>
        <w:t xml:space="preserve">      de transacción extrajudicial  para  resolver  el  conflicto  sobre  la</w:t>
        <w:br/>
        <w:t xml:space="preserve">      ejecución de la sentencia[38]. Dicho  proceso  quedó  consolidado  por</w:t>
        <w:br/>
        <w:t xml:space="preserve">      medio de un acta en la  que  se  determinó  cómo  se  realizarían  los</w:t>
        <w:br/>
        <w:t xml:space="preserve">      pagos[39]. La Comisión, el representante y el Estado coinciden en  que</w:t>
        <w:br/>
        <w:t xml:space="preserve">      a partir de este momento se cumplió con  lo  ordenado  en  los  fallos</w:t>
        <w:br/>
        <w:t xml:space="preserve">      judiciales que reconocieron el pago de los montos por  aplicación  del</w:t>
        <w:br/>
        <w:t xml:space="preserve">      sistema de ratios salariales[40]. Por otra parte, la Corte observa que</w:t>
        <w:br/>
        <w:t xml:space="preserve">      estas decisiones judiciales y el  acuerdo  de  transacción  entre  las</w:t>
        <w:br/>
        <w:t xml:space="preserve">      partes determinaron que la ratio salarial debía aplicarse a partir del</w:t>
        <w:br/>
        <w:t xml:space="preserve">      12 de junio de  1989.  Asimismo,  estas  decisiones  judiciales  y  el</w:t>
        <w:br/>
        <w:t xml:space="preserve">      mencionado acuerdo se ejecutaron hasta la derogatoria del  sistema  de</w:t>
        <w:br/>
        <w:t xml:space="preserve">      ratios salariales el 26 de noviembre de 1992, aspecto que se analizará</w:t>
        <w:br/>
        <w:t xml:space="preserve">      a continuación.</w:t>
        <w:br/>
        <w:br/>
        <w:t xml:space="preserve">   2. Derogación del sistema de ratios salariales  a  través  de  una  norma</w:t>
        <w:br/>
        <w:t xml:space="preserve">      aplicada retroactivamente</w:t>
        <w:br/>
        <w:br/>
        <w:t xml:space="preserve">  58. La derogación del sistema de ratios salariales se relaciona  con  tres</w:t>
        <w:br/>
        <w:t xml:space="preserve">      decretos. El primer decreto fue emitido por el Poder Ejecutivo el 8 de</w:t>
        <w:br/>
        <w:t xml:space="preserve">      noviembre de 1991, publicado el 12 de diciembre de 1991,  entrando  en</w:t>
        <w:br/>
        <w:t xml:space="preserve">      vigencia al día siguiente de  la  publicación,  es  decir,  el  13  de</w:t>
        <w:br/>
        <w:t xml:space="preserve">      diciembre del mismo año. Dicha norma se tituló Decreto Legislativo No.</w:t>
        <w:br/>
        <w:t xml:space="preserve">      757 o “Ley Marco para el Crecimiento de  la  Inversión  Privada”,  por</w:t>
        <w:br/>
        <w:t xml:space="preserve">      medio de la cual se implementaron, entre otras cosas,  algunas  reglas</w:t>
        <w:br/>
        <w:t xml:space="preserve">      en cuanto al establecimiento de las “mejoras remunerativas”[41]. En lo</w:t>
        <w:br/>
        <w:t xml:space="preserve">      relevante para el presente caso, dicho Decreto estableció que:</w:t>
        <w:br/>
        <w:br/>
        <w:t xml:space="preserve">      “Los incrementos en precios y tarifas o las mejoras  remunerativas  se</w:t>
        <w:br/>
        <w:t xml:space="preserve">      sujetarán a las siguientes reglas:</w:t>
        <w:br/>
        <w:br/>
        <w:br/>
        <w:t xml:space="preserve">      […]</w:t>
        <w:br/>
        <w:br/>
        <w:t xml:space="preserve">      b) Los pactos o convenios colectivos de  trabajo  no  podrán  contener</w:t>
        <w:br/>
        <w:t xml:space="preserve">      sistemas de reajuste automático de remuneraciones fijados en función a</w:t>
        <w:br/>
        <w:t xml:space="preserve">      índices de variación de precios, o ser pactados o referidos  a  moneda</w:t>
        <w:br/>
        <w:t xml:space="preserve">      extranjera”.</w:t>
        <w:br/>
        <w:br/>
        <w:br/>
        <w:t xml:space="preserve">  59. El segundo decreto fue emitido por el Poder Ejecutivo el 5 de junio de</w:t>
        <w:br/>
        <w:t xml:space="preserve">      1992 (Decreto Ley No. 25541)[42] y publicado el 11 de junio del  mismo</w:t>
        <w:br/>
        <w:t xml:space="preserve">      año. El artículo 1 de este decreto estableció:</w:t>
        <w:br/>
        <w:br/>
        <w:br/>
        <w:t xml:space="preserve">      “Precísase que las normas, pactos o cláusulas de  reajuste  automático</w:t>
        <w:br/>
        <w:t xml:space="preserve">      de remuneraciones en función a la variación de precios, al valor de la</w:t>
        <w:br/>
        <w:t xml:space="preserve">      moneda extranjera y demás de similar  naturaleza,  concluyeron  en  su</w:t>
        <w:br/>
        <w:t xml:space="preserve">      aplicación el 13 de diciembre de 1991, fecha en que entró en  vigencia</w:t>
        <w:br/>
        <w:t xml:space="preserve">      el Decreto Legislativo No. 757, Ley Marco para el  Crecimiento  de  la</w:t>
        <w:br/>
        <w:t xml:space="preserve">      Inversión Privada”.</w:t>
        <w:br/>
        <w:br/>
        <w:t xml:space="preserve">  60. El tercer decreto fue emitido el  10  de  noviembre  de  1992  por  el</w:t>
        <w:br/>
        <w:t xml:space="preserve">      “Gobierno de Emergencia y Reconstrucción Nacional”  (Decreto  Ley  No.</w:t>
        <w:br/>
        <w:t xml:space="preserve">      25876)[43], publicado el  25  de  noviembre  y,  por  ende,  entró  en</w:t>
        <w:br/>
        <w:t xml:space="preserve">      vigencia el 26 de noviembre de 1992. Mediante este decreto se modificó</w:t>
        <w:br/>
        <w:t xml:space="preserve">      el artículo 1 del Decreto Ley No. 25541, por medio del cual se agregó:</w:t>
        <w:br/>
        <w:t xml:space="preserve">      “Precísase  y  aclárese  que  […]  transacciones  o   pronunciamientos</w:t>
        <w:br/>
        <w:t xml:space="preserve">      judiciales o  administrativos  que  establecen  sistemas  de  reajuste</w:t>
        <w:br/>
        <w:t xml:space="preserve">      automático  de  remuneración   de   aplicación   colectiva   [también]</w:t>
        <w:br/>
        <w:t xml:space="preserve">      concluyeron definitivamente en su aplicación  y  ejecución  el  13  de</w:t>
        <w:br/>
        <w:t xml:space="preserve">      diciembre de 1991, fecha en  la  que  entró  en  vigencia  el  Decreto</w:t>
        <w:br/>
        <w:t xml:space="preserve">      Legislativo No. 757”. El Decreto Ley 25876 “entr[ó] en vigencia al día</w:t>
        <w:br/>
        <w:t xml:space="preserve">      siguiente de su publicación en el Diario Oficial”, es decir, el 26  de</w:t>
        <w:br/>
        <w:t xml:space="preserve">      noviembre de 1992.</w:t>
        <w:br/>
        <w:br/>
        <w:t xml:space="preserve">  61. De lo anteriormente descrito, la Corte observa que  el  segundo  y  el</w:t>
        <w:br/>
        <w:t xml:space="preserve">      tercer decretos  ampliaron  los  supuestos  en  los  que  procedía  la</w:t>
        <w:br/>
        <w:t xml:space="preserve">      supresión de los sistemas de  reajuste  de  salarios.  En  efecto,  el</w:t>
        <w:br/>
        <w:t xml:space="preserve">      primer decreto tenía como objetivo, entre otros, poner fin al  sistema</w:t>
        <w:br/>
        <w:t xml:space="preserve">      de  ratios  salariales,  por  cuanto  estableció  que  los  “pactos  o</w:t>
        <w:br/>
        <w:t xml:space="preserve">      convenios  colectivos  de  trabajo  no  podrán  contener  sistemas  de</w:t>
        <w:br/>
        <w:t xml:space="preserve">      reajuste automático de remuneraciones fijados en función a índices  de</w:t>
        <w:br/>
        <w:t xml:space="preserve">      variación de precios”. Sin embargo, el segundo Decreto Ley  No.  25541</w:t>
        <w:br/>
        <w:t xml:space="preserve">      estableció: i) que se extendía la anterior prohibición a los  sistemas</w:t>
        <w:br/>
        <w:t xml:space="preserve">      de reajuste automático que hubiesen  sido  consagrados  por  medio  de</w:t>
        <w:br/>
        <w:t xml:space="preserve">      “normas”; ii) que no se  permitían  sistemas  salariales  de  “similar</w:t>
        <w:br/>
        <w:t xml:space="preserve">      naturaleza”, y iii) que dichos suplementos entraban en vigor a  partir</w:t>
        <w:br/>
        <w:t xml:space="preserve">      de la fecha del Decreto  Legislativo  No.  757,  es  decir  el  13  de</w:t>
        <w:br/>
        <w:t xml:space="preserve">      diciembre de 1991. Asimismo, el Tribunal observa que  el  Decreto  Ley</w:t>
        <w:br/>
        <w:t xml:space="preserve">      No.  25876,  el  tercero,  tuvo  como  finalidad  agregar  que   dicha</w:t>
        <w:br/>
        <w:t xml:space="preserve">      derogación también aplicaba a los sistemas  que  hubiesen  emanado  de</w:t>
        <w:br/>
        <w:t xml:space="preserve">      “pronunciamientos judiciales o administrativos”, así como reiterar que</w:t>
        <w:br/>
        <w:t xml:space="preserve">      ese tipo de sistemas se  encontraban  proscritos  desde  la  fecha  de</w:t>
        <w:br/>
        <w:t xml:space="preserve">      entrada en vigor  del  primer  Decreto,  es  decir,  desde  el  13  de</w:t>
        <w:br/>
        <w:t xml:space="preserve">      diciembre de 1991.</w:t>
        <w:br/>
        <w:br/>
        <w:t xml:space="preserve">  62.       El representante y el Estado  coincidieron  al  señalar  que  el</w:t>
        <w:br/>
        <w:t xml:space="preserve">      sistema de ratios salariales aplicado en la empresa SEDAPAL podía  ser</w:t>
        <w:br/>
        <w:t xml:space="preserve">      derogado sólo hasta la entrada en vigor de la  última  norma  (Decreto</w:t>
        <w:br/>
        <w:t xml:space="preserve">      No. 25876), es decir, el 26 de noviembre  de  1992.  Diversas  pruebas</w:t>
        <w:br/>
        <w:t xml:space="preserve">      obrantes en el expediente establecen que dicho decreto no podía surtir</w:t>
        <w:br/>
        <w:t xml:space="preserve">      efectos desde una fecha anterior a  su  publicación[44].  Teniendo  en</w:t>
        <w:br/>
        <w:t xml:space="preserve">      cuenta  las  posiciones  concordantes  de  las  partes  y  la   prueba</w:t>
        <w:br/>
        <w:t xml:space="preserve">      disponible, el Tribunal asume como hecho establecido que  la  fecha  a</w:t>
        <w:br/>
        <w:t xml:space="preserve">      partir de la cuál debió operar la derogación  del  sistema  de  ratios</w:t>
        <w:br/>
        <w:t xml:space="preserve">      respecto de las víctimas es el 26 de noviembre de 1992,  fecha  en  la</w:t>
        <w:br/>
        <w:t xml:space="preserve">      que entró en vigor el Decreto Ley No. 25876 (supra párr. 60).</w:t>
        <w:br/>
        <w:br/>
        <w:t xml:space="preserve">   3. Descuentos y  omisiones  de  incremento  en  las  remuneraciones  como</w:t>
        <w:br/>
        <w:t xml:space="preserve">      consecuencia de la aplicación retroactiva de la norma  que  derogó  el</w:t>
        <w:br/>
        <w:t xml:space="preserve">      sistema de ratios salariales</w:t>
        <w:br/>
        <w:br/>
        <w:t xml:space="preserve">  63.       SEDAPAL tuvo en cuenta como fecha de derogación  de  las  ratios</w:t>
        <w:br/>
        <w:t xml:space="preserve">      salariales el 13 de diciembre de 1991 y no el 26 de noviembre de 1992.</w:t>
        <w:br/>
        <w:t xml:space="preserve">      La aplicación de los citados decretos por parte de  SEDAPAL  tuvo  los</w:t>
        <w:br/>
        <w:t xml:space="preserve">      siguientes efectos:</w:t>
        <w:br/>
        <w:br/>
        <w:t xml:space="preserve">      a)  a partir del mes de diciembre de 1992[45], SEDAPAL  disminuyó  las</w:t>
        <w:br/>
        <w:t xml:space="preserve">      remuneraciones mensuales de los funcionarios, por lo que se rebajó  la</w:t>
        <w:br/>
        <w:t xml:space="preserve">      porción  que  se  venía   percibiendo   como   consecuencia   de   los</w:t>
        <w:br/>
        <w:t xml:space="preserve">      incrementos[46];</w:t>
        <w:br/>
        <w:br/>
        <w:br/>
        <w:t xml:space="preserve">      b) se aplicó la rebaja de remuneraciones mensuales de los trabajadores</w:t>
        <w:br/>
        <w:t xml:space="preserve">      a las remuneraciones ya pagadas entre enero y noviembre  de  1992  con</w:t>
        <w:br/>
        <w:t xml:space="preserve">      base en el sistema de ratios salariales pues, en consideración  de  la</w:t>
        <w:br/>
        <w:t xml:space="preserve">      empresa, dicho sistema había dejado  de  existir  desde  diciembre  de</w:t>
        <w:br/>
        <w:t xml:space="preserve">      1991. Estas pretendidas devoluciones se  materializaron  a  partir  de</w:t>
        <w:br/>
        <w:t xml:space="preserve">      marzo de 1993[47] mediante descuentos  del  20%  del  salario  mensual</w:t>
        <w:br/>
        <w:t xml:space="preserve">      hasta que se completara la devolución de la totalidad  de  los  montos</w:t>
        <w:br/>
        <w:t xml:space="preserve">      que según la empresa se habían pagado equivocadamente, y</w:t>
        <w:br/>
        <w:br/>
        <w:br/>
        <w:t xml:space="preserve">      c) a partir de julio de 1992 no se  incrementaron  las  remuneraciones</w:t>
        <w:br/>
        <w:t xml:space="preserve">      mensuales  de  los  trabajadores  de  acuerdo  al  sistema  de  ratios</w:t>
        <w:br/>
        <w:t xml:space="preserve">      salariales. Ello generó que no se cumpliera con  lo  dispuesto  en  el</w:t>
        <w:br/>
        <w:t xml:space="preserve">      último beneficio derivado del sistema de ratios,  relacionado  con  un</w:t>
        <w:br/>
        <w:t xml:space="preserve">      convenio colectivo[48] que ordenó un aumento en el salario del peón en</w:t>
        <w:br/>
        <w:t xml:space="preserve">      julio de 1992.</w:t>
        <w:br/>
        <w:br/>
        <w:t xml:space="preserve">  64. La Corte  concluye  que  los  efectos  de  la  implementación  de  los</w:t>
        <w:br/>
        <w:t xml:space="preserve">      referidos Decretos pueden ser resumidos  de  la  siguiente  forma:  i)</w:t>
        <w:br/>
        <w:t xml:space="preserve">      disminución de los salarios a partir de diciembre de 1992;  ii)  cobro</w:t>
        <w:br/>
        <w:t xml:space="preserve">      retroactivo de los pagos realizados entre enero y  noviembre  de  1992</w:t>
        <w:br/>
        <w:t xml:space="preserve">      conforme al aumento por ratios salariales, y iii) no incremento de los</w:t>
        <w:br/>
        <w:t xml:space="preserve">      salarios a partir de julio de 1992  como  consecuencia  de  la  última</w:t>
        <w:br/>
        <w:t xml:space="preserve">      ratio salarial procedente.</w:t>
        <w:br/>
        <w:br/>
        <w:br/>
        <w:t xml:space="preserve">   4. Recursos judiciales interpuestos contra la aplicación  retroactiva  de</w:t>
        <w:br/>
        <w:t xml:space="preserve">      la norma que derogó el sistema de ratios salariales</w:t>
        <w:br/>
        <w:br/>
        <w:br/>
        <w:t xml:space="preserve">  65. El 14 de mayo de 1993 un primer grupo de 225 trabajadores,  entre  los</w:t>
        <w:br/>
        <w:t xml:space="preserve">      cuales se encuentran 185  de  las  víctimas  del  caso,  interpuso  un</w:t>
        <w:br/>
        <w:t xml:space="preserve">      recurso de amparo ante el 18º Juzgado de Trabajo de la Corte  Superior</w:t>
        <w:br/>
        <w:t xml:space="preserve">      de   Lima   “por   violación   e   incumplimiento   de    dispositivos</w:t>
        <w:br/>
        <w:t xml:space="preserve">      constitucionales  de  trabajo   contra   [SEDAPAL]   originados   como</w:t>
        <w:br/>
        <w:t xml:space="preserve">      consecuencia de la aplicación indebida del Decreto Ley 25876”[49].  En</w:t>
        <w:br/>
        <w:t xml:space="preserve">      el marco de dicha acción se precisó que “los denunciantes no persiguen</w:t>
        <w:br/>
        <w:t xml:space="preserve">      la inaplicabilidad del Decreto Ley 25876,  sino  que  esta  norma  sea</w:t>
        <w:br/>
        <w:t xml:space="preserve">      aplicada a partir de  la  fecha  de  su  vigencia  sin  contrariar  el</w:t>
        <w:br/>
        <w:t xml:space="preserve">      espíritu de los derechos laborales garantizados  por  la  Constitución</w:t>
        <w:br/>
        <w:t xml:space="preserve">      Política”[50].</w:t>
        <w:br/>
        <w:br/>
        <w:br/>
        <w:t xml:space="preserve">  66. El 26 de julio de 1995 el 18º Juzgado de Trabajo  de  Lima  emitió  la</w:t>
        <w:br/>
        <w:t xml:space="preserve">      Sentencia No. 227-95[51] que declaró fundada  la  demanda  concluyendo</w:t>
        <w:br/>
        <w:t xml:space="preserve">      que,</w:t>
        <w:br/>
        <w:br/>
        <w:br/>
        <w:t xml:space="preserve">      “[e]l Decreto Ley 25876 se aplicó retroactivamente, que si bien  dicha</w:t>
        <w:br/>
        <w:t xml:space="preserve">      normatividad de orden público y de necesaria observancia  orientada  a</w:t>
        <w:br/>
        <w:t xml:space="preserve">      estabilizar la situación socio-económica del  Estado,  eliminando  las</w:t>
        <w:br/>
        <w:t xml:space="preserve">      distorsiones inflacionarias  que  pueden  ocasionar  los  sistemas  de</w:t>
        <w:br/>
        <w:t xml:space="preserve">      reajuste automático, resulta de imperativa aplicación, sus efectos  no</w:t>
        <w:br/>
        <w:t xml:space="preserve">      pueden dañar la estructura jurídica de la Nación; por  lo  demás  como</w:t>
        <w:br/>
        <w:t xml:space="preserve">      norma reiterativamente aclaratoria del Decreto Legislativo No. 757  no</w:t>
        <w:br/>
        <w:t xml:space="preserve">      puede retrotraer la vigencia de un dispositivo aclaratorio a la  fecha</w:t>
        <w:br/>
        <w:t xml:space="preserve">      de vigencia de la norma aclarada, en razón de que las  normas  legales</w:t>
        <w:br/>
        <w:t xml:space="preserve">      tienen vigencia sólo a partir de su existencia material,  esto  es,  a</w:t>
        <w:br/>
        <w:t xml:space="preserve">      partir de su publicación y no antes”[52].</w:t>
        <w:br/>
        <w:br/>
        <w:br/>
        <w:t>En consecuencia, el Juzgado de Trabajo ordenó a SEDAPAL:</w:t>
        <w:br/>
        <w:br/>
        <w:br/>
        <w:t xml:space="preserve">      “primero, […] restituir a los funcionarios accionantes […] la fracción</w:t>
        <w:br/>
        <w:t xml:space="preserve">      de  las  remuneraciones  mensuales  rebajadas  a  partir  del  mes  de</w:t>
        <w:br/>
        <w:t xml:space="preserve">      diciembre de 1992; segundo,  […]  reintegrarles  la  fracción  de  las</w:t>
        <w:br/>
        <w:t xml:space="preserve">      remuneraciones rebajadas y descontadas  por  el  período  de  enero  a</w:t>
        <w:br/>
        <w:t xml:space="preserve">      noviembre de 1992 y tercero[…] otorgar a los funcionarios denunciantes</w:t>
        <w:br/>
        <w:t xml:space="preserve">      el incremento de remuneraciones sobrevivientes de aplicar la escala de</w:t>
        <w:br/>
        <w:t xml:space="preserve">      [r]atios [s]alariales sobre el aumento de S/. 70.00  nuevos  soles  al</w:t>
        <w:br/>
        <w:t xml:space="preserve">      cargo base de la estructura de ratios a cargo de peón a partir del mes</w:t>
        <w:br/>
        <w:t xml:space="preserve">      de julio de 1992” [53].</w:t>
        <w:br/>
        <w:br/>
        <w:br/>
        <w:t xml:space="preserve">  67. Dicha sentencia de primera instancia fue apelada por la  empresa  pero</w:t>
        <w:br/>
        <w:t xml:space="preserve">      el 30 de septiembre de 1996  la  Segunda  Sala  Laboral  de  la  Corte</w:t>
        <w:br/>
        <w:t xml:space="preserve">      Superior de Lima la confirmó[54]. Ante ello, el 31 de  enero  de  1997</w:t>
        <w:br/>
        <w:t xml:space="preserve">      SEDAPAL interpuso un recurso de casación que fue  resuelto  el  21  de</w:t>
        <w:br/>
        <w:t xml:space="preserve">      julio de 1999 por la Sala de Derecho Constitucional  y  Social  de  la</w:t>
        <w:br/>
        <w:t xml:space="preserve">      Corte Suprema de Justicia.  En  dicho  fallo  se  declaró  fundado  el</w:t>
        <w:br/>
        <w:t xml:space="preserve">      recurso y se revocó la decisión de segunda instancia favorable  a  los</w:t>
        <w:br/>
        <w:t xml:space="preserve">      peticionarios, teniendo en cuenta el siguiente razonamiento:</w:t>
        <w:br/>
        <w:br/>
        <w:t xml:space="preserve">      “[procede] determinar si el Decreto Ley [25876] resulta de  aplicación</w:t>
        <w:br/>
        <w:t xml:space="preserve">      a los accionantes en cuanto a las precisiones que introduce al Decreto</w:t>
        <w:br/>
        <w:t xml:space="preserve">      Legislativo [757] únicamente a partir de su publicación o  si  por  el</w:t>
        <w:br/>
        <w:t xml:space="preserve">      contrario, se trata de una norma interpretativa que  lo  que  hace  es</w:t>
        <w:br/>
        <w:t xml:space="preserve">      condicionar la interpretación y aplicación del [Decreto 757] desde  el</w:t>
        <w:br/>
        <w:t xml:space="preserve">      momento en que el mismo fue publicado”.</w:t>
        <w:br/>
        <w:br/>
        <w:br/>
        <w:t xml:space="preserve">      “[Al respecto,] el segundo de los criterios  mencionados  ya  ha  sido</w:t>
        <w:br/>
        <w:t xml:space="preserve">      establecido  por  esta   Suprema   Sala,   a   través   de   reiterada</w:t>
        <w:br/>
        <w:t xml:space="preserve">      jurisprudencia, definiendo que la extinción dispuesta por el Ejecutivo</w:t>
        <w:br/>
        <w:t xml:space="preserve">      de todo sistema automático de aumento de remuneraciones establecido en</w:t>
        <w:br/>
        <w:t xml:space="preserve">      Convenios Colectivos, como ocurre con los actores, vía, en  su  orden,</w:t>
        <w:br/>
        <w:t xml:space="preserve">      el Decreto Legislativo [757] y los Decretos Leyes [25541]  y  [25876],</w:t>
        <w:br/>
        <w:t xml:space="preserve">      se encuentra ajustado a la Constitución y a las  [l]eyes,  y  opera  a</w:t>
        <w:br/>
        <w:t xml:space="preserve">      partir de  la  entrada  en  vigencia  de  la  primera  de  las  normas</w:t>
        <w:br/>
        <w:t xml:space="preserve">      citadas”[55].</w:t>
        <w:br/>
        <w:br/>
        <w:t xml:space="preserve">  68.  Igualmente, la Sala de Derecho Constitucional y  Social  “consider[ó]</w:t>
        <w:br/>
        <w:t xml:space="preserve">      que la sentencia [a favor de las víctimas] interpreta erróneamente  el</w:t>
        <w:br/>
        <w:t xml:space="preserve">      Decreto  Ley  [25876],  restringiendo  sus  efectos  contra  su  texto</w:t>
        <w:br/>
        <w:t xml:space="preserve">      expreso, deviniendo en fundada  la casación”.</w:t>
        <w:br/>
        <w:br/>
        <w:t xml:space="preserve">  69. El segundo grupo de 48 víctimas restantes inició otro  proceso  en  el</w:t>
        <w:br/>
        <w:t xml:space="preserve">      que la motivación expuesta anteriormente  por  la  Corte  Suprema  fue</w:t>
        <w:br/>
        <w:t xml:space="preserve">      utilizada por el 13º Juzgado de  Trabajo  de  Lima  para  negarles  el</w:t>
        <w:br/>
        <w:t xml:space="preserve">      recurso de amparo[56]. Este segundo grupo también  solicitaba  que  el</w:t>
        <w:br/>
        <w:t xml:space="preserve">      Decreto 25876 “se aplique debidamente a  partir  de  la  fecha  de  su</w:t>
        <w:br/>
        <w:t xml:space="preserve">      vigencia   sin   lesionar   los   derechos   laborales”   garantizados</w:t>
        <w:br/>
        <w:t xml:space="preserve">      constitucionalmente[57].  En  un  primer  momento  esta  demanda   fue</w:t>
        <w:br/>
        <w:t xml:space="preserve">      declarada  fundada[58].  Sin  embargo,  la  decisión  respectiva   fue</w:t>
        <w:br/>
        <w:t xml:space="preserve">      anulada[59] y se  ordenó  un  nuevo  fallo.  En  el  marco  del  nuevo</w:t>
        <w:br/>
        <w:t xml:space="preserve">      pronunciamiento, el 13º  Juzgado  Especializado  de  Trabajo  de  Lima</w:t>
        <w:br/>
        <w:t xml:space="preserve">      emitió sentencia declarando  infundada  la  demanda  con  base  en  la</w:t>
        <w:br/>
        <w:t xml:space="preserve">      sentencia emitida  previamente  por  la  mencionada  Sala  de  Derecho</w:t>
        <w:br/>
        <w:t xml:space="preserve">      Constitucional y Social de la Corte Suprema al responder a la  demanda</w:t>
        <w:br/>
        <w:t xml:space="preserve">      interpuesta por el primer grupo de trabajadores[60].</w:t>
        <w:br/>
        <w:br/>
        <w:br/>
        <w:t xml:space="preserve">   2.       Alcances de la violación del derecho a la protección judicial en</w:t>
        <w:br/>
        <w:t xml:space="preserve">           el presente caso</w:t>
        <w:br/>
        <w:br/>
        <w:br/>
        <w:t xml:space="preserve">  70. La Comisión alegó que “las autoridades judiciales concluyeron  que  la</w:t>
        <w:br/>
        <w:t xml:space="preserve">      aplicación  de  los  decretos  no  fue  retroactiva,  sin   tomar   en</w:t>
        <w:br/>
        <w:t xml:space="preserve">      consideración la diferencia en el alcance de cada uno  de  ellos”.  Al</w:t>
        <w:br/>
        <w:t xml:space="preserve">      respecto, indicó que las autoridades judiciales  “no  se  limitaron  a</w:t>
        <w:br/>
        <w:t xml:space="preserve">      efectuar una interpretación razonable de la normativa aplicable”.  Por</w:t>
        <w:br/>
        <w:t xml:space="preserve">      el contrario, “emitieron decisiones manifiestamente arbitrarias[:]  i)</w:t>
        <w:br/>
        <w:t xml:space="preserve">      en  abierto  desconocimiento  de  la  garantía   de   irretroactividad</w:t>
        <w:br/>
        <w:t xml:space="preserve">      contemplada en la Constitución Política de[l] Perú[,] y ii) en abierto</w:t>
        <w:br/>
        <w:t xml:space="preserve">      desconocimiento de la situación fáctica que  les  fue  sometida”.  Por</w:t>
        <w:br/>
        <w:t xml:space="preserve">      tanto, “[l]as autoridades judiciales […] no  valoraron  la  diferencia</w:t>
        <w:br/>
        <w:t xml:space="preserve">      entre los tres decretos respecto de  su  alcance,  ni  proveyeron  una</w:t>
        <w:br/>
        <w:t xml:space="preserve">      argumentación que permitiera entender razonablemente los  motivos  por</w:t>
        <w:br/>
        <w:t xml:space="preserve">      los cuales la aplicación evidentemente retroactiva del  Decreto  25876</w:t>
        <w:br/>
        <w:t xml:space="preserve">      no era incompatible con la garantía constitucional de irretroactividad</w:t>
        <w:br/>
        <w:t xml:space="preserve">      de las leyes”. Según la Comisión, “esta arbitrariedad  se  explica  en</w:t>
        <w:br/>
        <w:t xml:space="preserve">      que la Sala de Derecho Constitucional y Social de la Corte Suprema  de</w:t>
        <w:br/>
        <w:t xml:space="preserve">      Justicia ni siquiera efectuó una determinación de los hechos basada en</w:t>
        <w:br/>
        <w:t xml:space="preserve">      lo que constaba en el expediente. Así, en su decisión de 21  de  julio</w:t>
        <w:br/>
        <w:t xml:space="preserve">      de 1999 afirmó que el sistema automático de aumento de  remuneraciones</w:t>
        <w:br/>
        <w:t xml:space="preserve">      que regía  a  las  víctimas  había  sido  establecido  en  [c]onvenios</w:t>
        <w:br/>
        <w:t xml:space="preserve">      [c]olectivos. Esta situación resultaba  contraria  a  la  realidad  en</w:t>
        <w:br/>
        <w:t xml:space="preserve">      tanto los funcionarios, empleados y técnicos  de  SEDAPAL  no  estaban</w:t>
        <w:br/>
        <w:t xml:space="preserve">      facultados para negociar o  pactar  colectivamente”.  Por  último,  la</w:t>
        <w:br/>
        <w:t xml:space="preserve">      Comisión manifestó que es claro “el alcance y contenido  distintos  de</w:t>
        <w:br/>
        <w:t xml:space="preserve">      cada uno de los decretos, por lo que no  puede  argumentarse  el  mero</w:t>
        <w:br/>
        <w:t xml:space="preserve">      carácter interpretativo de los dos últimos”.</w:t>
        <w:br/>
        <w:br/>
        <w:t xml:space="preserve">  71. El representante agregó que el Decreto Ley No.  25876  “constituyó  un</w:t>
        <w:br/>
        <w:t xml:space="preserve">      expreso acto de  represalia  a  la  [a]cción  [j]udicial  de  [a]mparo</w:t>
        <w:br/>
        <w:t xml:space="preserve">      interpuesta por los [t]rabajadores [f]uncionarios”,  dado  que,  según</w:t>
        <w:br/>
        <w:t xml:space="preserve">      él, la empresa “elaboró el proyecto” de Decreto Ley y “obtuvo ante  el</w:t>
        <w:br/>
        <w:t xml:space="preserve">      Gobierno [… del] ex Presidente Fujimori […] la expedición” del  mismo.</w:t>
        <w:br/>
        <w:t xml:space="preserve">      El representante alegó que existe “[c]osa [j]uzgada [f]raudulenta”  en</w:t>
        <w:br/>
        <w:t xml:space="preserve">      la sentencia de  la  Corte  Suprema  que  “declara  constitucional  la</w:t>
        <w:br/>
        <w:t xml:space="preserve">      aplicación retroactiva del Decreto Ley No. 25876, en  contravención  a</w:t>
        <w:br/>
        <w:t xml:space="preserve">      expresas garantías  constitucionales”  y  donde  “los  jueces  que  la</w:t>
        <w:br/>
        <w:t xml:space="preserve">      suscribieron no obraron con independencia ni con imparcialidad”.  Como</w:t>
        <w:br/>
        <w:t xml:space="preserve">      fundamento  de  lo  anterior,  el  representante  indicó  el  contexto</w:t>
        <w:br/>
        <w:t xml:space="preserve">      político de esta época en el Perú. En  particular,  señaló  que  dicha</w:t>
        <w:br/>
        <w:t xml:space="preserve">      sentencia  “fue  emitida  por  [un]  [p]oder   [j]udicial   [e]spurio,</w:t>
        <w:br/>
        <w:t xml:space="preserve">      establecido fuera de los [c]ánones [c]onstitucionales,  que  no  podía</w:t>
        <w:br/>
        <w:t xml:space="preserve">      enarbolar las banderas de la [i]ndependencia y de la  [i]mparcialidad,</w:t>
        <w:br/>
        <w:t xml:space="preserve">      que  no  sólo  fue  duramente  cuestionado  por  lo  arbitrario  y  lo</w:t>
        <w:br/>
        <w:t xml:space="preserve">      inconstitucional  de  sus  decisiones,   sino   por   su   inocultable</w:t>
        <w:br/>
        <w:t xml:space="preserve">      sometimiento al [p]oder [e]jecutivo de la [d]ictadura de entonces”. El</w:t>
        <w:br/>
        <w:t xml:space="preserve">      representante manifestó que dicha sentencia “se expidió en un contexto</w:t>
        <w:br/>
        <w:t xml:space="preserve">      de una dictadura, […]  donde  no  era  posible  que  los  trabajadores</w:t>
        <w:br/>
        <w:t xml:space="preserve">      obtuvieran una sentencia favorable en contra del Estado”.</w:t>
        <w:br/>
        <w:br/>
        <w:t xml:space="preserve">  72. Por su parte, el Estado señaló que el Decreto Ley y “las  subsecuentes</w:t>
        <w:br/>
        <w:t xml:space="preserve">      normas que lo precisaron son  normas  legales  válidas  que  han  sido</w:t>
        <w:br/>
        <w:t xml:space="preserve">      ratificadas en [el] sistema jurídico interno, se aplicaron a  toda  la</w:t>
        <w:br/>
        <w:t xml:space="preserve">      actividad  empresarial  del  Estado,  no  fueron  diseñadas  para  los</w:t>
        <w:br/>
        <w:t xml:space="preserve">      trabajadores de SEDAPAL ni  [para]  los  posteriormente  afiliados  al</w:t>
        <w:br/>
        <w:t xml:space="preserve">      sindicato SIFUSE”. El Estado agregó  que  la  sentencia  de  la  Corte</w:t>
        <w:br/>
        <w:t xml:space="preserve">      Suprema  “fue  dictada  en  un  proceso  laboral,   [que]    tuvo   un</w:t>
        <w:br/>
        <w:t xml:space="preserve">      pronunciamiento de fondo y […] que en la actualidad tiene carácter  de</w:t>
        <w:br/>
        <w:t xml:space="preserve">      cosa juzgada[, ya que] fue dictada dentro de un proceso  cuya  validez</w:t>
        <w:br/>
        <w:t xml:space="preserve">      no  ha  sido  cuestionada”.  Indicó  que  “existe  una  sentencia  con</w:t>
        <w:br/>
        <w:t xml:space="preserve">      autoridad de cosa juzgada que ha declarado que el Decreto Ley 25876 es</w:t>
        <w:br/>
        <w:t xml:space="preserve">      perfectamente válido y constitucional”  y  por  tanto,  “es  una  cosa</w:t>
        <w:br/>
        <w:t xml:space="preserve">      juzgada en materia laboral  y  aún  [si]  hubiera  sido  cosa  juzgada</w:t>
        <w:br/>
        <w:t xml:space="preserve">      fraudulenta habrían prescrito los  plazos  para  poder  enervar  dicho</w:t>
        <w:br/>
        <w:t xml:space="preserve">      pronunciamiento del máximo órgano jurisdiccional peruano”. Además,  el</w:t>
        <w:br/>
        <w:t xml:space="preserve">      Estado afirmó “que es falso que durante el mandato del  ex  presidente</w:t>
        <w:br/>
        <w:t xml:space="preserve">      Alberto Fujimori (1995 - 2000), el  Poder  Judicial  y/o  el  Tribunal</w:t>
        <w:br/>
        <w:t xml:space="preserve">      Constitucional  haya  denegado  el  acceso  a  la  correcta   [t]utela</w:t>
        <w:br/>
        <w:t xml:space="preserve">      [j]urisdiccional efectiva, es decir aplicar el derecho peruano de  una</w:t>
        <w:br/>
        <w:t xml:space="preserve">      forma justa y respetando las garantías procesales de los  accionantes,</w:t>
        <w:br/>
        <w:t xml:space="preserve">      en este sentido [está] demostrado que si bien existieron sentencias  a</w:t>
        <w:br/>
        <w:t xml:space="preserve">      favor del Estado [p]eruano, también existieron fallos a favor  de  los</w:t>
        <w:br/>
        <w:t xml:space="preserve">      trabajadores, en especial por parte del Tribunal Constitucional”.</w:t>
        <w:br/>
        <w:br/>
        <w:t xml:space="preserve">  73. El Tribunal observa que la Constitución Política  peruana  vigente  al</w:t>
        <w:br/>
        <w:t xml:space="preserve">      momento de los hechos establecía el principio de  irretroactividad  de</w:t>
        <w:br/>
        <w:t xml:space="preserve">      las normas. En  particular,  el  artículo  187  establecía  entre  sus</w:t>
        <w:br/>
        <w:t xml:space="preserve">      disposiciones que “[n]inguna ley tiene fuerza ni efecto  retroactivos,</w:t>
        <w:br/>
        <w:t xml:space="preserve">      salvo en materia penal, laboral o tributaria, cuando es más  favorable</w:t>
        <w:br/>
        <w:t xml:space="preserve">      al  reo,  trabajador   o   contribuyente,   respectivamente”[61].   La</w:t>
        <w:br/>
        <w:t xml:space="preserve">      jurisprudencia  de  la  Corte  Suprema  de  Justicia  y  del  Tribunal</w:t>
        <w:br/>
        <w:t xml:space="preserve">      Constitucional  del   Perú   ha   indicado   que   el   principio   de</w:t>
        <w:br/>
        <w:t xml:space="preserve">      irretroactividad implica que “no cabe aplicar  la  [l]ey  a  hechos  o</w:t>
        <w:br/>
        <w:t xml:space="preserve">      situaciones ocurridos antes de su promulgación y publicación”[62].</w:t>
        <w:br/>
        <w:br/>
        <w:t xml:space="preserve">  74. En el presente caso, la Sala de Derecho Constitucional y Social de  la</w:t>
        <w:br/>
        <w:t xml:space="preserve">      Corte Suprema en la sentencia de 21  de  julio  de  1999,  tomando  en</w:t>
        <w:br/>
        <w:t xml:space="preserve">      cuenta “reiterada jurisprudencia”, indicó que el Decreto Ley No. 25876</w:t>
        <w:br/>
        <w:t xml:space="preserve">      era una norma interpretativa, razón por la cual podía entrar en  vigor</w:t>
        <w:br/>
        <w:t xml:space="preserve">      en una fecha anterior a pesar de  haber  sido  emitido  en  una  fecha</w:t>
        <w:br/>
        <w:t xml:space="preserve">      posterior. La Corte observa que en la decisión de la Corte Suprema  no</w:t>
        <w:br/>
        <w:t xml:space="preserve">      se explica por qué se trataba  de  una  norma  interpretativa,  ni  se</w:t>
        <w:br/>
        <w:t xml:space="preserve">      indica la “reiterada jurisprudencia” que dicha alta  corte  tomó  como</w:t>
        <w:br/>
        <w:t xml:space="preserve">      fundamento en aquel momento[63]. Con posterioridad a dicho  fallo,  el</w:t>
        <w:br/>
        <w:t xml:space="preserve">      Estado reconoció, ante la Comisión y ante esta Corte, que  no  existió</w:t>
        <w:br/>
        <w:t xml:space="preserve">      protección judicial respecto a la aplicación retroactiva de las normas</w:t>
        <w:br/>
        <w:t xml:space="preserve">      que derogaron el sistema de ratios salariales  en  desconocimiento  de</w:t>
        <w:br/>
        <w:t xml:space="preserve">      los “derechos y principios reconocidos  por  la  Constitución”  (supra</w:t>
        <w:br/>
        <w:t xml:space="preserve">      párrs. 17, 18 y 19). Por su parte,  el  perito  Abad  Yupanqui,  cuyas</w:t>
        <w:br/>
        <w:t xml:space="preserve">      consideraciones no fueron objetadas por  el  Estado,  expresó  que  la</w:t>
        <w:br/>
        <w:t xml:space="preserve">      “reiterada jurisprudencia” del Poder Judicial que reconoce la  validez</w:t>
        <w:br/>
        <w:t xml:space="preserve">      constitucional de los Decretos Ley No. 25541 y [No.] 25876  constituye</w:t>
        <w:br/>
        <w:t xml:space="preserve">      un claro supuesto de denegación de justicia, pues no brinda una tutela</w:t>
        <w:br/>
        <w:t xml:space="preserve">      judicial efectiva de los principios de no retroactividad de las  leyes</w:t>
        <w:br/>
        <w:t xml:space="preserve">      y cosa juzgada"[64].</w:t>
        <w:br/>
        <w:br/>
        <w:t xml:space="preserve">  75. Al respecto,  la  Corte  ha  señalado  que  el  artículo  25.1  de  la</w:t>
        <w:br/>
        <w:t xml:space="preserve">      Convención contempla la obligación de los Estados Parte de garantizar,</w:t>
        <w:br/>
        <w:t xml:space="preserve">      a todas  las  personas  bajo  su  jurisdicción,  un  recurso  judicial</w:t>
        <w:br/>
        <w:t xml:space="preserve">      efectivo contra actos violatorios de sus  derechos  fundamentales[65].</w:t>
        <w:br/>
        <w:t xml:space="preserve">      Dicha efectividad supone que, además de la existencia  formal  de  los</w:t>
        <w:br/>
        <w:t xml:space="preserve">      recursos, éstos den resultados  o  respuestas  a  las  violaciones  de</w:t>
        <w:br/>
        <w:t xml:space="preserve">      derechos contemplados ya sea en la Convención, en la Constitución o en</w:t>
        <w:br/>
        <w:t xml:space="preserve">      las leyes[66].  En  ese  sentido,  no  pueden  considerarse  efectivos</w:t>
        <w:br/>
        <w:t xml:space="preserve">      aquellos recursos que,  por  las  condiciones  generales  del  país  o</w:t>
        <w:br/>
        <w:t xml:space="preserve">      incluso por las circunstancias particulares de un caso dado,  resulten</w:t>
        <w:br/>
        <w:t xml:space="preserve">      ilusorios. Ello puede ocurrir, por ejemplo, cuando su inutilidad  haya</w:t>
        <w:br/>
        <w:t xml:space="preserve">      quedado demostrada por la práctica,  porque  falten  los  medios  para</w:t>
        <w:br/>
        <w:t xml:space="preserve">      ejecutar sus decisiones o por cualquier otra situación  que  configure</w:t>
        <w:br/>
        <w:t xml:space="preserve">      un cuadro de denegación de justicia[67]. Así, el proceso debe tender a</w:t>
        <w:br/>
        <w:t xml:space="preserve">      la materialización de la  protección  del  derecho  reconocido  en  el</w:t>
        <w:br/>
        <w:t xml:space="preserve">      pronunciamiento  judicial  mediante  la  aplicación  idónea  de  dicho</w:t>
        <w:br/>
        <w:t xml:space="preserve">      pronunciamiento[68].</w:t>
        <w:br/>
        <w:br/>
        <w:br/>
        <w:t xml:space="preserve">  76. Teniendo en cuenta lo anterior, la Corte acepta el  reconocimiento  de</w:t>
        <w:br/>
        <w:t xml:space="preserve">      responsabilidad del Estado en el sentido de que no existió  protección</w:t>
        <w:br/>
        <w:t xml:space="preserve">      judicial  respecto  a  la  aplicación   retroactiva   de   normas   en</w:t>
        <w:br/>
        <w:t xml:space="preserve">      desconocimiento del derecho interno.  Ello  implica  que  la  decisión</w:t>
        <w:br/>
        <w:t xml:space="preserve">      adoptada por la Sala de Derecho Constitucional y Social  de  la  Corte</w:t>
        <w:br/>
        <w:t xml:space="preserve">      Suprema ocasionó que el recurso judicial interpuesto por las  víctimas</w:t>
        <w:br/>
        <w:t xml:space="preserve">      no fuera efectivo para proteger dichas garantías del derecho  interno.</w:t>
        <w:br/>
        <w:t xml:space="preserve">      En consecuencia, la Corte considera que el Estado violó el  derecho  a</w:t>
        <w:br/>
        <w:t xml:space="preserve">      la protección judicial reconocido en el artículo 25.1, en relación con</w:t>
        <w:br/>
        <w:t xml:space="preserve">      el artículo 1.1 de la Convención Americana, en perjuicio  de  las  233</w:t>
        <w:br/>
        <w:t xml:space="preserve">      personas indicadas en el anexo a la presente Sentencia.</w:t>
        <w:br/>
        <w:br/>
        <w:t xml:space="preserve">      3.    Alegada violación del derecho a la propiedad</w:t>
        <w:br/>
        <w:br/>
        <w:t xml:space="preserve">  77. La Comisión no alegó la violación del derecho a la propiedad.</w:t>
        <w:br/>
        <w:br/>
        <w:t xml:space="preserve">  78. El representante alegó que, con base en los decretos emitidos  por  el</w:t>
        <w:br/>
        <w:t xml:space="preserve">      Poder Ejecutivo, la  empresa  SEDAPAL  adoptó  medidas  que  “tuvieron</w:t>
        <w:br/>
        <w:t xml:space="preserve">      consecuencias  en  cuanto  a  las  remuneraciones  recibidas  por  las</w:t>
        <w:br/>
        <w:t xml:space="preserve">      víctimas”. Asimismo, alegó que la  afectación  producida  implica  una</w:t>
        <w:br/>
        <w:t xml:space="preserve">      “sustracción y/o apropiación de dichos bienes en uso y  disfrute”  por</w:t>
        <w:br/>
        <w:t xml:space="preserve">      las víctimas “sin el pago de una indemnización justa”. Además,  indicó</w:t>
        <w:br/>
        <w:t xml:space="preserve">      que el Estado podía “suspender o eliminar el [s]istema  de  [r]eajuste</w:t>
        <w:br/>
        <w:t xml:space="preserve">      de [r]atios [s]alariales” luego de la fecha de publicación del Decreto</w:t>
        <w:br/>
        <w:t xml:space="preserve">      Ley No. 25876, “m[a]s no retroactivamente”. Por tanto, indicó que  “la</w:t>
        <w:br/>
        <w:t xml:space="preserve">      aplicación retroactiva del referido Decreto Ley […] supuso  un  exceso</w:t>
        <w:br/>
        <w:t xml:space="preserve">      en la facultad del Estado […] de subordinar el interés  particular  de</w:t>
        <w:br/>
        <w:t xml:space="preserve">      [las víctimas] a la percepción del  goce  del  [s]istema  de  [r]atios</w:t>
        <w:br/>
        <w:t xml:space="preserve">      [s]alariales, frente al interés general [en el marco de], una [c]risis</w:t>
        <w:br/>
        <w:t xml:space="preserve">      [e]conómica y que precisaba medidas de [r]eactivación  [n]acional,  ya</w:t>
        <w:br/>
        <w:t xml:space="preserve">      que era medida más que suficiente a los fines indicados, la suspensión</w:t>
        <w:br/>
        <w:t xml:space="preserve">      de los [s]istemas de [r]eajuste a partir de la fecha de la  existencia</w:t>
        <w:br/>
        <w:t xml:space="preserve">      de la norma, esto es[,] a partir de su publicación”.</w:t>
        <w:br/>
        <w:br/>
        <w:t xml:space="preserve">  79. Por su parte, el Estado planteó que “el derecho a la propiedad  no  es</w:t>
        <w:br/>
        <w:t xml:space="preserve">      absoluto y permite ciertas limitaciones [en] razón del uso y  goce  al</w:t>
        <w:br/>
        <w:t xml:space="preserve">      interés social”. Agregó que los decretos emitidos  “se  dieron  en  un</w:t>
        <w:br/>
        <w:t xml:space="preserve">      contexto económico laboral determinado […] en el cual primó el interés</w:t>
        <w:br/>
        <w:t xml:space="preserve">      social y  resultaba  necesario  consolidar  el  Programa  de  Reformas</w:t>
        <w:br/>
        <w:t xml:space="preserve">      Estructurales de la economía nacional; no así, como  pretenden  dar  a</w:t>
        <w:br/>
        <w:t xml:space="preserve">      entender los demandantes, una actuación arbitraria del  Estado  en  su</w:t>
        <w:br/>
        <w:t xml:space="preserve">      detrimento”. El Estado explicó que “las decisiones que adoptó [durante</w:t>
        <w:br/>
        <w:t xml:space="preserve">      la década de los noventa] para controlar la hiperinflación, estuvieron</w:t>
        <w:br/>
        <w:t xml:space="preserve">      sustentadas en  la  grave  crisis  económica  que  llevó  a  suspender</w:t>
        <w:br/>
        <w:t xml:space="preserve">      regulaciones  salariales  contenidas  o  no  en  convenios  colectivos</w:t>
        <w:br/>
        <w:t xml:space="preserve">      siempre y cuando estuvieren ligadas  a  los  factores  de  índices  de</w:t>
        <w:br/>
        <w:t xml:space="preserve">      variación de precios, por ser elementos que generaban mayor inflación.</w:t>
        <w:br/>
        <w:t xml:space="preserve">      Si bien fue una decisión drástica era  una  medida  que  se  usó  para</w:t>
        <w:br/>
        <w:t xml:space="preserve">      garantizar la estabilidad de la  economía  en  general  y  de  ninguna</w:t>
        <w:br/>
        <w:t xml:space="preserve">      manera se vulneró el  derecho  a  la  propiedad  en  tanto  se  estaba</w:t>
        <w:br/>
        <w:t xml:space="preserve">      atendiendo a la función social de preservar a la sociedad  peruana  en</w:t>
        <w:br/>
        <w:t xml:space="preserve">      general”.</w:t>
        <w:br/>
        <w:br/>
        <w:br/>
        <w:t xml:space="preserve">  80. En el  presente  caso  la  Comisión,  el  representante  y  el  Estado</w:t>
        <w:br/>
        <w:t xml:space="preserve">      coinciden en que era procedente la derogación del  sistema  de  ratios</w:t>
        <w:br/>
        <w:t xml:space="preserve">      salariales (supra  párr.  62).  La  Corte  observa  que  los  decretos</w:t>
        <w:br/>
        <w:t xml:space="preserve">      emitidos entre los años 1991 y 1992 relacionados  con  los  hechos  de</w:t>
        <w:br/>
        <w:t xml:space="preserve">      este caso, se enmarcan dentro del contexto económico del Perú ocurrido</w:t>
        <w:br/>
        <w:t xml:space="preserve">      en julio de 1990.  En efecto, el Perú se  encontraba  “en  un  proceso</w:t>
        <w:br/>
        <w:t xml:space="preserve">      hiperinflacionario que ya duraba 24 meses”, el cual produjo “una caída</w:t>
        <w:br/>
        <w:t xml:space="preserve">      drástica de las remuneraciones reales”[69].  A lo anterior se  sumaba,</w:t>
        <w:br/>
        <w:t xml:space="preserve">      entre otros, un alto déficit fiscal, una caída  del  producto  interno</w:t>
        <w:br/>
        <w:t xml:space="preserve">      bruto, una “precaria situación  en  la  balanza  de  pagos”,  un  alto</w:t>
        <w:br/>
        <w:t xml:space="preserve">      porcentaje de subempleo y una caída de la recaudación fiscal[70].  Por</w:t>
        <w:br/>
        <w:t xml:space="preserve">      ello, “el 8 de agosto de 1990 el [...] Gobierno aplicó un programa  de</w:t>
        <w:br/>
        <w:t xml:space="preserve">      estabilización que priorizó el saneamiento de las finanzas públicas  y</w:t>
        <w:br/>
        <w:t xml:space="preserve">      la liberalización del tipo de cambio”[71].  Entre  las  medidas  anti-</w:t>
        <w:br/>
        <w:t xml:space="preserve">      inflacionarias dictadas a partir de agosto de  1990  se  dispuso,  por</w:t>
        <w:br/>
        <w:t xml:space="preserve">      ejemplo, que los ajustes de remuneraciones “se realizarían en  función</w:t>
        <w:br/>
        <w:t xml:space="preserve">      de tasas de inflación previstas,  más  bajas  y  concordantes  con  el</w:t>
        <w:br/>
        <w:t xml:space="preserve">      esfuerzo de estabilización de la economía”[72] y el  congelamiento  de</w:t>
        <w:br/>
        <w:t xml:space="preserve">      “los  principales  conceptos  remunerativos  durante  el   resto   del</w:t>
        <w:br/>
        <w:t xml:space="preserve">      año”[73].</w:t>
        <w:br/>
        <w:br/>
        <w:t xml:space="preserve">  81. Teniendo en cuenta lo anterior, la Corte resalta que el  representante</w:t>
        <w:br/>
        <w:t xml:space="preserve">      no objetó la derogación del sistema  de  ratios  salariales,  sino  la</w:t>
        <w:br/>
        <w:t xml:space="preserve">      aplicación de una norma que, retroactivamente, dejó sin  efecto  dicho</w:t>
        <w:br/>
        <w:t xml:space="preserve">      sistema.  La  aplicación  retroactiva  de   esta   norma   tuvo   como</w:t>
        <w:br/>
        <w:t xml:space="preserve">      consecuencia que las víctimas dejaran de recibir el monto total de  su</w:t>
        <w:br/>
        <w:t xml:space="preserve">      remuneración,  toda  vez  que  sufrieron  descuentos  y  omisiones  de</w:t>
        <w:br/>
        <w:t xml:space="preserve">      incrementos que les correspondían (supra párrs. 63 y 64). Estos hechos</w:t>
        <w:br/>
        <w:t xml:space="preserve">      tuvieron  efectos  negativos  sobre   derechos   adquiridos   de   los</w:t>
        <w:br/>
        <w:t xml:space="preserve">      trabajadores en relación con la remuneración que había ingresado a  su</w:t>
        <w:br/>
        <w:t xml:space="preserve">      patrimonio.</w:t>
        <w:br/>
        <w:br/>
        <w:br/>
        <w:t xml:space="preserve">  82. Al respecto, este Tribunal ha desarrollado  en  su  jurisprudencia  un</w:t>
        <w:br/>
        <w:t xml:space="preserve">      concepto amplio de propiedad que abarca, entre otros, el uso y goce de</w:t>
        <w:br/>
        <w:t xml:space="preserve">      los bienes, definidos como cosas materiales apropiables o como objetos</w:t>
        <w:br/>
        <w:t xml:space="preserve">      intangibles[74], así como todo derecho  que  pueda  formar  parte  del</w:t>
        <w:br/>
        <w:t xml:space="preserve">      patrimonio de una persona[75]. Asimismo,  la  Corte  ha  protegido,  a</w:t>
        <w:br/>
        <w:t xml:space="preserve">      través  del  artículo  21  convencional,  los   derechos   adquiridos,</w:t>
        <w:br/>
        <w:t xml:space="preserve">      entendidos como derechos que se han incorporado al patrimonio  de  las</w:t>
        <w:br/>
        <w:t xml:space="preserve">      personas[76]. Respecto a los derechos adquiridos,  cabe  resaltar  que</w:t>
        <w:br/>
        <w:t xml:space="preserve">      éstos  constituyen  uno  de  los  fundamentos  del  “principio  de  la</w:t>
        <w:br/>
        <w:t xml:space="preserve">      irretroactividad de la ley, es decir, que la nueva  ley  no  tiene  la</w:t>
        <w:br/>
        <w:t xml:space="preserve">      virtud de regular o afectar las situaciones jurídicas del  pasado  que</w:t>
        <w:br/>
        <w:t xml:space="preserve">      han quedado debidamente consolidadas, y  que  resultan  intangibles  e</w:t>
        <w:br/>
        <w:t xml:space="preserve">      incólumes frente a aquélla, cuando ante una determinada  situación  de</w:t>
        <w:br/>
        <w:t xml:space="preserve">      hecho se han operado o realizado plenamente los efectos  jurídicos  de</w:t>
        <w:br/>
        <w:t xml:space="preserve">      las normas en ese momento vigentes”[77]. Por último, resulta necesario</w:t>
        <w:br/>
        <w:t xml:space="preserve">      reiterar que el derecho a la  propiedad  no  es  absoluto  y,  en  ese</w:t>
        <w:br/>
        <w:t xml:space="preserve">      sentido, puede ser objeto de restricciones y limitaciones[78], siempre</w:t>
        <w:br/>
        <w:t xml:space="preserve">      y cuando éstas se realicen por la vía legal adecuada y de  conformidad</w:t>
        <w:br/>
        <w:t xml:space="preserve">      con los parámetros establecidos en dicho artículo 21[79].</w:t>
        <w:br/>
        <w:br/>
        <w:br/>
        <w:t xml:space="preserve">  83. Por otra parte, en otro caso[80] esta Corte declaró una violación  del</w:t>
        <w:br/>
        <w:t xml:space="preserve">      derecho a la propiedad por la afectación patrimonial  causada  por  el</w:t>
        <w:br/>
        <w:t xml:space="preserve">      incumplimiento de sentencias que pretendían proteger el derecho a  una</w:t>
        <w:br/>
        <w:t xml:space="preserve">      pensión.  El  Tribunal  señaló  que,  desde  el  momento  en  que   un</w:t>
        <w:br/>
        <w:t xml:space="preserve">      pensionista cumple con los requisitos  para  acogerse  al  régimen  de</w:t>
        <w:br/>
        <w:t xml:space="preserve">      jubilaciones previsto en la ley, éste adquiere un derecho de propiedad</w:t>
        <w:br/>
        <w:t xml:space="preserve">      sobre el monto de las pensiones. Asimismo, declaró que el derecho a la</w:t>
        <w:br/>
        <w:t xml:space="preserve">      pensión que adquiere dicha persona tiene “efectos  patrimoniales”[81],</w:t>
        <w:br/>
        <w:t xml:space="preserve">      los cuales están protegidos bajo el artículo 21 de la  Convención[82].</w:t>
        <w:br/>
        <w:t xml:space="preserve">      Al respecto, la Corte considera que igual que las  pensiones  que  han</w:t>
        <w:br/>
        <w:t xml:space="preserve">      cumplido con los requisitos de ley son  parte  del  patrimonio  de  un</w:t>
        <w:br/>
        <w:t xml:space="preserve">      trabajador, el salario, los beneficios  y  aumentos  que  ingresen  al</w:t>
        <w:br/>
        <w:t xml:space="preserve">      mismo también se encuentran protegidos por el derecho a  la  propiedad</w:t>
        <w:br/>
        <w:t xml:space="preserve">      consagrado en la Convención[83].</w:t>
        <w:br/>
        <w:br/>
        <w:t xml:space="preserve">  84. En el presente caso la Corte observa que el sistema  de  reajuste  que</w:t>
        <w:br/>
        <w:t xml:space="preserve">      tenían las víctimas antes de la aplicación del Decreto Ley  No.  25876</w:t>
        <w:br/>
        <w:t xml:space="preserve">      había generado un aumento en  las  remuneraciones  que  ingresó  a  su</w:t>
        <w:br/>
        <w:t xml:space="preserve">      patrimonio, lo cual implicó que pasara a ser un derecho adquirido  por</w:t>
        <w:br/>
        <w:t xml:space="preserve">      las mismas. Cabe aclarar que no  se  trata  de  un  derecho  adquirido</w:t>
        <w:br/>
        <w:t xml:space="preserve">      respecto a la aplicación del sistema de ratios salariales. El  derecho</w:t>
        <w:br/>
        <w:t xml:space="preserve">      adquirido en cuestión hace referencia  a  los  montos  que  ya  habían</w:t>
        <w:br/>
        <w:t xml:space="preserve">      ingresado  al  patrimonio  de  los  trabajadores,  así  como   a   los</w:t>
        <w:br/>
        <w:t xml:space="preserve">      incrementos al salario que se hubieran establecido bajo el sistema  de</w:t>
        <w:br/>
        <w:t xml:space="preserve">      ratios hasta antes de su  derogación.  La  Corte  considera  que  este</w:t>
        <w:br/>
        <w:t xml:space="preserve">      derecho adquirido se vio afectado por la  aplicación  retroactiva  del</w:t>
        <w:br/>
        <w:t xml:space="preserve">      referido Decreto Ley, la cual, según el allanamiento del  Estado,  fue</w:t>
        <w:br/>
        <w:t xml:space="preserve">      hecha en forma contraria al derecho interno y  sin  que  las  víctimas</w:t>
        <w:br/>
        <w:t xml:space="preserve">      contaran con protección judicial  (supra  párrs.  17,  18  y  19).  La</w:t>
        <w:br/>
        <w:t xml:space="preserve">      afectación  patrimonial  también  se  configuró   por   el   descuento</w:t>
        <w:br/>
        <w:t xml:space="preserve">      porcentual en  las  remuneraciones  mensuales  que  se  impuso  a  las</w:t>
        <w:br/>
        <w:t xml:space="preserve">      víctimas (supra párrs. 63 y  64).   En  conclusión,  las  víctimas  no</w:t>
        <w:br/>
        <w:t xml:space="preserve">      pudieron gozar integralmente de su derecho a la  propiedad  sobre  sus</w:t>
        <w:br/>
        <w:t xml:space="preserve">      remuneraciones.</w:t>
        <w:br/>
        <w:br/>
        <w:br/>
        <w:t xml:space="preserve">  85. Teniendo en cuenta que la falta de protección judicial afectó derechos</w:t>
        <w:br/>
        <w:t xml:space="preserve">      adquiridos sobre remuneraciones que habían ingresado al patrimonio  de</w:t>
        <w:br/>
        <w:t xml:space="preserve">      las víctimas, la Corte declara que el Estado violó  el  derecho  a  la</w:t>
        <w:br/>
        <w:t xml:space="preserve">      propiedad privada reconocido en los artículos 21.1 y 21.2, en relación</w:t>
        <w:br/>
        <w:t xml:space="preserve">      con los artículo 25.1 y 1.1 de la Convención Americana,  en  perjuicio</w:t>
        <w:br/>
        <w:t xml:space="preserve">      de las 233 personas indicadas en el anexo de la presente Sentencia.</w:t>
        <w:br/>
        <w:br/>
        <w:t xml:space="preserve">                                     VII</w:t>
        <w:br/>
        <w:t xml:space="preserve">                                REPARACIONES</w:t>
        <w:br/>
        <w:t xml:space="preserve">          (Aplicación del artículo 63.1 de la Convención Americana)</w:t>
        <w:br/>
        <w:br/>
        <w:t xml:space="preserve">  86. Sobre la base de lo dispuesto en el artículo  63.1  de  la  Convención</w:t>
        <w:br/>
        <w:t xml:space="preserve">      Americana[84],  la  Corte  ha  indicado  que  toda  violación  de  una</w:t>
        <w:br/>
        <w:t xml:space="preserve">      obligación internacional que haya producido daño comporta el deber  de</w:t>
        <w:br/>
        <w:t xml:space="preserve">      repararlo adecuadamente[85] y que esa disposición  “recoge  una  norma</w:t>
        <w:br/>
        <w:t xml:space="preserve">      consuetudinaria que constituye uno de los principios fundamentales del</w:t>
        <w:br/>
        <w:t xml:space="preserve">      Derecho  Internacional  contemporáneo  sobre  responsabilidad  de   un</w:t>
        <w:br/>
        <w:t xml:space="preserve">      Estado”[86].  </w:t>
        <w:br/>
        <w:br/>
        <w:t xml:space="preserve">  87. Este Tribunal ha establecido que las reparaciones deben tener un  nexo</w:t>
        <w:br/>
        <w:t xml:space="preserve">      causal con los hechos del caso, las violaciones declaradas, los  daños</w:t>
        <w:br/>
        <w:t xml:space="preserve">      acreditados, así como con las medidas  solicitadas  para  reparar  los</w:t>
        <w:br/>
        <w:t xml:space="preserve">      daños respectivos. Por  lo  tanto,  la  Corte  deberá  observar  dicha</w:t>
        <w:br/>
        <w:t xml:space="preserve">      concurrencia para pronunciarse debidamente y conforme a derecho[87].</w:t>
        <w:br/>
        <w:br/>
        <w:t xml:space="preserve">  88.  En  consideración  de  las  violaciones  a  la  Convención  Americana</w:t>
        <w:br/>
        <w:t xml:space="preserve">      declaradas en  los  capítulos  anteriores,  el  Tribunal  procederá  a</w:t>
        <w:br/>
        <w:t xml:space="preserve">      analizar  las  pretensiones  presentadas  por   la   Comisión   y   el</w:t>
        <w:br/>
        <w:t xml:space="preserve">      representante, así como los argumentos del Estado, a  la  luz  de  los</w:t>
        <w:br/>
        <w:t xml:space="preserve">      criterios fijados en la jurisprudencia de la Corte en relación con  la</w:t>
        <w:br/>
        <w:t xml:space="preserve">      naturaleza y alcance de la obligación de reparar[88], con el objeto de</w:t>
        <w:br/>
        <w:t xml:space="preserve">      disponer las medidas dirigidas a reparar los daños ocasionados  a  las</w:t>
        <w:br/>
        <w:t xml:space="preserve">      víctimas.</w:t>
        <w:br/>
        <w:br/>
        <w:t>A.     Parte Lesionada</w:t>
        <w:br/>
        <w:br/>
        <w:t xml:space="preserve">  89. El Tribunal reitera que se considera parte lesionada, en los  términos</w:t>
        <w:br/>
        <w:t xml:space="preserve">      del artículo  63.1  de  la  Convención  Americana,  a  quien  ha  sido</w:t>
        <w:br/>
        <w:t xml:space="preserve">      declarado víctima de la violación de algún derecho  consagrado  en  la</w:t>
        <w:br/>
        <w:t xml:space="preserve">      misma. Las víctimas en el presente caso son los  233  trabajadores  de</w:t>
        <w:br/>
        <w:t xml:space="preserve">      SEDAPAL señalados en la demanda de la Comisión, así como en el listado</w:t>
        <w:br/>
        <w:t xml:space="preserve">      que aparece en  el  anexo  a  la  presente  Sentencia,  quienes  serán</w:t>
        <w:br/>
        <w:t xml:space="preserve">      considerados  beneficiarios  de  las  reparaciones  que  ordene   este</w:t>
        <w:br/>
        <w:t xml:space="preserve">      Tribunal.</w:t>
        <w:br/>
        <w:br/>
        <w:t xml:space="preserve">  90. Por otro  lado,  si  bien  el  representante  presentó  alguna  prueba</w:t>
        <w:br/>
        <w:t xml:space="preserve">      respecto de presuntos daños sufridos por algunos familiares de las 233</w:t>
        <w:br/>
        <w:t xml:space="preserve">      víctimas como supuesta consecuencia de las violaciones declaradas,  la</w:t>
        <w:br/>
        <w:t xml:space="preserve">      Corte observa que ni la Comisión  ni  el  representante  alegaron  que</w:t>
        <w:br/>
        <w:t xml:space="preserve">      dichas personas fueron víctimas  de  alguna  violación  a  un  derecho</w:t>
        <w:br/>
        <w:t xml:space="preserve">      consagrado en la Convención Americana (supra párr. 39). En razón de lo</w:t>
        <w:br/>
        <w:t xml:space="preserve">      anterior, y teniendo en cuenta la jurisprudencia del Tribunal[89],  la</w:t>
        <w:br/>
        <w:t xml:space="preserve">      Corte no considera como “parte lesionada”  a  los  familiares  de  las</w:t>
        <w:br/>
        <w:t xml:space="preserve">      víctimas en  el  presente  caso  y  precisa  que  serán  acreedores  a</w:t>
        <w:br/>
        <w:t xml:space="preserve">      reparaciones únicamente en  calidad  de  derechohabientes,  es  decir,</w:t>
        <w:br/>
        <w:t xml:space="preserve">      cuando la víctima haya fallecido, y de conformidad con lo  establecido</w:t>
        <w:br/>
        <w:t xml:space="preserve">      en la legislación interna.</w:t>
        <w:br/>
        <w:br/>
        <w:t>B.    Medidas de satisfacción</w:t>
        <w:br/>
        <w:br/>
        <w:t xml:space="preserve">        b.1)     Publicación de la Sentencia</w:t>
        <w:br/>
        <w:br/>
        <w:br/>
        <w:t xml:space="preserve">  91. Ni la Comisión ni el representante solicitaron a la Corte  que  ordene</w:t>
        <w:br/>
        <w:t xml:space="preserve">      al Estado esta medida de reparación.</w:t>
        <w:br/>
        <w:br/>
        <w:t xml:space="preserve">  92. Sin embargo, como lo ha dispuesto este Tribunal en otros casos[90], el</w:t>
        <w:br/>
        <w:t xml:space="preserve">      Estado deberá publicar, por una sola vez,  en  el  Diario  Oficial  la</w:t>
        <w:br/>
        <w:t xml:space="preserve">      presente Sentencia, con los respectivos títulos y subtítulos, sin  las</w:t>
        <w:br/>
        <w:t xml:space="preserve">      notas al pie de página, así como la parte resolutiva de la misma. Para</w:t>
        <w:br/>
        <w:t xml:space="preserve">      realizar esta publicación se fija el plazo de seis  meses  contados  a</w:t>
        <w:br/>
        <w:t xml:space="preserve">      partir de la notificación de la presente Sentencia.</w:t>
        <w:br/>
        <w:br/>
        <w:br/>
        <w:t>C.     Indemnizaciones compensatorias</w:t>
        <w:br/>
        <w:br/>
        <w:t xml:space="preserve">      c.1.  Daño material</w:t>
        <w:br/>
        <w:br/>
        <w:t xml:space="preserve">  93. La Corte ha desarrollado en su  jurisprudencia  el  concepto  de  daño</w:t>
        <w:br/>
        <w:t xml:space="preserve">      material y los supuestos en que corresponde indemnizarlo[91].</w:t>
        <w:br/>
        <w:br/>
        <w:t xml:space="preserve">      c.1.1.     Alegatos de las partes</w:t>
        <w:br/>
        <w:br/>
        <w:t xml:space="preserve">  94. La Comisión no solicitó a la  Corte  un  monto  específico  por  dicho</w:t>
        <w:br/>
        <w:t xml:space="preserve">      concepto a favor de las víctimas pero requirió que  no  se  remita  al</w:t>
        <w:br/>
        <w:t xml:space="preserve">      ámbito interno la definición del daño material.  Al  respecto,  indicó</w:t>
        <w:br/>
        <w:t xml:space="preserve">      que “la remisión de la determinación de los efectos  patrimoniales  al</w:t>
        <w:br/>
        <w:t xml:space="preserve">      sistema interno podría no resultar  efectiva  y  demorar  aún  más  la</w:t>
        <w:br/>
        <w:t xml:space="preserve">      obtención de justicia y reparación  para  las  víctimas”,  sobre  todo</w:t>
        <w:br/>
        <w:t xml:space="preserve">      porque “ya se han explorado diversas alternativas extrajudiciales  que</w:t>
        <w:br/>
        <w:t xml:space="preserve">      demostraron no ser efectivas”. Asimismo, resaltó “que  la  tramitación</w:t>
        <w:br/>
        <w:t xml:space="preserve">      del caso ante la Comisión no se centró en  establecer  una  definición</w:t>
        <w:br/>
        <w:t xml:space="preserve">      precisa de los efectos patrimoniales[ y que e]n  el  proceso  ante  la</w:t>
        <w:br/>
        <w:t xml:space="preserve">      Corte las partes han aportado mayores  elementos  de  información”  al</w:t>
        <w:br/>
        <w:t xml:space="preserve">      respecto.</w:t>
        <w:br/>
        <w:br/>
        <w:t xml:space="preserve">  95. Por su parte, el representante sostuvo  que  la  reparación  por  daño</w:t>
        <w:br/>
        <w:t xml:space="preserve">      material asciende  a  la  suma  de  “30’334,725.87  (Treinta  Millones</w:t>
        <w:br/>
        <w:t xml:space="preserve">      Trescientos Treinta y Cuatro  Mil  Setecientos  Veinticinco  y  87/100</w:t>
        <w:br/>
        <w:t xml:space="preserve">      Nuevos Soles)” actualizada a la fecha de presentación del  escrito  de</w:t>
        <w:br/>
        <w:t xml:space="preserve">      solicitudes y argumentos. De acuerdo con el representante, la  pericia</w:t>
        <w:br/>
        <w:t xml:space="preserve">      contable presentada ante este Tribunal  “cuantifica  puntualmente  las</w:t>
        <w:br/>
        <w:t xml:space="preserve">      [r]emuneraciones y la [c]ompensación por [t]iempo de [s]ervicios,  más</w:t>
        <w:br/>
        <w:t xml:space="preserve">      intereses, que el Estado […] se ha apropiado  indebidamente  […]  como</w:t>
        <w:br/>
        <w:t xml:space="preserve">      consecuencia de la aplicación retroactiva [de normas]”, “desde el 1 de</w:t>
        <w:br/>
        <w:t xml:space="preserve">      julio de 1992 hasta el 15 de abril de 2010”, por los períodos  en  los</w:t>
        <w:br/>
        <w:t xml:space="preserve">      que el sistema de ratios salariales estuvo vigente, esto es, “desde el</w:t>
        <w:br/>
        <w:t xml:space="preserve">      23 de octubre de 1992 hasta el 31 de octubre de 1992, y desde el 27 de</w:t>
        <w:br/>
        <w:t xml:space="preserve">      noviembre de 1992 hasta el 15 de abril de 2010”. Sobre el  particular,</w:t>
        <w:br/>
        <w:t xml:space="preserve">      el  representante  se   “reserv[ó   la   posibilidad   de]   continuar</w:t>
        <w:br/>
        <w:t xml:space="preserve">      actualizando [dicha l]iquidación […] hasta  la  fecha  en  la  que  el</w:t>
        <w:br/>
        <w:t xml:space="preserve">      Estado […] cumpla con el [respectivo] pago”.  Para  hacer  el  cálculo</w:t>
        <w:br/>
        <w:t xml:space="preserve">      hasta la fecha el representante alega que es vinculante un informe  de</w:t>
        <w:br/>
        <w:t xml:space="preserve">      un asesor de la Alta Dirección del Ministerio de  Trabajo  que  señaló</w:t>
        <w:br/>
        <w:t xml:space="preserve">      que el cálculo debe  efectuarse  hasta  la  actualidad.  Asimismo,  el</w:t>
        <w:br/>
        <w:t xml:space="preserve">      representante alegó que en  17  años  las  víctimas  no  han  recibido</w:t>
        <w:br/>
        <w:t xml:space="preserve">      aumentos salariales, entre otras razones para no tener en cuenta en el</w:t>
        <w:br/>
        <w:t xml:space="preserve">      cálculo del daño material una reestructuración  salarial  ocurrida  en</w:t>
        <w:br/>
        <w:t xml:space="preserve">      1993.</w:t>
        <w:br/>
        <w:br/>
        <w:t xml:space="preserve">  96. El Estado alegó que, debido a que la sentencia de la Corte Suprema  de</w:t>
        <w:br/>
        <w:t xml:space="preserve">      Justicia que no le  dio  la  razón  a  las  víctimas  constituye  cosa</w:t>
        <w:br/>
        <w:t xml:space="preserve">      juzgada, el daño devino en  irreparable.  Sin  embargo,  presentó  una</w:t>
        <w:br/>
        <w:t xml:space="preserve">      pericia contable “para efectos de la  liquidación  de  los  reintegros</w:t>
        <w:br/>
        <w:t xml:space="preserve">      (incluyendo los intereses respectivos calculados al 25  de  abril  del</w:t>
        <w:br/>
        <w:t xml:space="preserve">      año 2010), que debe abonar SEDAPAL [según la  cual  el  daño  material</w:t>
        <w:br/>
        <w:t xml:space="preserve">      asciende a] nueve millones trescientos un mil quinientos veintiocho  y</w:t>
        <w:br/>
        <w:t xml:space="preserve">      68/100 nuevos soles”. “El monto  en  [d]ólares  [a]mericanos  asciende</w:t>
        <w:br/>
        <w:t xml:space="preserve">      aproximadamente a U$ 3’260,000  dólares  estadounidenses”.  El  Estado</w:t>
        <w:br/>
        <w:t xml:space="preserve">      alegó que “solamente hay violación por los 11 meses  respecto  de  los</w:t>
        <w:br/>
        <w:t xml:space="preserve">      cuales [efectuó] descuento [a  las  víctimas  ya  que]  de  allí  para</w:t>
        <w:br/>
        <w:t xml:space="preserve">      adelante, en el año 1993, cuando establec[ió] la nueva escala salarial</w:t>
        <w:br/>
        <w:t xml:space="preserve">      [se] subsum[ieron] no solamente los ratios sino [también] una serie de</w:t>
        <w:br/>
        <w:t xml:space="preserve">      categorías y se diseñ[ó] una nueva forma de regular la remuneración de</w:t>
        <w:br/>
        <w:t xml:space="preserve">      carácter completamente armónico”.</w:t>
        <w:br/>
        <w:br/>
        <w:t xml:space="preserve">  97. El Estado precisó que dicha reestructuración salarial “no  obedeció  a</w:t>
        <w:br/>
        <w:t xml:space="preserve">      ningún tipo de absorción de los derogados  ratios  salariales,  puesto</w:t>
        <w:br/>
        <w:t xml:space="preserve">      [que] estos dejaron de surtir efectos con la dación  del  decreto  ley</w:t>
        <w:br/>
        <w:t xml:space="preserve">      No. 25876”. En este sentido, el Estado insistió en que “el Decreto Ley</w:t>
        <w:br/>
        <w:t xml:space="preserve">      25876 p[uso] término a los ratios salariales a partir de diciembre del</w:t>
        <w:br/>
        <w:t xml:space="preserve">      año 1991, [fecha desde la cual] el  Estado  deja  en  libertad  a  las</w:t>
        <w:br/>
        <w:t xml:space="preserve">      [e]mpresas para que unilateralmente puedan otorgar incrementos  a  los</w:t>
        <w:br/>
        <w:t xml:space="preserve">      trabajadores que no están sujetos a negociación colectiva, y eso es lo</w:t>
        <w:br/>
        <w:t xml:space="preserve">      que realiz[ó] la empresa SEDAPAL a partir de agosto de 1993”. Respecto</w:t>
        <w:br/>
        <w:t xml:space="preserve">      al alegato del representante en el sentido de  que  nunca  se  habrían</w:t>
        <w:br/>
        <w:t xml:space="preserve">      hecho reajustes salariales a los trabajadores, el Estado alegó que  en</w:t>
        <w:br/>
        <w:t xml:space="preserve">      2002 “se realizó un  incremento  y  reestructuración  de  la  política</w:t>
        <w:br/>
        <w:t xml:space="preserve">      remunerativa[ por lo  que]  recibieron  un  incremento  importante  de</w:t>
        <w:br/>
        <w:t xml:space="preserve">      acuerdo a la categoría y nivel en el que se encontraban”.  De  acuerdo</w:t>
        <w:br/>
        <w:t xml:space="preserve">      con el Estado el informe  de  un  asesor  técnico  del  Ministerio  de</w:t>
        <w:br/>
        <w:t xml:space="preserve">      Trabajo citado por el representante “no [tiene] carácter  pericial”  y</w:t>
        <w:br/>
        <w:t xml:space="preserve">      no es vinculante porque “el organismo con competencia vinculante  para</w:t>
        <w:br/>
        <w:t xml:space="preserve">      emitir este tipo de informes que obligue al resto  de  la  repartición</w:t>
        <w:br/>
        <w:t xml:space="preserve">      pública  a  aplicar  estos   criterios”   era   “la   Dirección   [de]</w:t>
        <w:br/>
        <w:t xml:space="preserve">      Productividad y Competitividad Laboral” de dicho Ministerio.</w:t>
        <w:br/>
        <w:br/>
        <w:t xml:space="preserve">      c.1.2.     Consideraciones de la Corte</w:t>
        <w:br/>
        <w:br/>
        <w:br/>
        <w:t xml:space="preserve">  98. Durante más de ocho años las partes han intentado llegar a un  acuerdo</w:t>
        <w:br/>
        <w:t xml:space="preserve">      sobre el monto del daño material y han fallado los diversos mecanismos</w:t>
        <w:br/>
        <w:t xml:space="preserve">      impulsados al respecto. En efecto, con posterioridad al primer momento</w:t>
        <w:br/>
        <w:t xml:space="preserve">      en el que el Estado reconoció su responsabilidad en el  presente  caso</w:t>
        <w:br/>
        <w:t xml:space="preserve">      (supra  párr.  18),  las  partes  intentaron  un  acuerdo  sobre   las</w:t>
        <w:br/>
        <w:t xml:space="preserve">      reparaciones debidas antes de la emisión del informe de  admisibilidad</w:t>
        <w:br/>
        <w:t xml:space="preserve">      y fondo[92].  Con  posterioridad  a  este  informe,  se  conformó  una</w:t>
        <w:br/>
        <w:t xml:space="preserve">      Comisión de alto nivel adscrita al Ministerio de Justicia y conformada</w:t>
        <w:br/>
        <w:t xml:space="preserve">      por representantes del Ministerio de Trabajo, el Ministerio de Energía</w:t>
        <w:br/>
        <w:t xml:space="preserve">      y Minas  y  el  Fondo  Nacional  de  Financiamiento  de  la  Actividad</w:t>
        <w:br/>
        <w:t xml:space="preserve">      Empresarial  del  Estado.  El  Estado  informó  sobre  las   reuniones</w:t>
        <w:br/>
        <w:t xml:space="preserve">      impulsadas por dicha Comisión, la forma como  había  escuchado  a  las</w:t>
        <w:br/>
        <w:t xml:space="preserve">      partes y el fracaso para llegar a un acuerdo[93].</w:t>
        <w:br/>
        <w:br/>
        <w:t xml:space="preserve">  99. Ante la Corte el representante y el Estado  han  presentado  peritajes</w:t>
        <w:br/>
        <w:t xml:space="preserve">      mediante los cuales se calcula el monto por concepto de daño  material</w:t>
        <w:br/>
        <w:t xml:space="preserve">      que deberían recibir las víctimas[94].  El  Tribunal  observa  que  el</w:t>
        <w:br/>
        <w:t xml:space="preserve">      cálculo ofrece cierta complejidad teniendo en cuenta que no es posible</w:t>
        <w:br/>
        <w:t xml:space="preserve">      realizar un cómputo general aplicable a todos los  trabajadores,  sino</w:t>
        <w:br/>
        <w:t xml:space="preserve">      que, por el contrario, es necesario un cálculo caso por caso. A  pesar</w:t>
        <w:br/>
        <w:t xml:space="preserve">      de esta  complejidad,  y  teniendo  en  cuenta  que  han  transcurrido</w:t>
        <w:br/>
        <w:t xml:space="preserve">      aproximadamente dieciocho años sin que las víctimas hayan  accedido  a</w:t>
        <w:br/>
        <w:t xml:space="preserve">      tribunales o instancias internas que determinen la  indemnización  que</w:t>
        <w:br/>
        <w:t xml:space="preserve">      les corresponde, la Corte entra a valorar la prueba disponible  en  el</w:t>
        <w:br/>
        <w:t xml:space="preserve">      expediente para resolver la controversia entre las partes respecto  al</w:t>
        <w:br/>
        <w:t xml:space="preserve">      cálculo del monto respectivo.</w:t>
        <w:br/>
        <w:br/>
        <w:br/>
        <w:t xml:space="preserve"> 100. Como  punto  de  partida,  el  Tribunal  recuerda  que  los  peritajes</w:t>
        <w:br/>
        <w:t xml:space="preserve">      dirigidos a cuantificar los alcances de los  daños  generados  por  la</w:t>
        <w:br/>
        <w:t xml:space="preserve">      violación  de  derechos  humanos  deben  contener   una   construcción</w:t>
        <w:br/>
        <w:t xml:space="preserve">      argumentativa que le permita a este Tribunal entenderlos y  valorarlos</w:t>
        <w:br/>
        <w:t xml:space="preserve">      con el restante acervo probatorio, conforme a la sana crítica. Ello es</w:t>
        <w:br/>
        <w:t xml:space="preserve">      aún más relevante cuando  los  peritajes  se  refieren  a  experticias</w:t>
        <w:br/>
        <w:t xml:space="preserve">      técnicas ajenas a las de la Corte[95], como en el presente caso.</w:t>
        <w:br/>
        <w:br/>
        <w:t xml:space="preserve"> 101. Al respecto, la Corte observa que  ambos  peritajes  indican  diversos</w:t>
        <w:br/>
        <w:t xml:space="preserve">      criterios tenidos en cuenta al momento de efectuar los cálculos  sobre</w:t>
        <w:br/>
        <w:t xml:space="preserve">      el alcance  del  daño  material  en  el  presente  caso.  El  peritaje</w:t>
        <w:br/>
        <w:t xml:space="preserve">      presentado por el representante toma en consideración ciertas  fechas,</w:t>
        <w:br/>
        <w:t xml:space="preserve">      conceptos y categorías, así como algunos criterios  para  efectuar  el</w:t>
        <w:br/>
        <w:t xml:space="preserve">      cálculo[96]. Por su parte, en términos generales, los cálculos  en  el</w:t>
        <w:br/>
        <w:t xml:space="preserve">      peritaje del Estado incluyen:</w:t>
        <w:br/>
        <w:br/>
        <w:t xml:space="preserve">      a)    los  reintegros  por  la  omisión  en  el  pago  del  incremento</w:t>
        <w:br/>
        <w:t xml:space="preserve">           sobreviniente de aplicar los ratios salariales sobre el  aumento</w:t>
        <w:br/>
        <w:t xml:space="preserve">           de S/. 70.00 otorgados al cargo de peón;</w:t>
        <w:br/>
        <w:t xml:space="preserve">      b)    los importes sobre restitución de la rebaja de las fracciones de</w:t>
        <w:br/>
        <w:t xml:space="preserve">           las remuneraciones mensuales dispuestas  a  partir  del  mes  de</w:t>
        <w:br/>
        <w:t xml:space="preserve">           diciembre de 1992;</w:t>
        <w:br/>
        <w:t xml:space="preserve">      c)     el  monto  por  pagar  de  las  remuneraciones   accesorias   y</w:t>
        <w:br/>
        <w:t xml:space="preserve">           colaterales,   como   gratificaciones   y   bonificaciones   que</w:t>
        <w:br/>
        <w:t xml:space="preserve">           sobrevengan de la restitución a las remuneraciones básicas;</w:t>
        <w:br/>
        <w:t xml:space="preserve">      d)    reintegro de la  fracción  de  las  remuneraciones  rebajadas  y</w:t>
        <w:br/>
        <w:t xml:space="preserve">           descontadas por el período de enero a noviembre de 1992;</w:t>
        <w:br/>
        <w:t xml:space="preserve">      e)    intereses (D[ecreto] Ley No. 25920) sobre los  montos  referidos</w:t>
        <w:br/>
        <w:t>en a) + b) + c) + d);</w:t>
        <w:br/>
        <w:t xml:space="preserve">      f)    reintegros por Servicio Social de  Salud-ESSALUD  más  intereses</w:t>
        <w:br/>
        <w:t>correspondientes;</w:t>
        <w:br/>
        <w:t xml:space="preserve">      g)    determinación de los reintegros por Compensación por  Tiempo  de</w:t>
        <w:br/>
        <w:t xml:space="preserve">           Servicios – CTS más intereses bancarios (financieros) para  CTS,</w:t>
        <w:br/>
        <w:t xml:space="preserve">           y</w:t>
        <w:br/>
        <w:t xml:space="preserve">      h)    importes totales que debe reintegrar SEDAPAL a  su  personal  de</w:t>
        <w:br/>
        <w:t xml:space="preserve">           los sectores laborales de funcionarios y alta dirección[97].</w:t>
        <w:br/>
        <w:br/>
        <w:t xml:space="preserve"> 102. Ahora bien, la Corte considera que la reparación del daño material, en</w:t>
        <w:br/>
        <w:t xml:space="preserve">      el marco de las circunstancias del presente caso, exige el pago de  i)</w:t>
        <w:br/>
        <w:t xml:space="preserve">      lo disminuido en los salarios a partir de diciembre de  1992;  ii)  lo</w:t>
        <w:br/>
        <w:t xml:space="preserve">      descontado entre enero y noviembre de 1992, y iii) lo no  incrementado</w:t>
        <w:br/>
        <w:t xml:space="preserve">      como consecuencia de la aplicación de la última ratio salarial que les</w:t>
        <w:br/>
        <w:t xml:space="preserve">      correspondía a las víctimas (supra párr. 63). Los dos peritajes  toman</w:t>
        <w:br/>
        <w:t xml:space="preserve">      en  consideración  estos  tres  factores[98].  Sin  embargo,  si  bien</w:t>
        <w:br/>
        <w:t xml:space="preserve">      concuerdan en los montos que  se  deben  reintegrar  por  concepto  de</w:t>
        <w:br/>
        <w:t xml:space="preserve">      disminución de  los  salarios  y  no  incremento  de  los  mismos,  no</w:t>
        <w:br/>
        <w:t xml:space="preserve">      coinciden  en  los  montos  concernientes  al  cobro  retroactivo[99].</w:t>
        <w:br/>
        <w:t xml:space="preserve">      Igualmente, existen diferencias sobre otros criterios que se  utilizan</w:t>
        <w:br/>
        <w:t xml:space="preserve">      para los cálculos[100].</w:t>
        <w:br/>
        <w:br/>
        <w:t xml:space="preserve"> 103. De otro lado, el peritaje  presentado  por  el  representante  calcula</w:t>
        <w:br/>
        <w:t xml:space="preserve">      hasta el año 2010 lo debido por la omisión de incremento con  base  en</w:t>
        <w:br/>
        <w:t xml:space="preserve">      el monto derivado de la aplicación de la última ratio que  ingresó  al</w:t>
        <w:br/>
        <w:t xml:space="preserve">      salario de las víctimas. Para justificar tal fecha de finalización  en</w:t>
        <w:br/>
        <w:t xml:space="preserve">      el cálculo se toma como base un informe expedido por un asesor  de  la</w:t>
        <w:br/>
        <w:t xml:space="preserve">      Alta Dirección del Ministerio de Trabajo en el marco  del  proceso  de</w:t>
        <w:br/>
        <w:t xml:space="preserve">      solución amistosa desarrollado en este caso (supra  párr.  95).  Entre</w:t>
        <w:br/>
        <w:t xml:space="preserve">      sus consideraciones dicho informe señaló que:</w:t>
        <w:br/>
        <w:br/>
        <w:br/>
        <w:t xml:space="preserve">      “el hecho de que el sistema fuera eliminado en noviembre de  1992  por</w:t>
        <w:br/>
        <w:t xml:space="preserve">      el Decreto Ley  25876  no  significa  que  los  incrementos  otorgados</w:t>
        <w:br/>
        <w:t xml:space="preserve">      durante su vigencia dejasen de formar parte de la remuneración de  los</w:t>
        <w:br/>
        <w:t xml:space="preserve">      trabajadores; la eliminación del sistema sólo  supuso  que  dejara  de</w:t>
        <w:br/>
        <w:t xml:space="preserve">      operar la actualización de las remuneraciones desde dicho momento. Por</w:t>
        <w:br/>
        <w:t xml:space="preserve">      tanto, los adeudos por la aplicación del sistema de ratios  salariales</w:t>
        <w:br/>
        <w:t xml:space="preserve">      durante los períodos en los que éste se encontró vigente forman  parte</w:t>
        <w:br/>
        <w:t xml:space="preserve">      de la remuneración de los funcionarios y deben ser considerados en  la</w:t>
        <w:br/>
        <w:t xml:space="preserve">      base de cálculo de beneficios laborales hasta la fecha”[101]</w:t>
        <w:br/>
        <w:br/>
        <w:t xml:space="preserve"> 104. Por su parte, el peritaje del Estado tiene  en  cuenta  que  el  8  de</w:t>
        <w:br/>
        <w:t xml:space="preserve">      octubre de 1993, SEDAPAL[102] “aprobó, entre otros, la  Estructura  de</w:t>
        <w:br/>
        <w:t xml:space="preserve">      Remuneraciones Básicas para los niveles I al VI correspondientes a los</w:t>
        <w:br/>
        <w:t xml:space="preserve">      [f]uncionarios, disponiendo su  implementación  y  pago  a  partir  de</w:t>
        <w:br/>
        <w:t xml:space="preserve">      [agosto  de]  1993.  Esta  estructura  increment[ó]  y   elev[ó]   las</w:t>
        <w:br/>
        <w:t xml:space="preserve">      remuneraciones de los trabajadores no sujetos a negociación  colectiva</w:t>
        <w:br/>
        <w:t xml:space="preserve">      absorbiendo todos los incrementos anteriores, sin extenderse más  allá</w:t>
        <w:br/>
        <w:t xml:space="preserve">      de julio de 1993”[103]. Al respecto, el peritaje indica que:</w:t>
        <w:br/>
        <w:br/>
        <w:t xml:space="preserve">     “el 18º Juzgado Civil se ha pronunciado en el sentido que al eliminarse</w:t>
        <w:br/>
        <w:t xml:space="preserve">     el sistema de Ratios Salariales  ello  no  obliga  a  eliminar  de  las</w:t>
        <w:br/>
        <w:t xml:space="preserve">     remuneraciones los incrementos otorgados durante su vigencia,  po[rq]ue</w:t>
        <w:br/>
        <w:t xml:space="preserve">     la norma refiere solamente dejar de otorgar  la  actualización  de  las</w:t>
        <w:br/>
        <w:t xml:space="preserve">     remuneraciones desde el 27[ de noviembre de 19]92. Por  lo  tanto,  los</w:t>
        <w:br/>
        <w:t xml:space="preserve">     incrementos otorgados cuando el sistema estuvo vigente forman parte  de</w:t>
        <w:br/>
        <w:t xml:space="preserve">     las remuneraciones de los funcionarios y deben considerarse en la  base</w:t>
        <w:br/>
        <w:t xml:space="preserve">     de cálculo de beneficios laborales hasta la actualidad”[104].</w:t>
        <w:br/>
        <w:br/>
        <w:t xml:space="preserve"> 105.  Como  se  observa,  el  peritaje  presentado  por  el  Estado  señala</w:t>
        <w:br/>
        <w:t xml:space="preserve">      expresamente que “los  incrementos  otorgados”  forman  parte  de  las</w:t>
        <w:br/>
        <w:t xml:space="preserve">      remuneraciones y  deben  considerarse  en  el  cálculo  de  beneficios</w:t>
        <w:br/>
        <w:t xml:space="preserve">      laborales “hasta la actualidad”. Dicho peritaje hace  el  cálculo  por</w:t>
        <w:br/>
        <w:t xml:space="preserve">      daño material hasta la fecha de la reestructuración salarial en  1993,</w:t>
        <w:br/>
        <w:t xml:space="preserve">      ya que la  empresa  consideraría  que  dicha  reestructuración  habría</w:t>
        <w:br/>
        <w:t xml:space="preserve">      “eleva[do] las remuneraciones de los trabajadores” y, en ese  sentido,</w:t>
        <w:br/>
        <w:t xml:space="preserve">      comprendido  los  montos  recibidos  por  estos  antes  de  1993,   en</w:t>
        <w:br/>
        <w:t xml:space="preserve">      aplicación de los ratios salariales.</w:t>
        <w:br/>
        <w:br/>
        <w:t xml:space="preserve"> 106. La Corte observa  que,  respecto  al  objeto  de  la  reestructuración</w:t>
        <w:br/>
        <w:t xml:space="preserve">      salarial de 1993, el testigo De Los Santos  precisó  que  “SEDAPAL  no</w:t>
        <w:br/>
        <w:t xml:space="preserve">      h[izo] una estructura pensando en los ratios salariales, [sino] en  el</w:t>
        <w:br/>
        <w:t xml:space="preserve">      momento que viv[ía] el Estado […] y  en  el  momento  que  viv[ía]  la</w:t>
        <w:br/>
        <w:t xml:space="preserve">      empresa, porque hace una restructuración integral”, por lo  que  dicha</w:t>
        <w:br/>
        <w:t xml:space="preserve">      nueva estructura no se dio “por cuestiones remunerativas, sino por una</w:t>
        <w:br/>
        <w:t xml:space="preserve">      cuestión de modernización de  la  institución”[105].  Asimismo,  dicho</w:t>
        <w:br/>
        <w:t xml:space="preserve">      testigo indicó que la reestructuración salarial de 1993 incrementó  la</w:t>
        <w:br/>
        <w:t xml:space="preserve">      remuneración salarial de los funcionarios de la empresa[106].</w:t>
        <w:br/>
        <w:br/>
        <w:t xml:space="preserve"> 107. Teniendo en cuenta lo expuesto, la Corte considera  que  si  bien  los</w:t>
        <w:br/>
        <w:t xml:space="preserve">      peritajes del representante y del Estado coinciden en señalar  que  la</w:t>
        <w:br/>
        <w:t xml:space="preserve">      omisión de incremento salarial a las víctimas debe considerarse “hasta</w:t>
        <w:br/>
        <w:t xml:space="preserve">      la actualidad”, ambas partes hacen interpretaciones distintas a  dicha</w:t>
        <w:br/>
        <w:t xml:space="preserve">      afirmación. Así, mientras que el  representante  considera  que  desde</w:t>
        <w:br/>
        <w:t xml:space="preserve">      1993 hasta la fecha existe una omisión en el pago del  monto  salarial</w:t>
        <w:br/>
        <w:t xml:space="preserve">      que los trabajadores adquirieron  por  la  aplicación  de  las  ratios</w:t>
        <w:br/>
        <w:t xml:space="preserve">      salariales, así como del incremento al salario de los trabajadores que</w:t>
        <w:br/>
        <w:t xml:space="preserve">      se debió realizar en julio  de  1992,  el  Estado  considera  que  los</w:t>
        <w:br/>
        <w:t xml:space="preserve">      beneficios de la  reestructuración  salarial  de  1993  comprenden  ya</w:t>
        <w:br/>
        <w:t xml:space="preserve">      dichos montos y que, en esa medida, los trabajadores no son acreedores</w:t>
        <w:br/>
        <w:t xml:space="preserve">      a reintegro alguno de salario desde el año 1993 hasta la actualidad. A</w:t>
        <w:br/>
        <w:t xml:space="preserve">      partir de ello, y ya que el peritaje del Estado precisa que  a  través</w:t>
        <w:br/>
        <w:t xml:space="preserve">      de la reestructuración salarial  de  1993  se   logró  reconocer  como</w:t>
        <w:br/>
        <w:t xml:space="preserve">      salario un monto equivalente o superior a lo que hubiera implicado  la</w:t>
        <w:br/>
        <w:t xml:space="preserve">      aplicación de la ratio salarial que había ingresado en  el  patrimonio</w:t>
        <w:br/>
        <w:t xml:space="preserve">      de las víctimas, el Tribunal considera que lo que procede  evaluar  es</w:t>
        <w:br/>
        <w:t xml:space="preserve">      si  frente  a  tal  argumento  el  representante  desvirtuó   que   la</w:t>
        <w:br/>
        <w:t xml:space="preserve">      reestructuración incluyó la omisión en el pago del monto incorporado a</w:t>
        <w:br/>
        <w:t xml:space="preserve">      dicho patrimonio en aplicación del sistema de ratios.</w:t>
        <w:br/>
        <w:br/>
        <w:t xml:space="preserve"> 108. Al respecto, el representante alegó que:</w:t>
        <w:br/>
        <w:br/>
        <w:t xml:space="preserve">      a)    “la  nueva  estructura  salarial  implementada  por  la  empresa</w:t>
        <w:br/>
        <w:t xml:space="preserve">      SEDAPAL no tuvo como objetivo absorber” los incrementos por aplicación</w:t>
        <w:br/>
        <w:t xml:space="preserve">      de las ratios  salariales  sino  que  “fue  una  respuesta  al  choque</w:t>
        <w:br/>
        <w:t xml:space="preserve">      inflacionario existente entonces”. En  particular,  señaló  que  dicha</w:t>
        <w:br/>
        <w:t xml:space="preserve">      reestructuración no podía absorber los montos dejados de percibir, por</w:t>
        <w:br/>
        <w:t xml:space="preserve">      cuanto “el [s]istema de [r]atios [s]alariales ya había sido  eliminado</w:t>
        <w:br/>
        <w:t xml:space="preserve">      y [no se] pretendi[ó] su restitución”. Además, enfatizó que  el  mismo</w:t>
        <w:br/>
        <w:t xml:space="preserve">      Estado reconoce que la alegada  reestructuración  “no  absorbe  a  los</w:t>
        <w:br/>
        <w:t xml:space="preserve">      [r]atios  [s]alariales,  [por  tanto]  ha  desaparecido  la  infundada</w:t>
        <w:br/>
        <w:t xml:space="preserve">      justificación aducida por el Estado para limitar los  cálculos”  hasta</w:t>
        <w:br/>
        <w:t xml:space="preserve">      1993;</w:t>
        <w:br/>
        <w:br/>
        <w:br/>
        <w:t xml:space="preserve">      b)    “en ningún caso la referida Reestructuración  Salarial  h[abría]</w:t>
        <w:br/>
        <w:t xml:space="preserve">      sido más favorable al Sistema de Ratios Salariales” debido a que  este</w:t>
        <w:br/>
        <w:t xml:space="preserve">      último tenía “naturaleza permanente y sucesiva”;</w:t>
        <w:br/>
        <w:br/>
        <w:br/>
        <w:t xml:space="preserve">      c)    “tiene en cuenta el [a]juste de [r]emuneraciones llevado a  cabo</w:t>
        <w:br/>
        <w:t xml:space="preserve">      en 1993, sólo que no le otorga ninguna importancia jurídica, toda  vez</w:t>
        <w:br/>
        <w:t xml:space="preserve">      que  ningún  [a]juste  de  [r]emuneraciones  puede  dejar  sin  efecto</w:t>
        <w:br/>
        <w:t xml:space="preserve">      derechos que han sido reconocidos a los [t]rabajadores, conforme a las</w:t>
        <w:br/>
        <w:t xml:space="preserve">      garantías  establecidas  por  la  Constitución  Política”  y  esto  lo</w:t>
        <w:br/>
        <w:t xml:space="preserve">      reconoce el propio Ministerio de Trabajo;</w:t>
        <w:br/>
        <w:br/>
        <w:br/>
        <w:t xml:space="preserve">      d)    la última reestructuración salarial se realizó en el año 1997  y</w:t>
        <w:br/>
        <w:t xml:space="preserve">      no en el 2002 como habría indicado el Estado, por lo que alegó que “es</w:t>
        <w:br/>
        <w:t xml:space="preserve">      falso […] que la [e]mpresa […] implementó la [p]olítica [r]emunerativa</w:t>
        <w:br/>
        <w:t xml:space="preserve">      aprobada [en] el […] 2002”, y</w:t>
        <w:br/>
        <w:br/>
        <w:br/>
        <w:t xml:space="preserve">      e)    que si el Estado reconoció su responsabilidad  internacional  en</w:t>
        <w:br/>
        <w:t xml:space="preserve">      forma total por la falta de protección judicial, incurre  en  estoppel</w:t>
        <w:br/>
        <w:t xml:space="preserve">      al no reconocer la totalidad del daño material.</w:t>
        <w:br/>
        <w:br/>
        <w:t xml:space="preserve"> 109. En cuanto al alegato del representante en el sentido  de  que  “no  le</w:t>
        <w:br/>
        <w:t xml:space="preserve">      otorga[ba] ninguna importancia jurídica” a la restructuración salarial</w:t>
        <w:br/>
        <w:t xml:space="preserve">      de 1993 por “dejar  sin  efecto”  derechos  de  los  trabajadores,  el</w:t>
        <w:br/>
        <w:t xml:space="preserve">      Tribunal observa que no se presentó ante la Corte pruebas  específicas</w:t>
        <w:br/>
        <w:t xml:space="preserve">      que  desvirtuaran  los  efectos  de  dicha  reestructuración  ni   las</w:t>
        <w:br/>
        <w:t xml:space="preserve">      precisiones efectuadas por el peritaje presentado por el Estado y  por</w:t>
        <w:br/>
        <w:t xml:space="preserve">      el testigo De  Los  Santos  respecto  a  la  forma  en  la  que  dicha</w:t>
        <w:br/>
        <w:t xml:space="preserve">      reestructuración incluso habría mejorado la remuneración  salarial  de</w:t>
        <w:br/>
        <w:t xml:space="preserve">      los trabajadores en dicho momento.</w:t>
        <w:br/>
        <w:br/>
        <w:t xml:space="preserve"> 110. Sobre el alegato del representante en el sentido de que el sistema  de</w:t>
        <w:br/>
        <w:t xml:space="preserve">      ratios salariales era más favorable  a  la  reestructuración  salarial</w:t>
        <w:br/>
        <w:t xml:space="preserve">      ocurrida  en  1993,  el  Tribunal   observa   que   tal   alegato   es</w:t>
        <w:br/>
        <w:t xml:space="preserve">      contradictorio con la postura del representante en el sentido  de  que</w:t>
        <w:br/>
        <w:t xml:space="preserve">      era procedente la derogación de dicho sistema en la medida que  en  la</w:t>
        <w:br/>
        <w:t xml:space="preserve">      fecha de los  hechos  “[se]  precisaba[n]  medidas  de  [r]eactivación</w:t>
        <w:br/>
        <w:t xml:space="preserve">      [n]acional” (supra párrs. 62 y 78).</w:t>
        <w:br/>
        <w:br/>
        <w:t xml:space="preserve"> 111. En relación con la presunta inexistencia  de  aumentos  salariales  en</w:t>
        <w:br/>
        <w:t xml:space="preserve">      2002, según la  prueba  remitida  por  el  representante[107],  es  un</w:t>
        <w:br/>
        <w:t xml:space="preserve">      aspecto que se encuentra en discusión en el ámbito interno.  Asimismo,</w:t>
        <w:br/>
        <w:t xml:space="preserve">      la prueba remitida sobre la presunta  falta  de  aumentos  no  incluye</w:t>
        <w:br/>
        <w:t xml:space="preserve">      información  específica  respecto  a  la   reestructuración   salarial</w:t>
        <w:br/>
        <w:t xml:space="preserve">      ocurrida en 1993.</w:t>
        <w:br/>
        <w:br/>
        <w:t xml:space="preserve"> 112. En cuanto al principio de estoppel, el Tribunal  indicó  anteriormente</w:t>
        <w:br/>
        <w:t xml:space="preserve">      que implica que una vez el Estado se haya allanado  ante  la  Comisión</w:t>
        <w:br/>
        <w:t xml:space="preserve">      respecto a ciertas controversias, no le es posible adoptar  posiciones</w:t>
        <w:br/>
        <w:t xml:space="preserve">      contrarias sobre las  mismas  ante  la  Corte  (supra  párr.  26).  Lo</w:t>
        <w:br/>
        <w:t xml:space="preserve">      anterior  no  conlleva,  necesariamente,  que  el  reconocimiento   de</w:t>
        <w:br/>
        <w:t xml:space="preserve">      responsabilidad por parte  del  Estado  deba  ser  ampliado  o  genere</w:t>
        <w:br/>
        <w:t xml:space="preserve">      efectos a controversias que no fueron materia  del  allanamiento.  Por</w:t>
        <w:br/>
        <w:t xml:space="preserve">      tanto, el hecho que el Estado haya reconocido  su  responsabilidad  y,</w:t>
        <w:br/>
        <w:t xml:space="preserve">      por otra parte, no acepte el quantum del daño material  planteado  por</w:t>
        <w:br/>
        <w:t xml:space="preserve">      el representante no constituye una violación a dicho principio.</w:t>
        <w:br/>
        <w:br/>
        <w:br/>
        <w:br/>
        <w:t xml:space="preserve"> 113. De otra parte, el representante enfatizó que el informe del asesor del</w:t>
        <w:br/>
        <w:t xml:space="preserve">      Ministerio de Trabajo “no ha  merecido  observaciones  ni  impugnación</w:t>
        <w:br/>
        <w:t xml:space="preserve">      alguna por parte del Estado” y que por ello desvirtúa el peritaje  del</w:t>
        <w:br/>
        <w:t xml:space="preserve">      Estado. Sin  embargo,  la  Corte  resalta  que,  a  pesar  de  que  el</w:t>
        <w:br/>
        <w:t xml:space="preserve">      representante  y  el  Estado  tienen  una  controversia  sobre  si  es</w:t>
        <w:br/>
        <w:t xml:space="preserve">      vinculante o no el informe de dicho asesor, lo  cierto  es  que  tanto</w:t>
        <w:br/>
        <w:t xml:space="preserve">      dicho informe como el peritaje del Estado coinciden en que corresponde</w:t>
        <w:br/>
        <w:t xml:space="preserve">      hacer el cálculo hasta la  actualidad  (supra  párr.  107).  Su  única</w:t>
        <w:br/>
        <w:t xml:space="preserve">      diferencia es que el peritaje del Estado considera  que  ello  ocurre,</w:t>
        <w:br/>
        <w:t xml:space="preserve">      hasta la actualidad, gracias a la reestructuración salarial  de  1993.</w:t>
        <w:br/>
        <w:t xml:space="preserve">      Sobre esta  reestructuración  el  informe  del  asesor  no  desarrolla</w:t>
        <w:br/>
        <w:t xml:space="preserve">      ninguna precisión, razón por la cuál  no  constituye  una  prueba  que</w:t>
        <w:br/>
        <w:t xml:space="preserve">      desvirtúe el peritaje del Estado.</w:t>
        <w:br/>
        <w:br/>
        <w:br/>
        <w:br/>
        <w:br/>
        <w:t xml:space="preserve"> 114. El Tribunal concluye  que  el  representante  no  presentó  pruebas  y</w:t>
        <w:br/>
        <w:t xml:space="preserve">      argumentos específicos que permitan desvirtuar los alcances que se  da</w:t>
        <w:br/>
        <w:t xml:space="preserve">      a la reestructuración salarial de 1993 en el peritaje  presentado  por</w:t>
        <w:br/>
        <w:t xml:space="preserve">      el Estado.  Además  de  lo  ya  señalado,  la  Corte  resalta  que  el</w:t>
        <w:br/>
        <w:t xml:space="preserve">      representante no presentó prueba sobre cada salario  de  las  víctimas</w:t>
        <w:br/>
        <w:t xml:space="preserve">      después de que la reestructuración de 1993 entró en vigencia, en orden</w:t>
        <w:br/>
        <w:t xml:space="preserve">      a comparar ese salario con el que percibían  antes  de  la  derogación</w:t>
        <w:br/>
        <w:t xml:space="preserve">      retroactiva de las ratios.  Asimismo,  el  representante  no  presentó</w:t>
        <w:br/>
        <w:t xml:space="preserve">      argumentos específicos que permitan establecer si la fórmula utilizada</w:t>
        <w:br/>
        <w:t xml:space="preserve">      para  calcular  el  nuevo  salario  en  1993  no  incluía  las  ratios</w:t>
        <w:br/>
        <w:t xml:space="preserve">      salariales. El representante tampoco indicó  cuál  de  los  montos  de</w:t>
        <w:br/>
        <w:t xml:space="preserve">      salario  se  utilizó  como  base  para  realizar  la  reestructuración</w:t>
        <w:br/>
        <w:t xml:space="preserve">      salarial, si fue el monto anterior o el posterior a la derogación  del</w:t>
        <w:br/>
        <w:t xml:space="preserve">      sistema de ratios salariales. Finalmente,  tampoco  es  de  recibo  el</w:t>
        <w:br/>
        <w:t xml:space="preserve">      alegato en el sentido de que una licitación abierta  por  SEDAPAL,  en</w:t>
        <w:br/>
        <w:t xml:space="preserve">      2010, desacredita el peritaje del Estado. Ya  ha  sido  analizado  que</w:t>
        <w:br/>
        <w:t xml:space="preserve">      dicha licitación  fue  declarada  desierta  y  que  no  se  afecta  la</w:t>
        <w:br/>
        <w:t xml:space="preserve">      admisibilidad del peritaje del Estado (supra párrs. 48 y 49).  Tampoco</w:t>
        <w:br/>
        <w:t xml:space="preserve">      el representante indicó un criterio específico que sirva  como  prueba</w:t>
        <w:br/>
        <w:t xml:space="preserve">      para desvirtuar los alcances que quiere dar el peritaje del  Estado  a</w:t>
        <w:br/>
        <w:t xml:space="preserve">      la reestructuración de 1993, en el  sentido  de  absorber  “todos  los</w:t>
        <w:br/>
        <w:t xml:space="preserve">      incrementos anteriores” a 1993.</w:t>
        <w:br/>
        <w:br/>
        <w:br/>
        <w:br/>
        <w:t xml:space="preserve"> 115. En consecuencia, teniendo en cuenta que el representante  no  presentó</w:t>
        <w:br/>
        <w:t xml:space="preserve">      pruebas y argumentos específicos que permitan desvirtuar los  alcances</w:t>
        <w:br/>
        <w:t xml:space="preserve">      de la reestructuración salarial de 1993 en el peritaje presentado  por</w:t>
        <w:br/>
        <w:t xml:space="preserve">      el Estado y que la licitación abierta por SEDAPAL no constituye prueba</w:t>
        <w:br/>
        <w:t xml:space="preserve">      para desvirtuar dichos alcances, la Corte  decide  fijar  la  cantidad</w:t>
        <w:br/>
        <w:t xml:space="preserve">      total de S/. 9,622,607,88 (nueve millones  seiscientos  veintidós  mil</w:t>
        <w:br/>
        <w:t xml:space="preserve">      seiscientos siete y 88/100 Nuevos Soles), la cual ha sido  determinada</w:t>
        <w:br/>
        <w:t xml:space="preserve">      sobre la base  de  criterios  de  equidad  considerando,  entre  otros</w:t>
        <w:br/>
        <w:t xml:space="preserve">      elementos, el peritaje del Estado. Dicho monto debe distribuirse en la</w:t>
        <w:br/>
        <w:t xml:space="preserve">      forma detallada en el anexo adjunto  a  la  presente  Sentencia  y  es</w:t>
        <w:br/>
        <w:t xml:space="preserve">      equivalente a US$ 3,475,120.22 (tres millones cuatrocientos setenta  y</w:t>
        <w:br/>
        <w:t xml:space="preserve">      cinco mil ciento veinte y 22/100 dólares  de  los  Estados  Unidos  de</w:t>
        <w:br/>
        <w:t xml:space="preserve">      América), conforme al tipo de cambio vigente al día de emisión  de  la</w:t>
        <w:br/>
        <w:t xml:space="preserve">      presente Sentencia, según el Banco Central de Reserva del Perú.</w:t>
        <w:br/>
        <w:br/>
        <w:br/>
        <w:t xml:space="preserve">      c.2.  Daño inmaterial</w:t>
        <w:br/>
        <w:br/>
        <w:br/>
        <w:t xml:space="preserve"> 116. La Corte ha desarrollado en su  jurisprudencia  el  concepto  de  daño</w:t>
        <w:br/>
        <w:t xml:space="preserve">      inmaterial y los supuestos en que corresponde indemnizarlo[108].</w:t>
        <w:br/>
        <w:br/>
        <w:t xml:space="preserve"> 117. La Comisión no solicitó a la  Corte  un  monto  específico  por  dicho</w:t>
        <w:br/>
        <w:t xml:space="preserve">      concepto a favor de las víctimas. Únicamente señaló que “de acuerdo  a</w:t>
        <w:br/>
        <w:t xml:space="preserve">      su práctica constante, corresponde a la Corte  establecer  los  montos</w:t>
        <w:br/>
        <w:t xml:space="preserve">      respectivos con base en la información disponible y en  equidad”.  Por</w:t>
        <w:br/>
        <w:t xml:space="preserve">      su parte, el representante señaló que las víctimas habrían sido objeto</w:t>
        <w:br/>
        <w:t xml:space="preserve">      de diversos sufrimientos de orden psicológico y emocional, por lo cual</w:t>
        <w:br/>
        <w:t xml:space="preserve">      reclamó  una  indemnización  de   US$70.000   (setenta   mil   dólares</w:t>
        <w:br/>
        <w:t xml:space="preserve">      americanos) por víctima, esto es, un total de US$16.310.000 (dieciséis</w:t>
        <w:br/>
        <w:t xml:space="preserve">      millones trescientos diez mil dólares americanos).  En  respuesta,  el</w:t>
        <w:br/>
        <w:t xml:space="preserve">      Estado “señal[ó] su más profunda disconformidad  por  lo  elevado  del</w:t>
        <w:br/>
        <w:t xml:space="preserve">      [monto solicitado]” y requirió a la Corte  “que  señale  un  monto  de</w:t>
        <w:br/>
        <w:t xml:space="preserve">      [m]il dólares para cada uno”,  indicando  que  “[c]on  esta  clase  de</w:t>
        <w:br/>
        <w:t xml:space="preserve">      pretensiones se busca convertir  a  la  […]  Corte  en  una  instancia</w:t>
        <w:br/>
        <w:t xml:space="preserve">      económica,  lo  cual  no  se  condice  con  el  objeto   y   fin   del</w:t>
        <w:br/>
        <w:t xml:space="preserve">      funcionamiento  de  la  misma”.  Así,  el  Estado  precisó  que   “las</w:t>
        <w:br/>
        <w:t xml:space="preserve">      reparaciones por este concepto deben ser justas y obedecer  a  lo  que</w:t>
        <w:br/>
        <w:t xml:space="preserve">      [se] est[á] discutiendo y de ninguna  manera  implicar  un  detrimento</w:t>
        <w:br/>
        <w:t xml:space="preserve">      económico para el Estado [o] un enriquecimiento injustificado para las</w:t>
        <w:br/>
        <w:t xml:space="preserve">      víctimas”.</w:t>
        <w:br/>
        <w:br/>
        <w:t xml:space="preserve"> 118. A partir de las pretensiones del representante, el Tribunal  procederá</w:t>
        <w:br/>
        <w:t xml:space="preserve">      a determinar la posible generación  de  daño  inmaterial  por:  a)  la</w:t>
        <w:br/>
        <w:t xml:space="preserve">      supuesta afectación a  las  víctimas  por  la  excesiva  duración  del</w:t>
        <w:br/>
        <w:t xml:space="preserve">      proceso; b) las supuestas represalias en  contra  de  algunas  de  las</w:t>
        <w:br/>
        <w:t xml:space="preserve">      víctimas; c) la supuesta “conducta temeraria” del Estado al  no  haber</w:t>
        <w:br/>
        <w:t xml:space="preserve">      llegado a un  acuerdo  en  el  proceso  de  solución  amistosa  y  por</w:t>
        <w:br/>
        <w:t xml:space="preserve">      cuestionar los montos de reparación propuestos por  el  representante;</w:t>
        <w:br/>
        <w:t xml:space="preserve">      d) la alegada afectación al proyecto de vida de  las  víctimas,  y  e)</w:t>
        <w:br/>
        <w:t xml:space="preserve">      consideraciones finales del Tribunal sobre el daño  inmaterial  en  el</w:t>
        <w:br/>
        <w:t xml:space="preserve">      presente caso.</w:t>
        <w:br/>
        <w:br/>
        <w:t xml:space="preserve">      c.2.1 La supuesta afectación a las víctimas por la  excesiva  duración</w:t>
        <w:br/>
        <w:t xml:space="preserve">           del proceso</w:t>
        <w:br/>
        <w:br/>
        <w:t xml:space="preserve"> 119. El representante señaló que para la determinación del  daño  moral  se</w:t>
        <w:br/>
        <w:t xml:space="preserve">      tuvo en  consideración  que  los  trabajadores  han  sido  “objeto  de</w:t>
        <w:br/>
        <w:t xml:space="preserve">      sufrimientos de orden  psicológico  y/o  emocional,  que  suponen  […]</w:t>
        <w:br/>
        <w:t xml:space="preserve">      angustias,  incertidumbres,  expectativas  y  frustraciones”  por  “un</w:t>
        <w:br/>
        <w:t xml:space="preserve">      litigio judicial de extraordinaria duración  mayor  a  los  diecisiete</w:t>
        <w:br/>
        <w:t xml:space="preserve">      (17) años para obtener el reconocimiento de su derecho y el pago de la</w:t>
        <w:br/>
        <w:t xml:space="preserve">      reparación que legítimamente les corresponde”.</w:t>
        <w:br/>
        <w:br/>
        <w:t xml:space="preserve"> 120. Al respecto, la Corte considera que, a raíz  de  la  duración  de  los</w:t>
        <w:br/>
        <w:t xml:space="preserve">      procesos internos e internacionales correspondientes al presente caso,</w:t>
        <w:br/>
        <w:t xml:space="preserve">      las 233 víctimas deben haber sufrido una serie  de  afectaciones.  Sin</w:t>
        <w:br/>
        <w:t xml:space="preserve">      embargo, el Tribunal observa que el fondo  del  presente  caso  se  ha</w:t>
        <w:br/>
        <w:t xml:space="preserve">      circunscrito a la violación de los derechos a la protección judicial y</w:t>
        <w:br/>
        <w:t xml:space="preserve">      a la propiedad (supra párrs. 76 y 85). En el presente caso no ha  sido</w:t>
        <w:br/>
        <w:t xml:space="preserve">      declarada una violación relacionada con la irrazonabilidad  del  plazo</w:t>
        <w:br/>
        <w:t xml:space="preserve">      en que se tramitaron los  procesos  judiciales.  De  otra  parte,  con</w:t>
        <w:br/>
        <w:t xml:space="preserve">      posterioridad al reconocimiento de responsabilidad  efectuado  por  el</w:t>
        <w:br/>
        <w:t xml:space="preserve">      Estado en 2002, la demora se relaciona con la falta de  acuerdo  entre</w:t>
        <w:br/>
        <w:t xml:space="preserve">      las partes  sobre  el  monto  correspondiente  a  las  indemnizaciones</w:t>
        <w:br/>
        <w:t xml:space="preserve">      debidas. En este sentido, esta demora no es necesariamente  atribuible</w:t>
        <w:br/>
        <w:t xml:space="preserve">      al Estado y por ello no es un factor que pueda ser relevante  para  la</w:t>
        <w:br/>
        <w:t xml:space="preserve">      determinación del daño inmaterial.</w:t>
        <w:br/>
        <w:br/>
        <w:br/>
        <w:t xml:space="preserve">      c.2.2 Las supuestas represalias en contra de algunas de las víctimas</w:t>
        <w:br/>
        <w:br/>
        <w:t xml:space="preserve"> 121. Asimismo, el representante señaló que se debía tener en  consideración</w:t>
        <w:br/>
        <w:t xml:space="preserve">      que los 225 trabajadores que impulsaron el primer proceso, 185 de  los</w:t>
        <w:br/>
        <w:t xml:space="preserve">      cuales son víctimas del presente caso, han sido objeto de sufrimientos</w:t>
        <w:br/>
        <w:t xml:space="preserve">       por “diversas formas de represalia que  ha  desarrollado  la  Empresa</w:t>
        <w:br/>
        <w:t xml:space="preserve">      SEDAPAL a causa de esta  [r]eclamación,  tanto  en  la  [j]urisdicción</w:t>
        <w:br/>
        <w:t xml:space="preserve">      [i]nterna como en la [i]nternacional[109], mediante la congelación  de</w:t>
        <w:br/>
        <w:t xml:space="preserve">      sus  salarios  sin  derecho  a  aumento  por  más  de  dos  […]   años</w:t>
        <w:br/>
        <w:t xml:space="preserve">      consecutivos, y  luego  mediante  la  indebida  ubicación  en  la  sub</w:t>
        <w:br/>
        <w:t xml:space="preserve">      categoría más baja de su [n]ivel [j]erárquico – [s]alarial a pesar  de</w:t>
        <w:br/>
        <w:t xml:space="preserve">      tener los méritos suficientes para merecer la subcategoría más  alta”.</w:t>
        <w:br/>
        <w:t xml:space="preserve">      Además, indicó que las diversas formas de represalia “han culminado en</w:t>
        <w:br/>
        <w:t xml:space="preserve">      el despido de su  [c]entro  de  [t]rabajo,  de  más  del  50%  de  los</w:t>
        <w:br/>
        <w:t xml:space="preserve">      [t]rabajadores     […]     materia     del     presente      [p]roceso</w:t>
        <w:br/>
        <w:t xml:space="preserve">      [i]nternacional”[110], “y la subsecuente  imposibilidad  de  encontrar</w:t>
        <w:br/>
        <w:t xml:space="preserve">      otro empleo debido a sus edades que en promedio  superaron  a  los  45</w:t>
        <w:br/>
        <w:t xml:space="preserve">      años”. El representante señaló que “[l]amentablemente no existe prueba</w:t>
        <w:br/>
        <w:t xml:space="preserve">      concreta de [dichos] actos violatorios”, “que […] no se trata  de  una</w:t>
        <w:br/>
        <w:t xml:space="preserve">      masiva coincidencia” el que los trabajadores que denunciaran a SEDAPAL</w:t>
        <w:br/>
        <w:t xml:space="preserve">      hayan sido afectados por tales alegadas  represalias  y  que,  en  ese</w:t>
        <w:br/>
        <w:t xml:space="preserve">      sentido, “se present[a] la  presunción  legal  de  [la]  comisión  [de</w:t>
        <w:br/>
        <w:t xml:space="preserve">      dichos actos] por la [e]mpresa”.</w:t>
        <w:br/>
        <w:br/>
        <w:t xml:space="preserve"> 122. Al respecto, el Tribunal recuerda que las reparaciones deben tener  un</w:t>
        <w:br/>
        <w:t xml:space="preserve">      nexo causal con los hechos del caso, las violaciones  declaradas,  los</w:t>
        <w:br/>
        <w:t xml:space="preserve">      daños acreditados, así como con las medidas solicitadas  para  reparar</w:t>
        <w:br/>
        <w:t xml:space="preserve">      los daños respectivos (supra párr. 87). Por lo tanto,  la  Corte  debe</w:t>
        <w:br/>
        <w:t xml:space="preserve">      observar dicha concurrencia para pronunciarse debidamente y conforme a</w:t>
        <w:br/>
        <w:t xml:space="preserve">      derecho[111].  En  el  presente  caso,  el  Tribunal  no  analizó   la</w:t>
        <w:br/>
        <w:t xml:space="preserve">      responsabilidad estatal por la supuesta congelación  de  salarios,  la</w:t>
        <w:br/>
        <w:t xml:space="preserve">      alegada indebida ubicación en subcategorías laborales o los  supuestos</w:t>
        <w:br/>
        <w:t xml:space="preserve">      despidos arbitrarios de algunas  de  las  víctimas,  dado  que  dichos</w:t>
        <w:br/>
        <w:t xml:space="preserve">      hechos no forman parte del marco fáctico de la  demanda  (supra  párr.</w:t>
        <w:br/>
        <w:t xml:space="preserve">      51), por lo que no puede ordenar medidas que se dirijan a reparar  los</w:t>
        <w:br/>
        <w:t xml:space="preserve">      perjuicios relacionados con dichas alegadas  situaciones.  Además,  la</w:t>
        <w:br/>
        <w:t xml:space="preserve">      Corte observa que el representante no precisó los  hechos  específicos</w:t>
        <w:br/>
        <w:t xml:space="preserve">      vinculados a dichos alegados hechos ni la vinculación  de  los  mismos</w:t>
        <w:br/>
        <w:t xml:space="preserve">      como represalias por la impugnación de la aplicación  retroactiva  del</w:t>
        <w:br/>
        <w:t xml:space="preserve">      Decreto Ley  No.  25876  y  el  posterior  desistimiento  del  proceso</w:t>
        <w:br/>
        <w:t xml:space="preserve">      judicial de algunas de las víctimas. Asimismo, dichos hechos exigen un</w:t>
        <w:br/>
        <w:t xml:space="preserve">      específico agotamiento de recursos internos[112] y otro tipo de prueba</w:t>
        <w:br/>
        <w:t xml:space="preserve">      que no ha sido acreditada en el expediente del presente caso.</w:t>
        <w:br/>
        <w:br/>
        <w:t xml:space="preserve">      c.2.3 La supuesta “conducta temeraria” del Estado al no haber  llegado</w:t>
        <w:br/>
        <w:t xml:space="preserve">           a un acuerdo en el proceso de solución amistosa y por cuestionar</w:t>
        <w:br/>
        <w:t xml:space="preserve">           los montos de reparación propuestos por el representante</w:t>
        <w:br/>
        <w:br/>
        <w:t xml:space="preserve"> 123. Por otro lado, el representante señaló como causa de  afectación,  “la</w:t>
        <w:br/>
        <w:t xml:space="preserve">      conducta  temeraria  del  Estado  y  la  empresa  SEDAPAL  [al]  haber</w:t>
        <w:br/>
        <w:t xml:space="preserve">      ilusionado a las víctimas con una solución amistosa que nunca llegó  y</w:t>
        <w:br/>
        <w:t xml:space="preserve">      con una implementación […] que nunca  se  cumplió”.  Además,  para  el</w:t>
        <w:br/>
        <w:t xml:space="preserve">      representante dicha conducta temeraria del  Estado  y  la  empresa  se</w:t>
        <w:br/>
        <w:t xml:space="preserve">      evidencia  en  que  “lejos   de   manifestar   un   [s]entimiento   de</w:t>
        <w:br/>
        <w:t xml:space="preserve">      [a]rrepentimiento y un  [p]ropósito  de  [e]nmienda  respecto  de  las</w:t>
        <w:br/>
        <w:t xml:space="preserve">      violaciones perpetradas,  […]  cuestion[en]  la  [r]eparación  de  los</w:t>
        <w:br/>
        <w:t xml:space="preserve">      [d]años de orden [m]aterial y [m]oral, pretendiendo reducirlos  a  una</w:t>
        <w:br/>
        <w:t xml:space="preserve">      mínima expresión”.</w:t>
        <w:br/>
        <w:br/>
        <w:t xml:space="preserve"> 124. Sobre el particular, el Tribunal considera necesario recordar  que  el</w:t>
        <w:br/>
        <w:t xml:space="preserve">      procedimiento  de  solución  amistosa   a   nivel   de   la   Comisión</w:t>
        <w:br/>
        <w:t xml:space="preserve">      Interamericana no obliga a ninguna  de  las  partes  a  arribar  a  un</w:t>
        <w:br/>
        <w:t xml:space="preserve">      acuerdo. En ese sentido, el propio Reglamento de la Comisión establece</w:t>
        <w:br/>
        <w:t xml:space="preserve">      la posibilidad de que alguna de las partes no preste su consentimiento</w:t>
        <w:br/>
        <w:t xml:space="preserve">      respecto a un posible acuerdo y determina como parte del procedimiento</w:t>
        <w:br/>
        <w:t xml:space="preserve">      la continuación del caso[113]. De esta  manera,  el  que  no  se  haya</w:t>
        <w:br/>
        <w:t xml:space="preserve">      concretado un acuerdo  en  el  marco  del  procedimiento  de  solución</w:t>
        <w:br/>
        <w:t xml:space="preserve">      amistosa en el presente  caso  no  configura  violación  alguna  a  la</w:t>
        <w:br/>
        <w:t xml:space="preserve">      Convención Americana y, en ese sentido, no genera  una  obligación  de</w:t>
        <w:br/>
        <w:t xml:space="preserve">      reparar por parte  del  Estado.  El  Tribunal  recuerda  que  no  toda</w:t>
        <w:br/>
        <w:t xml:space="preserve">      posición adoptada dentro del marco del procedimiento ante la  Comisión</w:t>
        <w:br/>
        <w:t xml:space="preserve">      genera   automáticamente   un   reconocimiento   de   hechos   o    de</w:t>
        <w:br/>
        <w:t xml:space="preserve">      responsabilidad, ni la asunción de un deber correspondiente.</w:t>
        <w:br/>
        <w:br/>
        <w:t xml:space="preserve"> 125. Asimismo, la Corte hace notar que el  cuestionamiento  de  los  montos</w:t>
        <w:br/>
        <w:t xml:space="preserve">      solicitados por concepto de daño material e  inmaterial  se  relaciona</w:t>
        <w:br/>
        <w:t xml:space="preserve">      con el principio del contradictorio  y  no  constituye  una  violación</w:t>
        <w:br/>
        <w:t xml:space="preserve">      autónoma  que  determine  la  obligación  estatal  de  reparar  a  las</w:t>
        <w:br/>
        <w:t xml:space="preserve">      víctimas, ni es un factor a tener en cuenta para establecer  el  monto</w:t>
        <w:br/>
        <w:t xml:space="preserve">      del daño inmaterial en el presente caso.</w:t>
        <w:br/>
        <w:br/>
        <w:t xml:space="preserve">      c.2.4 La alegada afectación al proyecto de vida de las víctimas</w:t>
        <w:br/>
        <w:br/>
        <w:t xml:space="preserve"> 126. El representante alegó la afectación  del  proyecto  de  vida  de  las</w:t>
        <w:br/>
        <w:t xml:space="preserve">      víctimas al señalar que “no se trata  sólo  del  perjuicio  que  puede</w:t>
        <w:br/>
        <w:t xml:space="preserve">      ocasionar el descuento del 20% de  las  [r]emuneraciones  [m]ensuales,</w:t>
        <w:br/>
        <w:t xml:space="preserve">      [ya] que calculando los perjuicios sufridos tenemos, un 25% menos  del</w:t>
        <w:br/>
        <w:t xml:space="preserve">      [s]alario [m]ensual como resultado de la [o]misión de [i]ncremento  de</w:t>
        <w:br/>
        <w:t xml:space="preserve">      [r]emuneraciones a partir de [j]ulio de 1992, más un 20% del [s]alario</w:t>
        <w:br/>
        <w:t xml:space="preserve">      mensual que se rebaja a partir del mes de [d]iciembre de 1992, más  el</w:t>
        <w:br/>
        <w:t xml:space="preserve">      descuento del 20% del [s]alario [m]ensual que se practica a partir del</w:t>
        <w:br/>
        <w:t xml:space="preserve">      mes de [m]arzo de 1993 por el  pretendido,  según  el  Estado,  [p]ago</w:t>
        <w:br/>
        <w:t xml:space="preserve">      [i]ndebido por el período [e]nero a [n]oviembre de  1992,  tenemos  un</w:t>
        <w:br/>
        <w:t xml:space="preserve">      total  de  65%  del  [s]alario  [m]ensual  que  los  [t]rabajadores  –</w:t>
        <w:br/>
        <w:t xml:space="preserve">      [v]íctimas dejan de percibir y si a ello se suman las cargas  fiscales</w:t>
        <w:br/>
        <w:t xml:space="preserve">      de más o menos un 20%, tenemos un gran total de 85% con que  han  sido</w:t>
        <w:br/>
        <w:t xml:space="preserve">      afectadas  las  [r]emuneraciones   de   las   [v]íctimas”.   Para   el</w:t>
        <w:br/>
        <w:t xml:space="preserve">      representante,  ese  “85%  menos  en  las  [r]emuneraciones   de   las</w:t>
        <w:br/>
        <w:t xml:space="preserve">      [v]íctimas”,  “s[í]  constituyen  actos  cuya  incidencia  es  de  tal</w:t>
        <w:br/>
        <w:t xml:space="preserve">      magnitud, hasta el punto de afectar el [p]royecto  de  [v]ida  de  las</w:t>
        <w:br/>
        <w:t xml:space="preserve">      [v]íctimas y de sus  familiares,  ocasionando  que  una  familia  deba</w:t>
        <w:br/>
        <w:t xml:space="preserve">      cambiar por completo sus planes de vida, tipo de  educación,  estudios</w:t>
        <w:br/>
        <w:t xml:space="preserve">      de Post Grado y acceso a la [v]ivienda entre otros perjuicios”.</w:t>
        <w:br/>
        <w:br/>
        <w:t xml:space="preserve"> 127. Por su parte, el Estado puntualizó que las víctimas “al momento de  la</w:t>
        <w:br/>
        <w:t xml:space="preserve">      nueva  estructura  salarial  obtuvieron  un  sueldo  que  en  promedio</w:t>
        <w:br/>
        <w:t xml:space="preserve">      superaba en 14% lo percibido por ellos mediante los ratios salariales,</w:t>
        <w:br/>
        <w:t xml:space="preserve">      en este sentido no puede hablarse de grave menoscabo de oportunidad de</w:t>
        <w:br/>
        <w:t xml:space="preserve">      desarrollo  personal  máxime  si  a  través  del  tiempo  y  hasta  la</w:t>
        <w:br/>
        <w:t xml:space="preserve">      actualidad [las] víctimas han percibido  y  en  la  mayoría  de  casos</w:t>
        <w:br/>
        <w:t xml:space="preserve">      continúan percibiendo sueldos que oscilan entre los S/.5 061.41 nuevos</w:t>
        <w:br/>
        <w:t xml:space="preserve">      soles (cinco mil sesenta y uno nuevos soles), y S/.  18.924.00  nuevos</w:t>
        <w:br/>
        <w:t xml:space="preserve">      soles (dieciocho mil novecientos veinticuatro nuevos soles) vale decir</w:t>
        <w:br/>
        <w:t xml:space="preserve">      sueldos que en promedio superan en 21.8 veces la  remuneración  mínima</w:t>
        <w:br/>
        <w:t xml:space="preserve">      en el Perú”.</w:t>
        <w:br/>
        <w:br/>
        <w:t xml:space="preserve"> 128. La Corte resalta que, de  las  233  víctimas,  el  representante  sólo</w:t>
        <w:br/>
        <w:t xml:space="preserve">      presentó 131 declaraciones juradas, mediante  las  cuales  se  intentó</w:t>
        <w:br/>
        <w:t xml:space="preserve">      probar el daño inmaterial que se habría causado  a  las  mismas.  Este</w:t>
        <w:br/>
        <w:t xml:space="preserve">      Tribunal considera que en casos en que no sea posible  vislumbrar  con</w:t>
        <w:br/>
        <w:t xml:space="preserve">      claridad y  certeza  el  daño  inmaterial  de  las  víctimas,  por  no</w:t>
        <w:br/>
        <w:t xml:space="preserve">      tratarse, por ejemplo, de graves violaciones de derechos  humanos,  la</w:t>
        <w:br/>
        <w:t xml:space="preserve">      carga de la prueba del  representante  es  aún  mayor  a  la  hora  de</w:t>
        <w:br/>
        <w:t xml:space="preserve">      fundamentar el nexo causal entre la violación a  la  Convención  y  el</w:t>
        <w:br/>
        <w:t xml:space="preserve">      daño alegado. En caso de no probarse de manera  detallada  dicho  nexo</w:t>
        <w:br/>
        <w:t xml:space="preserve">      causal, la Corte no puede  intentar  determinar  un  daño  que  no  se</w:t>
        <w:br/>
        <w:t xml:space="preserve">      encuentra plenamente probado. De allí que en estos casos  se  requiere</w:t>
        <w:br/>
        <w:t xml:space="preserve">      argumentar sobre la prueba de manera completa y precisa  para  adoptar</w:t>
        <w:br/>
        <w:t xml:space="preserve">      una decisión fundamentada al respecto.</w:t>
        <w:br/>
        <w:br/>
        <w:t xml:space="preserve"> 129. Entre las declaraciones juradas  que  fueron  remitidas,  el  Tribunal</w:t>
        <w:br/>
        <w:t xml:space="preserve">      observa que en su declaración ante fedatario  público  el  señor  Juan</w:t>
        <w:br/>
        <w:t xml:space="preserve">      Eroídes Vargas  Vergaray  manifestó  que,  “a  causa  de  las  rebajas</w:t>
        <w:br/>
        <w:t xml:space="preserve">      producidas a [sus] remuneraciones y no incremento de [las mismas], […]</w:t>
        <w:br/>
        <w:t xml:space="preserve">      dej[ó] de atender la enfermedad de [su]  padre,  puesto  que  con  los</w:t>
        <w:br/>
        <w:t xml:space="preserve">      ingresos que [l]e fueron mermados, dej[ó] de comprar las medicinas que</w:t>
        <w:br/>
        <w:t xml:space="preserve">      por vida debía […] tomar a partir de 1980”.  Dicha  enfermedad  habría</w:t>
        <w:br/>
        <w:t xml:space="preserve">      causado la muerte de su padre en el año 1995. En el mismo sentido,  el</w:t>
        <w:br/>
        <w:t xml:space="preserve">      señor Luis Humberto Tori Gentille manifestó que  su  situación  habría</w:t>
        <w:br/>
        <w:t xml:space="preserve">      perjudicado “directamente a [su] familia[,] a  tal  extremo  de  haber</w:t>
        <w:br/>
        <w:t xml:space="preserve">      fallecido [su] madre […] afectada por una enfermedad  que  se  aceleró</w:t>
        <w:br/>
        <w:t xml:space="preserve">      como consecuencia  de  [su]  despido,  toda  vez  que  era  totalmente</w:t>
        <w:br/>
        <w:t xml:space="preserve">      dependiente de [él] en lo que  respecta  a  su  bienestar  […]  y  […]</w:t>
        <w:br/>
        <w:t xml:space="preserve">      subsistencia”. Por su parte,  la  señora  Juana  Luz  Rodríguez  Puell</w:t>
        <w:br/>
        <w:t xml:space="preserve">      declaró que “tuv[o] que cambiar a [su]s hijos de colegio [y que] en el</w:t>
        <w:br/>
        <w:t xml:space="preserve">      caso de su hijo quien tiene  […]  necesidades  especiales,  dej[ó]  de</w:t>
        <w:br/>
        <w:t xml:space="preserve">      darle terapias muy importantes para su desarrollo, lo cual ha  causado</w:t>
        <w:br/>
        <w:t xml:space="preserve">      un enorme retraso en […] su salud”.  Asimismo,  “[t]uv[o]  que  vender</w:t>
        <w:br/>
        <w:t xml:space="preserve">      [su] casa que había adquirido con  un  [c]rédito  [h]ipotecario,  para</w:t>
        <w:br/>
        <w:t xml:space="preserve">      cancelar este crédito, ya que  no  podía  continuar  pagándol[o]”.  El</w:t>
        <w:br/>
        <w:t xml:space="preserve">      señor Carlos Alfredo Malaver Heredia manifestó que “dej[ó] de  atender</w:t>
        <w:br/>
        <w:t xml:space="preserve">      […] la educación de sus dos hijos, [en particular] sacrific[ó] a  [su]</w:t>
        <w:br/>
        <w:t xml:space="preserve">      hijo varón a que trabaje con el fin de [que] aport[ara] a  los  gastos</w:t>
        <w:br/>
        <w:t xml:space="preserve">      familiares y dej[ó] de estudiar”. En la misma línea,  el  señor  Jorge</w:t>
        <w:br/>
        <w:t xml:space="preserve">      Armando Raygada Correa declaró que “tuv[o] que endeudarse con empresas</w:t>
        <w:br/>
        <w:t xml:space="preserve">      bancarias para poder darles una  educación  de  medio  nivel  a  [su]s</w:t>
        <w:br/>
        <w:t xml:space="preserve">      hijos”.</w:t>
        <w:br/>
        <w:br/>
        <w:t xml:space="preserve"> 130. La Corte considera que cualquier trabajador organiza  sus  finanzas  y</w:t>
        <w:br/>
        <w:t xml:space="preserve">      realiza sus proyecciones de gasto sobre la  base  de  su  salario.  La</w:t>
        <w:br/>
        <w:t xml:space="preserve">      posibilidad de disponer  mensualmente  de  ingresos  otorga  seguridad</w:t>
        <w:br/>
        <w:t xml:space="preserve">      económica a los trabajadores para poder hacer frente a sus  diferentes</w:t>
        <w:br/>
        <w:t xml:space="preserve">      necesidades. A través de sus declaraciones, algunas de las víctimas se</w:t>
        <w:br/>
        <w:t xml:space="preserve">      han referido a su caso particular y, en algunos casos, al de  las  233</w:t>
        <w:br/>
        <w:t xml:space="preserve">      víctimas en el presente caso, para informar sobre las  dificultades  y</w:t>
        <w:br/>
        <w:t xml:space="preserve">      necesidades que generó la disminución, el descuento y el no incremento</w:t>
        <w:br/>
        <w:t xml:space="preserve">      de sus  salarios.  Así,  algunos  de  ellos  habrían  comprometido  su</w:t>
        <w:br/>
        <w:t xml:space="preserve">      patrimonio a través de préstamos o la venta  de  sus  bienes,  habrían</w:t>
        <w:br/>
        <w:t xml:space="preserve">      perdido la oportunidad de apoyar económicamente a familiares  enfermos</w:t>
        <w:br/>
        <w:t xml:space="preserve">      o tuvieron que adaptarse a una nueva realidad socioeconómica. De  esta</w:t>
        <w:br/>
        <w:t xml:space="preserve">      manera su seguridad económica y la posibilidad de disposición  de  los</w:t>
        <w:br/>
        <w:t xml:space="preserve">      ingresos con los que contaban mensualmente se  vieron  afectadas  ante</w:t>
        <w:br/>
        <w:t xml:space="preserve">      las acciones violatorias del Estado ya declaradas en el capítulo  VII.</w:t>
        <w:br/>
        <w:t xml:space="preserve">      Sin embargo, la Corte ha establecido que la omisión en  el  incremento</w:t>
        <w:br/>
        <w:t xml:space="preserve">      de salarios ocurrió sólo hasta 1993 (supra párr. 114). Al respecto, el</w:t>
        <w:br/>
        <w:t xml:space="preserve">      Tribunal observa que no se presentó suficiente prueba sobre los hechos</w:t>
        <w:br/>
        <w:t xml:space="preserve">      alegados por algunas víctimas, por lo que no es posible  determinarlos</w:t>
        <w:br/>
        <w:t xml:space="preserve">      temporalmente y, en consecuencia, no es  posible  asociarlos  con  los</w:t>
        <w:br/>
        <w:t xml:space="preserve">      perjuicios sufridos por las específicas violaciones declaradas  en  el</w:t>
        <w:br/>
        <w:t xml:space="preserve">      presente caso.</w:t>
        <w:br/>
        <w:br/>
        <w:br/>
        <w:t xml:space="preserve">      c.2.5 Consideraciones finales del Tribunal sobre el daño inmaterial en</w:t>
        <w:br/>
        <w:t xml:space="preserve">           el presente caso</w:t>
        <w:br/>
        <w:br/>
        <w:br/>
        <w:t xml:space="preserve"> 131. No obstante  todo  lo  anterior,  la  Corte  debe  reconocer  que  las</w:t>
        <w:br/>
        <w:t xml:space="preserve">      violaciones que ha declarado en esta Sentencia sí produjeron  un  daño</w:t>
        <w:br/>
        <w:t xml:space="preserve">      inmaterial, pues es propio de la naturaleza humana  que  toda  persona</w:t>
        <w:br/>
        <w:t xml:space="preserve">      que padece  una  violación  a  sus  derechos  humanos  experimente  un</w:t>
        <w:br/>
        <w:t xml:space="preserve">      sufrimiento[114].</w:t>
        <w:br/>
        <w:br/>
        <w:t xml:space="preserve"> 132. La jurisprudencia internacional ha establecido reiteradamente  que  la</w:t>
        <w:br/>
        <w:t xml:space="preserve">      Sentencia puede constituir per se una  forma  de  reparación[115].  No</w:t>
        <w:br/>
        <w:t xml:space="preserve">      obstante, considerando las circunstancias  del  caso  sub  judice,  la</w:t>
        <w:br/>
        <w:t xml:space="preserve">      Corte  estima  pertinente  fijar  una  cantidad,  en   equidad,   como</w:t>
        <w:br/>
        <w:t xml:space="preserve">      compensación por concepto de daños inmateriales[116]. En consecuencia,</w:t>
        <w:br/>
        <w:t xml:space="preserve">      la Corte fija en equidad una compensación de US$ 1.500 (mil quinientos</w:t>
        <w:br/>
        <w:t xml:space="preserve">      dólares de los Estados Unidos de América), como indemnización por daño</w:t>
        <w:br/>
        <w:t xml:space="preserve">      inmaterial. El mencionado monto deberá ser entregado a cada víctima  o</w:t>
        <w:br/>
        <w:t xml:space="preserve">      a su derechohabiente dentro de un plazo de  un  año  a  partir  de  la</w:t>
        <w:br/>
        <w:t xml:space="preserve">      notificación de la presente Sentencia.</w:t>
        <w:br/>
        <w:br/>
        <w:t>D.    Costas y gastos</w:t>
        <w:br/>
        <w:br/>
        <w:br/>
        <w:br/>
        <w:t xml:space="preserve"> 133. Como ya lo ha señalado  la  Corte  en  oportunidades  anteriores,  las</w:t>
        <w:br/>
        <w:t xml:space="preserve">      costas y gastos están comprendidos dentro del concepto  de  reparación</w:t>
        <w:br/>
        <w:t xml:space="preserve">      establecido en el artículo 63.1 de la Convención Americana[117].</w:t>
        <w:br/>
        <w:br/>
        <w:br/>
        <w:br/>
        <w:t xml:space="preserve"> 134. La Comisión solicitó  que  “una  vez  escuchad[o]”  el  representante,</w:t>
        <w:br/>
        <w:t xml:space="preserve">      ordene al Estado “el  pago  de  las  costas  y  gastos  que  se  hayan</w:t>
        <w:br/>
        <w:t xml:space="preserve">      originado y se originen de la tramitación del presente caso  tanto  en</w:t>
        <w:br/>
        <w:t xml:space="preserve">      el ámbito interno como ante el [S]istema [I]nteramericano”.</w:t>
        <w:br/>
        <w:br/>
        <w:br/>
        <w:br/>
        <w:t xml:space="preserve"> 135. El representante indicó que “por la imposibilidad de  acreditación  de</w:t>
        <w:br/>
        <w:t xml:space="preserve">      algunos gastos y con el objeto de  simplificar  el  trámite  y  evitar</w:t>
        <w:br/>
        <w:t xml:space="preserve">      recargar  más  las  importantes  y  delicadas  labores  del   Tribunal</w:t>
        <w:br/>
        <w:t xml:space="preserve">      [i]nternacional, solicit[a] que sea el justo y equitativo criterio  de</w:t>
        <w:br/>
        <w:t xml:space="preserve">      la Corte” el que “establezca el monto que se deberá reembolsar por  el</w:t>
        <w:br/>
        <w:t xml:space="preserve">      citado concepto”.</w:t>
        <w:br/>
        <w:br/>
        <w:br/>
        <w:br/>
        <w:t xml:space="preserve"> 136. Por su parte, el Estado destacó  que  “[le]  parece  inaceptable  [la]</w:t>
        <w:br/>
        <w:t xml:space="preserve">      pretensión [del representante] sin cumplir con presentar los recibos y</w:t>
        <w:br/>
        <w:t xml:space="preserve">      demás documentos que justifiquen la procedencia de la  reparación.  El</w:t>
        <w:br/>
        <w:t xml:space="preserve">      Estado peruano señaló que sólo procede el pago de costas y  gastos  si</w:t>
        <w:br/>
        <w:t xml:space="preserve">      existen recibos,  pasajes  o  demás  documentos  que  prueben  que  el</w:t>
        <w:br/>
        <w:t xml:space="preserve">      desembolso se realizó con  ocasión  del  presente  proceso”.  De  esta</w:t>
        <w:br/>
        <w:t xml:space="preserve">      manera, en sus alegatos  finales,  el  Estado  señaló  que  “no  puede</w:t>
        <w:br/>
        <w:t xml:space="preserve">      aceptar que se plantee a la Corte que confiera una suma  abierta,  sin</w:t>
        <w:br/>
        <w:t xml:space="preserve">      presentar sustentación  alguna  de  los  gastos  realizados  [por  las</w:t>
        <w:br/>
        <w:t xml:space="preserve">      víctimas y su representante]”.</w:t>
        <w:br/>
        <w:br/>
        <w:br/>
        <w:br/>
        <w:t xml:space="preserve"> 137. El Tribunal ha señalado que “las pretensiones de las  víctimas  o  sus</w:t>
        <w:br/>
        <w:t xml:space="preserve">      representantes en materia de costas y gastos, y las  pruebas  que  las</w:t>
        <w:br/>
        <w:t xml:space="preserve">      sustentan, deben presentarse a la Corte en el primer momento  procesal</w:t>
        <w:br/>
        <w:t xml:space="preserve">      que  se  les  concede,  esto  es,  en  el  escrito  de  solicitudes  y</w:t>
        <w:br/>
        <w:t xml:space="preserve">      argumentos, sin perjuicio de que tales pretensiones se  actualicen  en</w:t>
        <w:br/>
        <w:t xml:space="preserve">      un momento posterior, conforme a las nuevas costas y gastos en que  se</w:t>
        <w:br/>
        <w:t xml:space="preserve">      haya incurrido con  ocasión  del  procedimiento”[118].  En  cuanto  al</w:t>
        <w:br/>
        <w:t xml:space="preserve">      reembolso de las costas y gastos,  corresponde  al  Tribunal  apreciar</w:t>
        <w:br/>
        <w:t xml:space="preserve">      prudentemente su alcance, el cual comprende los gastos generados  ante</w:t>
        <w:br/>
        <w:t xml:space="preserve">      las autoridades de la jurisdicción interna, así como los generados  en</w:t>
        <w:br/>
        <w:t xml:space="preserve">      el curso del proceso  ante  el  Sistema  Interamericano,  teniendo  en</w:t>
        <w:br/>
        <w:t xml:space="preserve">      cuenta las circunstancias del caso concreto  y  la  naturaleza  de  la</w:t>
        <w:br/>
        <w:t xml:space="preserve">      jurisdicción internacional de protección de los derechos humanos. Esta</w:t>
        <w:br/>
        <w:t xml:space="preserve">      apreciación puede ser realizada con base en el principio de equidad  y</w:t>
        <w:br/>
        <w:t xml:space="preserve">      tomando en cuenta los gastos señalados por las partes, siempre que  su</w:t>
        <w:br/>
        <w:t xml:space="preserve">      quantum sea razonable[119].</w:t>
        <w:br/>
        <w:br/>
        <w:br/>
        <w:br/>
        <w:t xml:space="preserve"> 138. En el presente caso  el  Tribunal  observa  que  el  representante  no</w:t>
        <w:br/>
        <w:t xml:space="preserve">      remitió comprobantes que acreditaran el monto alcanzado por los gastos</w:t>
        <w:br/>
        <w:t xml:space="preserve">      en que éste y las víctimas debieron incurrir en el trámite  del  caso.</w:t>
        <w:br/>
        <w:t xml:space="preserve">      Por tal razón, con fundamento en lo dispuesto en el artículo 58.b  del</w:t>
        <w:br/>
        <w:t xml:space="preserve">      Reglamento, se requirió al representante que presentara  una  relación</w:t>
        <w:br/>
        <w:t xml:space="preserve">      de costas y gastos y los documentos de prueba respectivos, en un plazo</w:t>
        <w:br/>
        <w:t xml:space="preserve">      improrrogable hasta el 28 de enero de 2011[120]. Dicha información  no</w:t>
        <w:br/>
        <w:t xml:space="preserve">      fue recibida[121].</w:t>
        <w:br/>
        <w:br/>
        <w:br/>
        <w:br/>
        <w:t xml:space="preserve"> 139. No obstante ello, el  Tribunal  puede  inferir  que  el  representante</w:t>
        <w:br/>
        <w:t xml:space="preserve">      incurrió en gastos para asistir a la audiencia pública del caso (supra</w:t>
        <w:br/>
        <w:t xml:space="preserve">      párr.  12),  así  como  en  gastos  relativos  al  ejercicio   de   su</w:t>
        <w:br/>
        <w:t xml:space="preserve">      representación legal, tales como la remisión de sus  escritos,  gastos</w:t>
        <w:br/>
        <w:t xml:space="preserve">      de comunicación, entre otros, durante  el  proceso  ante  esta  Corte.</w:t>
        <w:br/>
        <w:t xml:space="preserve">      Asimismo, es razonable suponer que durante los  años  de  trámite  del</w:t>
        <w:br/>
        <w:t xml:space="preserve">      presente caso  ante  la  Comisión  las  víctimas  y  el  representante</w:t>
        <w:br/>
        <w:t xml:space="preserve">      realizaron erogaciones económicas. Teniendo en cuenta  lo  anterior  y</w:t>
        <w:br/>
        <w:t xml:space="preserve">      ante la falta de comprobantes de  estos  gastos,  la  Corte  fija,  en</w:t>
        <w:br/>
        <w:t xml:space="preserve">      equidad, que  el  Estado  debe  entregar  la  cantidad  total  de  US$</w:t>
        <w:br/>
        <w:t xml:space="preserve">      15.000,00 (quince mil dólares de los Estados Unidos de América)  o  su</w:t>
        <w:br/>
        <w:t xml:space="preserve">      equivalente en moneda peruana, por concepto de costas y gastos  en  el</w:t>
        <w:br/>
        <w:t xml:space="preserve">      litigio del presente caso. Dicha cantidad deberá ser liquidada por  el</w:t>
        <w:br/>
        <w:t xml:space="preserve">      Estado al representante, el cual la entregará a  quienes  corresponda.</w:t>
        <w:br/>
        <w:t xml:space="preserve">      Igualmente,  señala  que  en  el  procedimiento  de  supervisión   del</w:t>
        <w:br/>
        <w:t xml:space="preserve">      cumplimiento de la presente Sentencia podrá disponer  el  reembolso  a</w:t>
        <w:br/>
        <w:t xml:space="preserve">      las víctimas o su representante, por parte del Estado, de  los  gastos</w:t>
        <w:br/>
        <w:t xml:space="preserve">      razonables en que incurran en dicha etapa procesal.</w:t>
        <w:br/>
        <w:br/>
        <w:br/>
        <w:br/>
        <w:t>E.    Modalidad de cumplimiento de los pagos ordenados</w:t>
        <w:br/>
        <w:br/>
        <w:br/>
        <w:br/>
        <w:t xml:space="preserve"> 140. El Estado deberá efectuar el pago de las indemnizaciones por  concepto</w:t>
        <w:br/>
        <w:t xml:space="preserve">      de daño material e inmaterial directamente a sus beneficiarios,  y  el</w:t>
        <w:br/>
        <w:t xml:space="preserve">      reintegro de costas y gastos directamente al representante, dentro del</w:t>
        <w:br/>
        <w:t xml:space="preserve">      plazo de un año, contado a partir de la notificación  de  la  presente</w:t>
        <w:br/>
        <w:t xml:space="preserve">      Sentencia, en los términos de los párrafos siguientes.</w:t>
        <w:br/>
        <w:br/>
        <w:br/>
        <w:br/>
        <w:t xml:space="preserve"> 141. En caso de que los  beneficiarios  fallezcan  antes  de  que  les  sea</w:t>
        <w:br/>
        <w:t xml:space="preserve">      entregada la indemnización respectiva, ésta se efectuará  directamente</w:t>
        <w:br/>
        <w:t xml:space="preserve">      a sus derechohabientes, conforme al derecho interno aplicable.</w:t>
        <w:br/>
        <w:br/>
        <w:br/>
        <w:br/>
        <w:t xml:space="preserve"> 142. Salvo en lo que concierne a lo dispuesto en el párrafo 115  supra,  el</w:t>
        <w:br/>
        <w:t xml:space="preserve">      Estado debe cumplir sus obligaciones mediante el pago  en  dólares  de</w:t>
        <w:br/>
        <w:t xml:space="preserve">      los Estados Unidos de América o en un equivalente en  moneda  peruana,</w:t>
        <w:br/>
        <w:t xml:space="preserve">      utilizando para el cálculo respectivo el tipo de  cambio  entre  ambas</w:t>
        <w:br/>
        <w:t xml:space="preserve">      monedas que esté vigente en la bolsa de Nueva York, Estados Unidos  de</w:t>
        <w:br/>
        <w:t xml:space="preserve">      América, el día anterior al pago.</w:t>
        <w:br/>
        <w:br/>
        <w:br/>
        <w:br/>
        <w:t xml:space="preserve"> 143. Si por causas atribuibles a los beneficiarios de las indemnizaciones o</w:t>
        <w:br/>
        <w:t xml:space="preserve">      a sus derechohabientes no fuese posible  el  pago  de  las  cantidades</w:t>
        <w:br/>
        <w:t xml:space="preserve">      determinadas dentro del plazo indicado, el  Estado  consignará  dichos</w:t>
        <w:br/>
        <w:t xml:space="preserve">      montos a su favor en una cuenta  o  certificado  de  depósito  en  una</w:t>
        <w:br/>
        <w:t xml:space="preserve">      institución financiera peruana solvente, en dólares estadounidenses  y</w:t>
        <w:br/>
        <w:t xml:space="preserve">      en  las  condiciones  financieras  más  favorables  que  permitan   la</w:t>
        <w:br/>
        <w:t xml:space="preserve">      legislación y  la  práctica  bancaria.  Si  al  cabo  de  10  años  la</w:t>
        <w:br/>
        <w:t xml:space="preserve">      indemnización no ha sido reclamada, las cantidades serán devueltas  al</w:t>
        <w:br/>
        <w:t xml:space="preserve">      Estado con los intereses devengados.</w:t>
        <w:br/>
        <w:br/>
        <w:br/>
        <w:br/>
        <w:t xml:space="preserve"> 144. Las cantidades asignadas en la presente Sentencia como indemnización y</w:t>
        <w:br/>
        <w:t xml:space="preserve">      como reintegro de  costas  y  gastos  deberán  ser  entregadas  a  las</w:t>
        <w:br/>
        <w:t xml:space="preserve">      personas indicadas en forma íntegra, conforme a lo establecido en este</w:t>
        <w:br/>
        <w:t xml:space="preserve">      fallo, sin reducciones derivadas de eventuales cargas fiscales.</w:t>
        <w:br/>
        <w:br/>
        <w:br/>
        <w:br/>
        <w:t xml:space="preserve"> 145. En caso de que el Estado incurriera en mora, deberá pagar  un  interés</w:t>
        <w:br/>
        <w:t xml:space="preserve">      sobre  la  cantidad  adeudada  correspondiente  al  interés   bancario</w:t>
        <w:br/>
        <w:t xml:space="preserve">      moratorio en Perú.</w:t>
        <w:br/>
        <w:br/>
        <w:br/>
        <w:br/>
        <w:t xml:space="preserve">                                      X</w:t>
        <w:br/>
        <w:t xml:space="preserve">                             PUNTOS RESOLUTIVOS</w:t>
        <w:br/>
        <w:br/>
        <w:t xml:space="preserve"> 146. Por tanto,</w:t>
        <w:br/>
        <w:br/>
        <w:t>LA CORTE</w:t>
        <w:br/>
        <w:br/>
        <w:t>DECLARA,</w:t>
        <w:br/>
        <w:br/>
        <w:t>por unanimidad, que:</w:t>
        <w:br/>
        <w:br/>
        <w:t>1.    Acepta el  reconocimiento  parcial  de  responsabilidad  internacional</w:t>
        <w:br/>
        <w:t>efectuado por el Estado, en los términos de los  párrafos  23  y  26  de  la</w:t>
        <w:br/>
        <w:t>presente Sentencia.</w:t>
        <w:br/>
        <w:br/>
        <w:t>2.    El Estado es responsable por la violación del derecho a la  protección</w:t>
        <w:br/>
        <w:t>judicial establecido en el artículo 25.1, en relación con  el  artículo  1.1</w:t>
        <w:br/>
        <w:t>de la Convención Americana sobre Derechos Humanos, en perjuicio de  las  233</w:t>
        <w:br/>
        <w:t>víctimas en el presente caso, en los términos del párrafo 76 de la  presente</w:t>
        <w:br/>
        <w:t>Sentencia.</w:t>
        <w:br/>
        <w:br/>
        <w:t>3.    El Estado es responsable por la violación del derecho a  la  propiedad</w:t>
        <w:br/>
        <w:t>privada reconocido en los  artículos  21.1  y  21.2,  en  relación  con  los</w:t>
        <w:br/>
        <w:t>artículos 25.1 y 1.1 de la Convención Americana sobre Derechos  Humanos,  en</w:t>
        <w:br/>
        <w:t>perjuicio de las 233 víctimas en el presente caso, en los  términos  de  los</w:t>
        <w:br/>
        <w:t>párrafos 84 y 85 de la presente Sentencia.</w:t>
        <w:br/>
        <w:br/>
        <w:t>Y DISPONE</w:t>
        <w:br/>
        <w:br/>
        <w:t>por unanimidad, que:</w:t>
        <w:br/>
        <w:br/>
        <w:t>4.    Esta Sentencia constituye per se una forma de reparación.</w:t>
        <w:br/>
        <w:br/>
        <w:t>5.    El Estado debe pagar, dentro del  plazo  de  un  año,  las  cantidades</w:t>
        <w:br/>
        <w:t>fijadas en el anexo adjunto al presente Fallo y en  el  párrafo  132  de  la</w:t>
        <w:br/>
        <w:t>presente Sentencia, por  concepto  de  indemnización  por  daño  material  e</w:t>
        <w:br/>
        <w:t>inmaterial y por el reintegro de costas y gastos, según corresponda, en  los</w:t>
        <w:br/>
        <w:t>términos de los párrafos 115, 132, 139 y 140 a 145 de la misma.</w:t>
        <w:br/>
        <w:br/>
        <w:t>6.    El Estado debe, en el plazo de seis meses, realizar la publicación  de</w:t>
        <w:br/>
        <w:t>la presente Sentencia en el Diario Oficial, de conformidad  con  el  párrafo</w:t>
        <w:br/>
        <w:t>92 de la presente Sentencia.</w:t>
        <w:br/>
        <w:br/>
        <w:t>7.    Conforme a lo establecido en la Convención  Americana  sobre  Derechos</w:t>
        <w:br/>
        <w:t>Humanos, la Corte supervisará el cumplimiento íntegro de  esta  Sentencia  y</w:t>
        <w:br/>
        <w:t>dará por concluido el presente caso una vez que el Estado  haya  dado  cabal</w:t>
        <w:br/>
        <w:t>ejecución a lo dispuesto en la misma. Dentro del plazo de un  año  a  partir</w:t>
        <w:br/>
        <w:t>de la notificación de esta Sentencia el Estado deberá rendir al Tribunal  un</w:t>
        <w:br/>
        <w:t>informe sobre las medidas adoptadas para darle cumplimiento.</w:t>
        <w:br/>
        <w:br/>
        <w:t>Redactada en español e inglés, haciendo fe  el  texto  en  español,  en  San</w:t>
        <w:br/>
        <w:t>José, Costa Rica, el 4 de marzo de 2011.</w:t>
        <w:br/>
        <w:br/>
        <w:br/>
        <w:br/>
        <w:br/>
        <w:br/>
        <w:br/>
        <w:br/>
        <w:t xml:space="preserve">                             Leonardo A. Franco</w:t>
        <w:br/>
        <w:t xml:space="preserve">                           Presidente en ejercicio</w:t>
        <w:br/>
        <w:br/>
        <w:br/>
        <w:br/>
        <w:br/>
        <w:br/>
        <w:t>Manuel  E.  Ventura   Robles                                Margarette   May</w:t>
        <w:br/>
        <w:t>Macaulay</w:t>
        <w:br/>
        <w:br/>
        <w:br/>
        <w:br/>
        <w:br/>
        <w:br/>
        <w:t>Rhadys Abreu Blondet                                Alberto Pérez Pérez</w:t>
        <w:br/>
        <w:br/>
        <w:br/>
        <w:br/>
        <w:br/>
        <w:br/>
        <w:t xml:space="preserve">                             Eduardo Vio Grossi</w:t>
        <w:br/>
        <w:br/>
        <w:br/>
        <w:br/>
        <w:br/>
        <w:br/>
        <w:br/>
        <w:t xml:space="preserve">                          Pablo Saavedra Alesandri</w:t>
        <w:br/>
        <w:t xml:space="preserve">                                 Secretario</w:t>
        <w:br/>
        <w:br/>
        <w:br/>
        <w:br/>
        <w:t>Comuníquese y ejecútese,</w:t>
        <w:br/>
        <w:br/>
        <w:br/>
        <w:br/>
        <w:br/>
        <w:t xml:space="preserve">                             Leonardo A. Franco</w:t>
        <w:br/>
        <w:t xml:space="preserve">                           Presidente en ejercicio</w:t>
        <w:br/>
        <w:br/>
        <w:br/>
        <w:br/>
        <w:br/>
        <w:t>Pablo Saavedra Alessandri</w:t>
        <w:br/>
        <w:t xml:space="preserve">      Secretario</w:t>
        <w:br/>
        <w:br/>
        <w:t>-----------------------</w:t>
        <w:br/>
        <w:t>[1]   El Presidente de la Corte, Juez Diego  García-Sayán,  de  nacionalidad</w:t>
        <w:br/>
        <w:t>peruana, no participó en el presente caso de  conformidad  con  el  artículo</w:t>
        <w:br/>
        <w:t>19.1 del Reglamento de la Corte, de acuerdo al cual “[e]n los  casos  a  que</w:t>
        <w:br/>
        <w:t>hace referencia el artículo 44  de  la  Convención,  los  Jueces  no  podrán</w:t>
        <w:br/>
        <w:t>participar en su conocimiento y deliberación,  cuando  sean  nacionales  del</w:t>
        <w:br/>
        <w:t>Estado demandado”.</w:t>
        <w:br/>
        <w:br/>
        <w:t>[2]   Reglamento aprobado por la Corte en  su  LXXXV  Período  Ordinario  de</w:t>
        <w:br/>
        <w:t>sesiones celebrado del 16 al 28 de noviembre  de  2009.  Según  el  artículo</w:t>
        <w:br/>
        <w:t>79.2 de dicho Reglamento, “[c]uando la Comisión hubiese adoptado el  informe</w:t>
        <w:br/>
        <w:t>al que se refiere el artículo 50 de la  Convención  con  anterioridad  a  la</w:t>
        <w:br/>
        <w:t>entrada en vigor del presente Reglamento, la presentación del caso  ante  la</w:t>
        <w:br/>
        <w:t>Corte se regirá por los artículos  33  y  34  del  Reglamento  anteriormente</w:t>
        <w:br/>
        <w:t>vigente. En lo que respecta a la recepción  de  declaraciones  se  aplicarán</w:t>
        <w:br/>
        <w:t>las disposiciones del presente Reglamento”.</w:t>
        <w:br/>
        <w:br/>
        <w:t>[3]   En dicho informe la Comisión declaró la violación del artículo  25  en</w:t>
        <w:br/>
        <w:t>relación con el artículo 1.1 de la  Convención  Americana  y  consideró  que</w:t>
        <w:br/>
        <w:t>“los elementos presentados por los peticionarios no tienden  a  caracterizar</w:t>
        <w:br/>
        <w:t>violaciones de los  derechos  consagrados  en  los  artículos  8  [garantías</w:t>
        <w:br/>
        <w:t>judiciales] y 24  [igualdad  ante  la  ley]  de  la  Convención  Americana”.</w:t>
        <w:br/>
        <w:t>Informe N° 8/09 de 17 de marzo de 2009. Caso 12.384. Admisibilidad y  Fondo.</w:t>
        <w:br/>
        <w:t>Sindicato de  Funcionarios,  Profesionales  y  Técnicos  de  la  Empresa  de</w:t>
        <w:br/>
        <w:t>Servicio  de  Agua  Potable  y  Alcantarillado  de  Lima   (SEDAPAL).   Perú</w:t>
        <w:br/>
        <w:t>(expediente de anexos a la demanda, tomo I, apéndice 1, folio 13).</w:t>
        <w:br/>
        <w:br/>
        <w:t>[4]   En el mencionado informe, la Comisión  recomendó  al  Estado  peruano:</w:t>
        <w:br/>
        <w:t>“[a]doptar las medidas necesarias para que las [presuntas]  víctimas  tengan</w:t>
        <w:br/>
        <w:t>acceso a un recurso judicial  o  de  otra  naturaleza  que  sea  adecuado  y</w:t>
        <w:br/>
        <w:t>efectivo para lograr reparación por la violación de  sus  derechos  generada</w:t>
        <w:br/>
        <w:t>por la aplicación retroactiva del Decreto  Ley  25876  y  por  la  falta  de</w:t>
        <w:br/>
        <w:t>protección judicial ante esa situación”. Informe N° 8/09 de 17 de  marzo  de</w:t>
        <w:br/>
        <w:t>2009, supra nota 3, folio 21.</w:t>
        <w:br/>
        <w:br/>
        <w:t>[5]   El 10 de marzo de 2010 la Junta Directiva del SIFUSE otorgó  poder  de</w:t>
        <w:br/>
        <w:t>representación  para  litigar  en  el  presente  proceso  internacional,  en</w:t>
        <w:br/>
        <w:t>calidad de representante titular,  a  Juan  José  Tello  Harster,  para  que</w:t>
        <w:br/>
        <w:t>represente  al  sindicato  y  a  todos  los  doscientos   treinta   y   tres</w:t>
        <w:br/>
        <w:t>trabajadores presuntas víctimas. Asimismo, el señor Guillermo  Darío  Romero</w:t>
        <w:br/>
        <w:t>Quispe fue designado como representante  alterno.  Poder  de  representación</w:t>
        <w:br/>
        <w:t>para litigar de 10 de marzo de 2010 (expediente  de  anexos  al  escrito  de</w:t>
        <w:br/>
        <w:t>solicitudes y argumentos, tomo VI, anexo 7, folios 1832 a 1840).</w:t>
        <w:br/>
        <w:br/>
        <w:br/>
        <w:t>[6]   Resolución del Presidente en ejercicio para el  presente  caso  de  la</w:t>
        <w:br/>
        <w:t>Corte Interamericana de Derechos Humanos de 8 de septiembre de 2010.</w:t>
        <w:br/>
        <w:br/>
        <w:t>[7]   Resolución de la Corte Interamericana de Derechos  Humanos  de  14  de</w:t>
        <w:br/>
        <w:t>noviembre de 2010.</w:t>
        <w:br/>
        <w:br/>
        <w:t>[8]   A esta audiencia comparecieron: a)  por  la  Comisión  Interamericana:</w:t>
        <w:br/>
        <w:t>María  Silvia  Guillén,  Comisionada;   Santiago   A.   Canton,   Secretario</w:t>
        <w:br/>
        <w:t>Ejecutivo; Lilly Ching Soto, asesora, y Silvia Serrano Guzmán,  asesora;  b)</w:t>
        <w:br/>
        <w:t>por los representantes: Juan José Tello  Harster,  representante;  Guillermo</w:t>
        <w:br/>
        <w:t>Darío Romero Quispe, Secretario de Defensa del  Sindicato  de  Funcionarios,</w:t>
        <w:br/>
        <w:t>Profesionales y Técnicos de SEDAPAL, y Héctor Málaga Romero,  Secretario  de</w:t>
        <w:br/>
        <w:t>Difusión  del  Sindicato  de  Funcionarios,  Profesionales  y  Técnicos   de</w:t>
        <w:br/>
        <w:t>SEDAPAL, y  c)  por  el  Estado:  Delia  Muñoz  Muñoz,  Procuradora  Pública</w:t>
        <w:br/>
        <w:t>Especializada Supranacional; José Germán Pimentel Aliaga, Gerente  Legal  de</w:t>
        <w:br/>
        <w:t>SEDAPAL; Daisy Carmela Céspedes Ávila, Asesora, Jefe de Equipo  de  Registro</w:t>
        <w:br/>
        <w:t>y Control de Recursos  Humanos  de  SEDAPAL,  y  Jimena  Rodríguez  Moscoso,</w:t>
        <w:br/>
        <w:t>Abogada de la Procuraduría Supranacional.</w:t>
        <w:br/>
        <w:br/>
        <w:t>[9]   Mediante nota de Secretaría de 7 de febrero de  2011  se  requirió  al</w:t>
        <w:br/>
        <w:t>representante y al Estado información referente al  nombre  correcto  de  la</w:t>
        <w:br/>
        <w:t>señora Sonia Moraima Callirgos Benites, quien estaba identificada  como  una</w:t>
        <w:br/>
        <w:t>de las presuntas  víctimas  en  el  presente  caso  pero  no  se  encontraba</w:t>
        <w:br/>
        <w:t>incluida en los peritajes presentados por el representante y el  Estado.  Al</w:t>
        <w:br/>
        <w:t>respecto, el representante informó que se debía  a  una  confusión,  ya  que</w:t>
        <w:br/>
        <w:t>dentro del peritaje se había nombrado como Sonia Dupont  Gallirgos.  Por  su</w:t>
        <w:br/>
        <w:t>parte, el  Estado  allegó  copia  de  la  ficha  del  Registro  Nacional  de</w:t>
        <w:br/>
        <w:t>Identificación y Estado  Civil  (RENIEC)  así  como  una  constancia  de  la</w:t>
        <w:br/>
        <w:t>relación laboral de la señora Callirgos Benites con SEDAPAL.</w:t>
        <w:br/>
        <w:br/>
        <w:t>[10]  Informe No. 34-2002-JUS/CNDH-SE presentado por el Estado peruano  ante</w:t>
        <w:br/>
        <w:t>la Comisión Interamericana el 23 de abril de 2002 (expediente  de  anexos  a</w:t>
        <w:br/>
        <w:t>la demanda, tomo I, apéndice 1, anexo 16, folios 146 y 147).</w:t>
        <w:br/>
        <w:br/>
        <w:t>[11]  En lo pertinente, los artículos 62 y 64 del  Reglamento  de  la  Corte</w:t>
        <w:br/>
        <w:t>establecen que:</w:t>
        <w:br/>
        <w:br/>
        <w:t>Artículo 62. Reconocimiento</w:t>
        <w:br/>
        <w:br/>
        <w:t xml:space="preserve">      Si el demandado comunicare a la Corte su aceptación de los hechos o su</w:t>
        <w:br/>
        <w:t xml:space="preserve">      allanamiento total o parcial a las  pretensiones  que  constan  en  el</w:t>
        <w:br/>
        <w:t xml:space="preserve">      sometimiento del caso o en el escrito de las presuntas víctimas o  sus</w:t>
        <w:br/>
        <w:t xml:space="preserve">      representantes, la Corte, oído el parecer de los demás  intervinientes</w:t>
        <w:br/>
        <w:t xml:space="preserve">      en el proceso, resolverá, en el momento procesal  oportuno,  sobre  su</w:t>
        <w:br/>
        <w:t xml:space="preserve">      procedencia y sus efectos jurídicos.</w:t>
        <w:br/>
        <w:br/>
        <w:t>Artículo 64. Prosecución del examen del caso</w:t>
        <w:br/>
        <w:br/>
        <w:t xml:space="preserve">      La Corte, teniendo en cuenta las responsabilidades que le incumben  de</w:t>
        <w:br/>
        <w:t xml:space="preserve">      proteger los derechos humanos, podrá decidir que prosiga el examen del</w:t>
        <w:br/>
        <w:t xml:space="preserve">      caso, aun en presencia de los supuestos  señalados  en  los  artículos</w:t>
        <w:br/>
        <w:t xml:space="preserve">      precedentes.</w:t>
        <w:br/>
        <w:br/>
        <w:t>[12]   Cfr.  Caso  Kimel  vs.  Argentina.  Fondo,  Reparaciones  y   Costas.</w:t>
        <w:br/>
        <w:t>Sentencia de 2 de mayo de 2008. Serie  C  No.  177,  párr.  24;  Caso  Ibsen</w:t>
        <w:br/>
        <w:t>Cárdenas e Ibsen Peña vs. Bolivia. Fondo, Reparaciones y  Costas.  Sentencia</w:t>
        <w:br/>
        <w:t>de 1 de septiembre de 2010. Serie C No. 217, párr. 34,  y  Caso  Vélez  Loor</w:t>
        <w:br/>
        <w:t>vs.  Panamá.  Excepciones  Preliminares,  Fondo,  Reparaciones   y   Costas.</w:t>
        <w:br/>
        <w:t>Sentencia de 23 de noviembre de 2010. Serie C No. 218, párr. 63.</w:t>
        <w:br/>
        <w:br/>
        <w:br/>
        <w:br/>
        <w:t>[13]  Cfr. Caso Trujillo Oroza Vs. Bolivia. Fondo. Sentencia de 26 de  enero</w:t>
        <w:br/>
        <w:t>de 2000. Serie C No. 64, párr. 42; Caso Rosendo Cantú  y  otra  Vs.  México.</w:t>
        <w:br/>
        <w:t>Excepción Preliminar, Fondo, Reparaciones  y  Costas.  Sentencia  de  31  de</w:t>
        <w:br/>
        <w:t>agosto de 2010 Serie C No. 216, párr. 25, y  Caso  Ibsen  Cárdenas  e  Ibsen</w:t>
        <w:br/>
        <w:t>Peña, supra nota 12, párr. 37</w:t>
        <w:br/>
        <w:br/>
        <w:t>[14]   Cfr.  Caso  Acevedo  Jaramillo  y   otros   Vs.   Perú.   Excepciones</w:t>
        <w:br/>
        <w:t>Preliminares, Fondo, Reparaciones y Costas. Sentencia de  7  de  febrero  de</w:t>
        <w:br/>
        <w:t>2006. Serie C No. 144, párrs. 176 a  180;  Caso  Tiu  Tojín  Vs.  Guatemala.</w:t>
        <w:br/>
        <w:t>Fondo, Reparaciones y Costas. Sentencia de 26 de noviembre de 2008. Serie  C</w:t>
        <w:br/>
        <w:t>No. 190, párr. 21, y Caso Kimel, supra nota 12, párrs. 23 a 25.</w:t>
        <w:br/>
        <w:br/>
        <w:t>[15]   Cfr.  Caso  de  la  “Masacre  de  Mapiripán”  vs.  Colombia.   Fondo,</w:t>
        <w:br/>
        <w:t>Reparaciones y Costas. Sentencia de 15 de septiembre de 2005.  Serie  C  No.</w:t>
        <w:br/>
        <w:t>134, párr. 69; Caso Ibsen Cárdenas e Ibsen Peña, supra 12, párr. 30, y  Caso</w:t>
        <w:br/>
        <w:t>Vélez Loor, supra nota 12, párr. 70.</w:t>
        <w:br/>
        <w:br/>
        <w:br/>
        <w:t>[16]  Caso Acevedo Jaramillo y otros, supra nota 14, párr. 177.</w:t>
        <w:br/>
        <w:br/>
        <w:br/>
        <w:t>[17]  Cfr. Caso  de  la  “Panel  Blanca”  (Paniagua  Morales  y  otros)  Vs.</w:t>
        <w:br/>
        <w:t>Guatemala. Reparaciones y Costas. Sentencia de 25 de mayo de 2001.  Serie  C</w:t>
        <w:br/>
        <w:t>No. 76, párr. 50; Caso Gomes  Lund  y  otros  “Guerrilha  do  Araguaia”  vs.</w:t>
        <w:br/>
        <w:t>Brasil. Excepciones Preliminares, Fondo, Reparaciones  y  Costas.  Sentencia</w:t>
        <w:br/>
        <w:t>de 24 de noviembre de 2010. Serie C  No.  219,  párr.  51,  y  Caso  Cabrera</w:t>
        <w:br/>
        <w:t>García  y  Montiel  Flores  vs.  México.  Excepciones  Preliminares,  Fondo,</w:t>
        <w:br/>
        <w:t>Reparaciones y Costas. Sentencia de 26 de noviembre de  2010.  Serie  C  No.</w:t>
        <w:br/>
        <w:t>220, párr. 24.</w:t>
        <w:br/>
        <w:br/>
        <w:br/>
        <w:t>[18]  Cfr. Caso  de  la  “Panel  Blanca”  (Paniagua  Morales  y  otros)  Vs.</w:t>
        <w:br/>
        <w:t>Guatemala. Fondo. Sentencia de 8 de marzo de 1998. Serie  C  No.  37,  párr.</w:t>
        <w:br/>
        <w:t>76; Caso Gomes Lund y otros “Guerrilha do Araguaia”, supra  nota  17,  párr.</w:t>
        <w:br/>
        <w:t>51, y Caso Cabrera García y Montiel Flores, supra nota 17, párr. 24.</w:t>
        <w:br/>
        <w:br/>
        <w:t>[19]  En aplicación de lo  previsto  por  el  nuevo  reglamento,  el  13  de</w:t>
        <w:br/>
        <w:t>septiembre de  2010  el  Estado  formuló  cuatro  preguntas  para  que  sean</w:t>
        <w:br/>
        <w:t>respondidas por el perito Samuel Abad  Yupanqui  al  momento  de  rendir  su</w:t>
        <w:br/>
        <w:t>declaración ante fedatario público. El 10 de septiembre de 2010 la  Comisión</w:t>
        <w:br/>
        <w:t>Interamericana señaló que “no  t[enía]  preguntas  que  formular  al  perito</w:t>
        <w:br/>
        <w:t>Jorge González Izquierdo”. Mediante nota de la Secretaría de la Corte de  14</w:t>
        <w:br/>
        <w:t>de septiembre  de  2010,  siguiendo  instrucciones  de  la  Presidencia,  se</w:t>
        <w:br/>
        <w:t>precisó que según el artículo 50.5 del Reglamento, “no serán  admitidas  las</w:t>
        <w:br/>
        <w:t>preguntas que induzcan las  respuestas  y  que  no  se  refieran  al  objeto</w:t>
        <w:br/>
        <w:t>determinado oportunamente”. Teniendo en cuenta lo anterior,  la  Presidencia</w:t>
        <w:br/>
        <w:t>consideró pertinente solicitar al perito Abad Yupanqui dar respuesta  en  su</w:t>
        <w:br/>
        <w:t>declaración a las siguientes preguntas formuladas  por  el  Estado:  a)  “Al</w:t>
        <w:br/>
        <w:t>amparo del derecho interno y  del  Derecho  Internacional  de  los  Derechos</w:t>
        <w:br/>
        <w:t>Humanos, ¿qué entiende [u]sted por acceso a  un  recurso  efectivo?”,  y  b)</w:t>
        <w:br/>
        <w:t>“[l]a  Comisión  Interamericana  de  Derechos  Humanos  en  su  informe   de</w:t>
        <w:br/>
        <w:t>admisibilidad estimó  que  185  trabajadores  habían  agotado  los  recursos</w:t>
        <w:br/>
        <w:t>internos, y respecto  de  los  48  restantes,  la  Comisión  les  otorgó  la</w:t>
        <w:br/>
        <w:t>condición habilitante para ser considerados como […] víctimas sin que  éstos</w:t>
        <w:br/>
        <w:t>hubie[sen] agotado los recursos de la jurisdicción interna.  A  su  entender</w:t>
        <w:br/>
        <w:t>¿Se puede sostener, respecto de estos 48  trabajadores,  que  el  Estado  no</w:t>
        <w:br/>
        <w:t>brindó protección judicial efectiva si éstos  no  agotaron  la  jurisdicción</w:t>
        <w:br/>
        <w:t>interna?”. En la misma nota, la Secretaría de la Corte  hizo  notar  que  el</w:t>
        <w:br/>
        <w:t>representante  no  remitió  preguntas  para  los  peritos  Abad  Yupanqui  y</w:t>
        <w:br/>
        <w:t>González Izquierdo.</w:t>
        <w:br/>
        <w:br/>
        <w:br/>
        <w:t>[20]  Cfr. Caso Velásquez Rodríguez Vs. Honduras. Fondo. Sentencia de 29  de</w:t>
        <w:br/>
        <w:t>julio de 1988. Serie C No. 4, párr. 140; Caso Gomes Lund y otros  “Guerrilha</w:t>
        <w:br/>
        <w:t>do Araguaia”, supra nota 17, párr. 51,  y  Caso  Cabrera  García  y  Montiel</w:t>
        <w:br/>
        <w:t>Flores, supra nota 17, párr. 27.</w:t>
        <w:br/>
        <w:br/>
        <w:t>[21]  Resolución del Presidente en ejercicio para el  presente  caso,  supra</w:t>
        <w:br/>
        <w:t>nota 6, folios 363 a 374.</w:t>
        <w:br/>
        <w:br/>
        <w:t>[22]  Cfr. Caso Velásquez Rodríguez, supra nota 20, párr.  146;  Caso  Vélez</w:t>
        <w:br/>
        <w:t>Loor, supra nota 12, párr. 76, y Caso  Gomes  Lund  y  otros  “Guerrilha  do</w:t>
        <w:br/>
        <w:t>Araguaia”, supra nota 17, párr. 56.</w:t>
        <w:br/>
        <w:br/>
        <w:t>[23]        Cfr. Caso Reverón Trujillo Vs. Venezuela. Excepción  Preliminar,</w:t>
        <w:br/>
        <w:t>Fondo, Reparaciones y Costas. Sentencia de 30 de junio de 2009. Serie C  No.</w:t>
        <w:br/>
        <w:t>197, párr. 43; Caso Manuel Cepeda Vargas. Excepciones  Preliminares,  Fondo,</w:t>
        <w:br/>
        <w:t>Reparaciones y Costas. Sentencia de 26 de mayo de 2010.  Serie  C  No.  213,</w:t>
        <w:br/>
        <w:t>párr. 57, y Caso Vélez Loor, supra nota 12, párr. 86.</w:t>
        <w:br/>
        <w:br/>
        <w:t>[24]  Conforme se encuentra establecido en dicho documento, el objeto de  la</w:t>
        <w:br/>
        <w:t>convocatoria fue “contratar el servicio  de  consultoría  del  caso  CIDH-Nº</w:t>
        <w:br/>
        <w:t>12.384-SIFUSE para realizar un peritaje  contable  judicial  de  los  ratios</w:t>
        <w:br/>
        <w:t>salariales a fin de determinar  el  importe  adeudado  a  cada  uno  de  los</w:t>
        <w:br/>
        <w:t>integrantes contenidos en la  demanda  presentada  por  el  SIFUSE  con  los</w:t>
        <w:br/>
        <w:t>intereses  de  ley  respectivos  y  sustentar  el  criterio   de   cálculo”.</w:t>
        <w:br/>
        <w:t>Adjudicación  Directa   Selectiva   Nº   0043-2010-SEDAPAL.   “Servicio   de</w:t>
        <w:br/>
        <w:t>Consultoría Caso CIDH Nro. 12.384-SIFUSE” (expediente  de  fondo,  tomo  II,</w:t>
        <w:br/>
        <w:t>folio 561).</w:t>
        <w:br/>
        <w:br/>
        <w:t>[25]  El artículo 25.1 (Protección Judicial) de  la  Convención  señala  que</w:t>
        <w:br/>
        <w:t>“[t]oda persona tiene derecho a un recurso sencillo y rápido o  a  cualquier</w:t>
        <w:br/>
        <w:t>otro recurso efectivo ante los  jueces  o  tribunales  competentes,  que  la</w:t>
        <w:br/>
        <w:t>ampare contra actos que violen sus derechos  fundamentales  reconocidos  por</w:t>
        <w:br/>
        <w:t>la Constitución, la ley o la presente Convención, aun cuando  tal  violación</w:t>
        <w:br/>
        <w:t>sea  cometida  por  personas  que  actúen  en  ejercicio  de  sus  funciones</w:t>
        <w:br/>
        <w:t>oficiales”.</w:t>
        <w:br/>
        <w:br/>
        <w:br/>
        <w:t>[26]   El  artículo  1.1  (Obligación  de  Respetar  los  Derechos)  de   la</w:t>
        <w:br/>
        <w:t>Convención dispone:</w:t>
        <w:br/>
        <w:br/>
        <w:br/>
        <w:t xml:space="preserve">      Los Estados Partes en esta Convención se comprometen  a  respetar  los</w:t>
        <w:br/>
        <w:t xml:space="preserve">      derechos y libertades reconocidos en ella y a garantizar  su  libre  y</w:t>
        <w:br/>
        <w:t xml:space="preserve">      pleno ejercicio a toda persona que esté sujeta a su jurisdicción,  sin</w:t>
        <w:br/>
        <w:t xml:space="preserve">      discriminación alguna  por  motivos  de  raza,  color,  sexo,  idioma,</w:t>
        <w:br/>
        <w:t xml:space="preserve">      religión, opiniones políticas  o  de  cualquier  otra  índole,  origen</w:t>
        <w:br/>
        <w:t xml:space="preserve">      nacional o social, posición económica,  nacimiento  o  cualquier  otra</w:t>
        <w:br/>
        <w:t xml:space="preserve">      condición social. […]</w:t>
        <w:br/>
        <w:br/>
        <w:br/>
        <w:t>[27]  El artículo 21.1 y  21.2  (Derecho  a  la  Propiedad  Privada)  de  la</w:t>
        <w:br/>
        <w:t>Convención establece que:</w:t>
        <w:br/>
        <w:br/>
        <w:br/>
        <w:t xml:space="preserve">      […] Toda persona tiene derecho al uso y goce de sus  bienes.   La  ley</w:t>
        <w:br/>
        <w:t xml:space="preserve">      puede subordinar tal uso y goce al interés social.</w:t>
        <w:br/>
        <w:br/>
        <w:br/>
        <w:t xml:space="preserve">      […] Ninguna persona puede ser privada de sus bienes, excepto  mediante</w:t>
        <w:br/>
        <w:t xml:space="preserve">      el pago de indemnización justa, por razones de utilidad pública  o  de</w:t>
        <w:br/>
        <w:t xml:space="preserve">      interés social y en los casos y según las formas establecidas  por  la</w:t>
        <w:br/>
        <w:t xml:space="preserve">      ley.</w:t>
        <w:br/>
        <w:br/>
        <w:br/>
        <w:t xml:space="preserve">      […]</w:t>
        <w:br/>
        <w:br/>
        <w:t>[28]   “[La]  política  salarial  e   incrementos   remunerativos   de   los</w:t>
        <w:br/>
        <w:t>funcionarios por  ser  sectores  no  sujetos  a  negociación  colectiva  son</w:t>
        <w:br/>
        <w:t>regulados por la Corporación Nacional de Desarrollo [(CONADE)]”. Escrito  de</w:t>
        <w:br/>
        <w:t>la Fiscalía Suprema en lo Contencioso Administrativo de 12 de  noviembre  de</w:t>
        <w:br/>
        <w:t>1991 (expediente de anexos a la contestación de la demanda, tomo  IX,  anexo</w:t>
        <w:br/>
        <w:t>10, folio 2513).</w:t>
        <w:br/>
        <w:br/>
        <w:t>[29]  Peritaje contable de parte de 24 de mayo  de  2010  elaborado  por  el</w:t>
        <w:br/>
        <w:t>señor Félix Daniel Aquije Soler (expediente de anexos a la  contestación  de</w:t>
        <w:br/>
        <w:t>la demanda, tomo IX, anexo 19, folio 2571).</w:t>
        <w:br/>
        <w:br/>
        <w:t>[30]  Al respecto, el testigo Víctor Hugo De los Santos  León  declaró  que:</w:t>
        <w:br/>
        <w:t>“el ratio e[ra] un reajuste automático […] para todo el personal  no  sujeto</w:t>
        <w:br/>
        <w:t>a negociación colectiva que en ese momento eran los funcionarios,  [tomando]</w:t>
        <w:br/>
        <w:t>como base el mínimo nivel de la estructura de cargos en la empresa  que  era</w:t>
        <w:br/>
        <w:t>el cargo ocupado por el peón”.  Cfr.  Declaración  rendida  por  el  testigo</w:t>
        <w:br/>
        <w:t>Víctor Hugo De Los Santos en la audiencia pública en el presente caso.</w:t>
        <w:br/>
        <w:br/>
        <w:t>[31]  El 16 de mayo de 1990 SEDAPAL solicitó a la CONADE  la  aplicación  de</w:t>
        <w:br/>
        <w:t>una nueva escala salarial para un “gradual mejoramiento de  los  indicadores</w:t>
        <w:br/>
        <w:t>salariales”. Peritaje del señor Félix Daniel Aquije Soler,  supra  nota  29,</w:t>
        <w:br/>
        <w:t>folio 2572.</w:t>
        <w:br/>
        <w:br/>
        <w:t>[32]  Oficio No. 1546-GEGS/GGA-90 de CONADE de 12 de junio  de  1990  citado</w:t>
        <w:br/>
        <w:t>en  el  Dictamen  No.  678-91  del  Fiscal   Supremo   en   lo   Contencioso</w:t>
        <w:br/>
        <w:t>Administrativo de 12 de noviembre de 1991 (expediente de anexos  al  escrito</w:t>
        <w:br/>
        <w:t>de solicitudes y argumentos, tomo VI, anexo 12, folio 1858).</w:t>
        <w:br/>
        <w:br/>
        <w:t>[33]         Resolución del 16º  Juzgado  en  lo  Civil  de  Lima  de  3  de</w:t>
        <w:br/>
        <w:t>diciembre de  1990  (expediente  de  anexos  al  escrito  de  solicitudes  y</w:t>
        <w:br/>
        <w:t>argumentos, tomo VI, anexo 9, folios 1845 a 1851).</w:t>
        <w:br/>
        <w:br/>
        <w:t>[34]        Resolución del 16º Juzgado en lo Civil de Lima, supra  nota  33,</w:t>
        <w:br/>
        <w:t>folio 1850.</w:t>
        <w:br/>
        <w:br/>
        <w:t>[35]  Resolución de la Quinta Sala Civil de la Corte Suprema de Justicia  de</w:t>
        <w:br/>
        <w:t>29 de mayo de 1991 (Causa No. 2473-90) (expediente de anexos a  la  demanda,</w:t>
        <w:br/>
        <w:t>tomo I, anexo 3, folio 36).</w:t>
        <w:br/>
        <w:br/>
        <w:t>[36]  Sentencia de la Corte Suprema de Justicia de 12  de  febrero  de  1992</w:t>
        <w:br/>
        <w:t>(Expediente No. 1508-91) (expediente de anexos a la demanda, tomo  I,  anexo</w:t>
        <w:br/>
        <w:t>5, folio 40).</w:t>
        <w:br/>
        <w:br/>
        <w:t>[37]   Dictamen  No.  678-91  del   Fiscal   Supremo   en   lo   Contencioso</w:t>
        <w:br/>
        <w:t>Administrativo, supra nota 32, folio 1859.</w:t>
        <w:br/>
        <w:br/>
        <w:t>[38]  La transacción tenía el “objeto de poner término total y definitivo  a</w:t>
        <w:br/>
        <w:t>la situación de conflicto  […]  en  el  trámite  judicial  de  ejecución  de</w:t>
        <w:br/>
        <w:t>sentencia de la Acción de Amparo […] ante el  16  Juzgado  Civil  de  Lima”.</w:t>
        <w:br/>
        <w:t>Acta de acuerdos de  transacción  extrajudicial  de  23  de  junio  de  1992</w:t>
        <w:br/>
        <w:t>(expediente de anexos a la demanda, tomo I, anexo 6, folio 43).</w:t>
        <w:br/>
        <w:br/>
        <w:t>[39]  El 23 de junio de 1992 se firmó el “Acta de  Acuerdos  de  Transacción</w:t>
        <w:br/>
        <w:t>Extrajudicial”, mediante la cual SEDAPAL se comprometió con  los  siguientes</w:t>
        <w:br/>
        <w:t>pagos: i) pagar a los grupos de Funcionarios y de Alta Dirección el  importe</w:t>
        <w:br/>
        <w:t>total de los intereses legales al mes de  febrero  de  1992;  ii)  pagar  al</w:t>
        <w:br/>
        <w:t>grupo  de  Funcionarios  el  saldo  de  una   pericia   contable   aprobada,</w:t>
        <w:br/>
        <w:t>correspondiente al monto de remuneraciones devengadas al mes de  febrero  de</w:t>
        <w:br/>
        <w:t>1992; iii)  abonar  a  dichos  Funcionarios  el  resultado  de  una  pericia</w:t>
        <w:br/>
        <w:t>contable ampliatoria por los intereses  legales  corridos  hasta  el  23  de</w:t>
        <w:br/>
        <w:t>junio de  1992,  y  iv)  proceder  a  la  cancelación  de  los  importes  de</w:t>
        <w:br/>
        <w:t>remuneraciones devengadas al mes de Febrero de 1992, más intereses al 23  de</w:t>
        <w:br/>
        <w:t>Junio de 1992, a los Funcionarios comprendidos en una pericia  contable  que</w:t>
        <w:br/>
        <w:t>hayan cesado a partir del mes de Octubre de 1990, en  forma  proporcional  a</w:t>
        <w:br/>
        <w:t>las fechas de sus respectivos ceses. Cfr. Acta de  acuerdos  de  transacción</w:t>
        <w:br/>
        <w:t>extrajudicial, supra nota 38, folios 43 a 45.</w:t>
        <w:br/>
        <w:br/>
        <w:t>[40]  Los peritajes presentados por el Estado y el  representante  coinciden</w:t>
        <w:br/>
        <w:t>en que “[n]o existe reclamo alguno respecto a la aplicación del  sistema  de</w:t>
        <w:br/>
        <w:t>ratios salariales por períodos anteriores a enero  de  1992”.  Peritaje  del</w:t>
        <w:br/>
        <w:t>señor Félix Daniel Aquije Soler,  supra  nota  29,  folio  2573,  e  Informe</w:t>
        <w:br/>
        <w:t>pericial de parte de 29 de marzo de 2010 elaborado por  señora  Lily  Isabel</w:t>
        <w:br/>
        <w:t>Albornoz  Castro  (expediente  de  anexos  al  escrito  de   solicitudes   y</w:t>
        <w:br/>
        <w:t>argumentos, tomo VI, anexo 2, folios 1625).</w:t>
        <w:br/>
        <w:br/>
        <w:t>[41]  Decreto Legislativo No.  757  de  1992  (expediente  de  anexos  a  la</w:t>
        <w:br/>
        <w:t>demanda, tomo I, anexo 7, folio 63).</w:t>
        <w:br/>
        <w:br/>
        <w:t>[42]  Decreto Ley No. 25541 de 1992 (expediente  de  anexos  a  la  demanda,</w:t>
        <w:br/>
        <w:t>tomo I, anexo 8, folio 70).</w:t>
        <w:br/>
        <w:br/>
        <w:t>[43]  Decreto Ley No. 25876 de 1992 (expediente  de  anexos  a  la  demanda,</w:t>
        <w:br/>
        <w:t>tomo I, anexo 8, folios 72 y 73).</w:t>
        <w:br/>
        <w:br/>
        <w:br/>
        <w:t>[44]  Según el informe de un asesor técnico del Ministerio  de  Trabajo  que</w:t>
        <w:br/>
        <w:t>analizó el presente caso en el marco de la solución amistosa que  intentaron</w:t>
        <w:br/>
        <w:t>las partes, “el artículo III del Título  Preliminar  del  Código  Civil,  de</w:t>
        <w:br/>
        <w:t>aplicación supletoria a todo  el  ordenamiento,  acogió  la  teoría  de  los</w:t>
        <w:br/>
        <w:t>hechos cumplidos al establecer que la ley se aplica a las  consecuencias  de</w:t>
        <w:br/>
        <w:t>las relaciones y situaciones jurídicas existentes, y el artículo 187  de  la</w:t>
        <w:br/>
        <w:t>Constitución de 1979 señalaba que ninguna ley  tiene  fuerza  retroactiv[a],</w:t>
        <w:br/>
        <w:t>salvo en materia penal, laboral o tributaria, cuando  es  más  favorable  al</w:t>
        <w:br/>
        <w:t>reo, trabajador o contribuyente, respectivamente, que no era  el  caso,  por</w:t>
        <w:br/>
        <w:t>lo que dicho decreto no podría surtir efectos desde una fecha anterior a  su</w:t>
        <w:br/>
        <w:t>publicación”. Oficio No. 1-2005-MTPE-ATAD de 7 de enero de 2005 dirigido  al</w:t>
        <w:br/>
        <w:t>Viceministro de Trabajo del Ministerio de Trabajo  y  Promoción  del  Empleo</w:t>
        <w:br/>
        <w:t>(expediente de anexos a la contestación de la  demanda,  tomo  I,  anexo  5,</w:t>
        <w:br/>
        <w:t>folios 2480 a 2481). Asimismo, el  peritaje  del  representante  señaló  que</w:t>
        <w:br/>
        <w:t>“[e]l hecho de que el sistema [de ratios] fuera eliminado  en  noviembre  de</w:t>
        <w:br/>
        <w:t>1992 por el Decreto Ley 25876, no significa que  los  incrementos  otorgados</w:t>
        <w:br/>
        <w:t>durante su vigencia dejasen de  formar  parte  de  la  remuneración  de  los</w:t>
        <w:br/>
        <w:t>trabajadores; la eliminación del sistema solo supuso que  dejara  de  operar</w:t>
        <w:br/>
        <w:t>la actualización de remuneraciones desde dicho  momento”.  Informe  Pericial</w:t>
        <w:br/>
        <w:t>de la señora Lily Isabel Albornoz Castro, supra nota 40, folio 1625.  En  el</w:t>
        <w:br/>
        <w:t>mismo sentido, el peritaje presentado  por  el  Estado  estableció  que  “el</w:t>
        <w:br/>
        <w:t>sistema de ratios salariales fue eliminado por  [el  Decreto  Ley  25876]  a</w:t>
        <w:br/>
        <w:t>partir del día siguiente de su  publicación;  es  decir,  desde  el  26  [de</w:t>
        <w:br/>
        <w:t>noviembre  de  1992.]  Por  lo  tanto,  el  sistema  de  ratios   salariales</w:t>
        <w:br/>
        <w:t>establecido por SEDAPAL  tuvo  vigencia  hasta  [el]  24  [de  noviembre  de</w:t>
        <w:br/>
        <w:t>1992]”. Peritaje del señor Félix Daniel Aquije Soler, supra nota  29,  folio</w:t>
        <w:br/>
        <w:t>2574.</w:t>
        <w:br/>
        <w:br/>
        <w:t>[45]   Al  respecto,  tanto  la  Comisión,  el  representante  y  el  Estado</w:t>
        <w:br/>
        <w:t>coincidieron en esta fecha como el  momento  en  que  se  implementaron  los</w:t>
        <w:br/>
        <w:t>Decretos (expediente de fondo, tomo I, folios 12, 106  y  154).  Igualmente,</w:t>
        <w:br/>
        <w:t>los peritajes presentados por el representante y  el  Estado  coinciden  con</w:t>
        <w:br/>
        <w:t>esta fecha. Peritaje del señor Félix Daniel Aquije  Soler,  supra  nota  29,</w:t>
        <w:br/>
        <w:t>folios 2568 a 2668 e Informe pericial de  la  señora  Lily  Isabel  Albornoz</w:t>
        <w:br/>
        <w:t>Castro, supra nota 40, folios 1622 a 1627.</w:t>
        <w:br/>
        <w:br/>
        <w:t>[46]   Así, la empresa aplicó “el sistema  de  ‘ratios  salariales’  con  la</w:t>
        <w:br/>
        <w:t>remuneración base vigente a [diciembre de] 1991,  de  S/.  190.00,  y  no  a</w:t>
        <w:br/>
        <w:t>[enero  de]  1992,  de  S/.  220.00,  basándose  en  que  conforme   a   los</w:t>
        <w:br/>
        <w:t>dispositivos pertinentes el Sistema de  Ratios  Salariales  concluyó  en  su</w:t>
        <w:br/>
        <w:t>aplicación y ejecución el 13 [de diciembre de]  1991”.  Peritaje  del  señor</w:t>
        <w:br/>
        <w:t>Félix Daniel Aquije Soler (expediente de fondo, tomo II, folio 825).</w:t>
        <w:br/>
        <w:br/>
        <w:t>[47]  De igual manera, las partes coincidieron tanto en este efecto como  en</w:t>
        <w:br/>
        <w:t>la fecha en que se comenzaron a realizar las rebajas  en  los  salarios  por</w:t>
        <w:br/>
        <w:t>concepto  del  cobro  de  lo  que  había  sido  recibido  con   anterioridad</w:t>
        <w:br/>
        <w:t>(expediente de fondo, tomo I, folios 12, 106 y 154).  En igual  sentido,  el</w:t>
        <w:br/>
        <w:t>Informe No. 023-2006-GRH estableció que “SEDAPAL optó por:  […]  b)  aplicar</w:t>
        <w:br/>
        <w:t>la rebaja de remuneraciones mensuales abonadas a los funcionarios entre  los</w:t>
        <w:br/>
        <w:t>meses de enero a  noviembre  de  1992,  realizando  descuentos  mensuales  a</w:t>
        <w:br/>
        <w:t>partir del mes de marzo de 1993  equivalentes  al  20%  de  la  remuneración</w:t>
        <w:br/>
        <w:t>hasta completar el monto que se consideraba pagado en exceso”.  Informe  No.</w:t>
        <w:br/>
        <w:t>023-2006-GRH de 6 de junio de 2006 elaborado  por  el  Gerente  de  Recursos</w:t>
        <w:br/>
        <w:t>Humanos de SEDAPAL (expediente de anexos a la contestación  de  la  demanda,</w:t>
        <w:br/>
        <w:t>tomo I, anexo 15, folio 2545).</w:t>
        <w:br/>
        <w:br/>
        <w:t>[48]  En el Informe No. 023-2006-GRH se determinó  que  “SEDAPAL  optó  por:</w:t>
        <w:br/>
        <w:t>[…] c) [n]o otorgar el incremento  a  las  remuneraciones  mensuales  a  los</w:t>
        <w:br/>
        <w:t>funcionarios  conforme  al  sistema  de  ratios  salariales,   obviando   el</w:t>
        <w:br/>
        <w:t>incremento de S/. 70.00 al haber  de  empleados  y  obreros  (incluye  peón)</w:t>
        <w:br/>
        <w:t>acordado en el Convenio Colectivo suscrito el 30 de Noviembre de 1992.  Cabe</w:t>
        <w:br/>
        <w:t>indicar que el Convenio Colectivo antes mencionado es aplicable a partir  de</w:t>
        <w:br/>
        <w:t>julio de 1992”. Informe No. 023-2006-GRH, supra nota 47, folio 2545.</w:t>
        <w:br/>
        <w:br/>
        <w:t>[49]  Sentencia No. 227-95 del 18º Juzgado de  Trabajo  de  Lima  de  26  de</w:t>
        <w:br/>
        <w:t>julio 1995 (Expediente No. 546-93) (expediente de anexos a la demanda,  tomo</w:t>
        <w:br/>
        <w:t>I, anexo 10, folio 77).</w:t>
        <w:br/>
        <w:br/>
        <w:t>[50]  Sentencia No. 227-95 del 18º Juzgado de Trabajo de  Lima,  supra  nota</w:t>
        <w:br/>
        <w:t>49, folio 77.</w:t>
        <w:br/>
        <w:br/>
        <w:t>[51]  Sentencia No. 227-95 del 18º Juzgado de Trabajo de  Lima,  supra  nota</w:t>
        <w:br/>
        <w:t>49, folios 77 a 85.</w:t>
        <w:br/>
        <w:br/>
        <w:t>[52]  Sentencia No. 227-95 del 18º Juzgado de Trabajo de  Lima,  supra  nota</w:t>
        <w:br/>
        <w:t>49, folio 81.</w:t>
        <w:br/>
        <w:br/>
        <w:t>[53]   De  esta  manera,  SEDAPAL  debía  abonar  la  suma  total   de   S/.</w:t>
        <w:br/>
        <w:t>2’840,318,67, a favor de los 185 funcionarios  accionantes  en  restitución,</w:t>
        <w:br/>
        <w:t>más los intereses legales correspondientes  a  liquidarse  en  ejecución  de</w:t>
        <w:br/>
        <w:t>sentencia. Sentencia No. 227-95 del 18º Juzgado de Trabajo  de  Lima,  supra</w:t>
        <w:br/>
        <w:t>nota 49, folio 82.</w:t>
        <w:br/>
        <w:br/>
        <w:t>[54]  Dicha Sala  consideró  que  sólo  era  necesario  modificar  “la  suma</w:t>
        <w:br/>
        <w:t>establecida de abono, [por tanto] mand[ó] que [la empresa] pague a  los  185</w:t>
        <w:br/>
        <w:t>demandantes […] la suma total de  S/.  1’204.051.85  (un  millón  doscientos</w:t>
        <w:br/>
        <w:t>cuatro mil cincuenta y uno y 85/100 nuevos  soles”.  Al  respecto,  la  Sala</w:t>
        <w:br/>
        <w:t>consideró que el monto final no había sido calculado de manera correcta  por</w:t>
        <w:br/>
        <w:t>cuanto no se tuvo en cuenta “la Directiva de CONADE No.  004-93  dictada  el</w:t>
        <w:br/>
        <w:t>17 de febrero de 1993 [la cual] disp[uso] la  implementación  de  una  nueva</w:t>
        <w:br/>
        <w:t>estructura de remuneraciones para las empresas del Estado […] la cual  eleva</w:t>
        <w:br/>
        <w:t>las remuneraciones del personal no sujeto a negociación  colectiva  […]  por</w:t>
        <w:br/>
        <w:t>lo que el derecho amparado no se puede extender más allá de aquella  fecha”.</w:t>
        <w:br/>
        <w:t>Sentencia de la Sala Segunda Laboral de Lima de 30  de  septiembre  de  1996</w:t>
        <w:br/>
        <w:t>(Expediente No. 3926-95-ID (S)) (expediente de anexos a la demanda, tomo  I,</w:t>
        <w:br/>
        <w:t>anexo 12, folios 109 a 113).</w:t>
        <w:br/>
        <w:br/>
        <w:t>[55]  Sentencia de la Sala de Derecho Constitucional y Social  de  la  Corte</w:t>
        <w:br/>
        <w:t>Suprema de Justicia de 21 de julio de 1999 (CAS No. 619-97)  (expediente  de</w:t>
        <w:br/>
        <w:t>anexos a la demanda, tomo I, anexo 13, folios 115 a 117).</w:t>
        <w:br/>
        <w:t>[56]        El recurso de amparo fue interpuesto contra SEDAPAL ante el  13º</w:t>
        <w:br/>
        <w:t>Juzgado Especializado de Trabajo de Lima “por violación e incumplimiento  de</w:t>
        <w:br/>
        <w:t>expresos  preceptos  constitucionales  en  materia  laboral”  y   “el   cese</w:t>
        <w:br/>
        <w:t>inmediato de tales violaciones y la restitución inmediata  de  los  derechos</w:t>
        <w:br/>
        <w:t>laborales que les han sido vulnerados”. Cfr.  Sentencia  No.  189-96-13  JTL</w:t>
        <w:br/>
        <w:t>del 13º Juzgado Especializado de Trabajo de Lima de  26  de  julio  de  1996</w:t>
        <w:br/>
        <w:t>(Expediente No. 987-94) (expediente de anexos a la demanda,  tomo  I,  anexo</w:t>
        <w:br/>
        <w:t>14, folios 119 a 132).</w:t>
        <w:br/>
        <w:br/>
        <w:t>[57]  Sentencia No. 189-96-13 JTL del 13º Juzgado Especializado  de  Trabajo</w:t>
        <w:br/>
        <w:t>de Lima, supra nota 56, folio 120.</w:t>
        <w:br/>
        <w:br/>
        <w:t>[58]  El 26 de julio de 1996 el 13º  Juzgado  Especializado  de  Trabajo  se</w:t>
        <w:br/>
        <w:t>pronunció   “concluye[ndo]   que   el   Decreto   Ley   25876   se    aplicó</w:t>
        <w:br/>
        <w:t>retroactivamente”, en  violación  de  expresas  garantías  constitucionales.</w:t>
        <w:br/>
        <w:t>Asimismo,  “[o]rdenó  la  restitución  de  las  remuneraciones  rebajadas  y</w:t>
        <w:br/>
        <w:t>descontadas”.  Así,  ordenó  el  pago  “de   S/.   738.129.60   (setecientos</w:t>
        <w:br/>
        <w:t>treintiocho mil ciento veintinueve nuevos  soles  con  sesenta  céntimos)  a</w:t>
        <w:br/>
        <w:t>favor de los 49 funcionarios accionantes, liquidada al 30 d[e julio]”.  Cfr.</w:t>
        <w:br/>
        <w:t>Sentencia No. 189-96-13 JTL del 13º  Juzgado  Especializado  de  Trabajo  de</w:t>
        <w:br/>
        <w:t>Lima, supra nota 56, folios 128 y 132.</w:t>
        <w:br/>
        <w:br/>
        <w:t>[59]  Esta sentencia fue declarada nula el 17 de  febrero  de  1997  por  la</w:t>
        <w:br/>
        <w:t>Segunda Sala Laboral de la Corte Superior de Lima la cual “orden[ó]  que  el</w:t>
        <w:br/>
        <w:t>Juez [del 13º Juzgado de  Trabajo  de  Lima]  emita  nuevo   pronunciamiento</w:t>
        <w:br/>
        <w:t>teniendo en cuenta las precisiones de  la  [referida  sentencia]”.  La  Sala</w:t>
        <w:br/>
        <w:t>Laboral consideró que “la A-quo fundament[ó] su resolución en la  estructura</w:t>
        <w:br/>
        <w:t>de ratios salariales […] aplicándola  para  la  liquidación  individual  […]</w:t>
        <w:br/>
        <w:t>hasta el momento de la expedición  de  la  sentencia”  y,  en  ese  sentido,</w:t>
        <w:br/>
        <w:t>ordenó “enviar los actuados a la Oficina de Pericias  Judiciales  a  fin  de</w:t>
        <w:br/>
        <w:t>que ésta determine la acreencia a cada  uno  de  los  accionantes  hasta  el</w:t>
        <w:br/>
        <w:t>momento que se les dio en Agosto de 1993”. Sentencia No. 5603-96 IDL  de  la</w:t>
        <w:br/>
        <w:t>Segunda Sala Laboral de la Corte Superior de Lima  (Expediente  No.  987-94)</w:t>
        <w:br/>
        <w:t>(expediente de anexos a la contestación, tomo I, apéndice 2, folio 385).</w:t>
        <w:br/>
        <w:br/>
        <w:t>[60]  En efecto, el Juzgado indicó que “[e]n [un]  caso  similar  al  de  la</w:t>
        <w:br/>
        <w:t>presente  litis,  la  [S]ala  de  [D]erecho  [C]onstitucional  y   [D]erecho</w:t>
        <w:br/>
        <w:t>[S]ocial de la [C]orte [S]uprema de la [R]epública,  emitió  pronunciamiento</w:t>
        <w:br/>
        <w:t>específico y definitivo sobre los hechos y derechos materia de la  litis  en</w:t>
        <w:br/>
        <w:t>el expediente No 619-97, con fecha 21 de julio de 1999 mediante la  cual  se</w:t>
        <w:br/>
        <w:t>ventilaron  exactamente  los  mismos  conceptos   controvertidos   en   este</w:t>
        <w:br/>
        <w:t>proceso”. Sentencia No. 234-2000-13 JTL del  13º  Juzgado  Especializado  de</w:t>
        <w:br/>
        <w:t>Trabajo de  Lima  de  12  de  diciembre  de  2000  (Expediente  No.  987-94)</w:t>
        <w:br/>
        <w:t>(expediente de anexos a la demanda, tomo  I,  anexo  14,  folio  135).  Esta</w:t>
        <w:br/>
        <w:t>sentencia no fue apelada por los trabajadores, por lo que el 8 de  enero  de</w:t>
        <w:br/>
        <w:t>2001 el 13º Juzgado de Trabajo de Lima  emitió  una  Resolución  en  la  que</w:t>
        <w:br/>
        <w:t>“declaró consentida la sentencia”.</w:t>
        <w:br/>
        <w:t>[61]  La Constitución Política del Perú de 1979 fue  modificada  en  el  año</w:t>
        <w:br/>
        <w:t>1993. En esta nueva Constitución el artículo 103  establece  que  “[n]inguna</w:t>
        <w:br/>
        <w:t>ley tiene fuerza ni efecto retroactivos, salvo en materia penal,  cuando  es</w:t>
        <w:br/>
        <w:t>más favorable al reo”.</w:t>
        <w:br/>
        <w:br/>
        <w:t>[62]  Sentencia de la Sala de Derecho Constitucional y Social  de  la  Corte</w:t>
        <w:br/>
        <w:t>Suprema de Justicia de la República del Perú de  12  de  diciembre  de  2002</w:t>
        <w:br/>
        <w:t>(expediente de fondo, tomo III, anexo 4, folio 1205). En igual  sentido,  la</w:t>
        <w:br/>
        <w:t>Sentencia de la Sala de Derecho Constitucional y Social de la Corte  Suprema</w:t>
        <w:br/>
        <w:t>de Justicia de la República del Perú de 18 de marzo de 2010  (expediente  de</w:t>
        <w:br/>
        <w:t>fondo, tomo III, anexo 2, folio 1196). Dicha  jurisprudencia  establece  dos</w:t>
        <w:br/>
        <w:t>excepciones a esta regla,  a  saber:  i)  cuando  se  aplica  la  denominada</w:t>
        <w:br/>
        <w:t>retroactividad “benigna”, la cual en virtud del artículo  187  conlleva  que</w:t>
        <w:br/>
        <w:t>la norma puede tener efectos retroactivos si es  más  favorable  en  materia</w:t>
        <w:br/>
        <w:t>penal o laboral, es decir  “que  dispone  la  aplicación  del  principio  de</w:t>
        <w:br/>
        <w:t>retroactividad de las leyes en materia laboral, cuando la  ley  a  aplicarse</w:t>
        <w:br/>
        <w:t>resultase  más  beneficiosa  a  éste”.  Sentencia  de  la  Sala  de  Derecho</w:t>
        <w:br/>
        <w:t>Constitucional y Social de la Corte Suprema de Justicia de la República  del</w:t>
        <w:br/>
        <w:t>Perú de 18 de noviembre de 2003 (expediente de fondo,  tomo  III,  anexo  4,</w:t>
        <w:br/>
        <w:t>folio  1211),  y  ii)  cuando  la  norma  es  interpretativa,  ya  que   “la</w:t>
        <w:br/>
        <w:t>interpretación que hace  el  Congreso  se  entiende  como  válida  desde  el</w:t>
        <w:br/>
        <w:t>momento en que entró en vigencia la ley interpretada, es decir  que  la  Ley</w:t>
        <w:br/>
        <w:t>que interpreta a una anterior, rige desde que aquélla entró en vigencia,  no</w:t>
        <w:br/>
        <w:t>desde que ella misma entra [en vigor]”. Sentencia  de  la  Sala  de  Derecho</w:t>
        <w:br/>
        <w:t>Constitucional y Social de la Corte Suprema de Justicia de la República  del</w:t>
        <w:br/>
        <w:t>Perú de 20 de junio de 2006 (expediente de fondo, tomo III, anexo  6,  folio</w:t>
        <w:br/>
        <w:t>1223). De acuerdo con los  precedentes  jurisprudenciales  peruanos,  se  ha</w:t>
        <w:br/>
        <w:t>indicado que los  requisitos  para  que  una  ley  sea  interpretativa  son:</w:t>
        <w:br/>
        <w:t>“Primero, debe referirse expresamente a la norma  legal  anterior.  Segundo,</w:t>
        <w:br/>
        <w:t>debe fijar el  sentido  de  dicha  norma  anterior  enunciando  uno  de  los</w:t>
        <w:br/>
        <w:t>múltiples significados plausibles de la norma interpretada,  el  cual  pasa,</w:t>
        <w:br/>
        <w:t>por decisión del propio legislador,  a  ser  el  significado  auténtico  que</w:t>
        <w:br/>
        <w:t>excluye las demás interpretaciones de la norma anterior.  Tercero,  no  debe</w:t>
        <w:br/>
        <w:t>agregarle a la norma interpretada un contenido que no estuviera  comprendido</w:t>
        <w:br/>
        <w:t>dentro de su ámbito material”. Sentencia  del  Tribunal  Constitucional  del</w:t>
        <w:br/>
        <w:t>Perú de 16 de mayo de 2007 (expediente de fondo, tomo III,  anexo  7,  folio</w:t>
        <w:br/>
        <w:t>1239).</w:t>
        <w:br/>
        <w:br/>
        <w:t>[63]  Asimismo, el Tribunal observa que al negar  las  pretensiones  de  las</w:t>
        <w:br/>
        <w:t>víctimas la Sala de Derecho Constitucional y  Social  de  la  Corte  Suprema</w:t>
        <w:br/>
        <w:t>indicó que los sistemas automáticos de reajuste  salarial  establecidos  por</w:t>
        <w:br/>
        <w:t>medio de convenios colectivos se encontraban extinguidos. Cfr. Sentencia  de</w:t>
        <w:br/>
        <w:t>la Sala de Derecho Constitucional y Social de la Corte Suprema de  Justicia,</w:t>
        <w:br/>
        <w:t>supra nota 55, folio  117.  Sin  embargo  de  acuerdo  con  los  hechos  del</w:t>
        <w:br/>
        <w:t>presente caso, las víctimas no  estaban  sujetas  a  negociación  colectiva,</w:t>
        <w:br/>
        <w:t>razón por la cual este supuesto no les era aplicable (supra párr. 53).</w:t>
        <w:br/>
        <w:br/>
        <w:t>[64]  Dictamen del perito Samuel B. Abad  Yupanqui  rendido  ante  fedatario</w:t>
        <w:br/>
        <w:t>público de 27 de septiembre de 2010 (expediente de  fondo,  tomo  II,  folio</w:t>
        <w:br/>
        <w:t>441).</w:t>
        <w:br/>
        <w:br/>
        <w:t>[65]  Cfr. Caso Velásquez Rodríguez vs. Honduras. Excepciones  Preliminares.</w:t>
        <w:br/>
        <w:t>Sentencia de 26 de junio de 1987. Serie C No.  1,  párr.  91;  Caso  Rosendo</w:t>
        <w:br/>
        <w:t>Cantú, supra nota 13, párr. 164, y Caso Cabrera  García  y  Montiel  Flores,</w:t>
        <w:br/>
        <w:t>supra nota 17, párr. 141.</w:t>
        <w:br/>
        <w:br/>
        <w:br/>
        <w:t>[66]  Cfr. Caso Tribunal Constitucional  Vs.  Perú.  Fondo,  Reparaciones  y</w:t>
        <w:br/>
        <w:t>Costas. Sentencia de 31 de enero de 2001. Serie C No.  71,  párr.  90;  Caso</w:t>
        <w:br/>
        <w:t>Bayarri vs. Argentina. Excepción Preliminar, Fondo, Reparaciones  y  Costas.</w:t>
        <w:br/>
        <w:t>Sentencia de 30 de octubre de  2008.  Serie  C  No.  187,  párr.  102;  Caso</w:t>
        <w:br/>
        <w:t>Reverón Trujillo, supra nota  23,  párr.  59,  y  véase  también,  Garantías</w:t>
        <w:br/>
        <w:t>Judiciales  en  Estados  de  Emergencia  (arts.  27.2,  25  y  8  Convención</w:t>
        <w:br/>
        <w:t>Americana sobre Derechos Humanos).  Opinión  Consultiva  OC-9/87  del  6  de</w:t>
        <w:br/>
        <w:t>octubre de 1987. Serie A No. 9, párr. 23.</w:t>
        <w:br/>
        <w:br/>
        <w:br/>
        <w:t>[67]  Cfr. Caso Ivcher Bronstein Vs. Perú.  Fondo,  Reparaciones  y  Costas.</w:t>
        <w:br/>
        <w:t>Sentencia de 6 de febrero de 2001. Serie C No. 74, párr. 137;  Caso  Acevedo</w:t>
        <w:br/>
        <w:t>Jaramillo y otros, supra nota 14, párr. 213, y Caso Acevedo Buendía y  otros</w:t>
        <w:br/>
        <w:t>(“Cesantes y Jubilados de la Contraloría”) vs. Perú.  Excepción  Preliminar,</w:t>
        <w:br/>
        <w:t>Fondo, Reparaciones y Costas. Sentencia de 1 de julio de 2009. Serie  C  No.</w:t>
        <w:br/>
        <w:t>198, párr. 69.</w:t>
        <w:br/>
        <w:br/>
        <w:br/>
        <w:t>[68]  Cfr. Caso Baena Ricardo y otros Vs. Panamá. Competencia. Sentencia  de</w:t>
        <w:br/>
        <w:t>28 de noviembre de 2003. Serie C No. 104, párr. 73; Caso  Acevedo  Jaramillo</w:t>
        <w:br/>
        <w:t>y otros,  supra  nota  14,  párr.  217,  y  Caso  Acevedo  Buendía  y  otros</w:t>
        <w:br/>
        <w:t>(“Cesantes y Jubilados de la Contraloría”), supra nota 68, párr. 69.</w:t>
        <w:br/>
        <w:br/>
        <w:t>[69]  Dictamen del señor  Jorge  Domingo  Gonzalez  Izquierdo  rendido  ante</w:t>
        <w:br/>
        <w:t>fedatario público de 27 de septiembre de 2010  (expediente  de  fondo,  tomo</w:t>
        <w:br/>
        <w:t>II, folio 479).</w:t>
        <w:br/>
        <w:br/>
        <w:t>[70]  Dictamen del señor Jorge Domingo Gonzalez Izquierdo,  supra  nota  70,</w:t>
        <w:br/>
        <w:t>folios 479 y 482.</w:t>
        <w:br/>
        <w:br/>
        <w:t>[71]  Dictamen del señor Jorge Domingo Gonzalez Izquierdo,  supra  nota  70,</w:t>
        <w:br/>
        <w:t>folio 481.</w:t>
        <w:br/>
        <w:br/>
        <w:t>[72]  Dictamen del señor Jorge Domingo Gonzalez Izquierdo,  supra  nota  70,</w:t>
        <w:br/>
        <w:t>folio 426.</w:t>
        <w:br/>
        <w:br/>
        <w:t>[73]  Dictamen del señor Jorge Domingo Gonzalez Izquierdo,  supra  nota  70,</w:t>
        <w:br/>
        <w:t>folio 427.</w:t>
        <w:br/>
        <w:br/>
        <w:t>[74]        Al respecto, en el derecho consuetudinario internacional  se  ha</w:t>
        <w:br/>
        <w:t>establecido que el tipo de propiedad  protegida  que  puede  ser  objeto  de</w:t>
        <w:br/>
        <w:t>expropiación no se limita a bienes muebles o inmuebles.  Por  el  contrario,</w:t>
        <w:br/>
        <w:t>los derechos intangibles, incluidos los  derechos  contractuales,  han  sido</w:t>
        <w:br/>
        <w:t>protegidos como derechos  adquiridos  en  varias  sentencias  de  arbitraje.</w:t>
        <w:br/>
        <w:t>International Centre for Settlement of Investment  Disputes  (ICSIIP),  Case</w:t>
        <w:br/>
        <w:t>of Wena Hotels Ltd. v. Egyp. No. ARB/98/4. Award  of  8  December  of  2000,</w:t>
        <w:br/>
        <w:t>para. 98, y Southern  Pacific  Properties  (Middle  East)  Limited  v.  Arab</w:t>
        <w:br/>
        <w:t>Republic of Egypt, No. ARB/84/3, Review 328,375  of  1993.  Asimismo,  Corte</w:t>
        <w:br/>
        <w:t>Internacional de Justicia,  Case  concerning  certain  German  interests  in</w:t>
        <w:br/>
        <w:t>Polish Upper Silesia. Merits. Judgment of 25 of may 1926. Serie A. No. 7.</w:t>
        <w:br/>
        <w:br/>
        <w:t>[75]  Cfr. Caso Ivcher Bronstein vs. Perú. Reparaciones y Costas.  Sentencia</w:t>
        <w:br/>
        <w:t>de  6 de febrero de 2001. Serie C No.  74,  párrs.  120-122;  Caso  Salvador</w:t>
        <w:br/>
        <w:t>Chiriboga vs. Ecuador. Excepción Preliminar y Fondo. Sentencia de 6 de  mayo</w:t>
        <w:br/>
        <w:t>de 2008. Serie C  No.  179,  párr.  55,  y  Caso  Acevedo  Buendía  y  otros</w:t>
        <w:br/>
        <w:t>(“Cesantes y Jubilados de la Contraloría), supra nota 68, párr. 84.</w:t>
        <w:br/>
        <w:br/>
        <w:br/>
        <w:t>[76]  Cfr.  Caso  "Cinco  Pensionistas"  Vs.  Perú.  Fondo,  Reparaciones  y</w:t>
        <w:br/>
        <w:t>Costas. Sentencia de 28 de febrero de 2003. Serie C No. 98, párr. 102;  Caso</w:t>
        <w:br/>
        <w:t>Salvador Chiriboga, supra nota 76, párr. 55, y Caso Acevedo Buendía y  otros</w:t>
        <w:br/>
        <w:t>(“Cesantes y Jubilados de la Contraloría”), supra nota 68, párr. 84.</w:t>
        <w:br/>
        <w:br/>
        <w:t>[77]  Sentencia C-147/97 de la Corte Constitucional de  Colombia  de  19  de</w:t>
        <w:br/>
        <w:t>marzo de 1997.</w:t>
        <w:br/>
        <w:br/>
        <w:t>[78]  Cfr. Caso Ivcher Bronstein vs.  Perú.  Reparaciones  y  Costas,  supra</w:t>
        <w:br/>
        <w:t>nota 76, párr. 128; Caso Salvador Chiriboga, supra nota 76, párrs. 60 y  61,</w:t>
        <w:br/>
        <w:t>y Caso Perozo  y  otros  vs.  Venezuela.  Excepciones  Preliminares,  Fondo,</w:t>
        <w:br/>
        <w:t>Reparaciones y Costas. Sentencia de 28 de Enero de 2009. Serie  C  No.  195,</w:t>
        <w:br/>
        <w:t>párr. 399.</w:t>
        <w:br/>
        <w:br/>
        <w:br/>
        <w:t>[79]  Cfr. Caso Salvador Chiriboga, supra nota 76, párr.  54;  Caso  Acevedo</w:t>
        <w:br/>
        <w:t>Buendía y otros (“Cesantes y Jubilados de la Contraloría”), supra  nota  68,</w:t>
        <w:br/>
        <w:t>párr. 84.</w:t>
        <w:br/>
        <w:br/>
        <w:br/>
        <w:t>[80]  Cfr. Caso "Cinco Pensionistas", supra nota 77.</w:t>
        <w:br/>
        <w:br/>
        <w:br/>
        <w:t>[81]  Cfr. Caso  "Cinco  Pensionistas",  supra  nota  77,  párr.  103,  Caso</w:t>
        <w:br/>
        <w:t>Acevedo Buendía y otros (“Cesantes y Jubilados de  la  Contraloría”),  supra</w:t>
        <w:br/>
        <w:t>nota 68, párr. 85.</w:t>
        <w:br/>
        <w:br/>
        <w:br/>
        <w:t>[82]  Al respecto, en el citado caso,  el  Tribunal  declaró  que  al  haber</w:t>
        <w:br/>
        <w:t>cambiado arbitrariamente el monto de las pensiones  que  venían  percibiendo</w:t>
        <w:br/>
        <w:t>las víctimas y al no haber dado cumplimiento  a  las  sentencias  judiciales</w:t>
        <w:br/>
        <w:t>emitidas con ocasión de las acciones de garantía interpuestas por éstos,  el</w:t>
        <w:br/>
        <w:t>Estado violó el derecho a la propiedad reconocido en el artículo  21  de  la</w:t>
        <w:br/>
        <w:t>Convención. Caso "Cinco Pensionistas", supra nota 77, párrs. 115 y 121.</w:t>
        <w:br/>
        <w:br/>
        <w:t>[83]   En  este  sentido,  el  Tribunal  Europeo  de  Derechos  Humanos   ha</w:t>
        <w:br/>
        <w:t>establecido que “los órganos de la Convención  han  indicado  constantemente</w:t>
        <w:br/>
        <w:t>que el ingreso que ha sido  devengado,  constituye  una  “posesión”  en  los</w:t>
        <w:br/>
        <w:t>términos del artículo 1 del Protocolo 1 de la  Convención”.  ECHR,  Case  of</w:t>
        <w:br/>
        <w:t>Lelas v. Croatia, Judgment of 20 may 2010, para. 58, Case  of  Bahçeyaka  v.</w:t>
        <w:br/>
        <w:t>Turkey, Judgment of 13 July 2006  para. 34 y Case of  Schettini  and  others</w:t>
        <w:br/>
        <w:t>v. Italy (dec.), Judgment of 9 November 2000, para. 1.</w:t>
        <w:br/>
        <w:t>[84]  El artículo 63.1 de la Convención dispone  que  “[c]uando  decida  que</w:t>
        <w:br/>
        <w:t>hubo violación de un derecho o libertad protegidos en  [la]  Convención,  la</w:t>
        <w:br/>
        <w:t>Corte dispondrá que se garantice al lesionado en el goce  de  su  derecho  o</w:t>
        <w:br/>
        <w:t>libertad conculcados. Dispondrá asimismo, si ello fuera procedente,  que  se</w:t>
        <w:br/>
        <w:t>reparen las consecuencias de la medida o situación  que  ha  configurado  la</w:t>
        <w:br/>
        <w:t>vulneración de esos derechos y el pago  de  una  justa  indemnización  a  la</w:t>
        <w:br/>
        <w:t>parte lesionada”.</w:t>
        <w:br/>
        <w:br/>
        <w:t>[85]  Cfr. Caso Velásquez Rodríguez Vs.  Honduras.  Reparaciones  y  Costas.</w:t>
        <w:br/>
        <w:t>Sentencia de 21 de julio de 1989. Serie C No. 7, párr. 25; Caso  Gomes  Lund</w:t>
        <w:br/>
        <w:t>y otros (Guerrilha do Araguaia), supra nota 17, párr. 245,  y  Caso  Cabrera</w:t>
        <w:br/>
        <w:t>García y Montiel Flores, supra nota 17, párr. 208.</w:t>
        <w:br/>
        <w:br/>
        <w:t>[86]  Cfr. Caso de los “Niños de la Calle” (Villagrán Morales y  otros)  Vs.</w:t>
        <w:br/>
        <w:t>Guatemala. Reparaciones y Costas. Sentencia de 26 de mayo de 2001.  Serie  C</w:t>
        <w:br/>
        <w:t>No. 77, párr. 62; Caso Gomes Lund y otros  (Guerrilha  do  Araguaia),  supra</w:t>
        <w:br/>
        <w:t>nota 17, párr. 245, y Caso Cabrera García y Montiel Flores, supra  nota  17,</w:t>
        <w:br/>
        <w:t>párr. 208.</w:t>
        <w:br/>
        <w:br/>
        <w:t>[87]  Cfr. Caso Ticona Estrada y otros Vs. Bolivia.  Fondo,  Reparaciones  y</w:t>
        <w:br/>
        <w:t>Costas. Sentencia de 27 de noviembre de 2008. Serie  C  No.  191,párr.  110;</w:t>
        <w:br/>
        <w:t>Caso Gomes Lund y otros (Guerrilha do Araguaia), supra nota 17,  párr.  246,</w:t>
        <w:br/>
        <w:t>y Caso Cabrera García y Montiel Flores, supra nota 17, párr. 209.</w:t>
        <w:br/>
        <w:br/>
        <w:t>[88]  Cfr. Caso Velásquez Rodríguez Vs.  Honduras.  Reparaciones  y  Costas,</w:t>
        <w:br/>
        <w:t>supra nota 88, párrs. 25 a 27; Caso Vélez Loor, supra nota 12, párr. 257,  y</w:t>
        <w:br/>
        <w:t>Caso Cabrera García y Montiel Flores, supra nota 17, párr. 210.</w:t>
        <w:br/>
        <w:br/>
        <w:t>[89]  Cfr. Caso Acevedo  Buendía  y  otros  (“Cesantes  y  Jubilados  de  la</w:t>
        <w:br/>
        <w:t>Contraloría”); supra nota 68, Caso Usón  Ramírez  vs.  Venezuela.  Excepción</w:t>
        <w:br/>
        <w:t>Preliminar, Fondo, Reparaciones y Costas. Sentencia de 20  de  noviembre  de</w:t>
        <w:br/>
        <w:t>2009. Serie C No. 207, párr. 163, y Caso Cabrera García  y  Montiel  Flores,</w:t>
        <w:br/>
        <w:t>supra nota 17, párr. 212.</w:t>
        <w:br/>
        <w:br/>
        <w:t>[90]  Cfr. Caso Barrios Altos Vs. Perú. Reparaciones y Costas. Sentencia  de</w:t>
        <w:br/>
        <w:t>30 de noviembre de 2001. Serie C No. 87, Punto Resolutivo 5 d);  Caso  Gomes</w:t>
        <w:br/>
        <w:t>Lund y otros (Guerrilha do Araguaia), supra  nota  17,  párr.  273,  y  Caso</w:t>
        <w:br/>
        <w:t>Cabrera García y Montiel Flores, supra nota 17, párr. 217.</w:t>
        <w:br/>
        <w:br/>
        <w:t>[91]        Este Tribunal ha establecido que el  daño  material  supone  “la</w:t>
        <w:br/>
        <w:t>pérdida o detrimento de los ingresos de las víctimas, los gastos  efectuados</w:t>
        <w:br/>
        <w:t>con motivo de los hechos y las  consecuencias  de  carácter  pecuniario  que</w:t>
        <w:br/>
        <w:t>tengan un nexo causal con los hechos del caso”. Cfr. Caso  Bámaca  Velásquez</w:t>
        <w:br/>
        <w:t>vs. Guatemala. Reparaciones y Costas. Sentencia de 22 de  febrero  de  2002.</w:t>
        <w:br/>
        <w:t>Serie C No. 91, párr. 43; Caso Gomes Lund y otros (Guerrilha  do  Araguaia),</w:t>
        <w:br/>
        <w:t>supra nota 17, párr. 298, y Caso Cabrera  García  y  Montiel  Flores,  supra</w:t>
        <w:br/>
        <w:t>nota 17, párr. 248.</w:t>
        <w:br/>
        <w:br/>
        <w:t>[92]  Así, en el Informe No. 52-2004-JUS/CNDH-SE emitido el 3 de  septiembre</w:t>
        <w:br/>
        <w:t>de 2004, el Estado hizo mención al Oficio  múltiple  No.  023-2004-JUS/CNDH,</w:t>
        <w:br/>
        <w:t>de fecha 17 de agosto de 2004, remitido al SIFUSE, mediante el  cual  indicó</w:t>
        <w:br/>
        <w:t>que, en el marco del proceso de solución amistosa del presente caso, “a  fin</w:t>
        <w:br/>
        <w:t>de contar con una opinión técnico jurídica sobre las  pretensiones  de  [las</w:t>
        <w:br/>
        <w:t>víctimas], y considerando  que  no  cuenta  con  personal  especializado  en</w:t>
        <w:br/>
        <w:t>derecho  laboral,  solicitó  el  apoyo  de  una  consultora  externa  y  del</w:t>
        <w:br/>
        <w:t>Ministerio de Trabajo”. Informe No. 52-2004-JUS/CNDH-SE de 3  de  septiembre</w:t>
        <w:br/>
        <w:t>de 2004  emitido  por  la  Secretaría  Ejecutiva  del  Consejo  Nacional  de</w:t>
        <w:br/>
        <w:t>Derechos Humanos del Ministerio de  Justicia  (expediente  de  anexos  a  la</w:t>
        <w:br/>
        <w:t>demanda, tomo I, anexo 17, folios 150 a 153).</w:t>
        <w:br/>
        <w:br/>
        <w:t>[93]  “Mediante Resolución Suprema No. 226-2009-PCM de 2  de  septiembre  de</w:t>
        <w:br/>
        <w:t>2009 se aprobó la constitución de dicha comisión.  Según  la  resolución  de</w:t>
        <w:br/>
        <w:t>constitución de la Comisión de  alto  nivel,  una  vez  la  empresa  SEDAPAL</w:t>
        <w:br/>
        <w:t>presentara  una  serie  de  documentos,  y  los  peticionarios  los   medios</w:t>
        <w:br/>
        <w:t>probatorios que a bien consideraran  (de  carácter  opcional),  la  Comisión</w:t>
        <w:br/>
        <w:t>contaría con  20  días  hábiles  para  evaluar  la  documentación.   De  ser</w:t>
        <w:br/>
        <w:t>conveniente, la Comisión de alto nivel podría convocar  a  las  partes.  Una</w:t>
        <w:br/>
        <w:t>vez concluido este plazo, los miembros del Sindicato  podrían  solicitar  el</w:t>
        <w:br/>
        <w:t>uso de la palabra. Cumplidos estos pasos, la Comisión de alto nivel  tendría</w:t>
        <w:br/>
        <w:t>20 días hábiles (de carácter improrrogable) para elaborar un  informe  final</w:t>
        <w:br/>
        <w:t>que debería ser remitido al Presidente del Consejo de Defensa  Jurídica  del</w:t>
        <w:br/>
        <w:t>Estado. En dicho informe se  emitiría  un  pronunciamiento  respecto  a  los</w:t>
        <w:br/>
        <w:t>alcances de  la  recomendación  de  la  CIDH  así  como  los  mecanismos  de</w:t>
        <w:br/>
        <w:t>implementación de la misma. La Comisión de alto nivel tenía un plazo  máximo</w:t>
        <w:br/>
        <w:t>de funcionamiento de 90 días desde el 11 de septiembre de 2009, fecha en  la</w:t>
        <w:br/>
        <w:t>que se instaló la Comisión de alto nivel”. Resolución Suprema  N°  226-2009-</w:t>
        <w:br/>
        <w:t>PCM de 2 de septiembre de 2009 (expediente de anexos a  la  contestación  de</w:t>
        <w:br/>
        <w:t>la demanda, tomo IX, anexo 6, folios 2486 a 2489). En sus informes de 11  de</w:t>
        <w:br/>
        <w:t>septiembre y 7 de octubre  de  2009  ante  la  Comisión  Interamericana,  el</w:t>
        <w:br/>
        <w:t>Estado indicó que esta Comisión “había sesionado  en  cuatro  oportunidades,</w:t>
        <w:br/>
        <w:t>una de ellas en presencia de la empresa SEDAPAL  y  de  aproximadamente  120</w:t>
        <w:br/>
        <w:t>víctimas (de un total de 233)”. Sin embargo, el  11  de  enero  de  2010  el</w:t>
        <w:br/>
        <w:t>Estado informó sobre “el fracaso de las  negociaciones  sostenidas  a  nivel</w:t>
        <w:br/>
        <w:t>interno”. El Estado indicó  “que  la  Comisión  de  alto  nivel  celebró  13</w:t>
        <w:br/>
        <w:t>sesiones internas y 2 sesiones con los peticionarios y la  empresa  SEDAPAL.</w:t>
        <w:br/>
        <w:t>Resaltó que […] dicha  Comisión  […]  ‘confiri[ó]  a  los  peticionantes  el</w:t>
        <w:br/>
        <w:t>acceso a un recurso adecuado y efectivo que logre la  repar[a]ción  […]  por</w:t>
        <w:br/>
        <w:t>la violación de sus derechos por la aplicación de la  ley  25876  y  por  la</w:t>
        <w:br/>
        <w:t>negativa a la protección judicial ante el  reclamo  planteado’”.  El  Estado</w:t>
        <w:br/>
        <w:t>detalló que el representante habría explicado “que el monto  actualizado  de</w:t>
        <w:br/>
        <w:t>su pretensión por concepto de reparación asciende  al  equivalente  [de]  17</w:t>
        <w:br/>
        <w:t>millones  de  dólares”.  Agregó  que  “la  extrema  diferencia   entre   las</w:t>
        <w:br/>
        <w:t>posiciones de las partes al mantenerse inquebrantables en  sus  pretensiones</w:t>
        <w:br/>
        <w:t>(…) explica el fracaso de la Comisión”. Finalmente,  el  Estado  indicó  que</w:t>
        <w:br/>
        <w:t>“la Procuraduría Pública Especializada intentó promover un acercamiento  que</w:t>
        <w:br/>
        <w:t>tampoco ha sido posible por las mismas razones” (expediente de  fondo,  tomo</w:t>
        <w:br/>
        <w:t>I, folio 9).</w:t>
        <w:br/>
        <w:br/>
        <w:t>[94]  Cfr. Peritaje del señor Félix Daniel  Aquije  Soler,  supra  nota  29,</w:t>
        <w:br/>
        <w:t>folios 2568 a 2668 e informe pericial de  la  señora  Lily  Isabel  Albornoz</w:t>
        <w:br/>
        <w:t>Castro, supra nota 40, folios 1622 a 1627.</w:t>
        <w:br/>
        <w:br/>
        <w:t>[95]  Cfr. Caso Chaparro Álvarez y Lapo  Íñiguez  Vs.  Ecuador.  Excepciones</w:t>
        <w:br/>
        <w:t>Preliminares, Fondo, Reparaciones y Costas. Sentencia de 21 de noviembre  de</w:t>
        <w:br/>
        <w:t>2007. Serie C No. 170, párr. 230.</w:t>
        <w:br/>
        <w:br/>
        <w:t>[96]  De acuerdo con  el  texto  del  citado  peritaje,  “los  elementos  de</w:t>
        <w:br/>
        <w:t>juicio” tenidos en cuenta  para  el  cálculo  respectivo  son:  “[f]echa  de</w:t>
        <w:br/>
        <w:t>[i]ngreso”, “[f]echa de cese (para los que ya no tienen  vínculo  laboral)”,</w:t>
        <w:br/>
        <w:t>“[g]rupo [s]alarial”, “[c]ategoría”, “[r]atio [s]alarial”,  “[i]ncremento  a</w:t>
        <w:br/>
        <w:t>la [r]emuneración del [p]eón, Julio  de  1992  S/.  70.00”,  “[r]emuneración</w:t>
        <w:br/>
        <w:t>[b]ásica del [t]rabajador a Noviembre de 1992”  y  “[r]emuneración  [b]ásica</w:t>
        <w:br/>
        <w:t>del [t]rabajador a Diciembre de 1992”. Informe pericial de  la  señora  Lily</w:t>
        <w:br/>
        <w:t>Isabel Albornoz Castro, supra nota 40, folio 1626. El peritaje allegado  por</w:t>
        <w:br/>
        <w:t>el representante no cuenta con una explicación exhaustiva de la fórmula  con</w:t>
        <w:br/>
        <w:t>la que se aplicaron dichos “elementos de juicio” para  la  determinación  de</w:t>
        <w:br/>
        <w:t>los montos que se presentan respecto de cada una de  las  víctimas,  por  lo</w:t>
        <w:br/>
        <w:t>que no es posible conocer la  manera  exacta  en  la  que  se  obtienen  las</w:t>
        <w:br/>
        <w:t>conclusiones del  mismo.  Sin  embargo,  de  las  tablas  que  obran  en  el</w:t>
        <w:br/>
        <w:t>expediente,  la  Corte  observa  que  los  montos  correspondientes  a   los</w:t>
        <w:br/>
        <w:t>denominados básicos respecto  a  “la  no  aplicación  del  incremento  a  la</w:t>
        <w:br/>
        <w:t>remuneración del peón  de  S/.  70.00”  y  con  relación  a  la  “rebaja  de</w:t>
        <w:br/>
        <w:t>salarios” coinciden con aquellos especificados  en  el  peritaje  presentado</w:t>
        <w:br/>
        <w:t>por el Estado.</w:t>
        <w:br/>
        <w:br/>
        <w:t>[97]  Además de lo anterior, el peritaje del Estado incluye  en  su  cálculo</w:t>
        <w:br/>
        <w:t>de indemnización el reembolso de los descuentos realizados  hasta  marzo  de</w:t>
        <w:br/>
        <w:t>1994. Cfr. Peritaje del señor Félix Daniel  Aquije  Soler,  supra  nota  29,</w:t>
        <w:br/>
        <w:t>folio 2583.</w:t>
        <w:br/>
        <w:br/>
        <w:t>[98]  Ambos peritajes coinciden en señalar que i) “no existe reclamo  alguno</w:t>
        <w:br/>
        <w:t>respecto a la aplicación del  sistema  de  ratios  salariales  por  períodos</w:t>
        <w:br/>
        <w:t>anteriores a enero de  1992”;  ii)  el  sistema  de  ratios  salariales  fue</w:t>
        <w:br/>
        <w:t>suspendido “entre el 10 de enero y 22 de octubre” de  1992,  en  virtud  del</w:t>
        <w:br/>
        <w:t>Decreto Ley 25.334, “y entre el 1 de noviembre y 26 de  noviembre  de  1992,</w:t>
        <w:br/>
        <w:t>en aplicación de[l Decreto] Ley [No.] 25388 y  sus  modificatorias”.  Oficio</w:t>
        <w:br/>
        <w:t>Nº. 1-2005-MTPE/ATAD de 7 de enero de 2005, supra nota 44, folio 1883;  iii)</w:t>
        <w:br/>
        <w:t>los trabajadores no percibieron el ingreso según la base vigente a enero  de</w:t>
        <w:br/>
        <w:t>1992 y existió una rebaja indebida de las remuneraciones entre diciembre  de</w:t>
        <w:br/>
        <w:t>1992 y marzo de 1994, y iv) “para los  trabajadores  cesados  o  fallecidos,</w:t>
        <w:br/>
        <w:t>los cálculos se han  aplicado  hasta  la  fecha  de  sus  respectivos  ceses</w:t>
        <w:br/>
        <w:t>laborales”. Informe pericial de  la  señora  Lily  Isabel  Albornoz  Castro,</w:t>
        <w:br/>
        <w:t>supra nota 40, folio 1626. Este último  aspecto  puede  corroborarse  en  el</w:t>
        <w:br/>
        <w:t>análisis particular de trabajadores que cesaron en sus  funciones  antes  de</w:t>
        <w:br/>
        <w:t>la fecha límite de pago establecida por el Estado. Por ejemplo, en  el  caso</w:t>
        <w:br/>
        <w:t>del señor Jorge Luis Neyra Yáñez, tanto en el  peritaje  presentado  por  el</w:t>
        <w:br/>
        <w:t>Estado como en el del representante el cálculo respectivo tiene  como  fecha</w:t>
        <w:br/>
        <w:t>límite de referencia el mes de junio de 1993. Informe pericial de la  señora</w:t>
        <w:br/>
        <w:t>Lily Isabel Albornoz Castro, supra nota 40, folio 2136 y peritaje del  señor</w:t>
        <w:br/>
        <w:t>Félix Daniel Aquije Soler, supra nota 29,  folio  2659.  En  este  punto  es</w:t>
        <w:br/>
        <w:t>necesario precisar que si bien el pago de los montos por aplicación  de  las</w:t>
        <w:br/>
        <w:t>ratios salariales debe considerarse hasta la fecha en que  la  persona  cesó</w:t>
        <w:br/>
        <w:t>en  su  trabajo,  los  intereses  que  hayan  surgido  por  esta  deuda  son</w:t>
        <w:br/>
        <w:t>contabilizados por los dos peritajes hasta la fecha  en  que  se  realizaron</w:t>
        <w:br/>
        <w:t>los respectivos dictámenes, y se  destaca  que  dichos  intereses  continúan</w:t>
        <w:br/>
        <w:t>devengándose “hasta el día de su pago efectivo”. Peritaje  del  señor  Félix</w:t>
        <w:br/>
        <w:t>Daniel Aquije Soler, supra nota 29, folio 2585.</w:t>
        <w:br/>
        <w:br/>
        <w:t>[99]  Entre los criterios que tiene en cuenta el peritaje presentado por  el</w:t>
        <w:br/>
        <w:t>Estado se identifican: i) un primer básico que corresponde al incremento  de</w:t>
        <w:br/>
        <w:t>S/. 70.00 que no se aplicó en julio de  1992;  ii)  un  segundo  básico  que</w:t>
        <w:br/>
        <w:t>representa la rebaja que se realizó a los salarios de los  trabajadores  por</w:t>
        <w:br/>
        <w:t>el incremento considerado indebido; iii) el resultado de aplicar a cada  uno</w:t>
        <w:br/>
        <w:t>de dichos montos básicos un 10% por concepto de remuneración  personal;  iv)</w:t>
        <w:br/>
        <w:t>el monto resultante de aplicar un 10% a la sumatoria de los citados  básicos</w:t>
        <w:br/>
        <w:t>y  las  remuneraciones  personales  por   concepto   de   FONAVI;   v)   las</w:t>
        <w:br/>
        <w:t>gratificaciones, y vi) el reintegro del monto  que  fue  cobrado  de  manera</w:t>
        <w:br/>
        <w:t>retroactiva a las víctimas. A la suma de todas las variables  anteriores  se</w:t>
        <w:br/>
        <w:t>le denomina “Total Bruto” y respecto  de  ésta  se  calculan  los  intereses</w:t>
        <w:br/>
        <w:t>determinados por el Decreto Ley 25920, configurándose la  denominada  “Deuda</w:t>
        <w:br/>
        <w:t>Laboral”. A ello se le añade el monto por la “Deuda por el Seguro Social  de</w:t>
        <w:br/>
        <w:t>Salud (EsSALUD)” y la “Deuda por Compensación por Tiempo de Servicios”,  que</w:t>
        <w:br/>
        <w:t>en ambos casos comprende intereses.   Tomando  como  ejemplo  el  cuadro  de</w:t>
        <w:br/>
        <w:t>reintegros legales e intereses tanto del peritaje  remitido  por  el  Estado</w:t>
        <w:br/>
        <w:t>como por el representante en relación  con  el  señor  Abrill  Alosilla,  se</w:t>
        <w:br/>
        <w:t>aprecia que la base del cálculo correspondiente a lo no incrementado  es  de</w:t>
        <w:br/>
        <w:t>214,90; la base de cálculo del reintegro por el  descuento  indebido  es  de</w:t>
        <w:br/>
        <w:t>92,00. Sin embargo, en el peritaje del Estado la suma  total  del  reintegro</w:t>
        <w:br/>
        <w:t>por el descuento indebido hasta el mes  de  marzo  de  1994  es  de  1542,62</w:t>
        <w:br/>
        <w:t>(reintegros de marzo, abril, mayo y agosto de 1993 y de octubre  de  1993  a</w:t>
        <w:br/>
        <w:t>marzo de 1994); mientras que en el peritaje  del  representante  dicha  suma</w:t>
        <w:br/>
        <w:t>corresponde a 1399,64 (reintegros de marzo y abril de 1993 y de  octubre  de</w:t>
        <w:br/>
        <w:t>1993 a marzo de 1994). Cfr. Peritaje del señor Félix  Daniel  Aquije  Soler,</w:t>
        <w:br/>
        <w:t>supra nota 29, folio 2632 e  informe  pericial  de  la  señora  Lily  Isabel</w:t>
        <w:br/>
        <w:t>Albornoz Castro, supra nota 40, folio 1954.</w:t>
        <w:br/>
        <w:br/>
        <w:t>[100]       Ambas  experticias  presentan  diferencias  respecto  a  ciertos</w:t>
        <w:br/>
        <w:t>criterios que deben ser utilizados para pagar,  por  ejemplo,  el  reintegro</w:t>
        <w:br/>
        <w:t>del descuento efectuado indebidamente por la empresa. Si bien es  claro  que</w:t>
        <w:br/>
        <w:t>la mayor diferencia entre los  dos  peritajes  presentados  por  las  partes</w:t>
        <w:br/>
        <w:t>radica en la fecha en que debe finalizar el cálculo de  lo  adeudado  a  las</w:t>
        <w:br/>
        <w:t>víctimas, la Corte  observa  que  existen  otras  diferencias  técnicas  que</w:t>
        <w:br/>
        <w:t>tienen como consecuencia que los  montos  difieran  en  algunos  puntos.  En</w:t>
        <w:br/>
        <w:t>efecto, hay diferencias frente a los intereses considerados, ya  que  en  el</w:t>
        <w:br/>
        <w:t>peritaje del Estado se aplican intereses por concepto  de  prestaciones  que</w:t>
        <w:br/>
        <w:t>no se tienen en cuenta en el peritaje del representante.  Concretamente,  el</w:t>
        <w:br/>
        <w:t>peritaje del Estado calcula  intereses  por  los  siguientes  conceptos:  i)</w:t>
        <w:br/>
        <w:t>laborales establecidos por el Decreto Ley  No.  25920;  ii)  reintegros  por</w:t>
        <w:br/>
        <w:t>EsSALUD, y iii) bancarios derivados de la Ley de Compensación por Tiempo  de</w:t>
        <w:br/>
        <w:t>Servicios  (CTS).  Respecto  a  este  último  criterio,  cabe  resaltar  que</w:t>
        <w:br/>
        <w:t>conforme al artículo 21 de la Ley de CTS, “los empleadores depositan en  los</w:t>
        <w:br/>
        <w:t>meses de mayo y noviembre de cada año, tantos  dozavos  de  la  remuneración</w:t>
        <w:br/>
        <w:t>computable percibida por el trabajador en los meses de abril  y  de  octubre</w:t>
        <w:br/>
        <w:t>respectivamente, como meses completos ya laborados”. Asimismo,  el  Tribunal</w:t>
        <w:br/>
        <w:t>observa que mediante el Decreto de Urgencia No. 127-2000 “se  estableció  el</w:t>
        <w:br/>
        <w:t>[r]égimen [t]emporal de depósitos mensuales de CTS a partir del [1 de  enero</w:t>
        <w:br/>
        <w:t>de 2001,] el cual fue prorrogado sucesivamente hasta el [31  de  octubre  de</w:t>
        <w:br/>
        <w:t>2004]. De acuerdo con el Art[ículo] 2 del citado  dispositivo,  el  depósito</w:t>
        <w:br/>
        <w:t>de CTS mensual se determina aplicando el 8.33% de la remuneración  mensual”.</w:t>
        <w:br/>
        <w:t>Cfr. Peritaje del señor Félix Daniel Aquije  Soler,  supra  nota  29,  folio</w:t>
        <w:br/>
        <w:t>2590. Por otra parte, el cálculo del valor de  reintegro  por  el  descuento</w:t>
        <w:br/>
        <w:t>indebido no concuerda en todos los casos, al comparar los peritajes,  en  lo</w:t>
        <w:br/>
        <w:t>que concierne a los valores y a las fechas a  las  que  estos  corresponden.</w:t>
        <w:br/>
        <w:t>Estas diferencias entre  los  peritajes  no  han  sido  objeto  de  alegatos</w:t>
        <w:br/>
        <w:t>específicos de  las  partes,  razón  por  la  cual  el  Tribunal  no  estima</w:t>
        <w:br/>
        <w:t>procedente hacer un pronunciamiento específico al respecto.</w:t>
        <w:br/>
        <w:br/>
        <w:t>[101]        Oficio Nº. 1-2005-MTPE/ATAD de 7 de enero de 2005,  supra  nota</w:t>
        <w:br/>
        <w:t>44, folios 1884 y 1885.</w:t>
        <w:br/>
        <w:br/>
        <w:t>[102]       Acuerdo de  Directorio  de  SEDAPAL  No.  168-026-93  del  8  de</w:t>
        <w:br/>
        <w:t>octubre de 1993. Cfr. Peritaje del señor Félix Daniel  Aquije  Soler,  supra</w:t>
        <w:br/>
        <w:t>nota 29, folio 2579.</w:t>
        <w:br/>
        <w:br/>
        <w:t>[103]       Cfr. Peritaje del señor Félix Daniel Aquije  Soler,  supra  nota</w:t>
        <w:br/>
        <w:t>29, folio 2579.</w:t>
        <w:br/>
        <w:br/>
        <w:t>[104]       Cfr. Peritaje del señor Félix Daniel Aquije  Soler,  supra  nota</w:t>
        <w:br/>
        <w:t>29, folio 2580.</w:t>
        <w:br/>
        <w:br/>
        <w:t>[105]       Cfr. Declaración rendida por  el  testigo  Víctor  Hugo  De  Los</w:t>
        <w:br/>
        <w:t>Santos, supra nota 30.</w:t>
        <w:br/>
        <w:br/>
        <w:t>[106]       De acuerdo con el  señor  De  Los  Santos,  la  reestructuración</w:t>
        <w:br/>
        <w:t>salarial de 1993 generó “una reforma integral de la estructura  organizativa</w:t>
        <w:br/>
        <w:t>de la empresa y elabor[ó] incrementos de tal manera […] que  el  sueldo  que</w:t>
        <w:br/>
        <w:t>percibían los funcionarios en  diciembre  d[e]  1992  son  incrementados  en</w:t>
        <w:br/>
        <w:t>promedio en agosto d[e] 1993 hasta  en  un  111%  en  el  valor  nominal”  y</w:t>
        <w:br/>
        <w:t>“considerando la inflación había un efectivo real  de  63.29%”.  Por  tanto,</w:t>
        <w:br/>
        <w:t>“cualquier ratio que se hubie[se] dado en este ínterin de 8 meses  hubie[se]</w:t>
        <w:br/>
        <w:t>siempre  sido  menor  a  lo  que  otorgó  SEDAPAL  en  la  nueva  estructura</w:t>
        <w:br/>
        <w:t>remunerativa”. Al respecto, el señor De Los Santos  formuló  un  ejemplo  en</w:t>
        <w:br/>
        <w:t>los siguientes términos: En el caso de un profesional en categoría  4,  cuyo</w:t>
        <w:br/>
        <w:t>ratio era 3.42, de 725 soles de salario “sin haberle dado el incremento  del</w:t>
        <w:br/>
        <w:t>peón [por la negociación  colectiva  de  70  soles],  sin  haberle  dado  el</w:t>
        <w:br/>
        <w:t>diferencial [de la remuneración base de diciembre 1991 a  enero  1992],  sin</w:t>
        <w:br/>
        <w:t>haberle retornado el descuento indebido [que se le hizo a  los  trabajadores</w:t>
        <w:br/>
        <w:t>por efecto de la dación del Decreto Ley  25876],  tiene  un  incremento  del</w:t>
        <w:br/>
        <w:t>96.46”. Ahora, “cuando se establece la nueva  estructura  remunerativa,  […]</w:t>
        <w:br/>
        <w:t>al sueldo de 725 l[e] hubiéramos [aumentado] el incremento del peón que  era</w:t>
        <w:br/>
        <w:t>[de] 70 soles, multiplicados por el ratio nos da 239  soles  de  incremento,</w:t>
        <w:br/>
        <w:t>la diferencia de la base que era 301 soles multiplicado  por  el  ratio  era</w:t>
        <w:br/>
        <w:t>102 soles, el descuento  indebido  que  se  le  hizo  al  trabajador  se  le</w:t>
        <w:br/>
        <w:t>hubie[se] devuelto [con lo cual] h[abría]  llegado  a  una  remuneración  de</w:t>
        <w:br/>
        <w:t>1247 [soles] y eso […] era inferior a 1425 que le dio  la  nueva  estructura</w:t>
        <w:br/>
        <w:t>remunerativa”. Cfr. Declaración rendida por el testigo Víctor  Hugo  De  Los</w:t>
        <w:br/>
        <w:t>Santos, supra nota 30.</w:t>
        <w:br/>
        <w:t>[107]       El representante informó que ante  dicha  situación,  el  14  de</w:t>
        <w:br/>
        <w:t>marzo de 2008, el SIFUSE de SEDAPAL  “interpu[so]  una  [a]cción  [j]udicial</w:t>
        <w:br/>
        <w:t>[…] ante el Juzgado Mixto de  El  Agustino,  solicitando  la  nivelación  de</w:t>
        <w:br/>
        <w:t>[s]ueldos   que   corresponde   a   los   [t]rabajadores,    [f]uncionarios,</w:t>
        <w:br/>
        <w:t>[p]rofesionales y [t]écnicos de la indicada  [e]mpresa,  como  resultado  de</w:t>
        <w:br/>
        <w:t>las aprobaciones expedidas por  FONAFE  como  por  SEDAPAL  respecto  de  la</w:t>
        <w:br/>
        <w:t>[p]olítica [r]emunerativa para el año […] 2002, [a]cción [j]udicial  que  se</w:t>
        <w:br/>
        <w:t>encuentra  en  trámite”.  Cfr.  Demanda  de  nivelación  de   remuneraciones</w:t>
        <w:br/>
        <w:t>conforme a escala salarial, interpuesta por el  Sindicato  de  Funcionarios,</w:t>
        <w:br/>
        <w:t>Profesionales y Trabajadores de SEDAPAL el 14  de  marzo  de  2008  ante  el</w:t>
        <w:br/>
        <w:t>Juzgado Mixto del Módulo  Básico  de  Justicia  del  Agustino  de  la  Corte</w:t>
        <w:br/>
        <w:t>Superior de Justicia del Perú (expediente de fondo, tomo III, folios 1274  a</w:t>
        <w:br/>
        <w:t>1288).  Las  alegadas  situaciones  de  congelación  de  salarios,  indebida</w:t>
        <w:br/>
        <w:t>reubicación en subcategorías laborales y despido  arbitrario  se  encuentran</w:t>
        <w:br/>
        <w:t>brevemente mencionadas en las 132 declaraciones juradas presentadas  por  el</w:t>
        <w:br/>
        <w:t>representante como anexos  al  escrito  de  solicitudes  y  argumentos.  Sin</w:t>
        <w:br/>
        <w:t>embargo, el Tribunal observa que sólo algunas de dichas declaraciones  hacen</w:t>
        <w:br/>
        <w:t>referencia a la  supuesta  interposición  de  demandas  judiciales  internas</w:t>
        <w:br/>
        <w:t>específicas frente a dichas causales.  Cfr.  declaraciones  juradas  de  los</w:t>
        <w:br/>
        <w:t>señores Luis Humberto Tori Gentille,  José  Miguel  Toche  Lora,  Daniel  F.</w:t>
        <w:br/>
        <w:t>Quinto Patiño, Marco Aurelio Benavides Galvez y  Manuel  Nava  Valdeiglesias</w:t>
        <w:br/>
        <w:t>(expediente de anexos al escrito  de  solicitudes  y  argumentos,  tomo  VI,</w:t>
        <w:br/>
        <w:t>anexo 5, folios 1650, 1730, 1758, 1781 y 1789).</w:t>
        <w:br/>
        <w:br/>
        <w:t>[108]       El  Tribunal  ha  establecido  que  el  daño  inmaterial  “puede</w:t>
        <w:br/>
        <w:t>comprender tanto los sufrimientos y las aflicciones causados  a  la  víctima</w:t>
        <w:br/>
        <w:t>directa y a sus allegados, el menoscabo de valores muy  significativos  para</w:t>
        <w:br/>
        <w:t>las personas, así como las alteraciones, de carácter no pecuniario,  en  las</w:t>
        <w:br/>
        <w:t>condiciones de existencia de la víctima o su familia”. Caso  de  los  “Niños</w:t>
        <w:br/>
        <w:t>de la Calle” (Villagrán Morales  y  otros)  Vs.  Guatemala.  Reparaciones  y</w:t>
        <w:br/>
        <w:t>Costas, supra nota 83, párr. 84; Caso  Gomes  Lund  y  otros  (Guerrilha  do</w:t>
        <w:br/>
        <w:t>Araguaia), supra nota 17,  párr.  305,  y  Caso  Cabrera  García  y  Montiel</w:t>
        <w:br/>
        <w:t>Flores, supra nota 17, párr. 255.</w:t>
        <w:br/>
        <w:br/>
        <w:t>[109]       De acuerdo con el representante, “la expedición del Decreto  Ley</w:t>
        <w:br/>
        <w:t>No. 25876, constituyó la primera e inmediata  represalia  del  Estado  a  la</w:t>
        <w:br/>
        <w:t>[a]cción [j]udicial de [a]mparo ganada por las  [v]íctimas,  puesto  que  el</w:t>
        <w:br/>
        <w:t>Decreto Ley No. 25876 fue expedido para el  caso  puntual  y  específico  de</w:t>
        <w:br/>
        <w:t>SEDAPAL, está acreditado en autos del propio texto del  citado  Decreto  que</w:t>
        <w:br/>
        <w:t>involucra de manera  directa  en  la  suspensión  a  los  [p]ronunciamientos</w:t>
        <w:br/>
        <w:t>[j]udiciales y a los [s]istemas que tienen como efecto de  indexación  a  la</w:t>
        <w:br/>
        <w:t>[r]emuneración [b]ase, supuestos los cuales corresponden específicamente  al</w:t>
        <w:br/>
        <w:t>Sistema de los Ratios Salariales. Así como está acreditado de  autos  de  la</w:t>
        <w:br/>
        <w:t>[c]láusula [s]éptima del Acta de Acuerdos de Transacción  Extrajudicial  […]</w:t>
        <w:br/>
        <w:t>[c]láusula en la que SEDAPAL con extraordinario poder  premonitorio  anuncia</w:t>
        <w:br/>
        <w:t>en el mes de junio de 1992 la expedición del  Decreto  Ley  No.  25876,  que</w:t>
        <w:br/>
        <w:t>tuvo lugar en el mes de [n]oviembre del citado año”  (expediente  de  fondo,</w:t>
        <w:br/>
        <w:t>tomo II, folio 621).</w:t>
        <w:br/>
        <w:br/>
        <w:t>[110]       Entre las víctimas que presentaron declaraciones juradas  en  el</w:t>
        <w:br/>
        <w:t>presente caso, las siguientes cuarenta y dos  (42)  personas  afirmaron  que</w:t>
        <w:br/>
        <w:t>habían  sido  despedidas  como  consecuencia  de  los  procesos   judiciales</w:t>
        <w:br/>
        <w:t>adelantados: 1.  Luis  Humberto  Tori  Gentille;  2.  Jorge  Enrique  García</w:t>
        <w:br/>
        <w:t>Carmen; 3. César A. Lazcano Carreño; 4. Stanchi Vargas  Julio;  5.  Leopoldo</w:t>
        <w:br/>
        <w:t>Alfonso Jáuregui Pereyra; 6. Wuile Héctor Portillo Silva; 7.  Roberto  Rojas</w:t>
        <w:br/>
        <w:t>Bustamante; 8. Francisco Oswaldo Levano Valenzuela; 9. Felix  Isaías  Cotito</w:t>
        <w:br/>
        <w:t>Arias; 10. Juan Manuel  Espinoza  Yarleque;  11.  Rosa  Elizabeth  Aspillaga</w:t>
        <w:br/>
        <w:t>Benavides; 12. Félix Alejandro Trigoso Granados;  13.  Roberto  Hall  Arias;</w:t>
        <w:br/>
        <w:t>14. Fulgencio Honorato Peña Ricse; 15. Juan  Faustino  Salcedo  Artica;  16.</w:t>
        <w:br/>
        <w:t>Pedro Amador Dueñas Toledo;  17.  Guido  Estuardo  Velásquez  Quipuzco;  18.</w:t>
        <w:br/>
        <w:t>Toche Lora José Miguel; 19. Juana Luz Rodríguez  Puell;  20.  Rosalinda  del</w:t>
        <w:br/>
        <w:t>Rosario Ortega  Sánchez;  21.  Oscar  Abraham  Miñano  Zevallos;  22.  Jaime</w:t>
        <w:br/>
        <w:t>Leopoldo Caceres Rivera; 23. Betty  Ríos  Cobos;  24.  Víctor  Manuel  Jesús</w:t>
        <w:br/>
        <w:t>Rodríguez Gonzales Zúñiga; 25. Eduardo Ricardo Timana Carcovich;  26.  Oscar</w:t>
        <w:br/>
        <w:t>Eduardo Moreno Hernandez; 27. Rigoberto René  Carranza  Chávez;  28.  Víctor</w:t>
        <w:br/>
        <w:t>Manuel Grandez  Rojas;  29.  Arnulfo  Gómez  Villasante;  30.  Nesse  Ysabel</w:t>
        <w:br/>
        <w:t>Pizarro Pecho; 31. Daniel F. Quinto  Patiño;  32.  Ebel  Salas  Flores;  33.</w:t>
        <w:br/>
        <w:t>Martha Luz Jesús Aranguren Carbajal; 34. Eleuterio Carranza Ruiz; 35.  Feliz</w:t>
        <w:br/>
        <w:t>Meza Santillana; 36. Francisco Caracciolo Rojas Espinoza; 37. Marco  Aurelio</w:t>
        <w:br/>
        <w:t>Benavides Galvez; 38.  José  Antonio  Clavo  Delgado;  39.  Humberto  Chilet</w:t>
        <w:br/>
        <w:t>Pichilingue; 40. Raúl Orestes Rodríguez Ríos; 41. Víctor  Romero  Castro,  y</w:t>
        <w:br/>
        <w:t>42. Alfonso Eduardo Escobar Zamalloa.</w:t>
        <w:br/>
        <w:br/>
        <w:t>[111]        Cfr.  Caso  Ticona  Estrada  y  otros   Vs.   Bolivia.   Fondo,</w:t>
        <w:br/>
        <w:t>Reparaciones y Costas. Sentencia de 27 de noviembre de  2008.  Serie  C  No.</w:t>
        <w:br/>
        <w:t>191, párr. 110; Caso Gomes Lund y otros (Guerrilha do Araguaia), supra  nota</w:t>
        <w:br/>
        <w:t>17, párr. 246, y Caso Cabrera García y Montiel Flores, supra nota 17,  párr.</w:t>
        <w:br/>
        <w:t>209.</w:t>
        <w:br/>
        <w:br/>
        <w:t>[112]        Al  respecto,  y  en  similar  sentido,  en   su   informe   de</w:t>
        <w:br/>
        <w:t>admisibilidad y fondo la Comisión Interamericana señaló que  “en  cuanto  al</w:t>
        <w:br/>
        <w:t>alegado despido arbitrario del señor Luis Humberto Tori  Gentille,  la  CIDH</w:t>
        <w:br/>
        <w:t>observa que de la información aportada por las  partes  hasta  la  fecha  de</w:t>
        <w:br/>
        <w:t>aprobación  del  presente  informe,  resulta  que  el  proceso  judicial  se</w:t>
        <w:br/>
        <w:t>encuentra en trámite ante el 34 Juzgado Civil de Lima. En  tal  sentido,  la</w:t>
        <w:br/>
        <w:t>CIDH considera que no se han agotado los recursos internos y  por  lo  tanto</w:t>
        <w:br/>
        <w:t>corresponde declarar inadmisible este alegato”. Informe N°  8/09  de  17  de</w:t>
        <w:br/>
        <w:t>marzo de 2009, supra nota 3, folio 12.</w:t>
        <w:br/>
        <w:t>[113]       Al respecto, el  artículo  40  del  Reglamento  de  la  Comisión</w:t>
        <w:br/>
        <w:t>Interamericana de Derechos Humanos establece  que:  “[e]l  procedimiento  de</w:t>
        <w:br/>
        <w:t>solución amistosa se iniciará y continuará con base en el consentimiento  de</w:t>
        <w:br/>
        <w:t>las partes”. Igualmente, indica que “[l]a Comisión podrá dar  por  concluida</w:t>
        <w:br/>
        <w:t>su intervención en el procedimiento de solución amistosa si advierte que  el</w:t>
        <w:br/>
        <w:t>asunto no es susceptible de resolverse por esta vía, o alguna de las  partes</w:t>
        <w:br/>
        <w:t>no consiente en su aplicación, decide no continuar en él, o  no  muestra  la</w:t>
        <w:br/>
        <w:t>voluntad de llegar a una solución amistosa fundada  en  el  respeto  de  los</w:t>
        <w:br/>
        <w:t>derechos humanos”. Por tanto, “[d]e no llegarse a una solución amistosa,  la</w:t>
        <w:br/>
        <w:t>Comisión proseguirá con el trámite de la petición o caso”.</w:t>
        <w:br/>
        <w:br/>
        <w:t>[114]       Cfr. Caso Reverón Trujillo, supra nota 23, párr. 176.</w:t>
        <w:br/>
        <w:br/>
        <w:t>[115]       Cfr. Caso  Neira  Alegría  y  otros  Vs.  Perú.  Reparaciones  y</w:t>
        <w:br/>
        <w:t>Costas. Sentencia de 19 de septiembre de 1996. Serie C  No.  29,  párr.  56;</w:t>
        <w:br/>
        <w:t>Caso Gomes Lund y otros (Guerrilha do Araguaia), supra nota 17,  párr.  310,</w:t>
        <w:br/>
        <w:t>y Caso Cabrera García y Montiel Flores, supra nota 17, párr. 260.</w:t>
        <w:br/>
        <w:br/>
        <w:t>[116]       Cfr. Caso Neira Alegría y otros, supra nota 116, párr. 56;  Caso</w:t>
        <w:br/>
        <w:t>Gomes Lund y otros (Guerrilha do Araguaia), supra  nota  17,  párr.  310,  y</w:t>
        <w:br/>
        <w:t>Caso Cabrera García y Montiel Flores, supra nota 17, párr. 260.</w:t>
        <w:br/>
        <w:br/>
        <w:t>[117]            Cfr. Caso Garrido y Baigorria vs.  Argentina.  Reparaciones</w:t>
        <w:br/>
        <w:t>y Costas. Sentencia de 27 de agosto de 1998. Serie  C.  No.  39,  párr.  79;</w:t>
        <w:br/>
        <w:t>Caso Gomes Lund y otros (Guerrilha do Araguaia), supra nota 17,  párr.  312,</w:t>
        <w:br/>
        <w:t>y Caso Cabrera García y Montiel Flores, supra nota 17, párr. 262.</w:t>
        <w:br/>
        <w:br/>
        <w:t>[118] Cfr. Caso Chaparro Álvarez y Lapo Íñiguez, supra nota 96,  párr.  275;</w:t>
        <w:br/>
        <w:t>Caso Vélez Loor, supra nota 12,  párr.  318,  y  Caso  Gomes  Lund  y  otros</w:t>
        <w:br/>
        <w:t>(Guerrilha do Araguaia), supra nota 17, párr. 317.</w:t>
        <w:br/>
        <w:br/>
        <w:t>[119]       Cfr. Caso Garrido y Baigorria, supra nota 117,  párr.  82;  Caso</w:t>
        <w:br/>
        <w:t>Gomes Lund y otros (Guerrilha do Araguaia), supra  nota  17,  párr.  316,  y</w:t>
        <w:br/>
        <w:t>Caso Cabrera García y Montiel Flores, supra nota 17, párr. 266.</w:t>
        <w:br/>
        <w:br/>
        <w:t>[120]       Nota de la Secretaría de la  Corte  Interamericana  de  Derechos</w:t>
        <w:br/>
        <w:t>Humanos de 21 de enero de 2011.</w:t>
        <w:br/>
        <w:br/>
        <w:t>[121]       Mediante nota de la Secretaría de  la  Corte  Interamericana  de</w:t>
        <w:br/>
        <w:t>Derechos Humanos de 7 de febrero de 2011 se hizo notar que  de  acuerdo  con</w:t>
        <w:br/>
        <w:t>lo solicitado mediante nota de la Secretaría de la Corte de 21 de  enero  de</w:t>
        <w:br/>
        <w:t>2011, el 28 de enero de 2011 venció  el  plazo  para  que  el  representante</w:t>
        <w:br/>
        <w:t>remitiera una relación de  costas  y  gastos  y  los  documentos  de  prueba</w:t>
        <w:br/>
        <w:t>respectivos en relación con el presente  caso,  sin  que  estos  hayan  sido</w:t>
        <w:br/>
        <w:t>recibidos en la Secretaría.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