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      CASO MEJÍA IDROVO VS. ECUADOR</w:t>
        <w:br/>
        <w:br/>
        <w:br/>
        <w:t xml:space="preserve">                       SENTENCIA DE 5 DE JULIO DE 2011</w:t>
        <w:br/>
        <w:br/>
        <w:br/>
        <w:t xml:space="preserve">           EXCEPCIONES PRELIMINARES, FONDO, REPARACIONES Y COSTAS</w:t>
        <w:br/>
        <w:br/>
        <w:br/>
        <w:br/>
        <w:t>En el caso Mejía Idrovo,</w:t>
        <w:br/>
        <w:br/>
        <w:t>la  Corte  Interamericana  de  Derechos  Humanos(  (en  adelante  “la  Corte</w:t>
        <w:br/>
        <w:t>Interamericana”, “la Corte” o “el Tribunal”), integrada por  los  siguientes</w:t>
        <w:br/>
        <w:t>jueces:</w:t>
        <w:br/>
        <w:br/>
        <w:t xml:space="preserve">      Diego García-Sayán, Presidente;</w:t>
        <w:br/>
        <w:t xml:space="preserve">      Leonardo A. Franco, Vicepresidente;</w:t>
        <w:br/>
        <w:t xml:space="preserve">      Manuel E. Ventura Robles, Juez;</w:t>
        <w:br/>
        <w:t xml:space="preserve">      Margarette May Macaulay, Jueza;</w:t>
        <w:br/>
        <w:t xml:space="preserve">      Rhadys Abreu Blondet, Jueza, y</w:t>
        <w:br/>
        <w:t xml:space="preserve">      Eduardo Vio Grossi, Juez.</w:t>
        <w:br/>
        <w:br/>
        <w:t>presente((, además,</w:t>
        <w:br/>
        <w:br/>
        <w:t>Pablo Saavedra Alessandri, Secretario,</w:t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30, 32, 38, 56, 57, 58 y 61 del  Reglamento</w:t>
        <w:br/>
        <w:t>de la Corte((( (en adelante “el Reglamento”), dicta la presente Sentencia.</w:t>
        <w:br/>
        <w:br/>
        <w:br/>
        <w:t xml:space="preserve">                  Corte Interamericana de Derechos Humanos</w:t>
        <w:br/>
        <w:t xml:space="preserve">                        Caso Mejía Idrovo vs. Ecuador</w:t>
        <w:br/>
        <w:br/>
        <w:br/>
        <w:t>I.    Introducción a la Causa y objeto de la Controversia     3</w:t>
        <w:br/>
        <w:br/>
        <w:br/>
        <w:t>II.   Procedimiento ante la Corte 4</w:t>
        <w:br/>
        <w:br/>
        <w:br/>
        <w:t>III.  Excepciones Preliminares    5</w:t>
        <w:br/>
        <w:br/>
        <w:t>A.    Tribunal de Alzada o de Cuarta Instancia     5</w:t>
        <w:br/>
        <w:t>B.    Falta de agotamiento de los recursos de la jurisdicción interna     8</w:t>
        <w:br/>
        <w:br/>
        <w:t>IV.   Competencia      10</w:t>
        <w:br/>
        <w:br/>
        <w:br/>
        <w:t>V.    Prueba     10</w:t>
        <w:br/>
        <w:br/>
        <w:t>A.    Declaración de la presunta víctima y prueba pericial    11</w:t>
        <w:br/>
        <w:t>B.    Admisión de la prueba documental  11</w:t>
        <w:br/>
        <w:t>C.    Admisión de la declaración de la presunta víctima y la prueba</w:t>
        <w:br/>
        <w:t>pericial    13</w:t>
        <w:br/>
        <w:br/>
        <w:t>VI.  Artículos 8 y 25 de la Convención Americana   13</w:t>
        <w:br/>
        <w:br/>
        <w:t>A.    Hechos Relevantes      13</w:t>
        <w:br/>
        <w:t>B.    Garantías del proceso en los trámites ante el Consejo de Oficiales</w:t>
        <w:br/>
        <w:t>Generales de la Fuerza Terrestre, y ante el Tribunal Constitucional</w:t>
        <w:br/>
        <w:t>(Artículo 8 de la Convención Americana) 20</w:t>
        <w:br/>
        <w:t>a)    Falta de motivación ante el Consejo de Oficiales Generales de la</w:t>
        <w:br/>
        <w:t>Fuerza Terrestre 20</w:t>
        <w:br/>
        <w:t>b)    Irregularidades en el trámite ante el Tribunal Constitucional 21</w:t>
        <w:br/>
        <w:t>C.    Protección Judicial y tutela judicial efectiva en la ejecución de</w:t>
        <w:br/>
        <w:t>fallos (Artículo 25 de la Convención Americana)    25</w:t>
        <w:br/>
        <w:t>a) Efectividad del recurso de inconstitucionalidad (Artículo 25.1 de la</w:t>
        <w:br/>
        <w:t>Convención Americana)  26</w:t>
        <w:br/>
        <w:t>b) Tutela judicial efectiva en la ejecución de fallos internos (Artículos</w:t>
        <w:br/>
        <w:t>25.2.c) de la Convención Americana)     29</w:t>
        <w:br/>
        <w:br/>
        <w:t>VII.  Deber de Adoptar Disposiciones de Derecho Interno e Igualdad ante la</w:t>
        <w:br/>
        <w:t>Ley (Artículos 2 y 24 de la Convención Americana ) 32</w:t>
        <w:br/>
        <w:br/>
        <w:br/>
        <w:t>VIII.  Reparaciones (Aplicación del artículo 63.1 de la Convención</w:t>
        <w:br/>
        <w:t>Americana)  35</w:t>
        <w:br/>
        <w:br/>
        <w:t>A.    Parte Lesionada  36</w:t>
        <w:br/>
        <w:t>B.    Medidas de reparación integral: restitución y satisfacción    37</w:t>
        <w:br/>
        <w:t>C.    Otras medidas de reparación solicitadas      39</w:t>
        <w:br/>
        <w:t>D.    Indemnización Compensatoria por daños materiales e inmateriales</w:t>
        <w:br/>
        <w:t>39</w:t>
        <w:br/>
        <w:t>E.    Costas y Gastos  42</w:t>
        <w:br/>
        <w:t>F.    Modalidades de cumplimiento de los pagos ordenados 44</w:t>
        <w:br/>
        <w:br/>
        <w:t>IX.   Puntos Resolutivos     44</w:t>
        <w:br/>
        <w:br/>
        <w:br/>
        <w:br/>
        <w:br/>
        <w:t xml:space="preserve">         Introducción a la Causa y objeto de la Controversia</w:t>
        <w:br/>
        <w:br/>
        <w:br/>
        <w:t xml:space="preserve">   1. EL 19 DE NOVIEMBRE DE 2009 LA  COMISIÓN  INTERAMERICANA  DE  DERECHOS</w:t>
        <w:br/>
        <w:t xml:space="preserve">      HUMANOS (EN ADELANTE “LA COMISIÓN” O  “LA  COMISIÓN  INTERAMERICANA”)</w:t>
        <w:br/>
        <w:t xml:space="preserve">      PRESENTÓ, DE CONFORMIDAD CON LOS ARTÍCULOS 51 Y 61 DE LA  CONVENCIÓN,</w:t>
        <w:br/>
        <w:t xml:space="preserve">      UNA DEMANDA CONTRA LA REPÚBLICA DEL ECUADOR (EN ADELANTE “EL  ESTADO”</w:t>
        <w:br/>
        <w:t xml:space="preserve">      O “ECUADOR”) EN RELACIÓN CON EL CASO MEJÍA  IDROVO  VS.  ECUADOR.  LA</w:t>
        <w:br/>
        <w:t xml:space="preserve">      PETICIÓN INICIAL FUE PRESENTADA ANTE LA COMISIÓN EL 24 DE OCTUBRE  DE</w:t>
        <w:br/>
        <w:t xml:space="preserve">      2002 POR LA COMISIÓN  ECUMÉNICA  DE  DERECHOS  HUMANOS  (EN  ADELANTE</w:t>
        <w:br/>
        <w:t xml:space="preserve">      “CEDHU”). EL 17 DE MARZO DE 2009 LA COMISIÓN  ADOPTÓ  EL  INFORME  DE</w:t>
        <w:br/>
        <w:t xml:space="preserve">      ADMISIBILIDAD  Y  FONDO  NO.  07/09[1],  EN  EL   CUAL   DECLARÓ   LA</w:t>
        <w:br/>
        <w:t xml:space="preserve">      ADMISIBILIDAD DEL CASO Y RECOMENDÓ AL ESTADO QUE ADOPTARA LAS MEDIDAS</w:t>
        <w:br/>
        <w:t xml:space="preserve">      NECESARIAS  PARA  DAR  CUMPLIMIENTO  EFECTIVO  A  LA  RESOLUCIÓN   DE</w:t>
        <w:br/>
        <w:t xml:space="preserve">      INCONSTITUCIONALIDAD EMITIDA EL 12 DE MARZO DE 2002 POR  EL  TRIBUNAL</w:t>
        <w:br/>
        <w:t xml:space="preserve">      CONSTITUCIONAL DEL ECUADOR[2]  Y  REPARAR  EL  DAÑO  CAUSADO  A  JOSÉ</w:t>
        <w:br/>
        <w:t xml:space="preserve">      ALFREDO MEJÍA IDROVO (EN  ADELANTE  “CORONEL  MEJÍA  IDROVO”,  “SEÑOR</w:t>
        <w:br/>
        <w:t xml:space="preserve">      MEJÍA IDROVO” O “PRESUNTA VÍCTIMA”). DEBIDO QUE  EN  CONCEPTO  DE  LA</w:t>
        <w:br/>
        <w:t xml:space="preserve">      COMISIÓN  LAS  RECOMENDACIONES  NO   FUERON   ADOPTADAS   DE   MANERA</w:t>
        <w:br/>
        <w:t xml:space="preserve">      SATISFACTORIA POR PARTE DEL ESTADO, DECIDIÓ SOMETER EL PRESENTE  CASO</w:t>
        <w:br/>
        <w:t xml:space="preserve">      A LA JURISDICCIÓN DE LA CORTE. LA COMISIÓN DESIGNÓ COMO  DELEGADOS  A</w:t>
        <w:br/>
        <w:t xml:space="preserve">      LA SEÑORA LUZ PATRICIA MEJÍA, COMISIONADA, Y  AL  SEÑOR  SANTIAGO  A.</w:t>
        <w:br/>
        <w:t xml:space="preserve">      CANTON, SECRETARIO EJECUTIVO, Y COMO ASESORAS LEGALES A  LAS  SEÑORAS</w:t>
        <w:br/>
        <w:t xml:space="preserve">      ELIZABETH ABI-MERSHED,  SECRETARIA  EJECUTIVA  ADJUNTA,  Y  KARLA  I.</w:t>
        <w:br/>
        <w:t xml:space="preserve">      QUINTANA OSUNA, ESPECIALISTA DE LA SECRETARÍA EJECUTIVA.</w:t>
        <w:br/>
        <w:br/>
        <w:br/>
        <w:t xml:space="preserve">   2. Los hechos alegados por la Comisión  se  refieren  a  que  el  Estado</w:t>
        <w:br/>
        <w:t xml:space="preserve">      incumplió un fallo dictado por el Tribunal Constitucional que declaró</w:t>
        <w:br/>
        <w:t xml:space="preserve">      la inconstitucionalidad  de  los  Decretos  Ejecutivos  mediante  los</w:t>
        <w:br/>
        <w:t xml:space="preserve">      cuales se decretó la disponibilidad y baja  del  ejército  del  señor</w:t>
        <w:br/>
        <w:t xml:space="preserve">      Mejía Idrovo y dispuso la reparación de los daños.</w:t>
        <w:br/>
        <w:br/>
        <w:br/>
        <w:t xml:space="preserve">   3. La Comisión solicitó a la Corte  que  establezca  la  responsabilidad</w:t>
        <w:br/>
        <w:t xml:space="preserve">      internacional del Estado porque ha incumplido  con  sus  obligaciones</w:t>
        <w:br/>
        <w:t xml:space="preserve">      internacionales al incurrir en la violación de los artículos 8.1 y 25</w:t>
        <w:br/>
        <w:t xml:space="preserve">      de  la  Convención,  en  relación  con  el  artículo  1.1  de   dicho</w:t>
        <w:br/>
        <w:t xml:space="preserve">      instrumento, en perjuicio del  señor  Mejía  Idrovo,  ya  que  habían</w:t>
        <w:br/>
        <w:t xml:space="preserve">      transcurrido más de  siete  años  desde  la  sentencia  del  Tribunal</w:t>
        <w:br/>
        <w:t xml:space="preserve">      Constitucional de 12 de marzo de 2002 que ordenó  al  Estado  reparar</w:t>
        <w:br/>
        <w:t xml:space="preserve">      los daños causados a la presunta víctima,  sin  que  el  Estado  haya</w:t>
        <w:br/>
        <w:t xml:space="preserve">      cumplido con esa orden.</w:t>
        <w:br/>
        <w:br/>
        <w:br/>
        <w:t xml:space="preserve">   4. El 13 de marzo de 2010 la señora Elsie Monge y el señor César  Duque,</w:t>
        <w:br/>
        <w:t xml:space="preserve">      integrantes de la CEDHU, en representación de la presunta víctima (en</w:t>
        <w:br/>
        <w:t xml:space="preserve">      adelante “los representantes”), presentaron ante la Corte su  escrito</w:t>
        <w:br/>
        <w:t xml:space="preserve">      de  solicitudes,  argumentos  y  pruebas  (en  adelante  “escrito  de</w:t>
        <w:br/>
        <w:t xml:space="preserve">      solicitudes y argumentos”). En este escrito hicieron  alusión  a  los</w:t>
        <w:br/>
        <w:t xml:space="preserve">      hechos  señalados  en  la  demanda  de  la  Comisión   ampliando   la</w:t>
        <w:br/>
        <w:t xml:space="preserve">      información sobre los mismos. En general coincidieron con lo  alegado</w:t>
        <w:br/>
        <w:t xml:space="preserve">      jurídicamente por la Comisión. No obstante, solicitaron además que se</w:t>
        <w:br/>
        <w:t xml:space="preserve">      declare la violación de los artículos 24 (Derecho a la Igualdad) y  2</w:t>
        <w:br/>
        <w:t xml:space="preserve">      (Deber de Adoptar Disposiciones de Derecho Interno) de la  Convención</w:t>
        <w:br/>
        <w:t xml:space="preserve">      Americana, en relación con el artículo 1.1  de  ese  instrumento,  en</w:t>
        <w:br/>
        <w:t xml:space="preserve">      perjuicio del señor Mejía Idrovo. Por  último,  solicitaron  diversas</w:t>
        <w:br/>
        <w:t xml:space="preserve">      medidas de reparación.</w:t>
        <w:br/>
        <w:br/>
        <w:br/>
        <w:t xml:space="preserve">   5. El 24 de junio de 2010 el Estado presentó su escrito de interposición</w:t>
        <w:br/>
        <w:t xml:space="preserve">      de  excepciones  preliminares,   contestación   de   la   demanda   y</w:t>
        <w:br/>
        <w:t xml:space="preserve">      observaciones al escrito de solicitudes  y  argumentos  (en  adelante</w:t>
        <w:br/>
        <w:t xml:space="preserve">      “contestación de la  demanda”).  El  Estado  en  su  contestación  se</w:t>
        <w:br/>
        <w:t xml:space="preserve">      refirió a los alegatos de hecho  y  de  derecho  presentados  por  la</w:t>
        <w:br/>
        <w:t xml:space="preserve">      Comisión y los representantes, y solicitó a la Corte que  acepte  las</w:t>
        <w:br/>
        <w:t xml:space="preserve">      excepciones preliminares planteadas y declare que  el  Estado  no  ha</w:t>
        <w:br/>
        <w:t xml:space="preserve">      violado los  artículos  8.1,  25,  24,  2  y  1.1  de  la  Convención</w:t>
        <w:br/>
        <w:t xml:space="preserve">      Americana, “por cuanto garantizó y garantiza  la  protección  de  los</w:t>
        <w:br/>
        <w:t xml:space="preserve">      derechos humanos, y sus garantías correlativas”, y se refirió  a  las</w:t>
        <w:br/>
        <w:t xml:space="preserve">      medidas de reparación. Asimismo, el Estado interpuso dos  excepciones</w:t>
        <w:br/>
        <w:t xml:space="preserve">      preliminares, una sobre “argumento de Tribunal de Alzada o de  Cuarta</w:t>
        <w:br/>
        <w:t xml:space="preserve">      Instancia”, y otra sobre  “No  agotamiento  de  los  recursos  de  la</w:t>
        <w:br/>
        <w:t xml:space="preserve">      jurisdicción interna”.  El Estado designó a Erick  Roberts,  Director</w:t>
        <w:br/>
        <w:t xml:space="preserve">      Nacional de Derechos Humanos de la Procuraduría General  del  Estado,</w:t>
        <w:br/>
        <w:t xml:space="preserve">      Agente y a los señores Rodrigo Durango y Alonso Fonseca Garcés,  como</w:t>
        <w:br/>
        <w:t xml:space="preserve">      Agentes Alternos.</w:t>
        <w:br/>
        <w:br/>
        <w:br/>
        <w:t xml:space="preserve">   6. Los días 19 y 21 de agosto de 2010 la Comisión y  los  representantes</w:t>
        <w:br/>
        <w:t xml:space="preserve">      presentaron, respectivamente, sus alegatos escritos a las excepciones</w:t>
        <w:br/>
        <w:t xml:space="preserve">      preliminares interpuestas por el Estado, y solicitaron a la Corte que</w:t>
        <w:br/>
        <w:t xml:space="preserve">      las desestime y prosiga con el fondo del caso.</w:t>
        <w:br/>
        <w:br/>
        <w:br/>
        <w:br/>
        <w:t xml:space="preserve">    Procedimiento ante la Corte</w:t>
        <w:br/>
        <w:br/>
        <w:t xml:space="preserve">   7. LA DEMANDA FUE NOTIFICADA AL ESTADO[3] Y A LOS REPRESENTANTES  EL  18</w:t>
        <w:br/>
        <w:t xml:space="preserve">      DE ENERO DE 2010.</w:t>
        <w:br/>
        <w:br/>
        <w:t xml:space="preserve">   8. Mediante Resolución de 2 de diciembre de 2010, el  Presidente  de  la</w:t>
        <w:br/>
        <w:t xml:space="preserve">      Corte (en adelante “el Presidente”) ordenó recibir una declaración de</w:t>
        <w:br/>
        <w:t xml:space="preserve">      un perito rendida ante fedatario público (affidávit), y convocó a las</w:t>
        <w:br/>
        <w:t xml:space="preserve">      partes a una audiencia pública para escuchar las declaraciones de  la</w:t>
        <w:br/>
        <w:t xml:space="preserve">      presunta víctima y los  peritos  propuestos  por  la  Comisión  y  el</w:t>
        <w:br/>
        <w:t xml:space="preserve">      Estado, así  como  los  alegatos  orales  de  las  partes  sobre  las</w:t>
        <w:br/>
        <w:t xml:space="preserve">      excepciones preliminares y eventuales fondo, reparaciones y costas, y</w:t>
        <w:br/>
        <w:t xml:space="preserve">      además fijó plazo hasta el 28 de marzo de 2011 para  que  las  partes</w:t>
        <w:br/>
        <w:t xml:space="preserve">      presentaran sus alegatos finales escritos.</w:t>
        <w:br/>
        <w:br/>
        <w:t xml:space="preserve">   9. El 19 de enero de 2011 los representantes remitieron una “declaración</w:t>
        <w:br/>
        <w:t xml:space="preserve">      juramentada” del peritaje del señor Víctor Hugo López Vallejo,  siete</w:t>
        <w:br/>
        <w:t xml:space="preserve">      días después de vencido el plazo para su remisión, ya que de  acuerdo</w:t>
        <w:br/>
        <w:t xml:space="preserve">      con el punto resolutivo segundo de la Resolución del Presidente de  2</w:t>
        <w:br/>
        <w:t xml:space="preserve">      de diciembre de 2010, se había ordenado su presentación a más  tardar</w:t>
        <w:br/>
        <w:t xml:space="preserve">      el 12 de enero de 2011. Siguiendo  instrucciones  del  Presidente  se</w:t>
        <w:br/>
        <w:t xml:space="preserve">      informó a los representantes que se  había  desestimado  la  referida</w:t>
        <w:br/>
        <w:t xml:space="preserve">      declaración pericial por su presentación extemporánea.</w:t>
        <w:br/>
        <w:br/>
        <w:t xml:space="preserve">  10. La audiencia pública fue celebrada el 28 de febrero de  2011  durante</w:t>
        <w:br/>
        <w:t xml:space="preserve">      el 96 Período Ordinario de Sesiones de la Corte, llevado a cabo en su</w:t>
        <w:br/>
        <w:t xml:space="preserve">      sede[4].</w:t>
        <w:br/>
        <w:br/>
        <w:t xml:space="preserve">  11. El 28 de marzo de 2011 la Comisión, los representantes  y  el  Estado</w:t>
        <w:br/>
        <w:t xml:space="preserve">      presentaron sus alegatos finales escritos. Los días 5 y 15  de  abril</w:t>
        <w:br/>
        <w:t xml:space="preserve">      de 2011 los representantes y el Estado  remitieron,  respectivamente,</w:t>
        <w:br/>
        <w:t xml:space="preserve">      los anexos anunciados en sus escritos de alegatos finales escritos.</w:t>
        <w:br/>
        <w:br/>
        <w:t xml:space="preserve">  12. El 5 de abril de 2011 la Comisión Interamericana remitió el documento</w:t>
        <w:br/>
        <w:t xml:space="preserve">      titulado “La Justicia Constitucional Ecuatoriana en  la  Constitución</w:t>
        <w:br/>
        <w:t xml:space="preserve">      de 2008” de autoría del perito Jaime Vintimilla.</w:t>
        <w:br/>
        <w:br/>
        <w:t xml:space="preserve">  13. El 26 de abril de 2011 se concedió a las partes un plazo hasta  el  4</w:t>
        <w:br/>
        <w:t xml:space="preserve">      de mayo de 2011 para que presentaran las observaciones que  estimaran</w:t>
        <w:br/>
        <w:t xml:space="preserve">      pertinentes, según sea el caso, a los anexos remitidos por el  Estado</w:t>
        <w:br/>
        <w:t xml:space="preserve">      y los representantes junto con los alegatos finales (supra párr. 11).</w:t>
        <w:br/>
        <w:t xml:space="preserve">      El 4 de mayo de 2011 la Comisión y los representantes presentaron sus</w:t>
        <w:br/>
        <w:t xml:space="preserve">      observaciones. El Estado no remitió observaciones al respecto. El  16</w:t>
        <w:br/>
        <w:t xml:space="preserve">      de  mayo  de  2011  el  Estado  manifestó  que   los   representantes</w:t>
        <w:br/>
        <w:t xml:space="preserve">      transgredieron la disposición de la Corte, ya que no se  pronunciaron</w:t>
        <w:br/>
        <w:t xml:space="preserve">      sobre los anexos presentados  junto  con  los  alegatos  finales  del</w:t>
        <w:br/>
        <w:t xml:space="preserve">      Estado, sino que en su  lugar  se  pronunciaron  sobre  los  alegatos</w:t>
        <w:br/>
        <w:t xml:space="preserve">      escritos del Estado, violando el  principio  de  lealtad  procesal  y</w:t>
        <w:br/>
        <w:t xml:space="preserve">      solicitó se deje sin efecto la intervención  de  los  representantes.</w:t>
        <w:br/>
        <w:t xml:space="preserve">      Posteriormente,  el  20  de  junio  de  2011  el  Estado   suministró</w:t>
        <w:br/>
        <w:t xml:space="preserve">      información reciente sobre el nuevo procedimiento de calificación  de</w:t>
        <w:br/>
        <w:t xml:space="preserve">      la presunta  víctima.  Al  respecto,  el  24  de  junio  de  2011  la</w:t>
        <w:br/>
        <w:t xml:space="preserve">      Secretaría, siguiendo instrucciones del  Presidente,  solicitó  a  la</w:t>
        <w:br/>
        <w:t xml:space="preserve">      Comisión y representantes “si lo  estimaran  conveniente”  remitieran</w:t>
        <w:br/>
        <w:t xml:space="preserve">      observaciones al referido escrito estatal. El 28  de  junio  de  2011</w:t>
        <w:br/>
        <w:t xml:space="preserve">      tanto los representantes como la Comisión remitieron sus  respectivos</w:t>
        <w:br/>
        <w:t xml:space="preserve">      escritos al respecto.</w:t>
        <w:br/>
        <w:br/>
        <w:br/>
        <w:t xml:space="preserve">    Excepciones Preliminares</w:t>
        <w:br/>
        <w:br/>
        <w:t xml:space="preserve">  14. EN SU ESCRITO DE CONTESTACIÓN DE LA DEMANDA EL ESTADO  INTERPUSO  DOS</w:t>
        <w:br/>
        <w:t xml:space="preserve">      EXCEPCIONES PRELIMINARES: UNA BASADA EN EL ARGUMENTO DE  TRIBUNAL  DE</w:t>
        <w:br/>
        <w:t xml:space="preserve">      ALZADA O DE CUARTA INSTANCIA, Y LA OTRA SOBRE LA  SUPUESTA  FALTA  DE</w:t>
        <w:br/>
        <w:t xml:space="preserve">      AGOTAMIENTO DE RECURSOS INTERNOS. LA CORTE  SEGUIDAMENTE  ANALIZA  LA</w:t>
        <w:br/>
        <w:t xml:space="preserve">      PROCEDENCIA DE LAS EXCEPCIONES PRELIMINARES INTERPUESTAS EN EL  ORDEN</w:t>
        <w:br/>
        <w:t xml:space="preserve">      EN QUE FUERON PLANTEADAS.</w:t>
        <w:br/>
        <w:br/>
        <w:br/>
        <w:br/>
        <w:br/>
        <w:br/>
        <w:t xml:space="preserve">      Tribunal de Alzada o de Cuarta Instancia</w:t>
        <w:br/>
        <w:br/>
        <w:br/>
        <w:br/>
        <w:t>Alegatos de las partes</w:t>
        <w:br/>
        <w:br/>
        <w:br/>
        <w:t xml:space="preserve">  15. El Estado manifestó que “la protección internacional que otorgan  los</w:t>
        <w:br/>
        <w:t xml:space="preserve">      órganos de supervisión de la Convención es de  carácter  subsidiario”</w:t>
        <w:br/>
        <w:t xml:space="preserve">      y, por lo tanto, la “Corte  Interamericana  de  Derechos  Humanos  no</w:t>
        <w:br/>
        <w:t xml:space="preserve">      examina las resoluciones, sino, siempre  y  solo  si,  se  tratan  de</w:t>
        <w:br/>
        <w:t xml:space="preserve">      probadas violaciones a los derechos humanos”. El  Estado  afirmó  que</w:t>
        <w:br/>
        <w:t xml:space="preserve">      “la pretensión de la presunta víctima llevaría a la Corte a  analizar</w:t>
        <w:br/>
        <w:t xml:space="preserve">      y pronunciarse sobre situaciones de hecho y derecho, dentro del  caso</w:t>
        <w:br/>
        <w:t xml:space="preserve">      sub judice y del ordenamiento jurídico ecuatoriano, lo cual  desborda</w:t>
        <w:br/>
        <w:t xml:space="preserve">      su ámbito de  competencia”.  En  efecto,  Ecuador  sostuvo  que  “los</w:t>
        <w:br/>
        <w:t xml:space="preserve">      tribunales ecuatorianos en sus resoluciones siempre preservaron todas</w:t>
        <w:br/>
        <w:t xml:space="preserve">      la garantías judiciales para  el  peticionario  y  las  dictaron  con</w:t>
        <w:br/>
        <w:t xml:space="preserve">      sujeción a los lineamentos del debido  proceso  legal  y  sin  violar</w:t>
        <w:br/>
        <w:t xml:space="preserve">      ningún derecho protegido por la Convención”.</w:t>
        <w:br/>
        <w:br/>
        <w:t xml:space="preserve">  16. Por su parte, los representantes  señalaron  que  en  ningún  momento</w:t>
        <w:br/>
        <w:t xml:space="preserve">      solicitaron a la Corte “que determine errores de hecho o  de  derecho</w:t>
        <w:br/>
        <w:t xml:space="preserve">      cometidos por parte del Pleno del Tribunal Constitucional”, sino  que</w:t>
        <w:br/>
        <w:t xml:space="preserve">      “declare la responsabilidad del Estado por la violación del  artículo</w:t>
        <w:br/>
        <w:t xml:space="preserve">      25 de la Convención  Americana  por  cuanto  no  se  ha  cumplido  la</w:t>
        <w:br/>
        <w:t xml:space="preserve">      sentencia emitida por el máximo organismo de control constitucional”.</w:t>
        <w:br/>
        <w:t xml:space="preserve">      Agregaron que lo afirmado por el Estado “resultaría un  contrasentido</w:t>
        <w:br/>
        <w:t xml:space="preserve">      con la petición de que se declare la violación por incumplimiento” de</w:t>
        <w:br/>
        <w:t xml:space="preserve">      la sentencia emitida por la Sala Plena  del  Tribunal  Constitucional</w:t>
        <w:br/>
        <w:t xml:space="preserve">      del 12 de marzo del  2002.  Los  representantes  subrayaron  que  “el</w:t>
        <w:br/>
        <w:t xml:space="preserve">      exigirse el cumplimiento de  una  sentencia  judicial  no  constituye</w:t>
        <w:br/>
        <w:t xml:space="preserve">      utilizar  al  Tribunal  Interamericano  como   tribunal   de   cuarta</w:t>
        <w:br/>
        <w:t xml:space="preserve">      instancia” y por lo tanto solicitaron a la  Corte  que  declare  como</w:t>
        <w:br/>
        <w:t xml:space="preserve">      improcedente la presente excepción preliminar.</w:t>
        <w:br/>
        <w:br/>
        <w:t xml:space="preserve">  17. La Comisión alegó que “no pretende  presentar  cuestiones  vinculadas</w:t>
        <w:br/>
        <w:t xml:space="preserve">      con la interpretación o aplicación del derecho interno del  Estado  a</w:t>
        <w:br/>
        <w:t xml:space="preserve">      los hechos” de este juicio, “sino que solicita que la  Corte  declare</w:t>
        <w:br/>
        <w:t xml:space="preserve">      que el Estado ecuatoriano es responsable de la violación” de  algunos</w:t>
        <w:br/>
        <w:t xml:space="preserve">      derechos estipulados  en  instrumentos  interamericanos.  Además,  la</w:t>
        <w:br/>
        <w:t xml:space="preserve">      Comisión resaltó que ella habría analizado  “oportuna  y  debidamente</w:t>
        <w:br/>
        <w:t xml:space="preserve">      las cuestiones de admisibilidad en el presente caso”,  y  que  en  el</w:t>
        <w:br/>
        <w:t xml:space="preserve">      informe de fondo y en  la  demanda,  consideró  que  “el  Estado  era</w:t>
        <w:br/>
        <w:t xml:space="preserve">      responsable de  la  violación  a  la  protección  judicial  y  a  las</w:t>
        <w:br/>
        <w:t xml:space="preserve">      garantías judiciales  en  perjuicio  del  señor  Mejía  Idrovo”.  Por</w:t>
        <w:br/>
        <w:t xml:space="preserve">      último, señaló  que  “la  excepción  interpuesta  por  el  Estado  es</w:t>
        <w:br/>
        <w:t xml:space="preserve">      infundada,  puesto  que  los  argumentos  estatales  presuponen   una</w:t>
        <w:br/>
        <w:t xml:space="preserve">      evaluación de  la  materia  de  fondo  de  la  demanda,  la  cual  no</w:t>
        <w:br/>
        <w:t xml:space="preserve">      constituye una excepción preliminar”.</w:t>
        <w:br/>
        <w:br/>
        <w:br/>
        <w:t>Consideraciones de la Corte</w:t>
        <w:br/>
        <w:br/>
        <w:br/>
        <w:t xml:space="preserve">  18. Este Tribunal ha establecido que la jurisdicción internacional  tiene</w:t>
        <w:br/>
        <w:t xml:space="preserve">      carácter subsidiario[5], coadyuvante y complementario[6], por lo  que</w:t>
        <w:br/>
        <w:t xml:space="preserve">      no desempeña funciones de tribunal de “cuarta instancia”. A la  Corte</w:t>
        <w:br/>
        <w:t xml:space="preserve">      le corresponde decidir si, en el caso de  que  se  trate,  el  Estado</w:t>
        <w:br/>
        <w:t xml:space="preserve">      violó  un  derecho   protegido   en   la   Convención,   incurriendo,</w:t>
        <w:br/>
        <w:t xml:space="preserve">      consecuentemente, en responsabilidad internacional. La Corte  no  es,</w:t>
        <w:br/>
        <w:t xml:space="preserve">      por tanto, un tribunal de alzada o  de  apelación  para  dirimir  los</w:t>
        <w:br/>
        <w:t xml:space="preserve">      desacuerdos que tengan las partes sobre determinados alcances  de  la</w:t>
        <w:br/>
        <w:t xml:space="preserve">      aplicación del derecho interno en aspectos que no estén  directamente</w:t>
        <w:br/>
        <w:t xml:space="preserve">      relacionados con el cumplimiento de obligaciones  internacionales  en</w:t>
        <w:br/>
        <w:t xml:space="preserve">      derechos humanos. Es por ello que esta Corte  ha  sostenido  que,  en</w:t>
        <w:br/>
        <w:t xml:space="preserve">      principio, “corresponde a los tribunales del Estado el examen de  los</w:t>
        <w:br/>
        <w:t xml:space="preserve">      hechos y las pruebas  presentadas  en  las  causas  particulares”[7].</w:t>
        <w:br/>
        <w:t xml:space="preserve">      Además  al  valorarse  el  cumplimiento   de   ciertas   obligaciones</w:t>
        <w:br/>
        <w:t xml:space="preserve">      internacionales, como la de garantizar  que  una  sentencia  judicial</w:t>
        <w:br/>
        <w:t xml:space="preserve">      interna  haya  sido  debidamente  cumplida,  existe  una   intrínseca</w:t>
        <w:br/>
        <w:t xml:space="preserve">      interrelación entre el análisis de derecho internacional y de derecho</w:t>
        <w:br/>
        <w:t xml:space="preserve">      interno[8].</w:t>
        <w:br/>
        <w:br/>
        <w:t xml:space="preserve">  19. La Corte ha afirmado que las excepciones preliminares son  actos  que</w:t>
        <w:br/>
        <w:t xml:space="preserve">      buscan impedir el  análisis  del  fondo  de  un  asunto  cuestionado,</w:t>
        <w:br/>
        <w:t xml:space="preserve">      mediante la  objeción  de  la  admisibilidad  de  una  demanda  o  la</w:t>
        <w:br/>
        <w:t xml:space="preserve">      competencia del Tribunal para conocer de un  determinado  caso  o  de</w:t>
        <w:br/>
        <w:t xml:space="preserve">      alguno de sus aspectos, ya sea  en  razón  de  la  persona,  materia,</w:t>
        <w:br/>
        <w:t xml:space="preserve">      tiempo o lugar, siempre y  cuando  dichos  planteamientos  tengan  el</w:t>
        <w:br/>
        <w:t xml:space="preserve">      carácter de preliminares[9]. Si estos planteamientos no pudieran  ser</w:t>
        <w:br/>
        <w:t xml:space="preserve">      revisados sin entrar a analizar previamente el fondo de un  caso,  no</w:t>
        <w:br/>
        <w:t xml:space="preserve">      pueden ser analizados mediante una excepción preliminar[10].</w:t>
        <w:br/>
        <w:br/>
        <w:t xml:space="preserve">  20. En atención a lo anterior, y en consideración de la alegada excepción</w:t>
        <w:br/>
        <w:t xml:space="preserve">      interpuesta de “cuarta instancia”, a la Corte le compete verificar si</w:t>
        <w:br/>
        <w:t xml:space="preserve">      en los pasos dados a nivel interno  se  violaron  o  no  obligaciones</w:t>
        <w:br/>
        <w:t xml:space="preserve">      internacionales   del   Estado   derivadas   de   los    instrumentos</w:t>
        <w:br/>
        <w:t xml:space="preserve">      interamericanos que le otorgan  competencia  al  Tribunal.  La  Corte</w:t>
        <w:br/>
        <w:t xml:space="preserve">      estima oportuno recordar, como lo ha señalado  en  su  jurisprudencia</w:t>
        <w:br/>
        <w:t xml:space="preserve">      reiterada[11], que  el  esclarecimiento  de  si  las  actuaciones  de</w:t>
        <w:br/>
        <w:t xml:space="preserve">      órganos judiciales constituyen o no una violación de las obligaciones</w:t>
        <w:br/>
        <w:t xml:space="preserve">      internacionales del Estado,  puede  conducir  a  que  la  Corte  deba</w:t>
        <w:br/>
        <w:t xml:space="preserve">      ocuparse  de  examinar  los  respectivos   procesos   internos   para</w:t>
        <w:br/>
        <w:t xml:space="preserve">      establecer su compatibilidad con la  Convención  Americana,  para  lo</w:t>
        <w:br/>
        <w:t xml:space="preserve">      cual en ese caso, se deben  considerar  los  procedimientos  internos</w:t>
        <w:br/>
        <w:t xml:space="preserve">      como un todo.  Esto, en su caso, corresponde analizarlo en  el  fondo</w:t>
        <w:br/>
        <w:t xml:space="preserve">      del caso.</w:t>
        <w:br/>
        <w:br/>
        <w:t xml:space="preserve">  21. La Corte constata que, en sus observaciones de 10 de julio 2006 en el</w:t>
        <w:br/>
        <w:t xml:space="preserve">      procedimiento  ante  la  Comisión,   el   Estado   afirmó   que   “la</w:t>
        <w:br/>
        <w:t xml:space="preserve">      inconformidad del peticionario con las decisiones judiciales internas</w:t>
        <w:br/>
        <w:t xml:space="preserve">      […] no da soporte a la Comisión para  revisar  dichas  decisiones”  y</w:t>
        <w:br/>
        <w:t xml:space="preserve">      alegó los mismos argumentos indicados en su escrito  de  contestación</w:t>
        <w:br/>
        <w:t xml:space="preserve">      de la  demanda  (supra  párr.  5).  La  Comisión  en  su  Informe  de</w:t>
        <w:br/>
        <w:t xml:space="preserve">      Admisibilidad y Fondo de 17 de marzo  de  2009  dispuso  que  “existe</w:t>
        <w:br/>
        <w:t xml:space="preserve">      controversia  entre  las  partes  sobre  la  retroactividad  de   las</w:t>
        <w:br/>
        <w:t xml:space="preserve">      declaratorias de inconstitucionalidad […] y  el  consecuente  alcance</w:t>
        <w:br/>
        <w:t xml:space="preserve">      del  resolutivo  de  la  decisión  de  Tribunal  Constitucional   que</w:t>
        <w:br/>
        <w:t xml:space="preserve">      establece la inconstitucionalidad  de  los  Decretos  Ejecutivos  que</w:t>
        <w:br/>
        <w:t xml:space="preserve">      ponen en situación de disponibilidad y baja de las Fuerzas Armadas  a</w:t>
        <w:br/>
        <w:t xml:space="preserve">      José  Alfredo  Mejía  ldrovo.  La   Comisión   entiende   que   dicha</w:t>
        <w:br/>
        <w:t xml:space="preserve">      controversia depende de la lectura de la decisión de referencia y que</w:t>
        <w:br/>
        <w:t xml:space="preserve">      su clarificación corresponde, en  principio,  a  la  competencia  del</w:t>
        <w:br/>
        <w:t xml:space="preserve">      mismo Tribunal. Consecuentemente, el  reclamo  de  los  peticionarios</w:t>
        <w:br/>
        <w:t xml:space="preserve">      sobre el presunto derecho a la restitución del señor Mejía ldrovo  al</w:t>
        <w:br/>
        <w:t xml:space="preserve">      servicio activo con ascenso al grado de General, excede el  marco  de</w:t>
        <w:br/>
        <w:t xml:space="preserve">      su competencia”. La Comisión indicó, sin embargo, que “de conformidad</w:t>
        <w:br/>
        <w:t xml:space="preserve">      con el principio general de la legislación internacional  iura  novit</w:t>
        <w:br/>
        <w:t xml:space="preserve">      curia, los organismos internacionales tienen el poder, e  incluso  el</w:t>
        <w:br/>
        <w:t xml:space="preserve">      deber, de aplicar  todas  las  disposiciones  jurídicas  pertinentes,</w:t>
        <w:br/>
        <w:t xml:space="preserve">      incluso aunque no hayan sido invocadas por las partes. A  la  luz  de</w:t>
        <w:br/>
        <w:t xml:space="preserve">      este principio, la Comisión considera que de los hechos alegados  por</w:t>
        <w:br/>
        <w:t xml:space="preserve">      los peticionarios relacionados con la falta de notificación  adecuada</w:t>
        <w:br/>
        <w:t xml:space="preserve">      de la decisión sobre el pedido de  aclaratoria  interpuesto  por  las</w:t>
        <w:br/>
        <w:t xml:space="preserve">      Fuerzas  Armadas  ante  el  Presidente  del  Tribunal  Constitucional</w:t>
        <w:br/>
        <w:t xml:space="preserve">      podrían  caracterizar  violaciones   al   artículo   8.1   (Garantías</w:t>
        <w:br/>
        <w:t xml:space="preserve">      Judiciales) de la Convención Americana”. Esto fue  reiterado  por  la</w:t>
        <w:br/>
        <w:t xml:space="preserve">      Comisión en sus observaciones sobre las excepciones  preliminares  de</w:t>
        <w:br/>
        <w:t xml:space="preserve">      19 de  agosto  de  2010  en  el  trámite  ante  la  Corte.  En  dicha</w:t>
        <w:br/>
        <w:t xml:space="preserve">      comunicación señaló que “considera que la excepción  interpuesta  por</w:t>
        <w:br/>
        <w:t xml:space="preserve">      el  Estado  es  infundada,  puesto  que  los   argumentos   estatales</w:t>
        <w:br/>
        <w:t xml:space="preserve">      presuponen una evaluación de la materia de fondo de  la  demanda,  lo</w:t>
        <w:br/>
        <w:t xml:space="preserve">      cual no constituye una excepción preliminar”, razón por  la  cual  la</w:t>
        <w:br/>
        <w:t xml:space="preserve">      Comisión solicitó a la Corte que la deseche por improcedente.</w:t>
        <w:br/>
        <w:br/>
        <w:t xml:space="preserve">  22. Teniendo en  cuenta  lo  anterior,  en  el  presente  caso  la  Corte</w:t>
        <w:br/>
        <w:t xml:space="preserve">      Interamericana debe determinar si  las  actuaciones  del  Consejo  de</w:t>
        <w:br/>
        <w:t xml:space="preserve">      Oficiales Generales y del Tribunal Constitucional constituyeron o  no</w:t>
        <w:br/>
        <w:t xml:space="preserve">      una violación de las obligaciones  internacionales  del  Estado.  Por</w:t>
        <w:br/>
        <w:t xml:space="preserve">      ello,  los  alegatos  referentes  a  esta  excepción  son  cuestiones</w:t>
        <w:br/>
        <w:t xml:space="preserve">      relacionadas directamente con el fondo de la controversia por lo que,</w:t>
        <w:br/>
        <w:t xml:space="preserve">       este aspecto será analizado en el capítulo respectivo de la presente</w:t>
        <w:br/>
        <w:t xml:space="preserve">      Sentencia.</w:t>
        <w:br/>
        <w:br/>
        <w:t xml:space="preserve">  23. En razón de lo expuesto, la Corte  considera  que  debe  desestimarse</w:t>
        <w:br/>
        <w:t xml:space="preserve">      dicha excepción preliminar por improcedente.</w:t>
        <w:br/>
        <w:br/>
        <w:br/>
        <w:t xml:space="preserve">      Falta de agotamiento de los recursos de la jurisdicción interna</w:t>
        <w:br/>
        <w:br/>
        <w:br/>
        <w:br/>
        <w:t>Alegatos de las partes</w:t>
        <w:br/>
        <w:br/>
        <w:br/>
        <w:t xml:space="preserve">  24. En su contestación de la demanda, el Estado objetó  la  admisibilidad</w:t>
        <w:br/>
        <w:t xml:space="preserve">      del caso, ya que presuntamente los recursos internos  aún  no  habían</w:t>
        <w:br/>
        <w:t xml:space="preserve">      sido agotados. Específicamente, el Estado argumentó que “la  presunta</w:t>
        <w:br/>
        <w:t xml:space="preserve">      víctima debió, oportunamente, presentar una acción civil por daños  y</w:t>
        <w:br/>
        <w:t xml:space="preserve">      perjuicios contra el Estado ante los jueces competentes del  Ecuador,</w:t>
        <w:br/>
        <w:t xml:space="preserve">      para que [fueran] estos  quienes  determinen  el  daño  infligido  al</w:t>
        <w:br/>
        <w:t xml:space="preserve">      [c]oronel Mejía [Idrovo] y establezcan el monto de la  indemnización,</w:t>
        <w:br/>
        <w:t xml:space="preserve">      dentro de  un  proceso  judicial  de  carácter  civil  de  naturaleza</w:t>
        <w:br/>
        <w:t xml:space="preserve">      ordinaria”. Asimismo, el Estado manifestó que el 22 de abril de  2009</w:t>
        <w:br/>
        <w:t xml:space="preserve">      “el ciudadano Mejía Idrovo interpuso ante la Corte Constitucional una</w:t>
        <w:br/>
        <w:t xml:space="preserve">      acción de incumplimiento”, en la que solicitó “el cumplimiento de  la</w:t>
        <w:br/>
        <w:t xml:space="preserve">      Resolución del […] Tribunal Constitucional  de  12  marzo  de  2002”.</w:t>
        <w:br/>
        <w:t xml:space="preserve">      Según el Estado, la acción por daños y perjuicios  y  la  acción  por</w:t>
        <w:br/>
        <w:t xml:space="preserve">      incumplimiento “podrían  resultar  recursos  adecuados”  y  eficaces,</w:t>
        <w:br/>
        <w:t xml:space="preserve">      debido a que su función sería  idónea  “para  proteger  la  situación</w:t>
        <w:br/>
        <w:t xml:space="preserve">      jurídica infringida” y serían “capaces de producir el resultado  para</w:t>
        <w:br/>
        <w:t xml:space="preserve">      el que han sido concebidos”.</w:t>
        <w:br/>
        <w:br/>
        <w:t xml:space="preserve">  25.  Los representantes argumentaron que la  acción  civil  por  daños  y</w:t>
        <w:br/>
        <w:t xml:space="preserve">      perjuicios tiene como finalidad sólo “establecer valores económicos a</w:t>
        <w:br/>
        <w:t xml:space="preserve">      favor del demandante”, sin que “a través de dicho recurso judicial el</w:t>
        <w:br/>
        <w:t xml:space="preserve">      juez pueda ordenar medidas reparatorias de  carácter  no  patrimonial</w:t>
        <w:br/>
        <w:t xml:space="preserve">      como el reingreso del demandante a  las  fuerzas  armadas,  disculpas</w:t>
        <w:br/>
        <w:t xml:space="preserve">      públicas a la [presunta] víctima o  su  familia  y  garantías  de  no</w:t>
        <w:br/>
        <w:t xml:space="preserve">      repetición entre otras, por lo cual dicho recurso no es adecuado para</w:t>
        <w:br/>
        <w:t xml:space="preserve">      reparar integralmente a la [presunta] víctima”. Por lo expuesto,  los</w:t>
        <w:br/>
        <w:t xml:space="preserve">      representantes solicitaron “que  igualmente  se  deseche  la  segunda</w:t>
        <w:br/>
        <w:t xml:space="preserve">      excepción y se continúe con el análisis del fondo”.</w:t>
        <w:br/>
        <w:br/>
        <w:t xml:space="preserve">  26.  La Comisión consideró  que  “el  requisito  de  agotamiento  de  los</w:t>
        <w:br/>
        <w:t xml:space="preserve">      recursos internos no significa que las presuntas víctimas  tengan  la</w:t>
        <w:br/>
        <w:t xml:space="preserve">      obligación de agotar todos  los  recursos  que  tengan  disponibles”.</w:t>
        <w:br/>
        <w:t xml:space="preserve">      Asimismo, señaló que la “acción civil por daños  no  era  el  recurso</w:t>
        <w:br/>
        <w:t xml:space="preserve">      adecuado para lograr lo establecido por el Tribunal Constitucional en</w:t>
        <w:br/>
        <w:t xml:space="preserve">      su Resolución”. En este sentido,  la  información  aportada  ante  la</w:t>
        <w:br/>
        <w:t xml:space="preserve">      Comisión indica que la resolución del Tribunal Constitucional, “según</w:t>
        <w:br/>
        <w:t xml:space="preserve">      el propio Tribunal, era autoejecutable, por lo que el Ejecutivo y las</w:t>
        <w:br/>
        <w:t xml:space="preserve">      Fuerzas Armadas debieron cumplir” con la Resolución de  12  de  marzo</w:t>
        <w:br/>
        <w:t xml:space="preserve">      2002. Por consiguiente,  la  Comisión  consideró  que  “la  excepción</w:t>
        <w:br/>
        <w:t xml:space="preserve">      interpuesta por el Estado ecuatoriano es  infundada  e  improcedente,</w:t>
        <w:br/>
        <w:t xml:space="preserve">      razón por la cual solicit[ó] a la Corte que la deseche”.</w:t>
        <w:br/>
        <w:br/>
        <w:br/>
        <w:t>Consideraciones de la Corte</w:t>
        <w:br/>
        <w:br/>
        <w:br/>
        <w:t xml:space="preserve">  27. El artículo 46.1.a) de  la  Convención  Americana  dispone  que  para</w:t>
        <w:br/>
        <w:t xml:space="preserve">      determinar la admisibilidad de una petición o comunicación presentada</w:t>
        <w:br/>
        <w:t xml:space="preserve">      ante la Comisión Interamericana de conformidad con los artículos 44 ó</w:t>
        <w:br/>
        <w:t xml:space="preserve">      45 de la Convención, es necesario que se hayan interpuesto y  agotado</w:t>
        <w:br/>
        <w:t xml:space="preserve">      los recursos de la jurisdicción interna,  según  los  principios  del</w:t>
        <w:br/>
        <w:t xml:space="preserve">      derecho internacional generalmente reconocidos[12]. La Corte recuerda</w:t>
        <w:br/>
        <w:t xml:space="preserve">      que la regla del previo agotamiento de  los  recursos  internos  está</w:t>
        <w:br/>
        <w:t xml:space="preserve">      concebida en interés del Estado, pues busca dispensarlo de  responder</w:t>
        <w:br/>
        <w:t xml:space="preserve">      ante un órgano internacional por actos que se le  imputen,  antes  de</w:t>
        <w:br/>
        <w:t xml:space="preserve">      haber tenido la ocasión de remediarlos con sus propios medios[13].</w:t>
        <w:br/>
        <w:br/>
        <w:t xml:space="preserve">  28. Lo anterior significa que no  sólo  deben  existir  formalmente  esos</w:t>
        <w:br/>
        <w:t xml:space="preserve">      recursos, sino también deben ser adecuados y efectivos, como  resulta</w:t>
        <w:br/>
        <w:t xml:space="preserve">      de  las  excepciones  contempladas  en  el  artículo   46.2   de   la</w:t>
        <w:br/>
        <w:t xml:space="preserve">      Convención[14].</w:t>
        <w:br/>
        <w:br/>
        <w:t xml:space="preserve">  29. Esta Corte ha sostenido de manera consistente  que  una  objeción  al</w:t>
        <w:br/>
        <w:t xml:space="preserve">      ejercicio de la jurisdicción de la Corte basada en la supuesta  falta</w:t>
        <w:br/>
        <w:t xml:space="preserve">      de agotamiento de los recursos internos debe  ser  presentada  en  el</w:t>
        <w:br/>
        <w:t xml:space="preserve">      momento procesal oportuno[15], esto es, durante la admisibilidad  del</w:t>
        <w:br/>
        <w:t xml:space="preserve">      procedimiento ante la Comisión[16]. Asimismo, el Tribunal reitera que</w:t>
        <w:br/>
        <w:t xml:space="preserve">      conforme   a   su   jurisprudencia[17]   y   a   la    jurisprudencia</w:t>
        <w:br/>
        <w:t xml:space="preserve">      internacional[18]  no  es  tarea  de  la  Corte  ni  de  la  Comisión</w:t>
        <w:br/>
        <w:t xml:space="preserve">      identificar ex officio cuáles son los recursos internos para  agotar,</w:t>
        <w:br/>
        <w:t xml:space="preserve">      sino que corresponde  al  Estado  el  señalamiento  oportuno  de  los</w:t>
        <w:br/>
        <w:t xml:space="preserve">      recursos internos que deben agotarse y de su efectividad.</w:t>
        <w:br/>
        <w:br/>
        <w:t xml:space="preserve">  30. En el presente caso, el Estado planteó en su escrito presentado  ante</w:t>
        <w:br/>
        <w:t xml:space="preserve">      la Comisión el  10  de  julio  de  2006  la  excepción  de  falta  de</w:t>
        <w:br/>
        <w:t xml:space="preserve">      agotamiento de los recursos internos en relación con la acción  civil</w:t>
        <w:br/>
        <w:t xml:space="preserve">      por daños. En dicha oportunidad reclamó que  el  señor  Mejía  Idrovo</w:t>
        <w:br/>
        <w:t xml:space="preserve">      habría tenido que presentar una  acción  civil  por  daños  ante  los</w:t>
        <w:br/>
        <w:t xml:space="preserve">      jueces competentes del Ecuador para  que  estos  determinen  el  daño</w:t>
        <w:br/>
        <w:t xml:space="preserve">      sufrido y el monto de la indemnización. Con posterioridad, el  24  de</w:t>
        <w:br/>
        <w:t xml:space="preserve">      junio 2010 en su contestación a la  demanda,  el  Estado  añadió  que</w:t>
        <w:br/>
        <w:t xml:space="preserve">      también  debía  considerarse  un  recurso  adecuado  la  acción   por</w:t>
        <w:br/>
        <w:t xml:space="preserve">      incumplimiento introducida por la nueva Constitución del Ecuador.</w:t>
        <w:br/>
        <w:br/>
        <w:t xml:space="preserve">  31. En su Informe  de  Admisibilidad  y  Fondo  No.  07/09,  la  Comisión</w:t>
        <w:br/>
        <w:t xml:space="preserve">      concluyó que la acción civil por daños  y  perjuicios  dentro  de  un</w:t>
        <w:br/>
        <w:t xml:space="preserve">      proceso  judicial  de  carácter  civil  de  naturaleza  ordinaria  no</w:t>
        <w:br/>
        <w:t xml:space="preserve">      constituía un recurso adecuado para  lograr  lo  establecido  por  el</w:t>
        <w:br/>
        <w:t xml:space="preserve">      Tribunal Constitucional en su resolución de 12 de marzo de 2002,  que</w:t>
        <w:br/>
        <w:t xml:space="preserve">      según el propio tribunal, era autoejecutable, por  lo  que  tanto  el</w:t>
        <w:br/>
        <w:t xml:space="preserve">      Ejecutivo  como  las  Fuerzas  Armadas  debieron  cumplir  con  dicha</w:t>
        <w:br/>
        <w:t xml:space="preserve">      decisión.  Además, consideró que la demanda  de  inconstitucionalidad</w:t>
        <w:br/>
        <w:t xml:space="preserve">      que el coronel Mejía Idrovo presentó ante el Tribunal  Constitucional</w:t>
        <w:br/>
        <w:t xml:space="preserve">      fue el recurso adecuado para declarar la inconstitucionalidad de  los</w:t>
        <w:br/>
        <w:t xml:space="preserve">      decretos ejecutivos impugnados.</w:t>
        <w:br/>
        <w:br/>
        <w:t xml:space="preserve">  32. En cuanto a la acción civil por daños y perjuicios, la Corte suscribe</w:t>
        <w:br/>
        <w:t xml:space="preserve">      la posición adoptada por la Comisión en su Informe de Admisibilidad y</w:t>
        <w:br/>
        <w:t xml:space="preserve">      Fondo, en la medida en que  considera  que  la  acción  por  daños  y</w:t>
        <w:br/>
        <w:t xml:space="preserve">      perjuicios no era el  recurso  adecuado  para  reparar  la  situación</w:t>
        <w:br/>
        <w:t xml:space="preserve">      jurídica de las alegadas violaciones de los derechos a las  garantías</w:t>
        <w:br/>
        <w:t xml:space="preserve">      y protección judiciales del señor Mejía Idrovo. En este  sentido,  el</w:t>
        <w:br/>
        <w:t xml:space="preserve">      Tribunal nota que tanto la Comisión como los representantes  alegaron</w:t>
        <w:br/>
        <w:t xml:space="preserve">      que conforme al derecho interno del Estado vigente para el momento de</w:t>
        <w:br/>
        <w:t xml:space="preserve">      los  hechos,  las  decisiones  del   Tribunal   Constitucional   eran</w:t>
        <w:br/>
        <w:t xml:space="preserve">      autoejecutables, puesto que se trata de un acto  procesal  que  tiene</w:t>
        <w:br/>
        <w:t xml:space="preserve">      efectos de cosa juzgada, o sea que tienen que ser cumplidas  por  las</w:t>
        <w:br/>
        <w:t xml:space="preserve">      diferentes autoridades nacionales  sin  que  se  necesite  introducir</w:t>
        <w:br/>
        <w:t xml:space="preserve">      alguna otra acción judicial.  Al  respecto,  el  Estado  no  presentó</w:t>
        <w:br/>
        <w:t xml:space="preserve">      alegatos relativos a la auto ejecutoriedad de los fallos del Tribunal</w:t>
        <w:br/>
        <w:t xml:space="preserve">      Constitucional (infra párr. 70), sino que se limitó a indicar que  la</w:t>
        <w:br/>
        <w:t xml:space="preserve">      presunta víctima debió presentar dicha acción civil, la  cual  es  de</w:t>
        <w:br/>
        <w:t xml:space="preserve">      naturaleza ordinaria. La Corte  observa  que  la  acción  civil  solo</w:t>
        <w:br/>
        <w:t xml:space="preserve">      permite la reparación del daño patrimonial y por ende  no  constituye</w:t>
        <w:br/>
        <w:t xml:space="preserve">      una medida apropiada para lograr integralmente las  pretensiones  del</w:t>
        <w:br/>
        <w:t xml:space="preserve">      señor Mejía Idrovo respecto a su reincorporación.</w:t>
        <w:br/>
        <w:br/>
        <w:t xml:space="preserve">  33.   Con respecto a  la  acción  de  incumplimiento  presentada  por  la</w:t>
        <w:br/>
        <w:t xml:space="preserve">      presunta   víctima   ante   la   Corte   Constitucional,   la   Corte</w:t>
        <w:br/>
        <w:t xml:space="preserve">      Interamericana  observa  que  dicha  acción  de  incumplimiento   fue</w:t>
        <w:br/>
        <w:t xml:space="preserve">      introducida en el sistema  jurídico  ecuatoriano  por  efecto  de  la</w:t>
        <w:br/>
        <w:t xml:space="preserve">      reforma constitucional del año 2008 y, por lo tanto, no era accesible</w:t>
        <w:br/>
        <w:t xml:space="preserve">      a la presunta víctima en el momento  en  que  ocurrieron  los  hechos</w:t>
        <w:br/>
        <w:t xml:space="preserve">      relevantes del presente caso. Sin  perjuicio  de  ello,  el  Tribunal</w:t>
        <w:br/>
        <w:t xml:space="preserve">      observa que la presunta víctima interpuso dicha acción el 22 de abril</w:t>
        <w:br/>
        <w:t xml:space="preserve">      del 2009 y,  como  el  mismo  Estado  lo  señaló,  este  recurso  fue</w:t>
        <w:br/>
        <w:t xml:space="preserve">      oportunamente agotado.</w:t>
        <w:br/>
        <w:br/>
        <w:t xml:space="preserve">  34. Consecuentemente,  la  Corte  desestima  la  excepción  de  falta  de</w:t>
        <w:br/>
        <w:t xml:space="preserve">      agotamiento de recursos internos planteada por Ecuador.</w:t>
        <w:br/>
        <w:br/>
        <w:br/>
        <w:t xml:space="preserve">    Competencia</w:t>
        <w:br/>
        <w:br/>
        <w:t xml:space="preserve">  35. LA CORTE ES  COMPETENTE  PARA  CONOCER  DEL  PRESENTE  CASO,  EN  LOS</w:t>
        <w:br/>
        <w:t xml:space="preserve">      TÉRMINOS DEL ARTÍCULO 62.3 DE LA CONVENCIÓN AMERICANA, YA QUE ECUADOR</w:t>
        <w:br/>
        <w:t xml:space="preserve">      ES ESTADO PARTE EN LA CONVENCIÓN DESDE EL 28 DE DICIEMBRE DE  1977  Y</w:t>
        <w:br/>
        <w:t xml:space="preserve">      RECONOCIÓ LA JURISDICCIÓN CONTENCIOSA DE LA CORTE EL 24 DE  JULIO  DE</w:t>
        <w:br/>
        <w:t xml:space="preserve">      1984.</w:t>
        <w:br/>
        <w:br/>
        <w:br/>
        <w:t>Prueba</w:t>
        <w:br/>
        <w:br/>
        <w:br/>
        <w:br/>
        <w:t xml:space="preserve">  36. CON BASE EN LO ESTABLECIDO EN LOS ARTÍCULOS 46 Y 47  DEL  REGLAMENTO,</w:t>
        <w:br/>
        <w:t xml:space="preserve">      ASÍ COMO EN LA JURISPRUDENCIA DEL TRIBUNAL RESPECTO DE LA PRUEBA Y SU</w:t>
        <w:br/>
        <w:t xml:space="preserve">      APRECIACIÓN[19],  LA  CORTE  PROCEDERÁ  A  EXAMINAR  Y  VALORAR   LOS</w:t>
        <w:br/>
        <w:t xml:space="preserve">      ELEMENTOS PROBATORIOS DOCUMENTALES REMITIDOS  POR  LA  COMISIÓN,  LOS</w:t>
        <w:br/>
        <w:t xml:space="preserve">      REPRESENTANTES Y EL ESTADO EN DIVERSAS OPORTUNIDADES PROCESALES,  ASÍ</w:t>
        <w:br/>
        <w:t xml:space="preserve">      COMO LAS DECLARACIONES RECIBIDAS EN LA AUDIENCIA PÚBLICA CELEBRADA EN</w:t>
        <w:br/>
        <w:t xml:space="preserve">      EL PRESENTE CASO. PARA ELLO EL TRIBUNAL SE ATENDRÁ A LAS REGLAS DE LA</w:t>
        <w:br/>
        <w:t xml:space="preserve">      SANA CRÍTICA, DENTRO DEL MARCO LEGAL CORRESPONDIENTE[20].</w:t>
        <w:br/>
        <w:br/>
        <w:br/>
        <w:t xml:space="preserve">      Declaración de la presunta víctima y prueba pericial</w:t>
        <w:br/>
        <w:br/>
        <w:br/>
        <w:t xml:space="preserve">  37. De acuerdo a la Resolución de la Presidencia de  2  de  diciembre  de</w:t>
        <w:br/>
        <w:t xml:space="preserve">      2010[21], la  Corte  escuchó  en  audiencia  pública  las  siguientes</w:t>
        <w:br/>
        <w:t xml:space="preserve">      declaraciones de la presunta víctima y  dos peritos:</w:t>
        <w:br/>
        <w:br/>
        <w:t xml:space="preserve">   a) José Alfredo Mejía, presunta víctima propuesta por la Comisión  y  los</w:t>
        <w:br/>
        <w:t xml:space="preserve">      representantes, quien declaró sobre: i) los supuestos  obstáculos  que</w:t>
        <w:br/>
        <w:t xml:space="preserve">      ha enfrentado para el cumplimiento de la Sentencia  Constitucional  de</w:t>
        <w:br/>
        <w:t xml:space="preserve">      12 de marzo de 2002; ii) cómo afectó en su profesión y su proyecto  de</w:t>
        <w:br/>
        <w:t xml:space="preserve">      vida la supuesta inconstitucional actuación  de  los  integrantes  del</w:t>
        <w:br/>
        <w:t xml:space="preserve">      Consejo  de  Oficiales  Generales  que  no  le  permitieron  ascender,</w:t>
        <w:br/>
        <w:t xml:space="preserve">      conforme era su supuesto  derecho  por  reunir  todos  los  requisitos</w:t>
        <w:br/>
        <w:t xml:space="preserve">      exigidos por ley; iii)  cómo  le  afectó  la  emisión  por  parte  del</w:t>
        <w:br/>
        <w:t xml:space="preserve">      Presidente de la República de los decretos de disponibilidad y baja, y</w:t>
        <w:br/>
        <w:t xml:space="preserve">      iv) cómo afectó su  vida  el  hecho  de  que  durante  ocho  años  los</w:t>
        <w:br/>
        <w:t xml:space="preserve">      demandados se  hayan  supuestamente  negado  a  cumplir  la  sentencia</w:t>
        <w:br/>
        <w:t xml:space="preserve">      emitida el 12 de marzo de 2002 y la acción de  incumplimiento  dictada</w:t>
        <w:br/>
        <w:t xml:space="preserve">      por la Corte Constitucional el 8 de octubre de 2009.</w:t>
        <w:br/>
        <w:br/>
        <w:br/>
        <w:t xml:space="preserve">   b) Jaime Vintimilla, propuesto por la  Comisión,  quien  rindió  peritaje</w:t>
        <w:br/>
        <w:t xml:space="preserve">      sobre la  falta  de  ejecutoriedad  de  las  sentencias  del  Tribunal</w:t>
        <w:br/>
        <w:t xml:space="preserve">      Constitucional.</w:t>
        <w:br/>
        <w:br/>
        <w:t xml:space="preserve">   c) Alex Valle Franco, propuesto por  el  Estado,  quien  rindió  peritaje</w:t>
        <w:br/>
        <w:t xml:space="preserve">      sobre: i) la  naturaleza  de  la  acción  de  inconstitucionalidad  de</w:t>
        <w:br/>
        <w:t xml:space="preserve">      Decretos Ejecutivos en la Constitución de 1998; ii) el efecto jurídico</w:t>
        <w:br/>
        <w:t xml:space="preserve">      de la declaratoria de inconstitucionalidad de un Decreto Ejecutivo  en</w:t>
        <w:br/>
        <w:t xml:space="preserve">      la Constitución de 1998 en el  entonces  Tribunal  Constitucional  del</w:t>
        <w:br/>
        <w:t xml:space="preserve">      Ecuador;  iii)  los  efectos  jurídicos   de   una   declaratoria   de</w:t>
        <w:br/>
        <w:t xml:space="preserve">      inconstitucionalidad, ilegalidad e  ilegitimidad  con  respecto  a  la</w:t>
        <w:br/>
        <w:t xml:space="preserve">      reparación de daños. Diferencias básicas, análisis complementario y de</w:t>
        <w:br/>
        <w:t xml:space="preserve">      contexto en la Constitución de 1998, y iv) la naturaleza  jurídica  de</w:t>
        <w:br/>
        <w:t xml:space="preserve">      la Acción de Incumplimiento en la actual Constitución.</w:t>
        <w:br/>
        <w:br/>
        <w:br/>
        <w:t xml:space="preserve">      Admisión de la prueba documental</w:t>
        <w:br/>
        <w:br/>
        <w:br/>
        <w:t xml:space="preserve">  38. En este  caso,  como  en  otros[22],  el  Tribunal  admite  el  valor</w:t>
        <w:br/>
        <w:t xml:space="preserve">      probatorio de aquellos documentos presentados oportunamente  por  las</w:t>
        <w:br/>
        <w:t xml:space="preserve">      partes que no fueron controvertidos ni objetados, y cuya autenticidad</w:t>
        <w:br/>
        <w:t xml:space="preserve">      no fue puesta en duda.</w:t>
        <w:br/>
        <w:br/>
        <w:t xml:space="preserve">  39. Mediante el escrito de alegatos a las excepciones preliminares de  19</w:t>
        <w:br/>
        <w:t xml:space="preserve">      de agosto de 2010  de los representantes y en el  escrito  de  11  de</w:t>
        <w:br/>
        <w:t xml:space="preserve">      diciembre de 2009 del Estado  adjuntaron  diversos  anexos.   Además,</w:t>
        <w:br/>
        <w:t xml:space="preserve">      durante la audiencia pública el Estado presentó dos  oficios,  y  los</w:t>
        <w:br/>
        <w:t xml:space="preserve">      representantes y el Estado remitieron varios  anexos  junto  con  los</w:t>
        <w:br/>
        <w:t xml:space="preserve">      alegatos finales escritos presentados el 28  de  marzo  de  2011.  Al</w:t>
        <w:br/>
        <w:t xml:space="preserve">      respecto, este Tribunal hace notar que varios de  los  documentos  ya</w:t>
        <w:br/>
        <w:t xml:space="preserve">      habían  sido  oportunamente  aportados[23]  por  las  partes   y   se</w:t>
        <w:br/>
        <w:t xml:space="preserve">      encuentran admitidos en el acervo probatorio del presente  caso.  Sin</w:t>
        <w:br/>
        <w:t xml:space="preserve">      embargo, el resto de la documentación[24] no  había  sido  presentada</w:t>
        <w:br/>
        <w:t xml:space="preserve">      anteriormente pese a lo cual, de conformidad con el artículo  45  del</w:t>
        <w:br/>
        <w:t xml:space="preserve">      Reglamento, esta Corte decide admitirla por considerarla útil para la</w:t>
        <w:br/>
        <w:t xml:space="preserve">      resolución del presente caso, excepto aquellos documentos presentados</w:t>
        <w:br/>
        <w:t xml:space="preserve">      por  los  representantes  respecto  a   las   supuestas   erogaciones</w:t>
        <w:br/>
        <w:t xml:space="preserve">      realizadas en la jurisdicción interna y las relativas a los  trámites</w:t>
        <w:br/>
        <w:t xml:space="preserve">      o comparecencia ante la Comisión Interamericana, por  no  haber  sido</w:t>
        <w:br/>
        <w:t xml:space="preserve">      presentados  en  el  momento  oportuno  (infra  párrs.  159  y  162).</w:t>
        <w:br/>
        <w:t xml:space="preserve">      Asimismo, en cuanto a los documentos relativos al  nuevo  trámite  de</w:t>
        <w:br/>
        <w:t xml:space="preserve">      calificación  del  señor  Mejía  Idrovo  presentados  tanto  por  los</w:t>
        <w:br/>
        <w:t xml:space="preserve">      representantes como por el Estado[25], de conformidad con el artículo</w:t>
        <w:br/>
        <w:t xml:space="preserve">      46.3 del Reglamento, se refiere a nuevos  hechos  supervinientes  por</w:t>
        <w:br/>
        <w:t xml:space="preserve">      los que los incorpora al acervo probatorio del caso.</w:t>
        <w:br/>
        <w:br/>
        <w:t xml:space="preserve">  40. Por otra parte, la  Comisión  Interamericana  presentó  el  documento</w:t>
        <w:br/>
        <w:t xml:space="preserve">      titulado “La Justicia Constitucional Ecuatoriana en  la  Constitución</w:t>
        <w:br/>
        <w:t xml:space="preserve">      de 2008” del perito Jaime Vintimilla, el cual fue solicitado  durante</w:t>
        <w:br/>
        <w:t xml:space="preserve">      la audiencia  pública  por  la  Corte.  El  Tribunal  lo  admite  por</w:t>
        <w:br/>
        <w:t xml:space="preserve">      considerarlo  útil,  de  conformidad  con  el   artículo   47.2   del</w:t>
        <w:br/>
        <w:t xml:space="preserve">      Reglamento.</w:t>
        <w:br/>
        <w:br/>
        <w:t xml:space="preserve">  41. Por último, el Estado presentó un escrito el 16 de mayo de 2011 en el</w:t>
        <w:br/>
        <w:t xml:space="preserve">      cual manifestó que los representantes transgredieron  la  disposición</w:t>
        <w:br/>
        <w:t xml:space="preserve">      de la Corte de pronunciarse sobre los anexos a los alegatos escritos,</w:t>
        <w:br/>
        <w:t xml:space="preserve">      ya que se refirieron, más bien, a los alegatos  escritos  presentados</w:t>
        <w:br/>
        <w:t xml:space="preserve">      por el Estado. Por ello, el Estado solicitó  que  se  considere  esta</w:t>
        <w:br/>
        <w:t xml:space="preserve">      anomalía y se deje sin efecto la intervención de  los  representantes</w:t>
        <w:br/>
        <w:t xml:space="preserve">      de la presunta víctima por  cuanto  viola  el  principio  de  lealtad</w:t>
        <w:br/>
        <w:t xml:space="preserve">      procesal (supra párr. 13). Esta Corte, mediante  comunicación  de  su</w:t>
        <w:br/>
        <w:t xml:space="preserve">      Secretaría de 26 de abril de 2011 solicitó observaciones a las partes</w:t>
        <w:br/>
        <w:t xml:space="preserve">      sobre los anexos presentados e hizo notar a las partes  que  “no  era</w:t>
        <w:br/>
        <w:t xml:space="preserve">      una nueva oportunidad procesal para ampliar alegatos”.  Al  respecto,</w:t>
        <w:br/>
        <w:t xml:space="preserve">      este Tribunal hace notar que efectivamente los representantes  en  su</w:t>
        <w:br/>
        <w:t xml:space="preserve">      comunicación de 4 de mayo de 2011,  hicieron  observaciones,  por  un</w:t>
        <w:br/>
        <w:t xml:space="preserve">      lado, a los anexos propiamente, por otro  lado  presentaron  alegatos</w:t>
        <w:br/>
        <w:t xml:space="preserve">      respecto al fondo del caso. En consideración  de  lo  anterior,  esta</w:t>
        <w:br/>
        <w:t xml:space="preserve">      Corte  decide  admitir,  de  conformidad  con  el  artículo  46   del</w:t>
        <w:br/>
        <w:t xml:space="preserve">      Reglamento, el referido escrito de los  representantes  sólo  en  las</w:t>
        <w:br/>
        <w:t xml:space="preserve">      partes que expresen observaciones relativas a los anexos  presentados</w:t>
        <w:br/>
        <w:t xml:space="preserve">      por el  Estado.  A  tal  efecto,  el  Tribunal  toma  en  cuenta  las</w:t>
        <w:br/>
        <w:t xml:space="preserve">      observaciones del Estado y el conjunto  del  acervo  probatorio  para</w:t>
        <w:br/>
        <w:t xml:space="preserve">      valorar el referido escrito, de acuerdo  a  las  reglas  de  la  sana</w:t>
        <w:br/>
        <w:t xml:space="preserve">      crítica.</w:t>
        <w:br/>
        <w:br/>
        <w:br/>
        <w:t>Admisión de la declaración de la presunta víctima y la prueba  pericial</w:t>
        <w:br/>
        <w:br/>
        <w:br/>
        <w:br/>
        <w:t xml:space="preserve">  42. Respecto de la declaración de  la  presunta  víctima  y  dos  de  los</w:t>
        <w:br/>
        <w:t xml:space="preserve">      peritajes (supra párr. 37), la Corte los estima pertinentes en cuanto</w:t>
        <w:br/>
        <w:t xml:space="preserve">      se ajusten al objeto definido por el Presidente en la Resolución  que</w:t>
        <w:br/>
        <w:t xml:space="preserve">      ordenó recibirlos, los cuales serán  valorados  en  el  capítulo  que</w:t>
        <w:br/>
        <w:t xml:space="preserve">      corresponda. En cuanto a la declaración de la presunta  víctima,  por</w:t>
        <w:br/>
        <w:t xml:space="preserve">      tener un interés en el presente caso, no será  valorada  aisladamente</w:t>
        <w:br/>
        <w:t xml:space="preserve">      sino dentro del conjunto de las pruebas  del  proceso[26].  Por  otra</w:t>
        <w:br/>
        <w:t xml:space="preserve">      parte, en cuanto al dictamen pericial  rendido  por  el  señor  Jaime</w:t>
        <w:br/>
        <w:t xml:space="preserve">      Vintimilla, en sus alegatos finales escritos el Estado señaló que  el</w:t>
        <w:br/>
        <w:t xml:space="preserve">      perito “inicia con juicios de valor  y  desconoce,  o  disminuye  los</w:t>
        <w:br/>
        <w:t xml:space="preserve">      cambios transcendentales que vive  el  Ecuador  desde  la  aprobación</w:t>
        <w:br/>
        <w:t xml:space="preserve">      mediante  referéndum  en  el  año  2008  de  la  nueva   Constitución</w:t>
        <w:br/>
        <w:t xml:space="preserve">      reconocida como  Constitución  de  Montecristi”.  Al  respecto,  este</w:t>
        <w:br/>
        <w:t xml:space="preserve">      Tribunal estima pertinente admitir dicha prueba en cuanto  se  ajuste</w:t>
        <w:br/>
        <w:t xml:space="preserve">      al objeto definido por el Presidente  en  la  Resolución  que  ordenó</w:t>
        <w:br/>
        <w:t xml:space="preserve">      recibirla  (supra  párr.  8),  y  la  valora  tomando  en  cuenta  lo</w:t>
        <w:br/>
        <w:t xml:space="preserve">      manifestado por el Estado y dentro del conjunto del acervo probatorio</w:t>
        <w:br/>
        <w:t xml:space="preserve">      del caso.</w:t>
        <w:br/>
        <w:br/>
        <w:br/>
        <w:t>Artículos 8 y 25 de la Convención Americana</w:t>
        <w:br/>
        <w:br/>
        <w:t xml:space="preserve">  43.  EN ESTE CAPÍTULO, LA CORTE SE REFERIRÁ, EN PRIMER LUGAR,  A  ALGUNOS</w:t>
        <w:br/>
        <w:t xml:space="preserve">      HECHOS  RELEVANTES  EN  RELACIÓN  CON  LOS   PROCEDIMIENTOS   EN   LA</w:t>
        <w:br/>
        <w:t xml:space="preserve">      JURISDICCIÓN INTERNA QUE TIENEN RELACIÓN CON LAS VIOLACIONES ALEGADAS</w:t>
        <w:br/>
        <w:t xml:space="preserve">      A LAS GARANTÍAS Y PROTECCIÓN JUDICIAL. POSTERIORMENTE, SE REFERIRÁ  A</w:t>
        <w:br/>
        <w:t xml:space="preserve">      LOS ALEGATOS DE LAS PARTES AL RESPECTO, Y ANALIZARÁ LAS GARANTÍAS DEL</w:t>
        <w:br/>
        <w:t xml:space="preserve">      PROCESO A LA LUZ DEL ARTÍCULO 8.1 DE LA CONVENCIÓN Y LA PROTECCIÓN  Y</w:t>
        <w:br/>
        <w:t xml:space="preserve">      TUTELA JUDICIAL EFECTIVA EN LA EJECUCIÓN DE FALLOS, DISPUESTAS EN LOS</w:t>
        <w:br/>
        <w:t xml:space="preserve">      ARTÍCULOS 25.1 Y 25.2.C) DE LA CONVENCIÓN AMERICANA.</w:t>
        <w:br/>
        <w:br/>
        <w:br/>
        <w:t xml:space="preserve">      Hechos Relevantes</w:t>
        <w:br/>
        <w:br/>
        <w:br/>
        <w:t xml:space="preserve">      a)  Procedimiento ante el Consejo de Oficiales Generales de la  Fuerza</w:t>
        <w:br/>
        <w:t xml:space="preserve">      Terrestre</w:t>
        <w:br/>
        <w:br/>
        <w:t xml:space="preserve">  44. El 21 de diciembre de 1972  José  Alfredo  Mejía  Idrovo  ingresó  al</w:t>
        <w:br/>
        <w:t xml:space="preserve">      Ejército en calidad de Subteniente[27], y el 21 de diciembre de  1994</w:t>
        <w:br/>
        <w:t xml:space="preserve">      ascendió al grado de Coronel del Ejército[28]. En  el  año  2000,  el</w:t>
        <w:br/>
        <w:t xml:space="preserve">      señor Mejía Idrovo se presentó ante el Consejo de Oficiales Generales</w:t>
        <w:br/>
        <w:t xml:space="preserve">      de la Fuerza Terrestre (en adelante “Consejo de Oficiales Generales”)</w:t>
        <w:br/>
        <w:t xml:space="preserve">      para que lo calificaran para ascender al grado de General.  El Estado</w:t>
        <w:br/>
        <w:t xml:space="preserve">      alegó que el señor Mejía Idrovo fue uno de “cinco coroneles de Estado</w:t>
        <w:br/>
        <w:t xml:space="preserve">      de Mayor de  Servicios”  que  participó[29]  en  esa  promoción.   En</w:t>
        <w:br/>
        <w:t xml:space="preserve">      diciembre del año 2000 el Consejo de Oficiales Generales  le  remitió</w:t>
        <w:br/>
        <w:t xml:space="preserve">      una nota sin fecha y sin número para informarle que:</w:t>
        <w:br/>
        <w:br/>
        <w:t xml:space="preserve">      Asunto: Agradecimiento por Servicios Prestados</w:t>
        <w:br/>
        <w:br/>
        <w:t xml:space="preserve">      1. Es criterio del Consejo que usted es un hombre de honor leal, veraz</w:t>
        <w:br/>
        <w:t xml:space="preserve">      y honesto y que sus cualidades profesionales están  enmarcadas  dentro</w:t>
        <w:br/>
        <w:t xml:space="preserve">      de los parámetros que exige la carrera  militar,  por  lo  cual  usted</w:t>
        <w:br/>
        <w:t xml:space="preserve">      llegó a ser un Coronel de la República.</w:t>
        <w:br/>
        <w:br/>
        <w:br/>
        <w:t xml:space="preserve">      2. Lamentablemente la Institución  debe  seguir  un  procedimiento  de</w:t>
        <w:br/>
        <w:t xml:space="preserve">      selección normado por las Leyes y Reglamentos que  permite  escoger  a</w:t>
        <w:br/>
        <w:t xml:space="preserve">      quienes dentro de un grupo humano  presentan  ciertas  características</w:t>
        <w:br/>
        <w:t xml:space="preserve">      que marcan diferencias.</w:t>
        <w:br/>
        <w:br/>
        <w:br/>
        <w:t xml:space="preserve">      3. Por lo expuesto me  permito  a  nombre  del  Consejo  de  Oficiales</w:t>
        <w:br/>
        <w:t xml:space="preserve">      Generales de la Fuerza Terrestre, agradecer sus valiosos  servicios  a</w:t>
        <w:br/>
        <w:t xml:space="preserve">      la Institución y hacer votos  para  que  la  vida  le  depare  mejores</w:t>
        <w:br/>
        <w:t xml:space="preserve">      oportunidades  en  la  condición  de  Oficial  en   Servicio   Pasivo.</w:t>
        <w:br/>
        <w:t xml:space="preserve">      Adicionalmente, me permito recordarle que la Fuerza Terrestre  siempre</w:t>
        <w:br/>
        <w:t xml:space="preserve">      estará lista a proporcionarle el  apoyo  que  usted  requiera,  porque</w:t>
        <w:br/>
        <w:t xml:space="preserve">      usted sigue siendo parte de ella[30].</w:t>
        <w:br/>
        <w:br/>
        <w:t xml:space="preserve">  45. El 15 de  diciembre  de  2000  el  señor  Mejía  Idrovo  solicitó  al</w:t>
        <w:br/>
        <w:t xml:space="preserve">      Comandante General de la Fuerza Terrestre y Presidente del Consejo de</w:t>
        <w:br/>
        <w:t xml:space="preserve">      Oficiales Generales que reconsideraran  su  decisión  de  negarle  el</w:t>
        <w:br/>
        <w:t xml:space="preserve">      ascenso al grado, pidiendo aclaración de las razones  y  motivos[31].</w:t>
        <w:br/>
        <w:t xml:space="preserve">      El 26 de diciembre de 2000 el señor Mejía Idrovo recibió el memorando</w:t>
        <w:br/>
        <w:t xml:space="preserve">      N-251-JEMFT del Consejo de Oficiales Generales, mediante el  cual  se</w:t>
        <w:br/>
        <w:t xml:space="preserve">      le informó que “[e]n atención a su solicitud, […]  ha[ce]  conocer  a</w:t>
        <w:br/>
        <w:t xml:space="preserve">      usted, señor Coronel, que el Consejo de  Oficiales  Generales  de  la</w:t>
        <w:br/>
        <w:t xml:space="preserve">      Fuerza Terrestre, en sesión llevada a cabo el  26  de  diciembre  del</w:t>
        <w:br/>
        <w:t xml:space="preserve">      2000, resolvió ratificar su pronunciamiento inicial  y  consideró  NO</w:t>
        <w:br/>
        <w:t xml:space="preserve">      FAVORABLE su ascenso al inmediato grado superior”[32].</w:t>
        <w:br/>
        <w:br/>
        <w:t xml:space="preserve">  46. El 30 de enero de 2001 el Presidente Constitucional de  la  República</w:t>
        <w:br/>
        <w:t xml:space="preserve">      del Ecuador expidió el Decreto Ejecutivo  No.  1185  en  el  cual  se</w:t>
        <w:br/>
        <w:t xml:space="preserve">      establece que el señor Mejía Idrovo “dejará de constar en  la  Fuerza</w:t>
        <w:br/>
        <w:t xml:space="preserve">      Terrestre, a partir del 15 de enero de 2001”[33].  El 18 de julio  de</w:t>
        <w:br/>
        <w:t xml:space="preserve">      2001 a solicitud del Ministro  de  Defensa  Nacional,  el  Presidente</w:t>
        <w:br/>
        <w:t xml:space="preserve">      expidió el Decreto Ejecutivo No. 1680, mediante el cual dio  de  baja</w:t>
        <w:br/>
        <w:t xml:space="preserve">      al señor Mejía Idrovo, según el artículo 76 literal j[34] de  la  Ley</w:t>
        <w:br/>
        <w:t xml:space="preserve">      de Personal de las Fuerzas Armadas[35].</w:t>
        <w:br/>
        <w:br/>
        <w:t xml:space="preserve">      b) Recursos de Amparo ante el Tribunal Contencioso Administrativo</w:t>
        <w:br/>
        <w:br/>
        <w:t xml:space="preserve">  47.  El  señor  Mejía  Idrovo  interpuso  ante  el  Tribunal  Contencioso</w:t>
        <w:br/>
        <w:t xml:space="preserve">      Administrativo de Quito  un  recurso  de  amparo,  mediante  el  cual</w:t>
        <w:br/>
        <w:t xml:space="preserve">      solicitó que se dejara sin efecto los Decretos No. 1185 y   No.  1680</w:t>
        <w:br/>
        <w:t xml:space="preserve">      de  disponibilidad  y  baja[36].  La  Segunda   Sala   del   Tribunal</w:t>
        <w:br/>
        <w:t xml:space="preserve">      Contencioso Administrativo conoció de la acción y el 28 de  junio  de</w:t>
        <w:br/>
        <w:t xml:space="preserve">      2001 declaró la acción de amparo inadmisible por  considerar  que  la</w:t>
        <w:br/>
        <w:t xml:space="preserve">      demanda era incompleta al haberse recurrido únicamente  los  decretos</w:t>
        <w:br/>
        <w:t xml:space="preserve">      ejecutivos y no demandar los  actos  ejecutados  por  el  Consejo  de</w:t>
        <w:br/>
        <w:t xml:space="preserve">      Oficiales Generales[37]. El 9 de julio de 2001 el señor Mejía  Idrovo</w:t>
        <w:br/>
        <w:t xml:space="preserve">      apeló el fallo ante el Tribunal Constitucional.  El 19 de octubre  de</w:t>
        <w:br/>
        <w:t xml:space="preserve">      2001 el Tribunal resolvió “confirmar la resolución venida en grado  y</w:t>
        <w:br/>
        <w:t xml:space="preserve">      por lo tanto, inadmitir la acción de amparo propuesta  por  el  señor</w:t>
        <w:br/>
        <w:t xml:space="preserve">      Coronel de Estado Mayor José Alfredo Mejía”, porque  el  peticionario</w:t>
        <w:br/>
        <w:t xml:space="preserve">      equivocó la vía legal para que el decreto ejecutivo sea suspendido en</w:t>
        <w:br/>
        <w:t xml:space="preserve">      sus efectos[38].</w:t>
        <w:br/>
        <w:br/>
        <w:t xml:space="preserve">      c)    Procedimiento ante el  Tribunal  Constitucional  por  Acción  de</w:t>
        <w:br/>
        <w:t>Inconstitucionalidad</w:t>
        <w:br/>
        <w:br/>
        <w:t xml:space="preserve">  48. El 4 de octubre de 2001 el señor Mejía Idrovo presentó un recurso  de</w:t>
        <w:br/>
        <w:t xml:space="preserve">      inconstitucionalidad ante el Tribunal Constitucional con  el  Informe</w:t>
        <w:br/>
        <w:t xml:space="preserve">      de Procedibilidad de la Defensoría del Pueblo[39], mediante  el  cual</w:t>
        <w:br/>
        <w:t xml:space="preserve">      solicitó, inter alia, que  se  declarara  la  inconstitucionalidad  e</w:t>
        <w:br/>
        <w:t xml:space="preserve">      ilegalidad de los Decretos Ejecutivos de disponibilidad y baja (Nros.</w:t>
        <w:br/>
        <w:t xml:space="preserve">      1185 y 1680), se ordenara su reincorporación a  las  Fuerzas  Armadas</w:t>
        <w:br/>
        <w:t xml:space="preserve">      Permanentes y su ascenso  a  General  de  Brigada  con  fecha  21  de</w:t>
        <w:br/>
        <w:t xml:space="preserve">      diciembre de 2000, fecha desde la cual gozaría de todos los  honores,</w:t>
        <w:br/>
        <w:t xml:space="preserve">      remuneraciones  y  derechos   reglamentarios   establecidos   en   la</w:t>
        <w:br/>
        <w:t xml:space="preserve">      legislación vigente, a fin de que se le repare  el  daño  que  se  le</w:t>
        <w:br/>
        <w:t xml:space="preserve">      causó con las violaciones constitucionales, legales y reglamentarias.</w:t>
        <w:br/>
        <w:t xml:space="preserve">       En dicho recurso alegó que el inciso j) del artículo 76 de la Ley de</w:t>
        <w:br/>
        <w:t xml:space="preserve">      Personal  de  las  Fuerzas  Armadas  se  utilizó   “arbitrariamente”.</w:t>
        <w:br/>
        <w:t xml:space="preserve">      Finalmente, alegó que los trámites violaron las garantías  dispuestas</w:t>
        <w:br/>
        <w:t xml:space="preserve">      en los artículos 3.2, 6, 23.3, 23.26, 23.27, 24.12 y 24.13, 35 y  186</w:t>
        <w:br/>
        <w:t xml:space="preserve">      de  la  Constitución  Política  de  la  República  del  Ecuador;  los</w:t>
        <w:br/>
        <w:t xml:space="preserve">      artículos 76, 91, 92, 101. 105, 106, 127, y 128 de la Ley de Personal</w:t>
        <w:br/>
        <w:t xml:space="preserve">      de las Fuerzas  Armadas  y  el  artículo  37  y  el  capítulo  X  del</w:t>
        <w:br/>
        <w:t xml:space="preserve">      Reglamento  del  Consejo  de  Oficiales  Generales  de  las   Fuerzas</w:t>
        <w:br/>
        <w:t xml:space="preserve">      Armadas[40].</w:t>
        <w:br/>
        <w:br/>
        <w:t xml:space="preserve">  49. El 12 de marzo del 2002 la Sala  Plena  del  Tribunal  Constitucional</w:t>
        <w:br/>
        <w:t xml:space="preserve">      admitió la demanda y declaró en lo conducente:</w:t>
        <w:br/>
        <w:br/>
        <w:t xml:space="preserve">      1.  Declarar la inconstitucionalidad por  el  fondo  de  los  Decretos</w:t>
        <w:br/>
        <w:t xml:space="preserve">      Ejecutivos Nro. 1185 de 15 de enero del 2001 y 1680 de 18 de julio del</w:t>
        <w:br/>
        <w:t xml:space="preserve">      2001, publicados en la Orden General Nro. 031 de 31 de enero de 2002 y</w:t>
        <w:br/>
        <w:t xml:space="preserve">      en la Orden General Nro. 133 de 20 de julio del 2001;</w:t>
        <w:br/>
        <w:br/>
        <w:br/>
        <w:t xml:space="preserve">      2.  Disponer la reparación de los daños causados al Crnl. De Ems.,  en</w:t>
        <w:br/>
        <w:t xml:space="preserve">      servicio pasivo, José Alfredo Mejía Idrovo;[41]</w:t>
        <w:br/>
        <w:br/>
        <w:t xml:space="preserve">  50. Además, el Tribunal Constitucional, entre otros aspectos, señaló que:</w:t>
        <w:br/>
        <w:br/>
        <w:br/>
        <w:br/>
        <w:t xml:space="preserve">      […] tanto la Constitución como el  Estatuto  Jurídico  de  la  Función</w:t>
        <w:br/>
        <w:t xml:space="preserve">      Ejecutiva disponen que las resoluciones sean claramente motivadas.  La</w:t>
        <w:br/>
        <w:t xml:space="preserve">      doctrina considera que las decisiones de los órganos del Estado  deben</w:t>
        <w:br/>
        <w:t xml:space="preserve">      expresar los fundamentos de hecho y  de  derecho  que  concurren  para</w:t>
        <w:br/>
        <w:t xml:space="preserve">      aplicar, normas, determinar su legitimidad, justificar los valores  de</w:t>
        <w:br/>
        <w:t xml:space="preserve">      apreciación sobre el mérito y la razonabilidad. […]  En  el  caso  sub</w:t>
        <w:br/>
        <w:t xml:space="preserve">      judice no se ha dado esta motivación lo que significa una violación  a</w:t>
        <w:br/>
        <w:t xml:space="preserve">      la referida norma constitucional;</w:t>
        <w:br/>
        <w:br/>
        <w:br/>
        <w:t xml:space="preserve">      […] la Constitución  de  la  República  en  el  artículo  186,  inciso</w:t>
        <w:br/>
        <w:t xml:space="preserve">      segundo, señala: “Se garantizan la estabilidad  y  profesionalidad  de</w:t>
        <w:br/>
        <w:t xml:space="preserve">      los miembros de la fuerza pública. No  se  los  podrá  privar  de  sus</w:t>
        <w:br/>
        <w:t xml:space="preserve">      grados, honores ni pensiones  sino  por  las  causas  y  en  la  forma</w:t>
        <w:br/>
        <w:t xml:space="preserve">      previstas por la ley”. En el presente caso no  se  ha  observado  este</w:t>
        <w:br/>
        <w:t xml:space="preserve">      precepto,  pues  en  la  disponibilidad  y  en  la  baja  del  Oficial</w:t>
        <w:br/>
        <w:t xml:space="preserve">      accionante hay elementos de subjetividad que salen del marco legal; la</w:t>
        <w:br/>
        <w:t xml:space="preserve">      discrecionalidad tiene sus límites en las  disposiciones  establecidas</w:t>
        <w:br/>
        <w:t xml:space="preserve">      por el ordenamiento jurídico, en este caso la delimitación lo hace  la</w:t>
        <w:br/>
        <w:t xml:space="preserve">      propia Ley de Personal de las Fuerzas Armadas, las  cuales  determinan</w:t>
        <w:br/>
        <w:t xml:space="preserve">      los requisitos y las condiciones para el ascenso a un grado  superior.</w:t>
        <w:br/>
        <w:t xml:space="preserve">      Este  Tribunal  considera  que  las  normas  de  la  Ley  de  Personal</w:t>
        <w:br/>
        <w:t xml:space="preserve">      favorecían el ascenso del señor Crnl. de Ems. José Mejía Idrovo. Si en</w:t>
        <w:br/>
        <w:t xml:space="preserve">      base  de  esta  normativa  se  dio  el  ascenso  de  otros   Oficiales</w:t>
        <w:br/>
        <w:t xml:space="preserve">      Superiores, el no haber procedido en  igual  forma  con  el  ciudadano</w:t>
        <w:br/>
        <w:t xml:space="preserve">      reclamante viola el derecho a la igualdad de las personas ante la  ley</w:t>
        <w:br/>
        <w:t xml:space="preserve">      […];</w:t>
        <w:br/>
        <w:br/>
        <w:br/>
        <w:t xml:space="preserve">      […] una de las pretensiones del actor es que este Tribunal declare  la</w:t>
        <w:br/>
        <w:t xml:space="preserve">      ilegalidad de los decretos impugnados; como es  sabido  la  acción  de</w:t>
        <w:br/>
        <w:t xml:space="preserve">      inconstitucionalidad no comprende la ilegalidad en que pueda  incurrir</w:t>
        <w:br/>
        <w:t xml:space="preserve">      una  norma  jurídica,  en  éste  caso  los  decretos  impugnados,   la</w:t>
        <w:br/>
        <w:t xml:space="preserve">      declaratoria  de  ilegalidad  corresponde  a  los  Tribunales  de   lo</w:t>
        <w:br/>
        <w:t xml:space="preserve">      Contencioso  Administrativo.  Por  otro  lado,  la   declaratoria   de</w:t>
        <w:br/>
        <w:t xml:space="preserve">      inconstitucionalidad suspende los efectos  de  la  normativa  jurídica</w:t>
        <w:br/>
        <w:t xml:space="preserve">      cuestionada, pero como la misma Constitución establece en el  artículo</w:t>
        <w:br/>
        <w:t xml:space="preserve">      278 esta declaratoria no tiene efecto retroactivo;</w:t>
        <w:br/>
        <w:br/>
        <w:br/>
        <w:t xml:space="preserve">      […]  finalmente, en el presente caso, los decretos de disponibilidad y</w:t>
        <w:br/>
        <w:t xml:space="preserve">      de baja de un oficial de las Fuerzas Armadas encuentran su antecedente</w:t>
        <w:br/>
        <w:t xml:space="preserve">      inmediato en las resoluciones adoptadas por el  Consejo  de  Oficiales</w:t>
        <w:br/>
        <w:t xml:space="preserve">      Generales de la Fuerza Terrestre, que les sirven de fundamento, por lo</w:t>
        <w:br/>
        <w:t xml:space="preserve">      que tales resoluciones también están vinculadas  a  los  dos  decretos</w:t>
        <w:br/>
        <w:t xml:space="preserve">      [Presidenciales] impugnados de inconstitucionalidad.[42]</w:t>
        <w:br/>
        <w:br/>
        <w:br/>
        <w:t xml:space="preserve">      […]</w:t>
        <w:br/>
        <w:br/>
        <w:t xml:space="preserve">  51. La Secretaría del Tribunal Constitucional indicó en oficio de  25  de</w:t>
        <w:br/>
        <w:t xml:space="preserve">      marzo de 2002  que  el  señor  Mejía  Idrovo,  el  Presidente  de  la</w:t>
        <w:br/>
        <w:t xml:space="preserve">      República y el Procurador General del Estado fueron  notificados  del</w:t>
        <w:br/>
        <w:t xml:space="preserve">      fallo  vía  boletas  dejadas  en  los   casilleros   constitucionales</w:t>
        <w:br/>
        <w:t xml:space="preserve">      correspondientes[43].  Se  publicó  esta  sentencia  en  el  Registro</w:t>
        <w:br/>
        <w:t xml:space="preserve">      Oficial N.- 548 el 4 de abril de 2002[44] y ha sido ejecutable  desde</w:t>
        <w:br/>
        <w:t xml:space="preserve">      la fecha de su promulgación[45].</w:t>
        <w:br/>
        <w:br/>
        <w:t xml:space="preserve">  52. El 8 de abril  de  2002  la  Comandancia  del  Ejército  solicitó  al</w:t>
        <w:br/>
        <w:t xml:space="preserve">      Presidente del Tribunal Constitucional un  pronunciamiento  sobre  el</w:t>
        <w:br/>
        <w:t xml:space="preserve">      alcance del artículo 278  de  la  Constitución  respecto  al  posible</w:t>
        <w:br/>
        <w:t xml:space="preserve">      reintegro del señor Mejía Idrovo a las Fuerzas Armadas  y  pidió  una</w:t>
        <w:br/>
        <w:t xml:space="preserve">      aclaratoria sobre la reparación,  manifestando  que  “la  Institución</w:t>
        <w:br/>
        <w:t xml:space="preserve">      Militar al  no  haber  sido  quien  emitió  los  Decretos  Ejecutivos</w:t>
        <w:br/>
        <w:t xml:space="preserve">      [mencionados],  no  causó  ni  ha  causado  ningún  daño  al  Oficial</w:t>
        <w:br/>
        <w:t xml:space="preserve">      Superior”[46].   El   señor   Mejía   Idrovo   alegó   que    conoció</w:t>
        <w:br/>
        <w:t xml:space="preserve">      “extraoficialmente que ha[bía] presentado una petición de  aclaración</w:t>
        <w:br/>
        <w:t xml:space="preserve">      de forma ilegal e injusta fuera  del  término  de  ley,  por  lo  que</w:t>
        <w:br/>
        <w:t xml:space="preserve">      [manifestó que] se  pretend[ía]   crear  incidentes  que  en  materia</w:t>
        <w:br/>
        <w:t xml:space="preserve">      constitucional no está  permitido”[47].  Según  la  presunta  víctima</w:t>
        <w:br/>
        <w:t xml:space="preserve">      solicitó que no se admitiera la petición de los representantes de  la</w:t>
        <w:br/>
        <w:t xml:space="preserve">      Comandancia del Ejército y que volviera “por derecho y justicia a  la</w:t>
        <w:br/>
        <w:t xml:space="preserve">      misma situación anterior al dictado  de  los  Decretos;  esto  es  al</w:t>
        <w:br/>
        <w:t xml:space="preserve">      servicio activo y efectivo en el grado de Coronel de Estado  Mayor  y</w:t>
        <w:br/>
        <w:t xml:space="preserve">      calificado por el Consejo de Generales para ser ascendido al grado de</w:t>
        <w:br/>
        <w:t xml:space="preserve">      General de Brigada de conformidad a la Ley de Personal de las Fuerzas</w:t>
        <w:br/>
        <w:t xml:space="preserve">      Armadas Ecuatorianas”.</w:t>
        <w:br/>
        <w:br/>
        <w:t xml:space="preserve">  53. El 30 de mayo de  2002  el  Presidente  del  Tribunal  Constitucional</w:t>
        <w:br/>
        <w:t xml:space="preserve">      emitió una Resolución en la que estableció que la decisión del  Pleno</w:t>
        <w:br/>
        <w:t xml:space="preserve">      del Tribunal Constitucional entró en vigencia desde su publicación en</w:t>
        <w:br/>
        <w:t xml:space="preserve">      el  Registro  Oficial,  “dejando  sin  efecto   el   acto   declarado</w:t>
        <w:br/>
        <w:t xml:space="preserve">      inconstitucional”  y  dispuso  “el  cumplimiento  inmediato   de   la</w:t>
        <w:br/>
        <w:t xml:space="preserve">      Resolución […], esto es, que se le  reparen  los  daños  causados  al</w:t>
        <w:br/>
        <w:t xml:space="preserve">      señor Coronel de E.M. en servicio pasivo José Alfredo  Mejía  Idrovo,</w:t>
        <w:br/>
        <w:t xml:space="preserve">      mas, por el efecto irretroactivo de la Resolución, el  accionante  no</w:t>
        <w:br/>
        <w:t xml:space="preserve">      debe ser reintegrado a  las  Fuerzas  Armadas”[48].  Según  alega  la</w:t>
        <w:br/>
        <w:t xml:space="preserve">      presunta víctima se enteró de la decisión del Presidente del Tribunal</w:t>
        <w:br/>
        <w:t xml:space="preserve">      Constitucional, sin  indicar  cuándo,  a  través  de  la  visita  del</w:t>
        <w:br/>
        <w:t xml:space="preserve">      expediente con ocasión de  su  insistencia  en  que  el  fallo  fuera</w:t>
        <w:br/>
        <w:t xml:space="preserve">      ejecutado[49].</w:t>
        <w:br/>
        <w:br/>
        <w:t xml:space="preserve">  54. La presunta víctima presentó  una  serie  de  escritos  dirigidos  al</w:t>
        <w:br/>
        <w:t xml:space="preserve">      Presidente, al Tribunal Constitucional y al Pleno del mismo  Tribunal</w:t>
        <w:br/>
        <w:t xml:space="preserve">      a efectos de que se diera cumplimiento a la decisión del Pleno de  12</w:t>
        <w:br/>
        <w:t xml:space="preserve">      de marzo de 2002[50]. En razón de los  escritos  presentados  por  el</w:t>
        <w:br/>
        <w:t xml:space="preserve">      señor Mejía Idrovo, el 20 de mayo  de  2003  el  Pleno  del  Tribunal</w:t>
        <w:br/>
        <w:t xml:space="preserve">      Constitucional dispuso que “[e]n el caso signado con el Nro. 039-2001-</w:t>
        <w:br/>
        <w:t xml:space="preserve">      TC, agréguese al expediente el escrito presentado por el Coronel José</w:t>
        <w:br/>
        <w:t xml:space="preserve">      Mejía Idrovo el 22 de abril de 2003.  En  lo  principal,  las  partes</w:t>
        <w:br/>
        <w:t xml:space="preserve">      estén a la resolución del Pleno del Tribunal Constitucional de 12  de</w:t>
        <w:br/>
        <w:t xml:space="preserve">      marzo de 2002, notificada el 25 de los  mismos  mes  y  año.  Ninguna</w:t>
        <w:br/>
        <w:t xml:space="preserve">      Providencia posterior puede modificar la resolución mencionada”[51].</w:t>
        <w:br/>
        <w:br/>
        <w:t xml:space="preserve">      d)  Acción de Incumplimiento ante la Corte Constitucional</w:t>
        <w:br/>
        <w:br/>
        <w:t xml:space="preserve">  55. El 22 de abril de 2009 el señor Mejía Idrovo interpuso ante la  Corte</w:t>
        <w:br/>
        <w:t xml:space="preserve">      Constitucional del  Ecuador  una  acción  por  incumplimiento  de  la</w:t>
        <w:br/>
        <w:t xml:space="preserve">      Resolución del Tribunal Constitucional de 12  de  marzo  de  2002  en</w:t>
        <w:br/>
        <w:t xml:space="preserve">      contra del Comandante General del Ejército[52].</w:t>
        <w:br/>
        <w:br/>
        <w:t xml:space="preserve">  56. El 8 de octubre de 2009 la Corte Constitucional se pronunció sobre la</w:t>
        <w:br/>
        <w:t xml:space="preserve">      acción por incumplimiento interpuesta  por  el  señor  Mejía  Idrovo,</w:t>
        <w:br/>
        <w:t xml:space="preserve">      disponiendo que:</w:t>
        <w:br/>
        <w:br/>
        <w:t xml:space="preserve">      La  declaratoria  de  inconstitucionalidad  trae  como  resultado   la</w:t>
        <w:br/>
        <w:t xml:space="preserve">      expulsión de la norma  o  instrumento  jurídico  catalogado  como  tal</w:t>
        <w:br/>
        <w:t xml:space="preserve">      (inconstitucional), por lo  que  desde  ese  momento  en  adelante  no</w:t>
        <w:br/>
        <w:t xml:space="preserve">      producirá ningún tipo de efectos; sin embargo, por regla general,  los</w:t>
        <w:br/>
        <w:t xml:space="preserve">      efectos producidos durante el lapso comprendido entre la emergencia de</w:t>
        <w:br/>
        <w:t xml:space="preserve">      la norma y su  declaratoria  de  inconstitucionalidad,  existen  y  no</w:t>
        <w:br/>
        <w:t xml:space="preserve">      podrían ser  ignoradas  a  no  ser  que  se  traten  de  efectos  cuya</w:t>
        <w:br/>
        <w:t xml:space="preserve">      inobservancia puede devenir a que  las  cosas  regresen  a  su  estado</w:t>
        <w:br/>
        <w:t xml:space="preserve">      anterior. De esa manera,  existen  casos  cuyos  efectos  son  de  tal</w:t>
        <w:br/>
        <w:t xml:space="preserve">      naturaleza que es imposible retrotraerse al estado  anterior;  por  su</w:t>
        <w:br/>
        <w:t xml:space="preserve">      parte, existen otros casos cuyos efectos son  de  naturaleza  tal  que</w:t>
        <w:br/>
        <w:t xml:space="preserve">      podrían retrotraerse al estado anterior.</w:t>
        <w:br/>
        <w:br/>
        <w:br/>
        <w:t xml:space="preserve">      En lo que tiene relación con el caso que nos ocupa, no cabe duda de la</w:t>
        <w:br/>
        <w:t xml:space="preserve">      inconstitucionalidad de los decretos presidenciales,  los  que  dieron</w:t>
        <w:br/>
        <w:t xml:space="preserve">      paso a la declaración de disponibilidad y  baja  del  oficial  de  las</w:t>
        <w:br/>
        <w:t xml:space="preserve">      Fuerzas Armadas que, en este caso en concreto,  desempeña  el  rol  de</w:t>
        <w:br/>
        <w:t xml:space="preserve">      accionante; sin embargo, la naturaleza de ese caso  es  aquella  cuyos</w:t>
        <w:br/>
        <w:t xml:space="preserve">      efectos no pueden ser ignorados y  retrotraídos  al  estado  anterior,</w:t>
        <w:br/>
        <w:t xml:space="preserve">      debido a que es materialmente imposible retrotraer al estado  original</w:t>
        <w:br/>
        <w:t xml:space="preserve">      la situación del accionante, pues dicha posibilidad no depende  de  la</w:t>
        <w:br/>
        <w:t xml:space="preserve">      mera voluntad o querer humano, sino de las limitaciones  fácticas  del</w:t>
        <w:br/>
        <w:t xml:space="preserve">      mundo real.</w:t>
        <w:br/>
        <w:br/>
        <w:br/>
        <w:t xml:space="preserve">      Por lo tanto, es físicamente  imposible  retrotraerse  en  el  tiempo,</w:t>
        <w:br/>
        <w:t xml:space="preserve">      imaginando que los hechos vuelven  a  su  estado  original,  pues  eso</w:t>
        <w:br/>
        <w:t xml:space="preserve">      implicaría desconocer e invalidar  todo  tipo  de  hecho  o  acto  que</w:t>
        <w:br/>
        <w:t xml:space="preserve">      emergió o tuvo vida a lo largo del lapso entre la promulgación de  los</w:t>
        <w:br/>
        <w:t xml:space="preserve">      Decretos Presidenciales y el momento actual, es decir:  los  mandatos,</w:t>
        <w:br/>
        <w:t xml:space="preserve">      las órdenes y las decisiones tomadas en  la  Fuerza  Terrestre  y  por</w:t>
        <w:br/>
        <w:t xml:space="preserve">      aquellos  funcionarios  militares   que   desempeñaron   las   labores</w:t>
        <w:br/>
        <w:t xml:space="preserve">      correspondientes en ausencia del  accionante,  aunque  dicha  ausencia</w:t>
        <w:br/>
        <w:t xml:space="preserve">      haya obedecido a cuestiones ajenas a su voluntad[53].</w:t>
        <w:br/>
        <w:br/>
        <w:t>Por tanto, dispuso que:</w:t>
        <w:br/>
        <w:br/>
        <w:t xml:space="preserve">   a) La reincorporación del  accionante  a  la  situación  profesional  que</w:t>
        <w:br/>
        <w:t xml:space="preserve">      ostentaba dentro de la Fuerza Terrestre,  a  la  fecha  inmediatamente</w:t>
        <w:br/>
        <w:t xml:space="preserve">      anterior  a  la  expedición  de  los  decretos  ejecutivos  declarados</w:t>
        <w:br/>
        <w:t xml:space="preserve">      inconstitucionales.</w:t>
        <w:br/>
        <w:br/>
        <w:br/>
        <w:t xml:space="preserve">   b) El reconocimiento de sus derechos  patrimoniales  consistentes  en  el</w:t>
        <w:br/>
        <w:t xml:space="preserve">      pago de todos los emolumentos que le corresponden de acuerdo  con  las</w:t>
        <w:br/>
        <w:t xml:space="preserve">      normas legales y  reglamentarias  aplicables  y  que  haya  dejado  de</w:t>
        <w:br/>
        <w:t xml:space="preserve">      percibir desde la declaratoria de inconstitucionalidad, hasta la fecha</w:t>
        <w:br/>
        <w:t xml:space="preserve">      de su efectiva reincorporación a las mismas;</w:t>
        <w:br/>
        <w:br/>
        <w:br/>
        <w:t xml:space="preserve">   c) Impulsar las acciones administrativas y judiciales para hacer efectivo</w:t>
        <w:br/>
        <w:t xml:space="preserve">      el derecho de repetición a favor del Estado, por los  valores  que  el</w:t>
        <w:br/>
        <w:t xml:space="preserve">      mismo desembolse como consecuencia del incumplimiento de la Resolución</w:t>
        <w:br/>
        <w:t xml:space="preserve">      del ex-Tribunal Constitucional[54].</w:t>
        <w:br/>
        <w:br/>
        <w:t xml:space="preserve">  57. El 9 de noviembre de 2009 el Comandante General del Ejército  remitió</w:t>
        <w:br/>
        <w:t xml:space="preserve">      al Presidente de la República el proyecto de Decreto  Ejecutivo  para</w:t>
        <w:br/>
        <w:t xml:space="preserve">      la reincorporación del señor Mejía Idrovo al servicio activo, con  la</w:t>
        <w:br/>
        <w:t xml:space="preserve">      finalidad de dar cumplimiento  a  la  referida  sentencia[55]  (supra</w:t>
        <w:br/>
        <w:t xml:space="preserve">      párr. 56). Mediante Decreto Ejecutivo en el Suplemento  No.  504  del</w:t>
        <w:br/>
        <w:t xml:space="preserve">      Registro Oficial No. 302, del 18 de octubre de 2010, el  señor  Mejía</w:t>
        <w:br/>
        <w:t xml:space="preserve">      Idrovo  fue  reincorporado  al  servicio  activo  como  Coronel   del</w:t>
        <w:br/>
        <w:t xml:space="preserve">      Ejército[56].</w:t>
        <w:br/>
        <w:br/>
        <w:t xml:space="preserve">  58. La presunta víctima solicitó a la Corte Constitucional que  aclare  y</w:t>
        <w:br/>
        <w:t xml:space="preserve">      amplíe la Sentencia de Incumplimiento, principalmente en  lo  que  se</w:t>
        <w:br/>
        <w:t xml:space="preserve">      refiere al ascenso a los grados inmediatos superiores de acuerdo a la</w:t>
        <w:br/>
        <w:t xml:space="preserve">      Ley de Personal de las Fuerzas Armadas[57]. El 11 de marzo de 2010 la</w:t>
        <w:br/>
        <w:t xml:space="preserve">      Corte Constitucional negó la ampliación  y  aclaración  solicitada  y</w:t>
        <w:br/>
        <w:t xml:space="preserve">      señaló que la reincorporación debe darse “en las condiciones  que  se</w:t>
        <w:br/>
        <w:t xml:space="preserve">      encontraba al momento de la expedición  de  los  Decretos  Ejecutivos</w:t>
        <w:br/>
        <w:t xml:space="preserve">      declarados inconstitucionales […], es decir,  su  reincorporación  al</w:t>
        <w:br/>
        <w:t xml:space="preserve">      Grado de Coronel”[58]. Asimismo, solicitó información al Ministro  de</w:t>
        <w:br/>
        <w:t xml:space="preserve">      Defensa Nacional y al  Comandante  General  del  Ejército  sobre  las</w:t>
        <w:br/>
        <w:t xml:space="preserve">      acciones adoptadas para dar fiel cumplimiento a lo ordenado.</w:t>
        <w:br/>
        <w:br/>
        <w:t xml:space="preserve">      e)  Nueva calificación ante el Consejo de  Generales  de  las  Fuerzas</w:t>
        <w:br/>
        <w:t>Armadas</w:t>
        <w:br/>
        <w:br/>
        <w:t xml:space="preserve">  59. El 23 de marzo  de  2011  el  Presidente  del  Consejo  de  Oficiales</w:t>
        <w:br/>
        <w:t xml:space="preserve">      Generales comunicó al señor Mejía Idrovo que dicho  Consejo  resolvió</w:t>
        <w:br/>
        <w:t xml:space="preserve">      calificarlo como “no apto para el ascenso  al  grado  de  General  de</w:t>
        <w:br/>
        <w:t xml:space="preserve">      Brigada”[59], aplicando lo dispuesto en el artículo 76 literal f)[60]</w:t>
        <w:br/>
        <w:t xml:space="preserve">      de la Ley de Personal. El 25 de marzo de 2011 el señor  Mejía  Idrovo</w:t>
        <w:br/>
        <w:t xml:space="preserve">      presentó un escrito de impugnación a la  resolución  del  Consejo  de</w:t>
        <w:br/>
        <w:t xml:space="preserve">      Oficiales Generales[61].  El  6  de  abril  de  2011  el  Consejo  de</w:t>
        <w:br/>
        <w:t xml:space="preserve">      Oficiales Generales resolvió “negar la impugnación interpuesta por el</w:t>
        <w:br/>
        <w:t xml:space="preserve">      [reclamante], en consecuencia se ratifica la resolución  dictada  por</w:t>
        <w:br/>
        <w:t xml:space="preserve">      el Consejo de Generales en sesión de fecha 10 de marzo de 2011”[62].</w:t>
        <w:br/>
        <w:br/>
        <w:br/>
        <w:t>Garantías  del  proceso  en  los  trámites  ante  el  Consejo  de  Oficiales</w:t>
        <w:br/>
        <w:t>Generales  de  la  Fuerza  Terrestre,  y  ante  el  Tribunal  Constitucional</w:t>
        <w:br/>
        <w:t>(Artículo 8 de la Convención Americana)</w:t>
        <w:br/>
        <w:br/>
        <w:br/>
        <w:t xml:space="preserve">  60. La Corte analizará la alegada violación de las  garantías  judiciales</w:t>
        <w:br/>
        <w:t xml:space="preserve">      reconocidas en el artículo 8.1 de la Convención Americana. Para tales</w:t>
        <w:br/>
        <w:t xml:space="preserve">      efectos,  el  Tribunal   analizará   las   alegadas   irregularidades</w:t>
        <w:br/>
        <w:t xml:space="preserve">      producidas en los trámites realizados por el señor Mejía Idrovo.</w:t>
        <w:br/>
        <w:br/>
        <w:t>1 Falta de motivación ante el Consejo de Oficiales Generales de la Fuerza</w:t>
        <w:br/>
        <w:t xml:space="preserve">        Terrestre</w:t>
        <w:br/>
        <w:br/>
        <w:br/>
        <w:t>Alegatos de las partes</w:t>
        <w:br/>
        <w:br/>
        <w:t xml:space="preserve">  61.  Los  representantes  argumentaron  que  las  comunicaciones  de  las</w:t>
        <w:br/>
        <w:t xml:space="preserve">      autoridades estatales deben ser motivadas, ya que de lo contrario  se</w:t>
        <w:br/>
        <w:t xml:space="preserve">      viola el debido proceso  de  la  presunta  víctima,  quien  no  puede</w:t>
        <w:br/>
        <w:t xml:space="preserve">      ejercer su defensa debidamente. Para justificar su posición,  citaron</w:t>
        <w:br/>
        <w:t xml:space="preserve">      el artículo 24 inciso 13  de  la  Constitución  Política  vigente  al</w:t>
        <w:br/>
        <w:t xml:space="preserve">      momento de los hechos[63] y el literal  “a”  del  anexo  “A”[64]  del</w:t>
        <w:br/>
        <w:t xml:space="preserve">      Reglamento Consejo de Oficiales Generales, sin que dichas alegaciones</w:t>
        <w:br/>
        <w:t xml:space="preserve">      las vincularan con la presunta violación  de  algún  artículo  de  la</w:t>
        <w:br/>
        <w:t xml:space="preserve">      Convención. Por su parte, la  Comisión  no  se  pronunció  sobre  los</w:t>
        <w:br/>
        <w:t xml:space="preserve">      trámites realizados frente al Consejo de Oficiales Generales.</w:t>
        <w:br/>
        <w:br/>
        <w:t xml:space="preserve">  62. Por su parte, el Estado alegó que el 26 de diciembre de 2000 el señor</w:t>
        <w:br/>
        <w:t xml:space="preserve">      Mejía Idrovo recibió del Consejo de Oficiales Generales la resolución</w:t>
        <w:br/>
        <w:t xml:space="preserve">      motivada de no ascenso basada en la normativa  militar  terrestre  en</w:t>
        <w:br/>
        <w:t xml:space="preserve">      criterios técnicos de análisis jerárquico.  Señaló,  además,  que  en</w:t>
        <w:br/>
        <w:t xml:space="preserve">      todo momento se respetó el debido proceso y quedó a salvo el  derecho</w:t>
        <w:br/>
        <w:t xml:space="preserve">      de petición y reclamo del señor Mejía Idrovo.</w:t>
        <w:br/>
        <w:br/>
        <w:t>Consideraciones de la Corte</w:t>
        <w:br/>
        <w:br/>
        <w:t xml:space="preserve">  63. Respecto la alegada falta de motivación,  la  Corte  observa  que  el</w:t>
        <w:br/>
        <w:t xml:space="preserve">      Tribunal  Constitucional  en  su  fallo  de  12  de  marzo  de  2002,</w:t>
        <w:br/>
        <w:t xml:space="preserve">      estableció en  relación  con  decisiones  del  Consejo  de  Oficiales</w:t>
        <w:br/>
        <w:t xml:space="preserve">      Generales que “no se ha dado [la] motivación  lo  que  significa  una</w:t>
        <w:br/>
        <w:t xml:space="preserve">      violación a la […] norma constitucional”. Al  respecto,  el  artículo</w:t>
        <w:br/>
        <w:t xml:space="preserve">      24.13 de la Constitución Política dispone: […] “Las  resoluciones  de</w:t>
        <w:br/>
        <w:t xml:space="preserve">      los poderes públicos deben ser motivadas”.</w:t>
        <w:br/>
        <w:br/>
        <w:t xml:space="preserve">  64. Dado que el Tribunal Constitucional  en  su  sentencia  se  pronunció</w:t>
        <w:br/>
        <w:t xml:space="preserve">      sobre la falta  de  motivación  de  las  decisiones  del  Consejo  de</w:t>
        <w:br/>
        <w:t xml:space="preserve">      Oficiales Generales, esta  Corte  considera  que  dicha  omisión  fue</w:t>
        <w:br/>
        <w:t xml:space="preserve">      reconocida y subsanada  en  la  jurisdicción  interna.  Además,  cabe</w:t>
        <w:br/>
        <w:t xml:space="preserve">      señalar que ni la Comisión en la demanda, ni los representantes en su</w:t>
        <w:br/>
        <w:t xml:space="preserve">      escrito  de  solicitudes  y  argumentos  alegaron   expresamente   la</w:t>
        <w:br/>
        <w:t xml:space="preserve">      violación del artículo 8 de la Convención por la falta de  motivación</w:t>
        <w:br/>
        <w:t xml:space="preserve">      en las decisiones emitidas por el Consejo de Oficiales  Generales  en</w:t>
        <w:br/>
        <w:t xml:space="preserve">      diciembre de 2001.</w:t>
        <w:br/>
        <w:br/>
        <w:br/>
        <w:t>2 Irregularidades en el trámite ante el Tribunal Constitucional</w:t>
        <w:br/>
        <w:br/>
        <w:br/>
        <w:t>Alegatos de las partes</w:t>
        <w:br/>
        <w:br/>
        <w:t xml:space="preserve">  65. La Comisión Interamericana manifestó que la Resolución del Presidente</w:t>
        <w:br/>
        <w:t xml:space="preserve">      del Tribunal Constitucional de 30 de mayo de 2002 violentó el derecho</w:t>
        <w:br/>
        <w:t xml:space="preserve">      interno ya que ésta no fue notificada al señor Mejía  Idrovo  ni  fue</w:t>
        <w:br/>
        <w:t xml:space="preserve">      solicitada por una parte competente dentro del plazo establecido  por</w:t>
        <w:br/>
        <w:t xml:space="preserve">      la ley.  Esto generó un procedimiento no previsto por la  legislación</w:t>
        <w:br/>
        <w:t xml:space="preserve">      ecuatoriana en contravención con las garantías del artículo 8  de  la</w:t>
        <w:br/>
        <w:t xml:space="preserve">      Convención.</w:t>
        <w:br/>
        <w:br/>
        <w:t xml:space="preserve">  66. Los representantes al igual que la Comisión solicitaron  a  la  Corte</w:t>
        <w:br/>
        <w:t xml:space="preserve">      que declare  la  responsabilidad  internacional  del  Estado  por  la</w:t>
        <w:br/>
        <w:t xml:space="preserve">      violación del artículo 8.1 de la Convención, ya que el Presidente del</w:t>
        <w:br/>
        <w:t xml:space="preserve">      Tribunal Constitucional, pese a que la  petición  de  aclaración  fue</w:t>
        <w:br/>
        <w:t xml:space="preserve">      presentada de forma extemporánea y por una persona ajena al  proceso,</w:t>
        <w:br/>
        <w:t xml:space="preserve">      excediendo su competencia emitió la resolución  del  30  de  mayo  de</w:t>
        <w:br/>
        <w:t xml:space="preserve">      2002, la cual no fue notificada a la presunta víctima, lo que impidió</w:t>
        <w:br/>
        <w:t xml:space="preserve">      su derecho a ser escuchado.</w:t>
        <w:br/>
        <w:br/>
        <w:t xml:space="preserve">  67. El Estado en la audiencia pública manifestó  que  en  virtud  de  los</w:t>
        <w:br/>
        <w:t xml:space="preserve">      escritos presentados por el señor Comandante de la Fuerza  Terrestre,</w:t>
        <w:br/>
        <w:t xml:space="preserve">      para cumplir con la  resolución  correspondiente  de  este  caso,  el</w:t>
        <w:br/>
        <w:t xml:space="preserve">      Presidente del Tribunal Constitucional emitió el pronunciamiento  No.</w:t>
        <w:br/>
        <w:t xml:space="preserve">      039-2001  T.C.  Además  sostuvo  que  el  Presidente   del   Tribunal</w:t>
        <w:br/>
        <w:t xml:space="preserve">      Constitucional es competente para ejecutar las resoluciones  dictadas</w:t>
        <w:br/>
        <w:t xml:space="preserve">      por el pleno de la magistratura. Por otra  parte,  manifestó  que  el</w:t>
        <w:br/>
        <w:t xml:space="preserve">      artículo 8 de la Convención no fue  violado,  pues  no  se  faltó  al</w:t>
        <w:br/>
        <w:t xml:space="preserve">      principio de plazo razonable, ya que es necesario examinar y tener en</w:t>
        <w:br/>
        <w:t xml:space="preserve">      consideración la densidad de actos procesales y los  actos  jurídicos</w:t>
        <w:br/>
        <w:t xml:space="preserve">      que cada uno incluye. En sus alegatos finales, el Estado sostuvo  que</w:t>
        <w:br/>
        <w:t xml:space="preserve">      dentro del sistema interamericano se atribuye a la actividad procesal</w:t>
        <w:br/>
        <w:t xml:space="preserve">      del interesado una porción de responsabilidad en el cálculo del plazo</w:t>
        <w:br/>
        <w:t xml:space="preserve">      razonable para alcanzar justicia,  y  que  en  el  presente  caso  el</w:t>
        <w:br/>
        <w:t xml:space="preserve">      coronel Mejía Idrovo, independientemente de su  vínculo  procesal  en</w:t>
        <w:br/>
        <w:t xml:space="preserve">      los  tribunales  ecuatorianos,  dilató   el   cumplimiento   de   las</w:t>
        <w:br/>
        <w:t xml:space="preserve">      providencias por varios actos[65].</w:t>
        <w:br/>
        <w:br/>
        <w:t>Consideraciones de la Corte</w:t>
        <w:br/>
        <w:br/>
        <w:t xml:space="preserve">  68. En cuanto a la alegada violación del artículo  8  de  la  Convención,</w:t>
        <w:br/>
        <w:t xml:space="preserve">      este Tribunal observa que la controversia planteada por la Comisión y</w:t>
        <w:br/>
        <w:t xml:space="preserve">      los representantes  radica  en  la  competencia  del  Presidente  del</w:t>
        <w:br/>
        <w:t xml:space="preserve">      Tribunal  Constitucional  para  admitir  y  resolver  la   aclaración</w:t>
        <w:br/>
        <w:t xml:space="preserve">      solicitada el 8 de abril de 2002 por  la  Comandancia  General.  Para</w:t>
        <w:br/>
        <w:t xml:space="preserve">      considerar la aplicación del referido artículo 8 a los hechos  en  el</w:t>
        <w:br/>
        <w:t xml:space="preserve">      contexto del trámite ante el Tribunal  Constitucional,  la  Corte  se</w:t>
        <w:br/>
        <w:t xml:space="preserve">      referirá  a  las  supuestas  irregularidades  en  tres  aspectos:  1)</w:t>
        <w:br/>
        <w:t xml:space="preserve">      extemporaneidad en la solicitud de aclaración  de  sentencia  dictada</w:t>
        <w:br/>
        <w:t xml:space="preserve">      por  el  Tribunal  Constitucional;  2)  falta  de   competencia   del</w:t>
        <w:br/>
        <w:t xml:space="preserve">      Presidente del Tribunal  Constitucional  para  aclarar  la  sentencia</w:t>
        <w:br/>
        <w:t xml:space="preserve">      mediante una resolución, y 3) falta de traslado  de  la  petición  de</w:t>
        <w:br/>
        <w:t xml:space="preserve">      aclaración y falta de notificación de la  resolución  a  una  de  las</w:t>
        <w:br/>
        <w:t xml:space="preserve">      partes.</w:t>
        <w:br/>
        <w:br/>
        <w:t xml:space="preserve">  69. Al examinar los alegatos de las partes y  la  prueba  aportada,  este</w:t>
        <w:br/>
        <w:t xml:space="preserve">      Tribunal constata lo siguiente:  a)  que  la  decisión  del  Tribunal</w:t>
        <w:br/>
        <w:t xml:space="preserve">      Constitucional de 12 de marzo de 2002 fue notificada  a  la  presunta</w:t>
        <w:br/>
        <w:t xml:space="preserve">      víctima, al Presidente de la República y a la Procuraduría General de</w:t>
        <w:br/>
        <w:t xml:space="preserve">      la República el 25 de marzo de 2002[66],  y  que  se  publicó  en  el</w:t>
        <w:br/>
        <w:t xml:space="preserve">      Registro Oficial No. 548 de 4 de abril de 2002  (supra  nota  51).  A</w:t>
        <w:br/>
        <w:t xml:space="preserve">      partir de su promulgación  tal  decisión  es  ejecutable[67];  b)  la</w:t>
        <w:br/>
        <w:t xml:space="preserve">      Comandancia del Ejército el 8 de abril de 2002 con fundamento  en  el</w:t>
        <w:br/>
        <w:t xml:space="preserve">      artículo 67 del Reglamento de Trámite de Expedientes en  el  Tribunal</w:t>
        <w:br/>
        <w:t xml:space="preserve">      Constitucional sometió al Presidente del Tribunal Constitucional  una</w:t>
        <w:br/>
        <w:t xml:space="preserve">      aclaración (supra párr. 52); c) según alegó el señor Mejía Idrovo  se</w:t>
        <w:br/>
        <w:t xml:space="preserve">      enteró extraoficialmente que se  había  presentado  una  petición  de</w:t>
        <w:br/>
        <w:t xml:space="preserve">      aclaración de la Resolución del  Tribunal  Constitucional  de  12  de</w:t>
        <w:br/>
        <w:t xml:space="preserve">      marzo de 2002 (supra párr. 52); d) que  el  Presidente  del  Tribunal</w:t>
        <w:br/>
        <w:t xml:space="preserve">      Constitucional  admitió  la  solicitud  de  aclaración  y  emitió  un</w:t>
        <w:br/>
        <w:t xml:space="preserve">      pronunciamiento el 30 de mayo de 2002 (supra  párrs.  53);  e)  según</w:t>
        <w:br/>
        <w:t xml:space="preserve">      alegó la presunta víctima “se enteró de la  decisión  del  Presidente</w:t>
        <w:br/>
        <w:t xml:space="preserve">      del Tribunal Constitucional, sin  indicar  cuándo,  a  través  de  la</w:t>
        <w:br/>
        <w:t xml:space="preserve">      visita del expediente con ocasión de su insistencia en que  el  fallo</w:t>
        <w:br/>
        <w:t xml:space="preserve">      fuera ejecutado” (supra párr. 53).  Con  posterioridad,  la  presunta</w:t>
        <w:br/>
        <w:t xml:space="preserve">      víctima dirigió diversos  escritos  al  Presidente  y  al  Pleno  del</w:t>
        <w:br/>
        <w:t xml:space="preserve">      Tribunal para quejarse de la situación planteada a  partir  de  dicha</w:t>
        <w:br/>
        <w:t xml:space="preserve">      decisión (supra nota 54), y f) el 20 de mayo de  2003  el  Pleno  del</w:t>
        <w:br/>
        <w:t xml:space="preserve">      Tribunal  Constitucional   dispuso   dejar   sin   efecto   cualquier</w:t>
        <w:br/>
        <w:t xml:space="preserve">      providencia  posterior  a  la  resolución  del  Pleno  del   Tribunal</w:t>
        <w:br/>
        <w:t xml:space="preserve">      Constitucional de 12 de marzo de 2002 (supra párr. 54).</w:t>
        <w:br/>
        <w:br/>
        <w:t xml:space="preserve">  70. La  Corte  hace  notar  que  el  Estado  no  presentó  argumentos  ni</w:t>
        <w:br/>
        <w:t xml:space="preserve">      controvirtió lo alegado por la  Comisión  y  los  representantes,  ni</w:t>
        <w:br/>
        <w:t xml:space="preserve">      descargó prueba  al  respecto,  sólo  se  limitó  a  señalar  que  el</w:t>
        <w:br/>
        <w:t xml:space="preserve">      Presidente del Tribunal Constitucional es “competente  para  ejecutar</w:t>
        <w:br/>
        <w:t xml:space="preserve">      las resoluciones dictadas por el pleno  de  la  magistratura”  (supra</w:t>
        <w:br/>
        <w:t xml:space="preserve">      párr. 67).</w:t>
        <w:br/>
        <w:br/>
        <w:t xml:space="preserve">  71. La Corte observa que en el período en que ocurrieron los  hechos,  el</w:t>
        <w:br/>
        <w:t xml:space="preserve">      procedimiento ante el Tribunal Constitucional se regía, entre  otras,</w:t>
        <w:br/>
        <w:t xml:space="preserve">      por las siguientes disposiciones: artículo 67[68] del  Reglamento  de</w:t>
        <w:br/>
        <w:t xml:space="preserve">      Trámite de Expedientes en el Tribunal Constitucional, y los artículos</w:t>
        <w:br/>
        <w:t xml:space="preserve">      285[69] y 286[70] del  Código  de  Procedimientos  Civil  de  Ecuador</w:t>
        <w:br/>
        <w:t xml:space="preserve">      vigente al momento de los hechos. Además, la  Constitución  que  tuvo</w:t>
        <w:br/>
        <w:t xml:space="preserve">      vigencia hasta el 2008,  en  el  artículo  276.7  establecía  que  el</w:t>
        <w:br/>
        <w:t xml:space="preserve">      Tribunal Constitucional podía “[e]jercer las demás  atribuciones  que</w:t>
        <w:br/>
        <w:t xml:space="preserve">      le confiera la Constitución y las leyes”. En aplicación de esa norma,</w:t>
        <w:br/>
        <w:t xml:space="preserve">      el Código de Procedimiento Civil en su  artículo  285  establecía  la</w:t>
        <w:br/>
        <w:t xml:space="preserve">      posibilidad de aclarar o ampliar una sentencia.</w:t>
        <w:br/>
        <w:br/>
        <w:t xml:space="preserve">      extemporaneidad en la solicitud de aclaración de sentencia dictada por</w:t>
        <w:br/>
        <w:t xml:space="preserve">      el Tribunal Constitucional</w:t>
        <w:br/>
        <w:br/>
        <w:br/>
        <w:t xml:space="preserve">  72. En el artículo 285 del Código de Procedimiento Civil se establece  el</w:t>
        <w:br/>
        <w:t xml:space="preserve">      plazo  de  tres  días  para  la  presentación  de  una  aclaración  o</w:t>
        <w:br/>
        <w:t xml:space="preserve">      ampliación.  En el presente caso, el 25 marzo de 2002 se  notificó  a</w:t>
        <w:br/>
        <w:t xml:space="preserve">      las partes la referida sentencia de 12 de marzo de 2002, por  lo  que</w:t>
        <w:br/>
        <w:t xml:space="preserve">      cualquier aclaración  debía  presentarse  dentro  de  los  tres  días</w:t>
        <w:br/>
        <w:t xml:space="preserve">      siguientes.</w:t>
        <w:br/>
        <w:br/>
        <w:t xml:space="preserve">  73. Al respecto, durante la audiencia pública ante la  Corte,  el  perito</w:t>
        <w:br/>
        <w:t xml:space="preserve">      Jaime Rafael Vintimilla manifestó que “[e]l artículo 43 [de la Ley de</w:t>
        <w:br/>
        <w:t xml:space="preserve">      Control Constitucional] expresamente [decía]:  no  podrá  pedirse  al</w:t>
        <w:br/>
        <w:t xml:space="preserve">      Tribunal reconsideración ni revocación de las resoluciones que dicte,</w:t>
        <w:br/>
        <w:t xml:space="preserve">      pero sí ampliación o aclaración dentro del término de tres días  […].</w:t>
        <w:br/>
        <w:t xml:space="preserve">      Una vez que se ha publicado en  el  libro  oficial  no  cabe  recurso</w:t>
        <w:br/>
        <w:t xml:space="preserve">      alguno, porque se estaría vulnerando el debido proceso, los  derechos</w:t>
        <w:br/>
        <w:t xml:space="preserve">      básicos de los ciudadanos”.</w:t>
        <w:br/>
        <w:br/>
        <w:t xml:space="preserve">  74.  Sin embargo, en este caso la Comandancia General presentó  el  8  de</w:t>
        <w:br/>
        <w:t xml:space="preserve">      abril de 2002 la solicitud de aclaración, es decir, 14  días  después</w:t>
        <w:br/>
        <w:t xml:space="preserve">      de notificada la  Sentencia.  Adicionalmente,  cabe  señalar  que  la</w:t>
        <w:br/>
        <w:t xml:space="preserve">      referida sentencia se publicó en el Registro Oficial No. 548 el 4  de</w:t>
        <w:br/>
        <w:t xml:space="preserve">      abril de 2002, fecha a partir de la cual, de acuerdo a  la  normativa</w:t>
        <w:br/>
        <w:t xml:space="preserve">      vigente era ejecutable, por lo que la aclaración fue sometida 4  días</w:t>
        <w:br/>
        <w:t xml:space="preserve">      después de la publicación. En consecuencia, esta Corte  constata  que</w:t>
        <w:br/>
        <w:t xml:space="preserve">      el sometimiento de tal aclaración por parte de la Comandancia General</w:t>
        <w:br/>
        <w:t xml:space="preserve">      fue extemporánea.</w:t>
        <w:br/>
        <w:br/>
        <w:t xml:space="preserve">  75. Adicionalmente, tanto los representantes como  la  Comisión  alegaron</w:t>
        <w:br/>
        <w:t xml:space="preserve">      que la Comandancia General no era parte procesal en el  caso,  y  por</w:t>
        <w:br/>
        <w:t xml:space="preserve">      ende no podía haber solicitado la aclaración. Esta Corte observa  que</w:t>
        <w:br/>
        <w:t xml:space="preserve">      de la prueba presentada y de la normativa indicada por las partes  no</w:t>
        <w:br/>
        <w:t xml:space="preserve">      se desprende información suficiente para determinar con certeza en el</w:t>
        <w:br/>
        <w:t xml:space="preserve">      presente caso que dicha institución  no  era  parte  procesal  en  el</w:t>
        <w:br/>
        <w:t xml:space="preserve">      presente asunto. O bien, si los terceros interesados  o  perjudicados</w:t>
        <w:br/>
        <w:t xml:space="preserve">      podrían presentar una solicitud de  aclaración  o  aplicación  de  un</w:t>
        <w:br/>
        <w:t xml:space="preserve">      fallo. Por ello, este Tribunal no se pronuncia al respecto.</w:t>
        <w:br/>
        <w:br/>
        <w:t xml:space="preserve">      falta de competencia del Presidente del Tribunal Constitucional para</w:t>
        <w:br/>
        <w:t xml:space="preserve">      aclarar la sentencia mediante una resolución</w:t>
        <w:br/>
        <w:br/>
        <w:br/>
        <w:t xml:space="preserve">  76. El artículo 285 del Código de Procedimiento Civil establece  que  “el</w:t>
        <w:br/>
        <w:t xml:space="preserve">      juez que dictó sentencia no puede revocarla ni alterar su sentido  en</w:t>
        <w:br/>
        <w:t xml:space="preserve">      ningún caso”, sino simplemente aclararla o ampliarla, y de acuerdo al</w:t>
        <w:br/>
        <w:t xml:space="preserve">      artículo 67 del Reglamento de Trámite de Expedientes en  el  Tribunal</w:t>
        <w:br/>
        <w:t xml:space="preserve">      Constitucional,  al  Presidente  del   Tribunal   Constitucional   le</w:t>
        <w:br/>
        <w:t xml:space="preserve">      corresponde ejecutar las sentencias del pleno. Al respecto, el perito</w:t>
        <w:br/>
        <w:t xml:space="preserve">      Jaime Rafael Vintimilla manifestó que el artículo 14  de  la  Ley  de</w:t>
        <w:br/>
        <w:t xml:space="preserve">      Control Constitucional “[lo] corroboraba, pues indicaba que  [contra]</w:t>
        <w:br/>
        <w:t xml:space="preserve">      las resoluciones del Tribunal Constitucional, […] no cabe […] recurso</w:t>
        <w:br/>
        <w:t xml:space="preserve">      alguno. Solamente en el Reglamento Orgánico  Funcional  del  Tribunal</w:t>
        <w:br/>
        <w:t xml:space="preserve">      Constitucional se [hacía referencia a] la petición  de  ampliación  o</w:t>
        <w:br/>
        <w:t xml:space="preserve">      aclaración.”</w:t>
        <w:br/>
        <w:br/>
        <w:t xml:space="preserve">  77.   Esta Corte considera que el juez, como director del  proceso,  debe</w:t>
        <w:br/>
        <w:t xml:space="preserve">      velar por que se cumplan a cabalidad las reglas del debido proceso de</w:t>
        <w:br/>
        <w:t xml:space="preserve">      las partes y el incumplimiento de éste podría acarrear la  aplicación</w:t>
        <w:br/>
        <w:t xml:space="preserve">      de reglas de nulidad.</w:t>
        <w:br/>
        <w:br/>
        <w:t xml:space="preserve">  78.  Se constata de los hechos del caso que el Presidente, por  un  lado,</w:t>
        <w:br/>
        <w:t xml:space="preserve">      admitió una aclaración extemporánea.  Por otro lado,  siendo  que  la</w:t>
        <w:br/>
        <w:t xml:space="preserve">      normativa vigente en ese entonces disponía que sólo el juez que dictó</w:t>
        <w:br/>
        <w:t xml:space="preserve">      la   sentencia   podrá   aclararla   o   ampliarla,   el   Presidente</w:t>
        <w:br/>
        <w:t xml:space="preserve">      unipersonalmente  resolvió  aclarar   la   sentencia,   cuando   esto</w:t>
        <w:br/>
        <w:t xml:space="preserve">      correspondía al pleno del Tribunal  Constitucional,  por  lo  que  su</w:t>
        <w:br/>
        <w:t xml:space="preserve">      decisión no fue conforme a la normativa aplicable (supra  párr.  71).</w:t>
        <w:br/>
        <w:t xml:space="preserve">      Este Tribunal considera que el Presidente del Tribunal Constitucional</w:t>
        <w:br/>
        <w:t xml:space="preserve">      actuó fuera de su competencia, por lo que no se garantizó  el  debido</w:t>
        <w:br/>
        <w:t xml:space="preserve">      proceso  al  aplicar  procedimientos  que   no   estaban   legalmente</w:t>
        <w:br/>
        <w:t xml:space="preserve">      establecidos[71].</w:t>
        <w:br/>
        <w:br/>
        <w:t xml:space="preserve">  79. Además, esta Corte observa que después de la emisión de  la  referida</w:t>
        <w:br/>
        <w:t xml:space="preserve">      decisión  del  Presidente  del   Tribunal   Constitucional,   en   el</w:t>
        <w:br/>
        <w:t xml:space="preserve">      procedimiento  se  creó  una  situación  de  inseguridad  jurídica  e</w:t>
        <w:br/>
        <w:t xml:space="preserve">      incertidumbre  respecto  a  la  ejecución  del  fallo  del   Tribunal</w:t>
        <w:br/>
        <w:t xml:space="preserve">      Constitucional de 12 de marzo de 2002. Ello debido  a  que  el  señor</w:t>
        <w:br/>
        <w:t xml:space="preserve">      Mejía Idrovo exigía el cumplimiento de lo resuelto por  el  pleno  de</w:t>
        <w:br/>
        <w:t xml:space="preserve">      dicho tribunal, mientras que la parte demandada, el Presidente de  la</w:t>
        <w:br/>
        <w:t xml:space="preserve">      República, sostenía que cumpliría lo resuelto por el  Presidente  del</w:t>
        <w:br/>
        <w:t xml:space="preserve">      Tribunal Constitucional.</w:t>
        <w:br/>
        <w:br/>
        <w:t xml:space="preserve">      falta de traslado de la petición de aclaración y notificación</w:t>
        <w:br/>
        <w:t xml:space="preserve">      posterior de la resolución a una de las partes</w:t>
        <w:br/>
        <w:br/>
        <w:br/>
        <w:t xml:space="preserve">               80. La Comisión y los representantes alegaron  que  el  señor</w:t>
        <w:br/>
        <w:t xml:space="preserve">                   Mejía Idrovo se informó, sin ser notificado oficialmente,</w:t>
        <w:br/>
        <w:t xml:space="preserve">                   de  la  solicitud   de   una   aclaratoria   extemporánea</w:t>
        <w:br/>
        <w:t xml:space="preserve">                   presentada  por  la  Comandancia  General  de  la  Fuerza</w:t>
        <w:br/>
        <w:t xml:space="preserve">                   Terrestre  y  posterior  resolución  del  Presidente  del</w:t>
        <w:br/>
        <w:t xml:space="preserve">                   Tribunal Constitucional de 30 de mayo de 2002. El  Estado</w:t>
        <w:br/>
        <w:t xml:space="preserve">                   no controvirtió dicho alegato. En lo que se refiere a  la</w:t>
        <w:br/>
        <w:t xml:space="preserve">                   solicitud de aclaración, el artículo 286  del  Código  de</w:t>
        <w:br/>
        <w:t xml:space="preserve">                   Procedimiento Civil  expresamente  señala  que  “para  la</w:t>
        <w:br/>
        <w:t xml:space="preserve">                   aclaración o la ampliación se oirá previamente a la  otra</w:t>
        <w:br/>
        <w:t xml:space="preserve">                   parte”.</w:t>
        <w:br/>
        <w:br/>
        <w:t xml:space="preserve">               81. No obstante lo anterior, esta Corte ha constatado que los</w:t>
        <w:br/>
        <w:t xml:space="preserve">                   representantes  y  la   Comisión,  en  sus  escritos,  se</w:t>
        <w:br/>
        <w:t xml:space="preserve">                   refieren indistintamente a la falta de notificación de la</w:t>
        <w:br/>
        <w:t xml:space="preserve">                   solicitud  de  aclaratoria  y  de   la   resolución   del</w:t>
        <w:br/>
        <w:t xml:space="preserve">                   Presidente, indicando la normativa aplicable, sin señalar</w:t>
        <w:br/>
        <w:t xml:space="preserve">                   la  fecha  en  que  la   presunta   víctima   se   enteró</w:t>
        <w:br/>
        <w:t xml:space="preserve">                   extraoficialmente de dichas actuaciones y sin identificar</w:t>
        <w:br/>
        <w:t xml:space="preserve">                   y precisar la prueba que sustenta sus argumentaciones. En</w:t>
        <w:br/>
        <w:t xml:space="preserve">                   consecuencia, este Tribunal no cuenta con  los  elementos</w:t>
        <w:br/>
        <w:t xml:space="preserve">                   suficientes para examinar y establecer si el señor  Mejía</w:t>
        <w:br/>
        <w:t xml:space="preserve">                   Idrovo contó  o  no  con  la  oportunidad  procesal  para</w:t>
        <w:br/>
        <w:t xml:space="preserve">                   ejercer su derecho de defensa.</w:t>
        <w:br/>
        <w:br/>
        <w:t xml:space="preserve">               82. En razón de lo expuesto en el presente apartado, la Corte</w:t>
        <w:br/>
        <w:t xml:space="preserve">                   concluye que en este caso,  el  Presidente  del  Tribunal</w:t>
        <w:br/>
        <w:t xml:space="preserve">                   Constitucional actúo fuera de su competencia  al  admitir</w:t>
        <w:br/>
        <w:t xml:space="preserve">                   una solicitud de aclaración extemporánea, y  aclarar  una</w:t>
        <w:br/>
        <w:t xml:space="preserve">                   sentencia   emitida   por   el   Pleno    del    Tribunal</w:t>
        <w:br/>
        <w:t xml:space="preserve">                   Constitucional.</w:t>
        <w:br/>
        <w:br/>
        <w:t xml:space="preserve">               83. No obstante lo  anterior,  esta  Corte  se  remite  a  la</w:t>
        <w:br/>
        <w:t xml:space="preserve">                   resolución emitida el 20 de mayo de 2003 por el Pleno del</w:t>
        <w:br/>
        <w:t xml:space="preserve">                   Tribunal Constitucional, que dejó sin efecto la  decisión</w:t>
        <w:br/>
        <w:t xml:space="preserve">                   del Presidente del Tribunal Constitucional de 30 de  mayo</w:t>
        <w:br/>
        <w:t xml:space="preserve">                   de 2002, al disponer que “las partes,  en  lo  principal,</w:t>
        <w:br/>
        <w:t xml:space="preserve">                   estén  a   la   resolución   del   Pleno   del   Tribunal</w:t>
        <w:br/>
        <w:t xml:space="preserve">                   Constitucional del 12 de marzo de  2002,  y  que  ninguna</w:t>
        <w:br/>
        <w:t xml:space="preserve">                   providencia  posterior  puede  modificar  la   resolución</w:t>
        <w:br/>
        <w:t xml:space="preserve">                   mencionada”[72] (supra párr. 54). Por ello, este Tribunal</w:t>
        <w:br/>
        <w:t xml:space="preserve">                   concluye que dichas irregularidades fueron subsanadas  en</w:t>
        <w:br/>
        <w:t xml:space="preserve">                   la jurisdicción interna. En razón  de  ello,  no  procede</w:t>
        <w:br/>
        <w:t xml:space="preserve">                   declarar la violación del artículo 8.1 de  la  Convención</w:t>
        <w:br/>
        <w:t xml:space="preserve">                   en el presente caso.</w:t>
        <w:br/>
        <w:br/>
        <w:t xml:space="preserve">                                      *</w:t>
        <w:br/>
        <w:br/>
        <w:t xml:space="preserve">               84. En lo que se refiere a la  alegada  violación  del  plazo</w:t>
        <w:br/>
        <w:t xml:space="preserve">                   razonable, la Corte observa que las argumentaciones de la</w:t>
        <w:br/>
        <w:t xml:space="preserve">                   Comisión y los representantes se centran en  la  supuesta</w:t>
        <w:br/>
        <w:t xml:space="preserve">                   falta de cumplimiento de la sentencia dictada  el  12  de</w:t>
        <w:br/>
        <w:t xml:space="preserve">                   marzo de 2002 por  parte  de  las  autoridades  estatales</w:t>
        <w:br/>
        <w:t xml:space="preserve">                   competentes para  hacerlo.  Debido  a  que  la  falta  de</w:t>
        <w:br/>
        <w:t xml:space="preserve">                   ejecución de la  sentencia  del  Tribunal  Constitucional</w:t>
        <w:br/>
        <w:t xml:space="preserve">                   tiene vinculación directa con la tutela judicial efectiva</w:t>
        <w:br/>
        <w:t xml:space="preserve">                   para la ejecución de los fallos internos,  este  Tribunal</w:t>
        <w:br/>
        <w:t xml:space="preserve">                   realizará su análisis en el apartado relativo al artículo</w:t>
        <w:br/>
        <w:t xml:space="preserve">                   25.2.c) de la Convención Americana.</w:t>
        <w:br/>
        <w:br/>
        <w:br/>
        <w:t>Protección Judicial y tutela judicial efectiva en la ejecución de fallos</w:t>
        <w:br/>
        <w:t>(Artículo 25 de la Convención Americana)</w:t>
        <w:br/>
        <w:br/>
        <w:br/>
        <w:br/>
        <w:br/>
        <w:br/>
        <w:t>Alegatos de las partes</w:t>
        <w:br/>
        <w:br/>
        <w:t>85. La Comisión manifestó que el Estado  no  ha  cumplido  con  “el  mandato</w:t>
        <w:br/>
        <w:t xml:space="preserve">    judicial de reparar a la víctima por los daños y  perjuicios  incurridos</w:t>
        <w:br/>
        <w:t xml:space="preserve">    en -virtud de la aplicación de dos decretos ejecutivos que resultaron en</w:t>
        <w:br/>
        <w:t xml:space="preserve">    la disponibilidad y  baja  de  la  víctima-  configurándose  una  demora</w:t>
        <w:br/>
        <w:t xml:space="preserve">    injustificada (y en contra de sus propias normas) de más de ocho años en</w:t>
        <w:br/>
        <w:t xml:space="preserve">    la implementación efectiva de la sentencia del Tribunal  Constitucional”</w:t>
        <w:br/>
        <w:t xml:space="preserve">    de 12 de marzo de 2002. Asimismo, consideró que  “el  incumplimiento  de</w:t>
        <w:br/>
        <w:t xml:space="preserve">    sentencias judiciales no solo afecta la seguridad jurídica sino  también</w:t>
        <w:br/>
        <w:t xml:space="preserve">    vulnera los principios esenciales del Estado de Derecho”, por lo que  el</w:t>
        <w:br/>
        <w:t xml:space="preserve">    Estado al garantizar los derechos consagrados en la Convención  no  solo</w:t>
        <w:br/>
        <w:t xml:space="preserve">    debe respetarlos (obligación negativa), sino  que  además  debe  adoptar</w:t>
        <w:br/>
        <w:t xml:space="preserve">    todas las medidas apropiadas para garantizarlos  (obligación  positiva).</w:t>
        <w:br/>
        <w:t xml:space="preserve">    En razón de lo anterior, el Estado violó el artículo 25 de la Convención</w:t>
        <w:br/>
        <w:t xml:space="preserve">    Americana,  en  concordancia  con  el  artículo   1.1   del   mencionado</w:t>
        <w:br/>
        <w:t xml:space="preserve">    instrumento internacional, en perjuicio del  señor  José  Alfredo  Mejía</w:t>
        <w:br/>
        <w:t xml:space="preserve">    Idrovo.</w:t>
        <w:br/>
        <w:br/>
        <w:t>86.    Los    representantes    alegaron    que    “la    declaratoria    de</w:t>
        <w:br/>
        <w:t xml:space="preserve">    inconstitucionalidad de los decretos ejecutivos de disponibilidad y baja</w:t>
        <w:br/>
        <w:t xml:space="preserve">    tiene como efecto inmediato su  revocatoria  conforme  lo  establece  el</w:t>
        <w:br/>
        <w:t xml:space="preserve">    artículo 276 numeral 2 de la Constitución [vigente a esa fecha],  siendo</w:t>
        <w:br/>
        <w:t xml:space="preserve">    su consecuencia directa el retorno del  oficial  a  la  institución,  el</w:t>
        <w:br/>
        <w:t xml:space="preserve">    ascenso y pago de los valores  dejados  de  percibir.  Sin  embargo,  la</w:t>
        <w:br/>
        <w:t xml:space="preserve">    resolución del Tribunal Constitucional no fue  cumplida  por  el  Estado</w:t>
        <w:br/>
        <w:t xml:space="preserve">    argumentando que dicha decisión era irretroactiva[73], sin que el órgano</w:t>
        <w:br/>
        <w:t xml:space="preserve">    de control  constitucional  haya  realizado  acciones  tendientes  a  la</w:t>
        <w:br/>
        <w:t xml:space="preserve">    ejecución de su fallo”. Posteriormente, con la acción de  incumplimiento</w:t>
        <w:br/>
        <w:t xml:space="preserve">    la Corte Constitucional, mediante sentencia del 8 de  octubre  de  2009,</w:t>
        <w:br/>
        <w:t xml:space="preserve">    señaló los pasos a seguir para cumplir con la sentencia  emitida  en  el</w:t>
        <w:br/>
        <w:t xml:space="preserve">    2002 por el ex-Tribunal Constitucional. El 18 de  octubre  de  2010  “se</w:t>
        <w:br/>
        <w:t xml:space="preserve">    cumplió parcialmente  con  la  sentencia  de  incumplimiento,  pues  fue</w:t>
        <w:br/>
        <w:t xml:space="preserve">    reincorporado [el señor Mejía Idrovo] al servicio activo”,  sin  que  se</w:t>
        <w:br/>
        <w:t xml:space="preserve">    haya dado cumplimiento  de  sus  derechos  patrimoniales,  impulsar  las</w:t>
        <w:br/>
        <w:t xml:space="preserve">    acciones administrativas y judiciales para el derecho  de  repetición  a</w:t>
        <w:br/>
        <w:t xml:space="preserve">    favor del Estado “ni se haya procedido con lo dispuesto en  la  decisión</w:t>
        <w:br/>
        <w:t xml:space="preserve">    de aclaración […] en torno al ascenso inmediato al grado superior”.</w:t>
        <w:br/>
        <w:br/>
        <w:t>87. Por su parte, el Estado argumentó que ha otorgado al señor Mejía  Idrovo</w:t>
        <w:br/>
        <w:t xml:space="preserve">    recursos efectivos para solucionar su situación jurídica, por lo que  no</w:t>
        <w:br/>
        <w:t xml:space="preserve">    ha violado el artículo 25 de la  Convención  Americana.  En  particular,</w:t>
        <w:br/>
        <w:t xml:space="preserve">    señaló que por una parte la declaratoria de inconstitucionalidad de  los</w:t>
        <w:br/>
        <w:t xml:space="preserve">    decretos ejecutivos no implica un regreso a la situación anterior  a  la</w:t>
        <w:br/>
        <w:t xml:space="preserve">    expedición de la disposición contraria a  la  norma  constitucional.  La</w:t>
        <w:br/>
        <w:t xml:space="preserve">    presunta víctima debía haber utilizado el numeral 2 del artículo 276  y,</w:t>
        <w:br/>
        <w:t xml:space="preserve">    en ese caso, los argumentos del señor  Mejía  Idrovo  tendrían  sustento</w:t>
        <w:br/>
        <w:t xml:space="preserve">    legal. No obstante, la causal del numeral 2, señalada por el señor Mejía</w:t>
        <w:br/>
        <w:t xml:space="preserve">    Idrovo en su demanda de inconstitucionalidad, buscaba la declaratoria de</w:t>
        <w:br/>
        <w:t xml:space="preserve">    inconstitucionalidad de dos decretos, es decir de  una  norma  jurídica;</w:t>
        <w:br/>
        <w:t xml:space="preserve">    por ello, “en aplicación del artículo 278, la  resolución  del  Tribunal</w:t>
        <w:br/>
        <w:t xml:space="preserve">    Constitucional  no  tiene   efecto   retroactivo”.   Sin   embargo,   la</w:t>
        <w:br/>
        <w:t xml:space="preserve">    controversia central con la presunta víctima es que ésta  considera  que</w:t>
        <w:br/>
        <w:t xml:space="preserve">    el efecto de dicho fallo incluía su ascenso al grado inmediato superior.</w:t>
        <w:br/>
        <w:t xml:space="preserve">    Esto es una imposibilidad jurídica, de conformidad con  la  Constitución</w:t>
        <w:br/>
        <w:t xml:space="preserve">    que estaba vigente, según señaló el Estado.</w:t>
        <w:br/>
        <w:br/>
        <w:t>88. Asimismo, Ecuador indicó que el nuevo  marco  constitucional  otorga  la</w:t>
        <w:br/>
        <w:t xml:space="preserve">    acción por incumplimiento, la cual fue utilizada por la presunta víctima</w:t>
        <w:br/>
        <w:t xml:space="preserve">    y obtuvo un resultado favorable.  Actualmente,  el  tribunal  máximo  de</w:t>
        <w:br/>
        <w:t xml:space="preserve">    justicia constitucional se encuentra tomando  las  medidas  legales  del</w:t>
        <w:br/>
        <w:t xml:space="preserve">    caso para  hacer  cumplir  su  mandato,  conforme  se  desprende  de  la</w:t>
        <w:br/>
        <w:t xml:space="preserve">    providencia dictada por dicho tribunal el 11 de mayo de  2010,  mediante</w:t>
        <w:br/>
        <w:t xml:space="preserve">    la cual la Corte Constitucional “dispone al señor Ministro  de  Finanzas</w:t>
        <w:br/>
        <w:t xml:space="preserve">    que, dentro del término de cinco días,  asigne  y  acredite  la  partida</w:t>
        <w:br/>
        <w:t xml:space="preserve">    presupuestaria correspondiente con el propósito de legalizar el proyecto</w:t>
        <w:br/>
        <w:t xml:space="preserve">    de decreto ejecutivo que reincorpore al Crnl.  EMS  José  Alfredo  Mejía</w:t>
        <w:br/>
        <w:t xml:space="preserve">    Idrovo al servicio activo de las Fuerzas Armadas, así como, que se  haga</w:t>
        <w:br/>
        <w:t xml:space="preserve">    efectiva la liquidación y pago de los haberes  que  le  correspondan  al</w:t>
        <w:br/>
        <w:t xml:space="preserve">    mencionado Coronel, de conformidad con lo determinado en la sentencia en</w:t>
        <w:br/>
        <w:t xml:space="preserve">    esta causa, debiendo informar al respecto,  a  esta  Corte,  dentro  del</w:t>
        <w:br/>
        <w:t xml:space="preserve">    término concedido”. Asimismo, con el afán de cumplir las recomendaciones</w:t>
        <w:br/>
        <w:t xml:space="preserve">    de la Comisión, el  Estado,  a  través  del  Ministerio  de  Justicia  y</w:t>
        <w:br/>
        <w:t xml:space="preserve">    Derechos Humanos, había realizado acciones tendientes al cumplimiento de</w:t>
        <w:br/>
        <w:t xml:space="preserve">    las resoluciones de los tribunales nacionales para la reparación  de  la</w:t>
        <w:br/>
        <w:t xml:space="preserve">    presunta víctima.</w:t>
        <w:br/>
        <w:br/>
        <w:t>Consideraciones de la Corte</w:t>
        <w:br/>
        <w:br/>
        <w:t>89. En vista de los hechos respecto de los cuales se alegan violaciones  del</w:t>
        <w:br/>
        <w:t xml:space="preserve">    artículo 25 de la Convención (supra párrs. de 48 a 58), la Corte observa</w:t>
        <w:br/>
        <w:t xml:space="preserve">    los siguientes puntos de controversia: a) la idoneidad y efectividad del</w:t>
        <w:br/>
        <w:t xml:space="preserve">    recurso de inconstitucionalidad; b) el alcance del deber  de  reparación</w:t>
        <w:br/>
        <w:t xml:space="preserve">    de dicho recurso; c)  el  cumplimiento  de  la  sentencia  del  Tribunal</w:t>
        <w:br/>
        <w:t xml:space="preserve">    Constitucional, y d) la ejecución  de  la  Sentencia  de  incumplimiento</w:t>
        <w:br/>
        <w:t xml:space="preserve">    dictada por la Corte Constitucional.</w:t>
        <w:br/>
        <w:br/>
        <w:t>90. En razón de lo anterior, la Corte analizará en los siguientes  apartados</w:t>
        <w:br/>
        <w:t xml:space="preserve">    si: a) el recurso de inconstitucionalidad brindó la protección  judicial</w:t>
        <w:br/>
        <w:t xml:space="preserve">    de conformidad con lo dispuesto en el artículo  25.1  de  la  Convención</w:t>
        <w:br/>
        <w:t xml:space="preserve">    Americana, y b) si se brindó la tutela judicial efectiva  por  parte  de</w:t>
        <w:br/>
        <w:t xml:space="preserve">    las autoridades para la ejecución de los fallos internos de  conformidad</w:t>
        <w:br/>
        <w:t xml:space="preserve">    con el artículo 25.2.c) de la Convención.</w:t>
        <w:br/>
        <w:br/>
        <w:t xml:space="preserve">        a) Efectividad del recurso de inconstitucionalidad (Artículo 25.1 de</w:t>
        <w:br/>
        <w:t xml:space="preserve">        la Convención Americana)</w:t>
        <w:br/>
        <w:br/>
        <w:br/>
        <w:t>91. El artículo 25.1 de la Convención garantiza la existencia de un  recurso</w:t>
        <w:br/>
        <w:t xml:space="preserve">    sencillo, rápido y efectivo ante juez o tribunal  competente.  La  Corte</w:t>
        <w:br/>
        <w:t xml:space="preserve">    recuerda su jurisprudencia constante en relación con que  dicho  recurso</w:t>
        <w:br/>
        <w:t xml:space="preserve">    debe ser adecuado y efectivo[74].</w:t>
        <w:br/>
        <w:br/>
        <w:t>92. En relación con el recurso de  inconstitucionalidad,  la  Corte  observa</w:t>
        <w:br/>
        <w:t xml:space="preserve">    que la Constitución del Ecuador al momento de los hechos disponía en  su</w:t>
        <w:br/>
        <w:t xml:space="preserve">    artículo 276 que competerá al Tribunal Constitucional:</w:t>
        <w:br/>
        <w:br/>
        <w:t xml:space="preserve">      1. Conocer y resolver las demandas de inconstitucional, de fondo o  de</w:t>
        <w:br/>
        <w:t xml:space="preserve">      forma, que se presenten sobre leyes orgánicas y ordinarias, decretos –</w:t>
        <w:br/>
        <w:t xml:space="preserve">      leyes, decretos, ordenanzas; estatutos,  reglamentos  y  resoluciones,</w:t>
        <w:br/>
        <w:t xml:space="preserve">      emitidos por órganos de las  instituciones  del  Estado,  y  suspender</w:t>
        <w:br/>
        <w:t xml:space="preserve">      total o parcialmente sus efectos.</w:t>
        <w:br/>
        <w:br/>
        <w:br/>
        <w:t xml:space="preserve">      2. Conocer y resolver  sobre  la  inconstitucionalidad  de  los  actos</w:t>
        <w:br/>
        <w:t xml:space="preserve">      administrativos  de  toda  autoridad  pública.  La   declaratoria   de</w:t>
        <w:br/>
        <w:t xml:space="preserve">      inconstitucionalidad conlleva la revocatoria del acto,  sin  perjuicio</w:t>
        <w:br/>
        <w:t xml:space="preserve">      de que el órgano administrativo adopte  las  medidas  necesarias  para</w:t>
        <w:br/>
        <w:t xml:space="preserve">      preservar el respeto a las normas constitucionales.</w:t>
        <w:br/>
        <w:br/>
        <w:br/>
        <w:t xml:space="preserve">      […]</w:t>
        <w:br/>
        <w:br/>
        <w:t>93. Respecto a la idoneidad del recurso de  inconstitucionalidad,  la  Corte</w:t>
        <w:br/>
        <w:t xml:space="preserve">    encuentra que no existe controversia entre las partes en  cuanto  a  que</w:t>
        <w:br/>
        <w:t xml:space="preserve">    dicho recurso fue el adecuado para proteger los derechos que la presunta</w:t>
        <w:br/>
        <w:t xml:space="preserve">    víctima alegó ante el Tribunal Constitucional.  No obstante,  el  Estado</w:t>
        <w:br/>
        <w:t xml:space="preserve">    ha manifestado que el señor Mejía Idrovo debió alegar el numeral  2  del</w:t>
        <w:br/>
        <w:t xml:space="preserve">    artículo 276 de la Constitución vigente y no el numeral 1, ya  que  éste</w:t>
        <w:br/>
        <w:t xml:space="preserve">    último solamente  podría  suspender  sus  efectos  y  no  tener  efectos</w:t>
        <w:br/>
        <w:t xml:space="preserve">    retroactivos (supra párr. 87). Asimismo, el Estado expresó que el  señor</w:t>
        <w:br/>
        <w:t xml:space="preserve">    Mejía Idrovo debió agotar una acción civil por daños y perjuicios contra</w:t>
        <w:br/>
        <w:t xml:space="preserve">    el Estado. Al respecto, la Corte se supedita a la decisión y alcance  de</w:t>
        <w:br/>
        <w:t xml:space="preserve">    la Sentencia dictada por la propia Corte Constitucional el 8 de  octubre</w:t>
        <w:br/>
        <w:t xml:space="preserve">    de 2009, mediante la cual interpretó la Sentencia de 12 de marzo de 2002</w:t>
        <w:br/>
        <w:t xml:space="preserve">    del Tribunal Constitucional y se refirió al alcance de la  reparación  y</w:t>
        <w:br/>
        <w:t xml:space="preserve">    sostuvo que ésta incluye la reincorporación del señor Mejía Idrovo,  sin</w:t>
        <w:br/>
        <w:t xml:space="preserve">    considerar esto como un efecto retroactivo, así como  el  reconocimiento</w:t>
        <w:br/>
        <w:t xml:space="preserve">    de sus derechos patrimoniales y el derecho de  repetición  (supra  párr.</w:t>
        <w:br/>
        <w:t xml:space="preserve">    56).  En razón de lo anterior, la Corte  encuentra  que  el  recurso  de</w:t>
        <w:br/>
        <w:t xml:space="preserve">    inconstitucional fue el recurso adecuado, es decir idóneo  para  tutelar</w:t>
        <w:br/>
        <w:t xml:space="preserve">    la situación jurídica infringida en el presente caso.</w:t>
        <w:br/>
        <w:br/>
        <w:t>94. En cuanto a la efectividad del recurso,  la  Corte  ha  establecido  que</w:t>
        <w:br/>
        <w:t xml:space="preserve">    para que tal recurso efectivo exista, no basta con que esté previsto por</w:t>
        <w:br/>
        <w:t xml:space="preserve">    la Constitución o la ley o con que sea formalmente admisible,  sino  que</w:t>
        <w:br/>
        <w:t xml:space="preserve">    se requiere que sea realmente idóneo para establecer si se ha  incurrido</w:t>
        <w:br/>
        <w:t xml:space="preserve">    en una violación a los derechos humanos  y  proveer  lo  necesario  para</w:t>
        <w:br/>
        <w:t xml:space="preserve">    remediarla. No pueden considerarse efectivos aquellos recursos que,  por</w:t>
        <w:br/>
        <w:t xml:space="preserve">    las condiciones generales del país  o  incluso  por  las  circunstancias</w:t>
        <w:br/>
        <w:t xml:space="preserve">    particulares de un caso dado, resulten ilusorios[75].</w:t>
        <w:br/>
        <w:br/>
        <w:t>95. El  Tribunal  ha  señalado  que  “el  artículo  25.1  de  la  Convención</w:t>
        <w:br/>
        <w:t xml:space="preserve">    contempla la obligación de los Estados Partes de garantizar, a todas las</w:t>
        <w:br/>
        <w:t xml:space="preserve">    personas bajo su jurisdicción, un recurso judicial efectivo contra actos</w:t>
        <w:br/>
        <w:t xml:space="preserve">    violatorios de sus derechos fundamentales. Dicha efectividad supone que,</w:t>
        <w:br/>
        <w:t xml:space="preserve">    además de la existencia formal de los recursos, éstos den  resultados  o</w:t>
        <w:br/>
        <w:t xml:space="preserve">    respuestas a las violaciones de  derechos  contemplados  ya  sea  en  la</w:t>
        <w:br/>
        <w:t xml:space="preserve">    Convención, en la Constitución o en las leyes. […] Así, el proceso  debe</w:t>
        <w:br/>
        <w:t xml:space="preserve">    tender a la materialización de la protección del derecho  reconocido  en</w:t>
        <w:br/>
        <w:t xml:space="preserve">    el pronunciamiento judicial  mediante  la  aplicación  idónea  de  dicho</w:t>
        <w:br/>
        <w:t xml:space="preserve">    pronunciamiento[76]”.</w:t>
        <w:br/>
        <w:br/>
        <w:t>96. En específico, la Corte estima que para mantener el efecto útil  de  las</w:t>
        <w:br/>
        <w:t xml:space="preserve">    decisiones, los tribunales internos al dictar sus fallos en favor de los</w:t>
        <w:br/>
        <w:t xml:space="preserve">    derechos de las personas y ordenar  reparaciones,  deben  establecer  de</w:t>
        <w:br/>
        <w:t xml:space="preserve">    manera clara y precisa ―de acuerdo con sus ámbitos  de  competencia―  el</w:t>
        <w:br/>
        <w:t xml:space="preserve">    alcance de las reparaciones y las formas de ejecución de las mismas.  De</w:t>
        <w:br/>
        <w:t xml:space="preserve">    acuerdo con los estándares de este Tribunal y del derecho  internacional</w:t>
        <w:br/>
        <w:t xml:space="preserve">    de los derechos humanos,  el  alcance  de  estas  medidas  debe  ser  de</w:t>
        <w:br/>
        <w:t xml:space="preserve">    carácter integral, y de ser posible, con el fin de devolver a la persona</w:t>
        <w:br/>
        <w:t xml:space="preserve">    al momento previo en el que  se  produjo  la  violación  (restitutio  in</w:t>
        <w:br/>
        <w:t xml:space="preserve">    integrum). Dentro de estas medidas se  encuentran,  según  el  caso,  la</w:t>
        <w:br/>
        <w:t xml:space="preserve">    restitución de bienes o derechos, la rehabilitación, la satisfacción, la</w:t>
        <w:br/>
        <w:t xml:space="preserve">    compensación y las garantías de no repetición, inter alia[77].</w:t>
        <w:br/>
        <w:br/>
        <w:t>97.  En  el  presente  caso,  una  vez  establecido  que   el   recurso   de</w:t>
        <w:br/>
        <w:t xml:space="preserve">    inconstitucionalidad fue el adecuado para remediar los derechos alegados</w:t>
        <w:br/>
        <w:t xml:space="preserve">    por el señor Mejía  Idrovo,  la  Corte  observa  que  la  sentencia  del</w:t>
        <w:br/>
        <w:t xml:space="preserve">    Tribunal Constitucional de 12 de marzo  de  2002,  si  bien  declaró  la</w:t>
        <w:br/>
        <w:t xml:space="preserve">    inconstitucionalidad de los  decretos  ejecutivos  de  disponibilidad  y</w:t>
        <w:br/>
        <w:t xml:space="preserve">    baja, así como dispuso en lo general que se repararen  los  daños  a  la</w:t>
        <w:br/>
        <w:t xml:space="preserve">    presunta víctima, esta careció de precisión y claridad  para  determinar</w:t>
        <w:br/>
        <w:t xml:space="preserve">    el alcance de las  reparaciones  referidas  y  su  forma  de  ejecución.</w:t>
        <w:br/>
        <w:t xml:space="preserve">    Posteriormente, la Resolución del Presidente del Tribunal de 30 de  mayo</w:t>
        <w:br/>
        <w:t xml:space="preserve">    de 2002 --la cual desprendió las irregularidades  ya  analizadas  (supra</w:t>
        <w:br/>
        <w:t xml:space="preserve">    párrs. 53, 78 y 79), contribuyó a confundir en mayor medida  el  alcance</w:t>
        <w:br/>
        <w:t xml:space="preserve">    de la sentencia emitida por el  pleno  del  Tribunal  Constitucional  al</w:t>
        <w:br/>
        <w:t xml:space="preserve">    restringir  su  aplicación  de  manera  unilateral,  declarándola   como</w:t>
        <w:br/>
        <w:t xml:space="preserve">    irretroactiva y por tanto impidiendo el reintegro del accionante  a  las</w:t>
        <w:br/>
        <w:t xml:space="preserve">    Fuerzas Armadas. No obstante, luego la Corte  Constitucional  esclareció</w:t>
        <w:br/>
        <w:t xml:space="preserve">    el sentido y alcance de lo ordenado en la sentencia de 12  de  marzo  de</w:t>
        <w:br/>
        <w:t xml:space="preserve">    2002.</w:t>
        <w:br/>
        <w:br/>
        <w:t>98. En razón de lo anterior, la Corte estima que  en  el  presente  caso  el</w:t>
        <w:br/>
        <w:t xml:space="preserve">    recurso de inconstitucionalidad si bien fue el idóneo para  proteger  la</w:t>
        <w:br/>
        <w:t xml:space="preserve">    situación jurídica infringida, careció de efectividad al no remediar  la</w:t>
        <w:br/>
        <w:t xml:space="preserve">    situación planteada y no haber permitido que produjera el resultado para</w:t>
        <w:br/>
        <w:t xml:space="preserve">    el cual fue concebido[78], al no precisar el alcance de lo ordenado,  en</w:t>
        <w:br/>
        <w:t xml:space="preserve">    contravención con lo dispuesto en el artículo 25.1 de la Convención.</w:t>
        <w:br/>
        <w:br/>
        <w:t xml:space="preserve">      Respecto del alcance de la sentencia de inconstitucionalidad en cuanto</w:t>
        <w:br/>
        <w:t xml:space="preserve">      al ascenso al grado de General</w:t>
        <w:br/>
        <w:br/>
        <w:br/>
        <w:t>99. La Corte nota que el señor Mejía Idrovo ha insistido  mediante  diversos</w:t>
        <w:br/>
        <w:t xml:space="preserve">    escritos en que la sentencia del  Tribunal  Constitucional  que  declaró</w:t>
        <w:br/>
        <w:t xml:space="preserve">    inconstitucional los decretos ejecutivos, así como la  sentencia  de  la</w:t>
        <w:br/>
        <w:t xml:space="preserve">    Corte Constitucional, intrínsecamente incluyen que  se  le  ascienda  al</w:t>
        <w:br/>
        <w:t xml:space="preserve">    grado superior de General de Brigada.  Además, en sus alegatos  finales,</w:t>
        <w:br/>
        <w:t xml:space="preserve">    el señor Mejía Idrovo señaló que el 22 de marzo de 2011  el  Consejo  de</w:t>
        <w:br/>
        <w:t xml:space="preserve">    Oficiales Generales resolvió calificarlo como no apto para el ascenso al</w:t>
        <w:br/>
        <w:t xml:space="preserve">    grado de General de Brigada. Por  lo  que  dicho  Consejo  “no  procedió</w:t>
        <w:br/>
        <w:t xml:space="preserve">    conforme lo ordenado en la sentencia de la Corte Constitucional en marzo</w:t>
        <w:br/>
        <w:t xml:space="preserve">    de 2009 […], sino que volvió al inicio, como que José Idrovo  recién  se</w:t>
        <w:br/>
        <w:t xml:space="preserve">    presentara  a   un   proceso   de   calificación   para   su   ascenso”.</w:t>
        <w:br/>
        <w:t xml:space="preserve">    Posteriormente, mediante prueba superviniente, los representantes  y  el</w:t>
        <w:br/>
        <w:t xml:space="preserve">    Estado informaron que ante un pedido de impugnación, el 6  de  abril  de</w:t>
        <w:br/>
        <w:t xml:space="preserve">    2011 el mismo Consejo ratificó su decisión.</w:t>
        <w:br/>
        <w:br/>
        <w:t>100. Al respecto, la Corte observa lo establecido en las citadas  sentencias</w:t>
        <w:br/>
        <w:t xml:space="preserve">    del Tribunal Constitucional y Corte  Constitucional,  en  específico  lo</w:t>
        <w:br/>
        <w:t xml:space="preserve">    dispuesto en la sentencia de aclaración de la Corte Constitucional de 11</w:t>
        <w:br/>
        <w:t xml:space="preserve">    de marzo de 2010, mediante la cual dispuso que la  reincorporación  debe</w:t>
        <w:br/>
        <w:t xml:space="preserve">    darse en las condiciones que se encontraba al momento de la  emisión  de</w:t>
        <w:br/>
        <w:t xml:space="preserve">    los decretos declarados inconstitucionales, es decir, su reincorporación</w:t>
        <w:br/>
        <w:t xml:space="preserve">    al grado de Coronel (supra párr. 58).</w:t>
        <w:br/>
        <w:br/>
        <w:t>101. Asimismo, el Tribunal observa que la  sentencia  de  aclaración  de  la</w:t>
        <w:br/>
        <w:t xml:space="preserve">    Corte Constitucional precisó que:</w:t>
        <w:br/>
        <w:br/>
        <w:t xml:space="preserve">      [E]l caso objeto de análisis, es  de  aquellos  en  que  es  imposible</w:t>
        <w:br/>
        <w:t xml:space="preserve">      retrotraerse al estado anterior, de manera absoluta,  porque  hacerlo,</w:t>
        <w:br/>
        <w:t xml:space="preserve">      equivaldría a desconocer situaciones que emergieron al mundo  jurídico</w:t>
        <w:br/>
        <w:t xml:space="preserve">      dentro de las Fuerzas Armadas. […] La Corte insiste en que de  haberse</w:t>
        <w:br/>
        <w:t xml:space="preserve">      cumplido con todos los requisitos para el correspondiente ascenso  del</w:t>
        <w:br/>
        <w:t xml:space="preserve">      accionante al Grado de General  de  Brigada,  esto  deberá  efectuarse</w:t>
        <w:br/>
        <w:t xml:space="preserve">      conforme a la Ley y Reglamentos que rigen la actividad militar. […] La</w:t>
        <w:br/>
        <w:t xml:space="preserve">      Corte reconoce los derechos patrimoniales del accionante; es decir, el</w:t>
        <w:br/>
        <w:t xml:space="preserve">      derecho a recibir una indemnización material de acuerdo a  las  normas</w:t>
        <w:br/>
        <w:t xml:space="preserve">      legales y reglamentarias[79].</w:t>
        <w:br/>
        <w:br/>
        <w:t>102. En razón de lo anterior, la Corte constata  que  dichas  decisiones  de</w:t>
        <w:br/>
        <w:t xml:space="preserve">    2009 y 2010, son claras al establecer la reincorporación del  accionante</w:t>
        <w:br/>
        <w:t xml:space="preserve">    al grado en el que se encontraba y no así su inmediato ascenso.</w:t>
        <w:br/>
        <w:br/>
        <w:t xml:space="preserve">        b)  Tutela judicial efectiva en la ejecución de fallos internos</w:t>
        <w:br/>
        <w:t xml:space="preserve">        (Artículos 25.2.c) de la Convención Americana)</w:t>
        <w:br/>
        <w:br/>
        <w:br/>
        <w:t>103. El artículo 25.2.c) de la  Convención  establece  que  los  Estados  se</w:t>
        <w:br/>
        <w:t xml:space="preserve">    comprometen  a  “garantizar  el  cumplimiento,   por   las   autoridades</w:t>
        <w:br/>
        <w:t xml:space="preserve">    competentes, de toda decisión en que  se  haya  estimado  procedente  el</w:t>
        <w:br/>
        <w:t xml:space="preserve">    recurso”[80].</w:t>
        <w:br/>
        <w:br/>
        <w:t>104. Así, la Corte ha señalado que “[e]n los términos del artículo 25 de  la</w:t>
        <w:br/>
        <w:t xml:space="preserve">    Convención, es posible identificar dos responsabilidades  concretas  del</w:t>
        <w:br/>
        <w:t xml:space="preserve">    Estado. La  primera,  consagrar  normativamente  y  asegurar  la  debida</w:t>
        <w:br/>
        <w:t xml:space="preserve">    aplicación de recursos efectivos ante las autoridades  competentes,  que</w:t>
        <w:br/>
        <w:t xml:space="preserve">    amparen a todas las personas  bajo  su  jurisdicción  contra  actos  que</w:t>
        <w:br/>
        <w:t xml:space="preserve">    violen sus derechos fundamentales o que conlleven a la determinación  de</w:t>
        <w:br/>
        <w:t xml:space="preserve">    los derechos y obligaciones de éstas. La segunda, garantizar los  medios</w:t>
        <w:br/>
        <w:t xml:space="preserve">    para  ejecutar  las  respectivas  decisiones  y  sentencias  definitivas</w:t>
        <w:br/>
        <w:t xml:space="preserve">    emitidas  por  tales  autoridades  competentes[81],  de  manera  que  se</w:t>
        <w:br/>
        <w:t xml:space="preserve">    protejan efectivamente los derechos declarados o reconocidos. El proceso</w:t>
        <w:br/>
        <w:t xml:space="preserve">    debe tender a la materialización de la protección del derecho reconocido</w:t>
        <w:br/>
        <w:t xml:space="preserve">    en el pronunciamiento judicial mediante la aplicación  idónea  de  dicho</w:t>
        <w:br/>
        <w:t xml:space="preserve">    pronunciamiento[82]”. Por  tanto,  “la  efectividad  de  las  sentencias</w:t>
        <w:br/>
        <w:t xml:space="preserve">    depende de su ejecución. Esto último, debido a  que  una  sentencia  con</w:t>
        <w:br/>
        <w:t xml:space="preserve">    carácter de cosa juzgada otorga certeza sobre el derecho o  controversia</w:t>
        <w:br/>
        <w:t xml:space="preserve">    discutida en el caso concreto y, por ende, tiene como uno de sus efectos</w:t>
        <w:br/>
        <w:t xml:space="preserve">    la obligatoriedad o necesidad de cumplimiento. Lo  contrario  supone  la</w:t>
        <w:br/>
        <w:t xml:space="preserve">    negación misma del derecho involucrado”[83].</w:t>
        <w:br/>
        <w:br/>
        <w:t>105. La Corte considera que la ejecución de las sentencias debe  ser  regida</w:t>
        <w:br/>
        <w:t xml:space="preserve">    por aquellos estándares específicos que  permitan  hacer  efectivos  los</w:t>
        <w:br/>
        <w:t xml:space="preserve">    principios, inter alia, de tutela judicial,  debido  proceso,  seguridad</w:t>
        <w:br/>
        <w:t xml:space="preserve">    jurídica,  independencia  judicial,  y  estado  de  derecho.  La   Corte</w:t>
        <w:br/>
        <w:t xml:space="preserve">    concuerda con el Tribunal Europeo de Derechos Humanos al considerar  que</w:t>
        <w:br/>
        <w:t xml:space="preserve">    para lograr plenamente la efectividad de la sentencia la ejecución  debe</w:t>
        <w:br/>
        <w:t xml:space="preserve">    ser completa, perfecta, integral[84] y sin demora[85].</w:t>
        <w:br/>
        <w:br/>
        <w:t>106. Asimismo, el principio de tutela judicial  efectiva  requiere  que  los</w:t>
        <w:br/>
        <w:t xml:space="preserve">    procedimientos  de  ejecución  sean  accesibles  para  las  partes,  sin</w:t>
        <w:br/>
        <w:t xml:space="preserve">    obstáculos o demoras indebidas, a fin de que  alcancen  su  objetivo  de</w:t>
        <w:br/>
        <w:t xml:space="preserve">    manera   rápida,   sencilla   e   integral[86].   Adicionalmente,    las</w:t>
        <w:br/>
        <w:t xml:space="preserve">    disposiciones que rigen la independencia del orden jurisdiccional  deben</w:t>
        <w:br/>
        <w:t xml:space="preserve">    estar formuladas de manera idónea para asegurar la puntual ejecución  de</w:t>
        <w:br/>
        <w:t xml:space="preserve">    las sentencias sin que exista interferencia por los  otros  poderes  del</w:t>
        <w:br/>
        <w:t xml:space="preserve">    Estado[87] y garantizar el carácter  vinculante  y  obligatorio  de  las</w:t>
        <w:br/>
        <w:t xml:space="preserve">    decisiones  de  última  instancia[88].  La  Corte  estima  que   en   un</w:t>
        <w:br/>
        <w:t xml:space="preserve">    ordenamiento basado sobre el principio del Estado de Derecho  todas  las</w:t>
        <w:br/>
        <w:t xml:space="preserve">    autoridades públicas, dentro del marco de su competencia, deben  atender</w:t>
        <w:br/>
        <w:t xml:space="preserve">    las decisiones judiciales, así como dar impulso y ejecución a las mismas</w:t>
        <w:br/>
        <w:t xml:space="preserve">    sin obstaculizar el  sentido  y  alcance  de  la  decisión  ni  retrasar</w:t>
        <w:br/>
        <w:t xml:space="preserve">    indebidamente su ejecución[89].</w:t>
        <w:br/>
        <w:br/>
        <w:t>107. En el presente caso el señor Mejía  Idrovo  interpuso  en  el  2001  el</w:t>
        <w:br/>
        <w:t xml:space="preserve">    recurso de inconstitucionalidad que atendió parte  de  sus  pretensiones</w:t>
        <w:br/>
        <w:t xml:space="preserve">    mediante sentencia de 12 de  marzo  de  2002  emitida  por  el  Tribunal</w:t>
        <w:br/>
        <w:t xml:space="preserve">    Constitucional (supra párrs. 48 y 49). Luego de la emisión de su  fallo,</w:t>
        <w:br/>
        <w:t xml:space="preserve">    dicho Tribunal dirigió algunas comunicaciones a  diversas  instituciones</w:t>
        <w:br/>
        <w:t xml:space="preserve">    del Estado en las que les solicitó un informe respecto  al  cumplimiento</w:t>
        <w:br/>
        <w:t xml:space="preserve">    de la referida resolución[90]. En respuesta a ello, dichas instituciones</w:t>
        <w:br/>
        <w:t xml:space="preserve">    informaron sobre las acciones llevadas a cabo  al  efecto,  sin  objetar</w:t>
        <w:br/>
        <w:t xml:space="preserve">    dicho requerimiento[91]. La Constitución del Ecuador de  2008  incorporó</w:t>
        <w:br/>
        <w:t xml:space="preserve">    la acción por incumplimiento, para garantizar “el  cumplimiento  de  las</w:t>
        <w:br/>
        <w:t xml:space="preserve">    sentencias”  y  que  los  actos  públicos   no   violen   los   derechos</w:t>
        <w:br/>
        <w:t xml:space="preserve">    constitucionales[92]. El 22 de abril del  2009  el  señor  Mejía  Idrovo</w:t>
        <w:br/>
        <w:t xml:space="preserve">    interpuso un recurso de incumplimiento ante la Corte Constitucional,  la</w:t>
        <w:br/>
        <w:t xml:space="preserve">    cual  dictó  sentencia  el  8  de  octubre   de   2009   y   ordenó   su</w:t>
        <w:br/>
        <w:t xml:space="preserve">    reincorporación, los pagos patrimoniales y los  derechos  de  repetición</w:t>
        <w:br/>
        <w:t xml:space="preserve">    (supra párr. 56). El 18 de octubre de 2010 el  señor  Mejía  Idrovo  fue</w:t>
        <w:br/>
        <w:t xml:space="preserve">    reincorporado a las  fuerzas  armadas  al  grado  de  coronel.  Mediante</w:t>
        <w:br/>
        <w:t xml:space="preserve">    escritos  de  alegatos  finales  de  las  partes,  la  Corte  ha  tomado</w:t>
        <w:br/>
        <w:t xml:space="preserve">    conocimiento  que  el  Estado  ha  realizado  ciertas  diligencias  para</w:t>
        <w:br/>
        <w:t xml:space="preserve">    determinar el monto indemnizatorio a favor de la víctima a través de  la</w:t>
        <w:br/>
        <w:t xml:space="preserve">    Comisión Multidisciplinaria (infra párr. 151).  No  obstante,  hasta  el</w:t>
        <w:br/>
        <w:t xml:space="preserve">    momento no se han concretado a cabalidad el cumplimiento  de  todos  los</w:t>
        <w:br/>
        <w:t xml:space="preserve">    puntos dispuestos en dicha sentencia.</w:t>
        <w:br/>
        <w:br/>
        <w:t>108. Al respecto, durante la audiencia pública  ante  la  Corte,  el  perito</w:t>
        <w:br/>
        <w:t xml:space="preserve">    Jaime Rafael Vintimilla se  refirió  al  proceso  de  ejecución  de  las</w:t>
        <w:br/>
        <w:t xml:space="preserve">    sentencias en Ecuador y manifestó que el Tribunal Constitucional  es  el</w:t>
        <w:br/>
        <w:t xml:space="preserve">    que debía presionar y  tomar  las  medidas  del  caso  para  obligar  el</w:t>
        <w:br/>
        <w:t xml:space="preserve">    cumplimiento de la sentencia, sin embargo, esa obligación  se  ha  visto</w:t>
        <w:br/>
        <w:t xml:space="preserve">    opacada por  tales  como  cambios  permanentes  en  la  legislación,  el</w:t>
        <w:br/>
        <w:t xml:space="preserve">    formalismo excesivo,  la  arbitrariedad  en  la  interpretación  de  los</w:t>
        <w:br/>
        <w:t xml:space="preserve">    ejecutores de la sentencia que se atribuyen funciones que no  tienen,  y</w:t>
        <w:br/>
        <w:t xml:space="preserve">    confusiones conceptuales. Refiriéndose al artículo 278 inciso  2  de  la</w:t>
        <w:br/>
        <w:t xml:space="preserve">    Constitución  vigente  al momento de los hechos (1998)  expresó  que  si</w:t>
        <w:br/>
        <w:t xml:space="preserve">    transcurría “el plazo  de  treinta  días  desde  la  publicación  de  la</w:t>
        <w:br/>
        <w:t xml:space="preserve">    resolución del tribunal en el Registro Oficial,  [y]  el  funcionario  o</w:t>
        <w:br/>
        <w:t xml:space="preserve">    funcionarios responsables no  la  cumplieran  de  oficio”,  el  Tribunal</w:t>
        <w:br/>
        <w:t xml:space="preserve">    Constitucional “debía remitir a los jueces penales,  para  que  [fueran]</w:t>
        <w:br/>
        <w:t xml:space="preserve">    ellos los que [pudieran aplicar] una norma”, y que al respecto hay  “una</w:t>
        <w:br/>
        <w:t xml:space="preserve">    remisión al Código Sustantivo Penal, donde  se  tratan  los  delitos  de</w:t>
        <w:br/>
        <w:t xml:space="preserve">    prevaricato  o  desacato”.  Agregó  que   “no   es   que   el   Tribunal</w:t>
        <w:br/>
        <w:t xml:space="preserve">    Constitucional podía, de alguna manera, sancionar directamente, [por  lo</w:t>
        <w:br/>
        <w:t xml:space="preserve">    que n]o ha habido sanciones en la práctica. Se ha  quedado  en  la  mera</w:t>
        <w:br/>
        <w:t xml:space="preserve">    amenaza”.  Por  último,  el  señor  Vintimilla  manifestó  que  con   la</w:t>
        <w:br/>
        <w:t xml:space="preserve">    Constitución de Montecristi (Constitución de 2008) se ha incorporado  la</w:t>
        <w:br/>
        <w:t xml:space="preserve">    acción de incumplimiento para que  toda  sentencia  omisa  o  incumplida</w:t>
        <w:br/>
        <w:t xml:space="preserve">    pueda llevarse a efecto, siendo “una herramienta que ha venido a  colmar</w:t>
        <w:br/>
        <w:t xml:space="preserve">    un vacío procesal y cultural que adolece en el Ecuador y que ha generado</w:t>
        <w:br/>
        <w:t xml:space="preserve">    inseguridad y […] hasta desidia. No  obstante,  “yo  diría  que  es  muy</w:t>
        <w:br/>
        <w:t xml:space="preserve">    difícil el cumplimiento, muchas veces hay que rogar para que se  cumpla,</w:t>
        <w:br/>
        <w:t xml:space="preserve">    hay que hacer un peregrinaje, pero no es que se cumpla inmediatamente”.</w:t>
        <w:br/>
        <w:br/>
        <w:t>109. Así, el artículo 93 de  la  Constitución  de  2008  dispone  que  “[l]a</w:t>
        <w:br/>
        <w:t xml:space="preserve">    acción por incumplimiento tendrá por objeto garantizar la aplicación  de</w:t>
        <w:br/>
        <w:t xml:space="preserve">    las normas que integran el sistema jurídico, así como el cumplimiento de</w:t>
        <w:br/>
        <w:t xml:space="preserve">    sentencias o informes de organismos internacionales de derechos humanos,</w:t>
        <w:br/>
        <w:t xml:space="preserve">    cuando la norma o decisión cuyo cumplimiento se  persigue  contenga  una</w:t>
        <w:br/>
        <w:t xml:space="preserve">    obligación de hacer o no hacer clara, expresa y exigible. La  acción  se</w:t>
        <w:br/>
        <w:t xml:space="preserve">    interpondrá ante la Corte Constitucional”.</w:t>
        <w:br/>
        <w:br/>
        <w:t>110. En atención a dicha norma, el perito Alex Iván Valle Franco, señaló  en</w:t>
        <w:br/>
        <w:t xml:space="preserve">    audiencia pública que:</w:t>
        <w:br/>
        <w:br/>
        <w:t xml:space="preserve">      [e]sta  garantía  tiene  como  fortaleza  principal   […]   establecer</w:t>
        <w:br/>
        <w:t xml:space="preserve">      seguridad jurídica, […] y el estar  en  concordancia  con  los  nuevos</w:t>
        <w:br/>
        <w:t xml:space="preserve">      principios que se ha dado para los servidores y servidoras públicas en</w:t>
        <w:br/>
        <w:t xml:space="preserve">      la actual constitución bajo los principios de eficiencia, oportunidad,</w:t>
        <w:br/>
        <w:t xml:space="preserve">      eficacia y demás, porque si bien es cierto había sentencias de ciertos</w:t>
        <w:br/>
        <w:t xml:space="preserve">      tribunales o resoluciones a nivel internacional que no se  cumplían  y</w:t>
        <w:br/>
        <w:t xml:space="preserve">      que a [su] vez no existía o de pronto un mecanismo idóneo  eficaz,  al</w:t>
        <w:br/>
        <w:t xml:space="preserve">      tener ahora la acción de incumplimiento.</w:t>
        <w:br/>
        <w:br/>
        <w:t>111. En vista de lo anterior, la Corte encuentra que el  Estado  no  cumplió</w:t>
        <w:br/>
        <w:t xml:space="preserve">    por un período prolongado con una tutela judicial efectiva para ejecutar</w:t>
        <w:br/>
        <w:t xml:space="preserve">    sus propios fallos internos. Luego de nueve años de haberse declarado la</w:t>
        <w:br/>
        <w:t xml:space="preserve">    inconstitucionalidad de los Decretos Ejecutivos Nos.  1185  y  1680  que</w:t>
        <w:br/>
        <w:t xml:space="preserve">    ordenaron la disposición y baja del ejército al señor Mejía  Idrovo,  el</w:t>
        <w:br/>
        <w:t xml:space="preserve">    Estado  no  había  dado  cumplimiento  efectivo  con  las   obligaciones</w:t>
        <w:br/>
        <w:t xml:space="preserve">    derivadas del fallo. Lo anterior generó una violación en perjuicio de la</w:t>
        <w:br/>
        <w:t xml:space="preserve">    víctima al dejarlo en un estado de indefensión e  inseguridad  jurídica,</w:t>
        <w:br/>
        <w:t xml:space="preserve">    que  le  impidió  restablecer  debidamente  los  derechos  reclamados  y</w:t>
        <w:br/>
        <w:t xml:space="preserve">    reconocidos por las autoridades competentes.  Asimismo,  siendo  que  el</w:t>
        <w:br/>
        <w:t xml:space="preserve">    fallo del Tribunal Constitucional era  autoejecutable,  las  autoridades</w:t>
        <w:br/>
        <w:t xml:space="preserve">    responsables de su implementación fueron omisas en acatarlo. Fue  recién</w:t>
        <w:br/>
        <w:t xml:space="preserve">    siete años después de emitido dicho fallo,  que  la  víctima  contó  con</w:t>
        <w:br/>
        <w:t xml:space="preserve">    medidas necesarias para reclamar tal incumplimiento. No obstante,  hasta</w:t>
        <w:br/>
        <w:t xml:space="preserve">    la fecha no se ha cumplido en todos los extremos con lo ordenado  en  la</w:t>
        <w:br/>
        <w:t xml:space="preserve">    sentencia de la Corte Constitucional (supra párrs. 56 y 107 infra párrs.</w:t>
        <w:br/>
        <w:t xml:space="preserve">    154 y 155). Por tanto, el Estado, a través del Poder  Judicial  y  demás</w:t>
        <w:br/>
        <w:t xml:space="preserve">    autoridades encargadas de hacer ejecutar el fallo, ha incumplido con  su</w:t>
        <w:br/>
        <w:t xml:space="preserve">    deber de garantizar el acatamiento íntegro de las citadas sentencias, en</w:t>
        <w:br/>
        <w:t xml:space="preserve">    violación de lo dispuesto en el artículo 25.2.c) de la Convención.</w:t>
        <w:br/>
        <w:br/>
        <w:t>112. En conclusión del presente Capítulo, la Corte considera que  el  Estado</w:t>
        <w:br/>
        <w:t xml:space="preserve">    no garantizó un recurso efectivo que  remediara  la  situación  jurídica</w:t>
        <w:br/>
        <w:t xml:space="preserve">    infringida y tampoco garantizó la  ejecución  de  los  fallos  internos,</w:t>
        <w:br/>
        <w:t xml:space="preserve">    mediante una tutela judicial efectiva, en  violación  de  los  artículos</w:t>
        <w:br/>
        <w:t xml:space="preserve">    25.1 y 25.2.c) de la Convención Americana, en perjuicio del  señor  José</w:t>
        <w:br/>
        <w:t xml:space="preserve">    Alfredo Mejía Idrovo.</w:t>
        <w:br/>
        <w:br/>
        <w:br/>
        <w:br/>
        <w:br/>
        <w:t>Deber de Adoptar Disposiciones de Derecho Interno</w:t>
        <w:br/>
        <w:t>E IGUALDAD ANTE LA LEY</w:t>
        <w:br/>
        <w:t>(ARTÍCULOS 2 Y 24 DE LA CONVENCIÓN AMERICANA)</w:t>
        <w:br/>
        <w:br/>
        <w:t xml:space="preserve">      RESPECTO LA ALEGADA VIOLACIÓN DEL ARTÍCULO 2 DE LA CONVENCIÓN</w:t>
        <w:br/>
        <w:t xml:space="preserve">      AMERICANA</w:t>
        <w:br/>
        <w:br/>
        <w:br/>
        <w:t>Alegatos de las partes</w:t>
        <w:br/>
        <w:br/>
        <w:t>113. La Comisión Interamericana no alegó la violación del artículo 2  de  la</w:t>
        <w:br/>
        <w:t xml:space="preserve">    Convención Americana. En su escrito de  solicitudes  y  argumentos,  los</w:t>
        <w:br/>
        <w:t xml:space="preserve">    representantes  manifestaron  que  la  actuación  de   las   autoridades</w:t>
        <w:br/>
        <w:t xml:space="preserve">    nacionales demuestra que  el  Estado  “no  ha  dado  cumplimiento  a  la</w:t>
        <w:br/>
        <w:t xml:space="preserve">    obligación contenida en el artículo 2 de la Convención Americana  al  no</w:t>
        <w:br/>
        <w:t xml:space="preserve">    haber adoptado, con arreglo a sus procedimientos  constitucionales,  las</w:t>
        <w:br/>
        <w:t xml:space="preserve">    medidas legislativas o de otro carácter que fueran necesarias para hacer</w:t>
        <w:br/>
        <w:t xml:space="preserve">    efectivos los derechos [del señor Mejía Idrovo, ya que] han transcurrido</w:t>
        <w:br/>
        <w:t xml:space="preserve">    8 desde años desde que el órgano de control constitucional sentenció que</w:t>
        <w:br/>
        <w:t xml:space="preserve">    los decretos ejecutivos eran inconstitucionales, pues  el  procedimiento</w:t>
        <w:br/>
        <w:t xml:space="preserve">    observado por el Ejecutivo para separar al recurrente de las  filas  del</w:t>
        <w:br/>
        <w:t xml:space="preserve">    Ejército  fue  violatorio  del  debido  proceso”.  Agregaron  que  “[s]i</w:t>
        <w:br/>
        <w:t xml:space="preserve">    consideraba el [Estado] que por disposición constitucional el recurso no</w:t>
        <w:br/>
        <w:t xml:space="preserve">    tiene efecto retroactivo, era  entonces  su  obligación  [realizar]  una</w:t>
        <w:br/>
        <w:t xml:space="preserve">    reforma constitucional que  proteja  los  derechos  reconocidos  en  las</w:t>
        <w:br/>
        <w:t xml:space="preserve">    sentencias del tribunal. Sin embargo, lejos de ocurrir ello,  el  Estado</w:t>
        <w:br/>
        <w:t xml:space="preserve">    “se ha limitado a decir que no hay nada que cumplir y que  sus  decretos</w:t>
        <w:br/>
        <w:t xml:space="preserve">    están en vigencia”.  “Al proceder de esta forma el Estado ha  dejado  en</w:t>
        <w:br/>
        <w:t xml:space="preserve">    el desamparo a la presunta víctima, sin que haya  efectuado  una  acción</w:t>
        <w:br/>
        <w:t xml:space="preserve">    tendiente a establecer mecanismos legales o administrativos que permitan</w:t>
        <w:br/>
        <w:t xml:space="preserve">    adecuar el derecho interno para que los  recursos  sean  efectivos”,  lo</w:t>
        <w:br/>
        <w:t xml:space="preserve">    cual ha violado el artículo 2  de  la  Convención.  Posteriormente,  los</w:t>
        <w:br/>
        <w:t xml:space="preserve">    representantes no se pronunciaron respecto de la alegada  violación  del</w:t>
        <w:br/>
        <w:t xml:space="preserve">    artículo 2 de la Convención Americana ni durante la audiencia pública ni</w:t>
        <w:br/>
        <w:t xml:space="preserve">    en sus alegatos finales.</w:t>
        <w:br/>
        <w:br/>
        <w:t>114. Por su parte, el Estado  rechazó  el  argumento  de  la  violación  del</w:t>
        <w:br/>
        <w:t xml:space="preserve">    artículo 2 de la Convención y señaló que alegar  la  violación  de  esta</w:t>
        <w:br/>
        <w:t xml:space="preserve">    disposición es apresurado, incoherente y poco  cauteloso  en  tanto  “la</w:t>
        <w:br/>
        <w:t xml:space="preserve">    resolución del Tribunal Constitucional y de la sentencia emitida por  la</w:t>
        <w:br/>
        <w:t xml:space="preserve">    Corte Constitucional aún  está  desplegando  sus  efectos  jurídicos  de</w:t>
        <w:br/>
        <w:t xml:space="preserve">    cumplimiento”. Agregó que reconoce  que  esta  disposición  no  solo  lo</w:t>
        <w:br/>
        <w:t xml:space="preserve">    obliga a adoptar normas, sino, en  general,  medidas  de  otro  carácter</w:t>
        <w:br/>
        <w:t xml:space="preserve">    –institucional o económico- para garantizar el cumplimiento efectivo  de</w:t>
        <w:br/>
        <w:t xml:space="preserve">    la Convención. En ese sentido, señaló que “[e]l Estado […] se  encuentra</w:t>
        <w:br/>
        <w:t xml:space="preserve">    en pleno proceso de adopción de  medidas  legislativas  de  armonización</w:t>
        <w:br/>
        <w:t xml:space="preserve">    constitucional en la Asamblea Nacional y en los equipos de investigación</w:t>
        <w:br/>
        <w:t xml:space="preserve">    jurídica alrededor de  la  Subsecretaría  de  Desarrollo  Normativo  del</w:t>
        <w:br/>
        <w:t xml:space="preserve">    Ministerio de Justicia y Derechos Humanos”. Por ello, se debe  tomar  en</w:t>
        <w:br/>
        <w:t xml:space="preserve">    cuenta el proceso de armonización normativa con la  Constitución  y  que</w:t>
        <w:br/>
        <w:t xml:space="preserve">    los instrumentos  internacionales  de  derechos  humanos  se  encuentran</w:t>
        <w:br/>
        <w:t xml:space="preserve">    incorporados en todas las reformas adjetivas y sustantivas.</w:t>
        <w:br/>
        <w:br/>
        <w:t>Consideraciones de la Corte</w:t>
        <w:br/>
        <w:br/>
        <w:t>115. La Corte observa que los representantes se limitaron en su  escrito  de</w:t>
        <w:br/>
        <w:t xml:space="preserve">    solicitudes y pruebas a formular su alegato sin  haber  ofrecido  prueba</w:t>
        <w:br/>
        <w:t xml:space="preserve">    para la sustentación de la presunta  violación  del  artículo  2  de  la</w:t>
        <w:br/>
        <w:t xml:space="preserve">    Convención[93].   Asimismo,  en  su  escrito  de  alegatos  finales  los</w:t>
        <w:br/>
        <w:t xml:space="preserve">    representantes no se pronunciaron al respecto. En razón de lo  anterior,</w:t>
        <w:br/>
        <w:t xml:space="preserve">    la Corte desestima dicho alegato por  falta  de  elementos.  Además,  el</w:t>
        <w:br/>
        <w:t xml:space="preserve">    Tribunal ya se pronunció en  lo  sustantivo  respecto  de  la  falta  de</w:t>
        <w:br/>
        <w:t xml:space="preserve">    ejecución de sentencia en el apartado correspondiente (supra VI. C. b))</w:t>
        <w:br/>
        <w:br/>
        <w:t xml:space="preserve">      Respecto a la alegada violación del artículo 24 de la Convención</w:t>
        <w:br/>
        <w:t xml:space="preserve">      Americana</w:t>
        <w:br/>
        <w:br/>
        <w:br/>
        <w:t>Alegatos de las partes</w:t>
        <w:br/>
        <w:br/>
        <w:t>116. La Comisión no alegó la violación del artículo 24[94] de la  Convención</w:t>
        <w:br/>
        <w:t xml:space="preserve">    Americana. Los representantes alegaron la violación del artículo 24  por</w:t>
        <w:br/>
        <w:t xml:space="preserve">    la negativa del ascenso del señor Mejía Idrovo, mientras que se ascendió</w:t>
        <w:br/>
        <w:t xml:space="preserve">    a otras personas que se encontraban supuestamente en situación semejante</w:t>
        <w:br/>
        <w:t xml:space="preserve">    a la suya. Al respecto, manifestaron que  la  decisión  del  Consejo  de</w:t>
        <w:br/>
        <w:t xml:space="preserve">    Oficiales Generales resulta en un  “evidente  trato  desigual  [con]  la</w:t>
        <w:br/>
        <w:t xml:space="preserve">    víctima por parte de [dicho] Consejo […] al favorecer a otros candidatos</w:t>
        <w:br/>
        <w:t xml:space="preserve">    al grado de general de brigada” y no ascender  al  señor  Mejía  Idrovo.</w:t>
        <w:br/>
        <w:t xml:space="preserve">    Agregaron que “la discrecionalidad tiene señalados sus límites en la Ley</w:t>
        <w:br/>
        <w:t xml:space="preserve">    de Personal de las Fuerzas Armadas” y “si [con base en] esa normativa se</w:t>
        <w:br/>
        <w:t xml:space="preserve">    ascendió a otros oficiales superiores, el no haber  procedido  de  igual</w:t>
        <w:br/>
        <w:t xml:space="preserve">    forma con el recurrente, viola su derecho a  la  igualdad  ante  la  ley</w:t>
        <w:br/>
        <w:t xml:space="preserve">    consagrado en la Constitución”.  Además alegaron que la  aplicación  del</w:t>
        <w:br/>
        <w:t xml:space="preserve">    fallo del Tribunal Constitucional fue discriminatorio, debido a  que  en</w:t>
        <w:br/>
        <w:t xml:space="preserve">    otros casos se ha ejecutado un fallo  semejante  y  que  al  aplicar  la</w:t>
        <w:br/>
        <w:t xml:space="preserve">    irretroactividad se le está dando un “trato diferente”. Cabe señalar que</w:t>
        <w:br/>
        <w:t xml:space="preserve">    posteriormente, los representantes no se  pronunciaron  respecto  de  la</w:t>
        <w:br/>
        <w:t xml:space="preserve">    alegada violación del artículo 24 de la Convención.</w:t>
        <w:br/>
        <w:br/>
        <w:t>117. El Estado  alegó  que  no  existe  violación  del  artículo  24  de  la</w:t>
        <w:br/>
        <w:t xml:space="preserve">    Convención, y en su contestación a la demanda señaló que, de  acuerdo  a</w:t>
        <w:br/>
        <w:t xml:space="preserve">    la Opinión Consultiva 4/84,  “no todo tratamiento jurídico diferente  es</w:t>
        <w:br/>
        <w:t xml:space="preserve">    propiamente   discriminatorio   […]   por   esto   pueden    verificarse</w:t>
        <w:br/>
        <w:t xml:space="preserve">    desigualdades  de  hecho  que   legítimamente   pueden   traducirse   en</w:t>
        <w:br/>
        <w:t xml:space="preserve">    desigualdades de tratamiento jurídico, sin que tales situaciones  entren</w:t>
        <w:br/>
        <w:t xml:space="preserve">    en contradicción con la justicia o menoscaben derechos […]”.</w:t>
        <w:br/>
        <w:br/>
        <w:t>118. En relación con el proceso de calificación de ascenso del  señor  Mejía</w:t>
        <w:br/>
        <w:t xml:space="preserve">    Idrovo, los representantes indicaron que  el  Estado  informó,  mediante</w:t>
        <w:br/>
        <w:t xml:space="preserve">    nota de 25 de febrero de 2011, que el Ministerio de Defensa  convocó  al</w:t>
        <w:br/>
        <w:t xml:space="preserve">    Consejo  de  Oficiales  Generales  para  dar  inicio   al   proceso   de</w:t>
        <w:br/>
        <w:t xml:space="preserve">    calificación de la presunta víctima. Agregaron que el  23  de  marzo  de</w:t>
        <w:br/>
        <w:t xml:space="preserve">    2011 el señor Mejía Idrovo recibió el oficio N.-2011-0046-SCOGFT  de  22</w:t>
        <w:br/>
        <w:t xml:space="preserve">    de marzo de 2011,  suscrito  por  el  Presidente  de  Consejo  Oficiales</w:t>
        <w:br/>
        <w:t xml:space="preserve">    Generales, mediante el cual le  comunican  que  dicho  Consejo  resolvió</w:t>
        <w:br/>
        <w:t xml:space="preserve">    calificarlo como no apto para el ascenso al grado de General de Brigada,</w:t>
        <w:br/>
        <w:t xml:space="preserve">    aplicando lo dispuesto en el artículo 76.f) de la Ley  de  personal.  Al</w:t>
        <w:br/>
        <w:t xml:space="preserve">    respecto, los representantes  afirmaron  que  el  Consejo  de  Oficiales</w:t>
        <w:br/>
        <w:t xml:space="preserve">    Generales  “no  procedió  conforme  lo  ordenado  en  la  sentencia  [de</w:t>
        <w:br/>
        <w:t xml:space="preserve">    incumplimiento,] sino que volvió al inicio,  como  que  el  señor  Mejía</w:t>
        <w:br/>
        <w:t xml:space="preserve">    Idrovo recién se  presentara  a  un  proceso  de  calificación  para  su</w:t>
        <w:br/>
        <w:t xml:space="preserve">    ascenso” (supra párr. 99). En razón de esto, el 25 de marzo de  2011  el</w:t>
        <w:br/>
        <w:t xml:space="preserve">    señor Mejía Idrovo presentó una acción de impugnación de lo resuelto por</w:t>
        <w:br/>
        <w:t xml:space="preserve">    dicho Consejo.</w:t>
        <w:br/>
        <w:br/>
        <w:t>119. Por su parte,  el  Estado  informó  sobre  el  inicio  del  proceso  de</w:t>
        <w:br/>
        <w:t xml:space="preserve">    calificación de ascenso de la presunta víctima, y remitió las decisiones</w:t>
        <w:br/>
        <w:t xml:space="preserve">    emitidas por el Consejo de Oficiales  Generales,  oficios  N.-2011-0046-</w:t>
        <w:br/>
        <w:t xml:space="preserve">    SCOGFT 22 de marzo y N.-2011-0062-SCOGFT 6 de abril de 2011[95].</w:t>
        <w:br/>
        <w:br/>
        <w:t>Consideraciones de la Corte</w:t>
        <w:br/>
        <w:br/>
        <w:br/>
        <w:t>120. En el presente caso, la Corte nota que el  Tribunal  Constitucional  en</w:t>
        <w:br/>
        <w:t xml:space="preserve">    su decisión de 12 de marzo 2002 (supra párr. 50), indicó que “si en base</w:t>
        <w:br/>
        <w:t xml:space="preserve">    [a la Ley de Personal] se dio el ascenso de otros Oficiales  Superiores,</w:t>
        <w:br/>
        <w:t xml:space="preserve">    el no haber procedido de igual forma con el ciudadano  reclamante  viola</w:t>
        <w:br/>
        <w:t xml:space="preserve">    el  derecho  a  la  igualdad  de  las  personas  ante   la   ley   […]”.</w:t>
        <w:br/>
        <w:t xml:space="preserve">    Posteriormente a las sentencias emitidas por la Corte Constitucional  el</w:t>
        <w:br/>
        <w:t xml:space="preserve">    8 de octubre de 2009 y 11 de marzo de 2010, el señor Mejía Idrovo el  18</w:t>
        <w:br/>
        <w:t xml:space="preserve">    de octubre de 2010 fue reincorporado al servicio activo como coronel del</w:t>
        <w:br/>
        <w:t xml:space="preserve">    Ejército (supra párrs. 57 y 58).</w:t>
        <w:br/>
        <w:br/>
        <w:t>121.  Además,  cabe  señalar  que,  pese  al  pronunciamiento  del  Tribunal</w:t>
        <w:br/>
        <w:t xml:space="preserve">    Constitucional al respecto, no cuenta  con  elementos  suficientes  para</w:t>
        <w:br/>
        <w:t xml:space="preserve">    establecer, a la luz de la Convención Americana si hubo  una  protección</w:t>
        <w:br/>
        <w:t xml:space="preserve">    desigual  en  la  ley  interna.  Los  representantes  en  este  caso  no</w:t>
        <w:br/>
        <w:t xml:space="preserve">    remitieron pruebas específicas, tal  como  la  situación  de  los  otros</w:t>
        <w:br/>
        <w:t xml:space="preserve">    solicitantes que participaron en el proceso de calificación,  nombres  y</w:t>
        <w:br/>
        <w:t xml:space="preserve">    los criterios técnicos que les fueron aplicados, en cada caso,  para  su</w:t>
        <w:br/>
        <w:t xml:space="preserve">    ascenso, que le permitan al Tribunal, actuando dentro de los límites  de</w:t>
        <w:br/>
        <w:t xml:space="preserve">    su jurisdicción, concluir que el señor Mejía Idrovo hubiera sido  objeto</w:t>
        <w:br/>
        <w:t xml:space="preserve">    en este aspecto de un trato discriminatorio[96].</w:t>
        <w:br/>
        <w:br/>
        <w:t>122. En consideración de  lo  expuesto,  este  Tribunal  estima  que  en  el</w:t>
        <w:br/>
        <w:t xml:space="preserve">    presente caso no tiene elementos probatorios suficientes  para  concluir</w:t>
        <w:br/>
        <w:t xml:space="preserve">    que es fundada la alegada violación del derecho a la igualdad reconocido</w:t>
        <w:br/>
        <w:t xml:space="preserve">    en el artículo 24 de la Convención Americana[97].</w:t>
        <w:br/>
        <w:br/>
        <w:t>123. Por otra parte, la Corte observa  que  tanto  los  representantes  como</w:t>
        <w:br/>
        <w:t xml:space="preserve">    Ecuador comunicaron que el 25 de febrero de 2011 el  Estado  informó  al</w:t>
        <w:br/>
        <w:t xml:space="preserve">    señor Mejía Idrovo que el Ministerio de Defensa convocó  al  Consejo  de</w:t>
        <w:br/>
        <w:t xml:space="preserve">    Oficiales de la Fuerza Terrestre  para  realizar  un  nuevo  proceso  de</w:t>
        <w:br/>
        <w:t xml:space="preserve">    calificación de la presunta víctima.  El  22  de  marzo  de  2011  dicho</w:t>
        <w:br/>
        <w:t xml:space="preserve">    Consejo resolvió calificarlo como no apto para el ascenso  al  grado  de</w:t>
        <w:br/>
        <w:t xml:space="preserve">    General de Brigada. Esta resolución fue ratificada  por  el  Consejo  de</w:t>
        <w:br/>
        <w:t xml:space="preserve">    Oficiales Generales en fecha 6 de abril 2011.</w:t>
        <w:br/>
        <w:br/>
        <w:t>124. La Corte destaca que dicho nuevo proceso de  calificación  no  ha  sido</w:t>
        <w:br/>
        <w:t xml:space="preserve">    objeto del presente litigio. Por lo tanto, el Tribunal considera que  el</w:t>
        <w:br/>
        <w:t xml:space="preserve">    trámite  de  calificación  no  puede  ser  considerado  como  parte  del</w:t>
        <w:br/>
        <w:t xml:space="preserve">    contradictorio  del  caso  en   el   procedimiento   ante   el   sistema</w:t>
        <w:br/>
        <w:t xml:space="preserve">    interamericano y que no procede pronunciarse respecto de  las  recientes</w:t>
        <w:br/>
        <w:t xml:space="preserve">    decisiones del Consejo de Oficiales Generales.</w:t>
        <w:br/>
        <w:br/>
        <w:t>125. Finalmente en lo que se refiere al  alegato  relativo  a  la  falta  de</w:t>
        <w:br/>
        <w:t xml:space="preserve">    aplicación del fallo del Tribunal Constitucional de 12 de marzo de  2002</w:t>
        <w:br/>
        <w:t xml:space="preserve">    (supra párr. 111), la Corte se pronunció  al  respecto  en  el  apartado</w:t>
        <w:br/>
        <w:t xml:space="preserve">    referente a la protección judicial a la luz del artículo 25.2.c)  de  la</w:t>
        <w:br/>
        <w:t xml:space="preserve">    Convención Americana.</w:t>
        <w:br/>
        <w:br/>
        <w:br/>
        <w:br/>
        <w:br/>
        <w:br/>
        <w:t xml:space="preserve">                                Reparaciones</w:t>
        <w:br/>
        <w:br/>
        <w:br/>
        <w:t xml:space="preserve">          (Aplicación del artículo 63.1 de la Convención Americana)</w:t>
        <w:br/>
        <w:br/>
        <w:br/>
        <w:t>126. Sobre la base de lo dispuesto en el  artículo  63.1  de  la  Convención</w:t>
        <w:br/>
        <w:t xml:space="preserve">    Americana, la Corte ha indicado que toda  violación  de  una  obligación</w:t>
        <w:br/>
        <w:t xml:space="preserve">    internacional que haya producido daño comporta  el  deber  de  repararlo</w:t>
        <w:br/>
        <w:t xml:space="preserve">    adecuadamente[98] y que esa disposición recoge una norma consuetudinaria</w:t>
        <w:br/>
        <w:t xml:space="preserve">    que  constituye  uno  de  los  principios  fundamentales   del   Derecho</w:t>
        <w:br/>
        <w:t xml:space="preserve">    Internacional contemporáneo sobre responsabilidad de un Estado[99].</w:t>
        <w:br/>
        <w:br/>
        <w:t>127.  En  consideración  de  las  violaciones  a  la  Convención   Americana</w:t>
        <w:br/>
        <w:t xml:space="preserve">    declaradas en el capítulo VI, el  Tribunal  analizará  las  pretensiones</w:t>
        <w:br/>
        <w:t xml:space="preserve">    presentadas  por  la  Comisión  y  los  representantes,  así  como   las</w:t>
        <w:br/>
        <w:t xml:space="preserve">    posiciones del  Estado,  a  la  luz  de  los  criterios  fijados  en  la</w:t>
        <w:br/>
        <w:t xml:space="preserve">    jurisprudencia de la Corte en relación con la naturaleza y  alcances  de</w:t>
        <w:br/>
        <w:t xml:space="preserve">    la obligación de reparar[100], con el objeto  de  disponer  las  medidas</w:t>
        <w:br/>
        <w:t xml:space="preserve">    tendientes a reparar los daños ocasionados a la víctima.</w:t>
        <w:br/>
        <w:br/>
        <w:t>128. La reparación del daño ocasionado por la infracción de  una  obligación</w:t>
        <w:br/>
        <w:t xml:space="preserve">    internacional requiere, siempre que sea posible,  la  plena  restitución</w:t>
        <w:br/>
        <w:t xml:space="preserve">    (restitutio in integrum), que consiste  en  el  restablecimiento  de  la</w:t>
        <w:br/>
        <w:t xml:space="preserve">    situación anterior.  De no ser esto factible, como ocurre en la  mayoría</w:t>
        <w:br/>
        <w:t xml:space="preserve">    de los casos, entre ellos éste, el  tribunal  internacional  determinará</w:t>
        <w:br/>
        <w:t xml:space="preserve">    medidas  para  garantizar  los   derechos   conculcados,   reparar   las</w:t>
        <w:br/>
        <w:t xml:space="preserve">    consecuencias  que  las  infracciones  produjeron   y   establecer   una</w:t>
        <w:br/>
        <w:t xml:space="preserve">    indemnización que compense los daños ocasionados[101].</w:t>
        <w:br/>
        <w:br/>
        <w:t>129. Este Tribunal ha establecido que las reparaciones deben tener  un  nexo</w:t>
        <w:br/>
        <w:t xml:space="preserve">    causal con los hechos del caso, las violaciones  declaradas,  los  daños</w:t>
        <w:br/>
        <w:t xml:space="preserve">    acreditados, así como con las medidas solicitadas para reparar los daños</w:t>
        <w:br/>
        <w:t xml:space="preserve">    respectivos. Por lo tanto, la Corte deberá observar  dicha  concurrencia</w:t>
        <w:br/>
        <w:t xml:space="preserve">    para pronunciarse debidamente y conforme a derecho[102].</w:t>
        <w:br/>
        <w:br/>
        <w:br/>
        <w:t xml:space="preserve">      Parte Lesionada</w:t>
        <w:br/>
        <w:br/>
        <w:br/>
        <w:t>130. El Tribunal reitera que se considera parte lesionada, en  los  términos</w:t>
        <w:br/>
        <w:t xml:space="preserve">    del artículo 63.1 de la Convención, a quien ha sido declarado víctima de</w:t>
        <w:br/>
        <w:t xml:space="preserve">    la violación de algún derecho consagrado en la misma[103]. Por lo tanto,</w:t>
        <w:br/>
        <w:t xml:space="preserve">    esta Corte considera como “parte lesionada” al señor José Alfredo  Mejía</w:t>
        <w:br/>
        <w:t xml:space="preserve">    Idrovo.</w:t>
        <w:br/>
        <w:br/>
        <w:t>131. Cabe señalar  que  el  representante  solicitó  mediante  sus  diversos</w:t>
        <w:br/>
        <w:t xml:space="preserve">    escritos que se reparara a los familiares del  señor  Mejía  Idrovo  por</w:t>
        <w:br/>
        <w:t xml:space="preserve">    cuanto   “sufrieron   padecimientos   morales   al   ser   sometidos   a</w:t>
        <w:br/>
        <w:t xml:space="preserve">    enjuiciamiento penal por apoyar la lucha de José Mejía” y exigir […]  el</w:t>
        <w:br/>
        <w:t xml:space="preserve">    cumplimiento   de   la   sentencia   por   el   organismo   de   control</w:t>
        <w:br/>
        <w:t xml:space="preserve">    constitucional”,  así  como  por  los  sufrimientos  derivados   de   la</w:t>
        <w:br/>
        <w:t xml:space="preserve">    denegación de justicia en perjuicio de su familia. No obstante, la Corte</w:t>
        <w:br/>
        <w:t xml:space="preserve">    ha establecido que las presuntas víctimas deben estar  señaladas  en  la</w:t>
        <w:br/>
        <w:t xml:space="preserve">    demanda y en el informe de la  Comisión  según  el  artículo  50  de  la</w:t>
        <w:br/>
        <w:t xml:space="preserve">    Convención. Además, de conformidad con el artículo 33.1 del  Reglamento,</w:t>
        <w:br/>
        <w:t xml:space="preserve">    corresponde a  la  Comisión  y  no  a  este  Tribunal,  identificar  con</w:t>
        <w:br/>
        <w:t xml:space="preserve">    precisión y en la debida oportunidad procesal a las  presuntas  víctimas</w:t>
        <w:br/>
        <w:t xml:space="preserve">    en un caso ante esta Corte[104]. Por tanto, siendo  que  los  familiares</w:t>
        <w:br/>
        <w:t xml:space="preserve">    del señor Mejía Idrovo no fueron señalados como víctimas,  la  Corte  no</w:t>
        <w:br/>
        <w:t xml:space="preserve">    puede acreditarlos como parte lesionada en el presente caso.</w:t>
        <w:br/>
        <w:br/>
        <w:br/>
        <w:t xml:space="preserve">      Medidas de reparación integral: restitución y satisfacción</w:t>
        <w:br/>
        <w:br/>
        <w:br/>
        <w:t>132. El Tribunal determinará  otras  medidas  que  buscan  reparar  el  daño</w:t>
        <w:br/>
        <w:t xml:space="preserve">    inmaterial y que no tienen naturaleza pecuniaria, y dispondrá medidas de</w:t>
        <w:br/>
        <w:t xml:space="preserve">    alcance o repercusión pública[105].</w:t>
        <w:br/>
        <w:br/>
        <w:t>133. La Corte toma en cuenta que  durante  la  audiencia  pública  el  señor</w:t>
        <w:br/>
        <w:t xml:space="preserve">    Mejía Idrovo manifestó que:</w:t>
        <w:br/>
        <w:br/>
        <w:t xml:space="preserve">      [L]a situación fue indignante en razón de que nosotros los que  hemos</w:t>
        <w:br/>
        <w:t xml:space="preserve">      escogido esta profesión,  la  carrera  militar,  es  de  mística,  de</w:t>
        <w:br/>
        <w:t xml:space="preserve">      ideales y de objetivos, es un plan de vida que nosotros nos  trazamos</w:t>
        <w:br/>
        <w:t xml:space="preserve">      como  cualquier  otra  profesión,  y  al  haber  desplegado   grandes</w:t>
        <w:br/>
        <w:t xml:space="preserve">      esfuerzos, puesta en evidencia todas mis capacidades […] esto  me  ha</w:t>
        <w:br/>
        <w:t xml:space="preserve">      producido un desequilibrio, inclusive problemas con  la  familia  que</w:t>
        <w:br/>
        <w:t xml:space="preserve">      hasta  ahora  no  lo  hemos  podido  superar,  yo   me   he   sentido</w:t>
        <w:br/>
        <w:t xml:space="preserve">      prácticamente indefenso, mi salud se  ha  quebrantado  terriblemente,</w:t>
        <w:br/>
        <w:t xml:space="preserve">      […] y todo esto me ha provocado porque lamentablemente no  ha  habido</w:t>
        <w:br/>
        <w:t xml:space="preserve">      la voluntad por parte de las autoridades  de  cumplir  una  sentencia</w:t>
        <w:br/>
        <w:t xml:space="preserve">      interna, y que lamentablemente, yo inclusive como víctima había, ante</w:t>
        <w:br/>
        <w:t xml:space="preserve">      las autoridades, pedido y suplicado  que  se  solucione  internamente</w:t>
        <w:br/>
        <w:t xml:space="preserve">      para que la imagen del Estado, del Ecuador, de mi patria, no  se  vea</w:t>
        <w:br/>
        <w:t xml:space="preserve">      en forma negativa ante  sentencias  internacionales,  pero  hasta  la</w:t>
        <w:br/>
        <w:t xml:space="preserve">      fecha lo único que he conseguido es el desacato y  el  incumplimiento</w:t>
        <w:br/>
        <w:t xml:space="preserve">      de las sentencias que estaban a mi favor.</w:t>
        <w:br/>
        <w:br/>
        <w:t>134. La jurisprudencia  internacional  y  en  particular  de  la  Corte,  ha</w:t>
        <w:br/>
        <w:t xml:space="preserve">    establecido reiteradamente que la sentencia constituye per se una  forma</w:t>
        <w:br/>
        <w:t xml:space="preserve">    de reparación[106]. No obstante,  considerando  las  circunstancias  del</w:t>
        <w:br/>
        <w:t xml:space="preserve">    caso sub judice, en vista de las afectaciones  al  señor  Mejía  Idrovo,</w:t>
        <w:br/>
        <w:t xml:space="preserve">    derivado de las alteraciones a  sus  condiciones  y  proyecto  de  vida,</w:t>
        <w:br/>
        <w:t xml:space="preserve">    expectativas de desarrollo profesional, y las restantes consecuencias de</w:t>
        <w:br/>
        <w:t xml:space="preserve">    orden inmaterial sufridas como consecuencia de  la  violaciones  de  los</w:t>
        <w:br/>
        <w:t xml:space="preserve">    artículos 25.1 y  25.2c)  de  la  Convención  Americana,  declaradas  en</w:t>
        <w:br/>
        <w:t xml:space="preserve">    perjuicio de la víctima, la Corte estima pertinente fijar las siguientes</w:t>
        <w:br/>
        <w:t xml:space="preserve">    medidas.</w:t>
        <w:br/>
        <w:br/>
        <w:t xml:space="preserve">        1. Restitución</w:t>
        <w:br/>
        <w:br/>
        <w:t>135. Los representantes solicitaron  que  la  Corte  ordene  al  Estado  que</w:t>
        <w:br/>
        <w:t xml:space="preserve">    “adopte las  acciones  que  sean  necesarias  para  que  se  realice  el</w:t>
        <w:br/>
        <w:t xml:space="preserve">    procedimiento de ascenso como lo  ordena  la  Corte  Constitucional,  es</w:t>
        <w:br/>
        <w:t xml:space="preserve">    decir que una vez que ha cumplido con los requisitos establecidos en  la</w:t>
        <w:br/>
        <w:t xml:space="preserve">    ley como lo señaló el Tribunal Constitucional, proceda de acuerdo  a  la</w:t>
        <w:br/>
        <w:t xml:space="preserve">    legislación militar y el [C]onsejo de [Oficiales] Generales  solicite  a</w:t>
        <w:br/>
        <w:t xml:space="preserve">    las autoridades respectivas la emisión de  los  decretos  de  ascenso  y</w:t>
        <w:br/>
        <w:t xml:space="preserve">    publique dichos decretos en la respectiva orden general”. La Comisión no</w:t>
        <w:br/>
        <w:t xml:space="preserve">    tomó posición expresa sobre este punto y se limitó a  solicitar  a  esta</w:t>
        <w:br/>
        <w:t xml:space="preserve">    Corte que “ordene al  Estado  tomar  las  medidas  necesarias  para  dar</w:t>
        <w:br/>
        <w:t xml:space="preserve">    cumplimiento  en  forma  eficiente   a   la   sentencia   del   Tribunal</w:t>
        <w:br/>
        <w:t xml:space="preserve">    Constitucional de[l] Ecuador emitida el 12 de marzo de 2002”.</w:t>
        <w:br/>
        <w:br/>
        <w:t>136. Al respecto, el Estado sostuvo que, contrariamente  a  lo  que  afirman</w:t>
        <w:br/>
        <w:t xml:space="preserve">    los representantes, el fallo del Tribunal Constitucional,  al  no  tener</w:t>
        <w:br/>
        <w:t xml:space="preserve">    efecto retroactivo no implicaba el ascenso del  señor  Mejía  Idrovo  al</w:t>
        <w:br/>
        <w:t xml:space="preserve">    grado inmediato superior. “El Tribunal Constitucional ordenó  en  cambio</w:t>
        <w:br/>
        <w:t xml:space="preserve">    la reparación de los daños”.</w:t>
        <w:br/>
        <w:br/>
        <w:t>137. La Corte constata que fue demostrado en el capítulo VI  que  existieron</w:t>
        <w:br/>
        <w:t xml:space="preserve">    omisiones  en  el  debido  proceso,  algunas  de  las  cuales  han  sido</w:t>
        <w:br/>
        <w:t xml:space="preserve">    subsanadas en el fuero interno durante el transcurso del proceso ante la</w:t>
        <w:br/>
        <w:t xml:space="preserve">    Corte. El Tribunal toma nota que, mediante sentencia de 8 de octubre  de</w:t>
        <w:br/>
        <w:t xml:space="preserve">    2009,  la  Corte  Constitucional  ordenó   “[l]a   reincorporación   del</w:t>
        <w:br/>
        <w:t xml:space="preserve">    accionante a la situación profesional que ostentaba dentro de la  Fuerza</w:t>
        <w:br/>
        <w:t xml:space="preserve">    Terrestre, a la fecha inmediatamente anterior a  la  expedición  de  los</w:t>
        <w:br/>
        <w:t xml:space="preserve">    Decretos Ejecutivos declarados inconstitucionales”.  Posteriormente,  el</w:t>
        <w:br/>
        <w:t xml:space="preserve">    18 de octubre de  2010  el  señor  Mejía  Idrovo  fue  reincorporado  al</w:t>
        <w:br/>
        <w:t xml:space="preserve">    servicio activo como Coronel del Ejército.</w:t>
        <w:br/>
        <w:br/>
        <w:t>138. En razón de lo anterior, la Corte encuentra que durante el trámite  del</w:t>
        <w:br/>
        <w:t xml:space="preserve">    caso ante este Tribunal el señor Mejía Idrovo  fue  reincorporado  a  su</w:t>
        <w:br/>
        <w:t xml:space="preserve">    cargo, y con ello se le ha restituido en sus derechos por el tiempo  que</w:t>
        <w:br/>
        <w:t xml:space="preserve">    se produjo la violación. Por tanto, ha sido reparado en  cuanto  a  este</w:t>
        <w:br/>
        <w:t xml:space="preserve">    aspecto.</w:t>
        <w:br/>
        <w:br/>
        <w:t xml:space="preserve">        2. Satisfacción</w:t>
        <w:br/>
        <w:br/>
        <w:br/>
        <w:t xml:space="preserve">           a) Publicación de la Sentencia</w:t>
        <w:br/>
        <w:br/>
        <w:br/>
        <w:t>139. Los representantes solicitaron que  “el  Estado  debe  publicar  en  el</w:t>
        <w:br/>
        <w:t xml:space="preserve">    Registro Oficial y en un diario de amplia circulación nacional, por  una</w:t>
        <w:br/>
        <w:t xml:space="preserve">    sola vez,  el  capítulo  relativo  a  los  hechos  establecidos”  en  la</w:t>
        <w:br/>
        <w:t xml:space="preserve">    sentencia de esta Corte y “la parte resolutiva de la  misma”.  Asimismo,</w:t>
        <w:br/>
        <w:t xml:space="preserve">    solicitaron que el Estado “realice  una  ceremonia  militar  pública  de</w:t>
        <w:br/>
        <w:t xml:space="preserve">    desagravio  a  José  Mejía  en  que  ofrezca  disculpas  por  los  daños</w:t>
        <w:br/>
        <w:t xml:space="preserve">    ocasionados a él y a su familia durante estos años y reprobación oficial</w:t>
        <w:br/>
        <w:t xml:space="preserve">    a los  autores  directos  de  las  violaciones  demandadas,  a  más  del</w:t>
        <w:br/>
        <w:t xml:space="preserve">    desagravio a la víctima y su familia”.</w:t>
        <w:br/>
        <w:br/>
        <w:t>140.  Al  respecto,  el  Estado  señaló  que  ha  existido  una   falta   de</w:t>
        <w:br/>
        <w:t xml:space="preserve">    cooperación por parte del representante del coronel Mejía  Idrovo  “para</w:t>
        <w:br/>
        <w:t xml:space="preserve">    lograr un cumplimiento de las recomendaciones de la Comisión, a pesar de</w:t>
        <w:br/>
        <w:t xml:space="preserve">    la buena fe del  Estado”.  Agregó  que  “el  Ministerio  de  Justicia  y</w:t>
        <w:br/>
        <w:t xml:space="preserve">    Derechos Humanos elaboró un extracto  de  disculpas  públicas”  que  fue</w:t>
        <w:br/>
        <w:t xml:space="preserve">    rechazado por el abogado del señor Mejía Idrovo el 5  de  noviembre  del</w:t>
        <w:br/>
        <w:t xml:space="preserve">    2009.  Según  el  Estado  “la  sentencia  de  la  Corte   Constitucional</w:t>
        <w:br/>
        <w:t xml:space="preserve">    constituye, en sí misma, una medida de reparación que, una vez publicada</w:t>
        <w:br/>
        <w:t xml:space="preserve">    en el Registro  Oficial,  produce  el  mismo  efecto  que  una  disculpa</w:t>
        <w:br/>
        <w:t xml:space="preserve">    pública”. Por lo  tanto,  el  Estado  señaló  que  “esta  medida  no  es</w:t>
        <w:br/>
        <w:t xml:space="preserve">    aplicable en el presente caso”.</w:t>
        <w:br/>
        <w:br/>
        <w:t>141. La Corte estima, como lo ha  dispuesto  en  otros  casos[107],  que  el</w:t>
        <w:br/>
        <w:t xml:space="preserve">    Estado deberá publicar, en el plazo de seis meses, contado a  partir  de</w:t>
        <w:br/>
        <w:t xml:space="preserve">    la notificación de la presente Sentencia:</w:t>
        <w:br/>
        <w:br/>
        <w:t xml:space="preserve">      a) el resumen oficial de la presente Sentencia elaborado por la Corte,</w:t>
        <w:br/>
        <w:t xml:space="preserve">      por una sola vez, en el Diario Oficial;</w:t>
        <w:br/>
        <w:br/>
        <w:br/>
        <w:t xml:space="preserve">      b) el resumen oficial de la presente Sentencia elaborado por la Corte,</w:t>
        <w:br/>
        <w:t xml:space="preserve">      por una sola vez, en un diario de amplia circulación nacional, y</w:t>
        <w:br/>
        <w:br/>
        <w:br/>
        <w:t xml:space="preserve">      c) la presente Sentencia en su integridad, disponible por  un  período</w:t>
        <w:br/>
        <w:t xml:space="preserve">      de un año, en el sitio web oficial.</w:t>
        <w:br/>
        <w:br/>
        <w:t>142. La Corte considera que dichas medidas de satisfacción  son  suficientes</w:t>
        <w:br/>
        <w:t xml:space="preserve">    para reparar este aspecto en el presente caso.</w:t>
        <w:br/>
        <w:br/>
        <w:br/>
        <w:t xml:space="preserve">      Otras medidas de reparación solicitadas</w:t>
        <w:br/>
        <w:br/>
        <w:br/>
        <w:t xml:space="preserve">        1. Medidas de capacitación para funcionarios públicos</w:t>
        <w:br/>
        <w:br/>
        <w:br/>
        <w:t>143. Los  representantes  solicitaron  al  Tribunal  que  ordene  al  Estado</w:t>
        <w:br/>
        <w:t xml:space="preserve">    realizar cursos de capacitación sobre derechos humanos dirigidos al alto</w:t>
        <w:br/>
        <w:t xml:space="preserve">    mando militar “para que entiendan que ellos están sometidos a las normas</w:t>
        <w:br/>
        <w:t xml:space="preserve">    jurídicas al igual que cualquier ciudadano” y obligados  a  cumplir  con</w:t>
        <w:br/>
        <w:t xml:space="preserve">    las sentencias que emiten los tribunales, así como de  tomar  todas  las</w:t>
        <w:br/>
        <w:t xml:space="preserve">    medidas  necesarias  para  adecuar  su  legislación  a   la   Convención</w:t>
        <w:br/>
        <w:t xml:space="preserve">    Interamericana y a la jurisprudencia de esta Corte, en  especial  en  lo</w:t>
        <w:br/>
        <w:t xml:space="preserve">    relativo al cumplimiento de las decisiones judiciales, y  otras  medidas</w:t>
        <w:br/>
        <w:t xml:space="preserve">    para garantizar que dichos hechos no se vuelvan a repetir. Por su parte,</w:t>
        <w:br/>
        <w:t xml:space="preserve">    la  Comisión  no  presentó  observaciones  específicas  respecto  a  las</w:t>
        <w:br/>
        <w:t xml:space="preserve">    garantías de no repetición y el Estado no se pronunció sobre este punto.</w:t>
        <w:br/>
        <w:br/>
        <w:t>144. Este Tribunal estima que al no haberse  probado  la  alegada  violación</w:t>
        <w:br/>
        <w:t xml:space="preserve">    del  artículo  2  de  la  Convención  o  la   existencia   de   patrones</w:t>
        <w:br/>
        <w:t xml:space="preserve">    generalizados de incumplimiento de fallos, no resulta necesario  ordenar</w:t>
        <w:br/>
        <w:t xml:space="preserve">    dicha medida en el presente caso.</w:t>
        <w:br/>
        <w:br/>
        <w:t xml:space="preserve">        2.  Obligación  de  realizar  investigaciones  administrativas  que</w:t>
        <w:br/>
        <w:t xml:space="preserve">           derivaron en la violación</w:t>
        <w:br/>
        <w:br/>
        <w:t>145. Los representantes señalaron al Tribunal que “a título de  garantía  de</w:t>
        <w:br/>
        <w:t xml:space="preserve">    no repetición, deben aplicarse medidas administrativas o  de  otro  tipo</w:t>
        <w:br/>
        <w:t xml:space="preserve">    encaminadas a destituir  a  los  agentes  del  Estado  responsables  del</w:t>
        <w:br/>
        <w:t xml:space="preserve">    desacato de las sentencias  emitidas  por  los  tribunales  domésticos”.</w:t>
        <w:br/>
        <w:t xml:space="preserve">    Además, solicitaron a la Corte que ordene al Estado  “que  en  un  plazo</w:t>
        <w:br/>
        <w:t xml:space="preserve">    razonable remueva todos los obstáculos y mecanismos de hecho  y  derecho</w:t>
        <w:br/>
        <w:t xml:space="preserve">    que impide[n] se  investigue,  identifique,  juzgue  y  sancione  a  los</w:t>
        <w:br/>
        <w:t xml:space="preserve">    responsables” del incumplimiento de la decisión emitida  por  el  máximo</w:t>
        <w:br/>
        <w:t xml:space="preserve">    organismo de control constitucional. Por su parte,  la  Comisión  no  se</w:t>
        <w:br/>
        <w:t xml:space="preserve">    pronunció al respecto. El Estado señaló que las  autoridades  nacionales</w:t>
        <w:br/>
        <w:t xml:space="preserve">    han “tomado medidas de diversa índole para cumplir la resolución  de  la</w:t>
        <w:br/>
        <w:t xml:space="preserve">    Corte Constitucional.</w:t>
        <w:br/>
        <w:br/>
        <w:t>146. El Tribunal observa que no fue demostrado  por  los  representantes  la</w:t>
        <w:br/>
        <w:t xml:space="preserve">    existencia de obstáculos que impidan  la  investigación,  juzgamiento  y</w:t>
        <w:br/>
        <w:t xml:space="preserve">    sanción de los responsables, por lo que dicha solicitud carece  de  nexo</w:t>
        <w:br/>
        <w:t xml:space="preserve">    de causalidad con las violaciones declaradas en el presente fallo.</w:t>
        <w:br/>
        <w:br/>
        <w:br/>
        <w:t xml:space="preserve">      Indemnización Compensatoria por daños materiales e inmateriales</w:t>
        <w:br/>
        <w:br/>
        <w:br/>
        <w:t>147. La Comisión consideró “pertinente que se reparen las consecuencias  que</w:t>
        <w:br/>
        <w:t xml:space="preserve">    produjo la falta de cumplimiento de sentencia a la  víctima[,]  mediante</w:t>
        <w:br/>
        <w:t xml:space="preserve">    el pago de una indemnización como compensación por los daños ocasionados</w:t>
        <w:br/>
        <w:t xml:space="preserve">    en el caso pertinente” y, solicitó a la Corte que, “sin perjuicio de las</w:t>
        <w:br/>
        <w:t xml:space="preserve">    pretensiones que presente en el momento procesal oportuno  la  víctima”,</w:t>
        <w:br/>
        <w:t xml:space="preserve">    fije en equidad el monto de  la  indemnización  por  concepto  de  daños</w:t>
        <w:br/>
        <w:t xml:space="preserve">    materiales y inmateriales en uso  de  sus  amplias  facultades  en  esta</w:t>
        <w:br/>
        <w:t xml:space="preserve">    materia.</w:t>
        <w:br/>
        <w:br/>
        <w:t>148.  Los  representantes  solicitaron  a  la  Corte  que  acoja  el   monto</w:t>
        <w:br/>
        <w:t xml:space="preserve">    ofrecido[108] “por el propio  Estado”  de  US$  358.033,59  (trescientos</w:t>
        <w:br/>
        <w:t xml:space="preserve">    cincuenta y ocho mil treinta y tres dólares de  los  Estados  Unidos  de</w:t>
        <w:br/>
        <w:t xml:space="preserve">    América con cincuenta y nueve centavos) y disponga que el Estado pague a</w:t>
        <w:br/>
        <w:t xml:space="preserve">    la víctima dicho valor,  a  lo  cual  “deberá  aumentarse  tan  solo  la</w:t>
        <w:br/>
        <w:t xml:space="preserve">    diferencia resultante entre junio de 2009 y  octubre  2010  [en  que  el</w:t>
        <w:br/>
        <w:t xml:space="preserve">    señor  Mejía  Idrovo]  fue  reincorporado  al  servicio   activo”.   Los</w:t>
        <w:br/>
        <w:t xml:space="preserve">    representantes subrayaron que el Estado no ha cumplido con el punto  dos</w:t>
        <w:br/>
        <w:t xml:space="preserve">    de la sentencia de la Corte Constitucional de octubre 2009,  ya  que  el</w:t>
        <w:br/>
        <w:t xml:space="preserve">    Estado  efectuó  un  pago  de  US$570.772,68  (quinientos  setenta   mil</w:t>
        <w:br/>
        <w:t xml:space="preserve">    setecientos setenta y dos dólares de los Estados Unidos de  América  con</w:t>
        <w:br/>
        <w:t xml:space="preserve">    sesenta y ocho centavos), “sin embargo no [especificó] que dicho pago no</w:t>
        <w:br/>
        <w:t xml:space="preserve">    se realizó a favor de la víctima como lo ordenó la sentencia, si no  que</w:t>
        <w:br/>
        <w:t xml:space="preserve">    lo realizó a favor del [Instituto de Seguridad  Social  de  las  Fuerzas</w:t>
        <w:br/>
        <w:t xml:space="preserve">    Armadas del Ecuador (en adelante “ISSFA”)]. Asimismo, los representantes</w:t>
        <w:br/>
        <w:t xml:space="preserve">    pidieron a la Corte que “en equidad fije el monto que  por  concepto  de</w:t>
        <w:br/>
        <w:t xml:space="preserve">    reparación patrimonial y extra patrimonial deben recibir los  familiares</w:t>
        <w:br/>
        <w:t xml:space="preserve">    de la víctima”.</w:t>
        <w:br/>
        <w:br/>
        <w:t>149. El Estado alegó que la presunta víctima “de una manera  sistemática  se</w:t>
        <w:br/>
        <w:t xml:space="preserve">    ha negado a reconocer  los  esfuerzos  del  Estado  en  relación  a  una</w:t>
        <w:br/>
        <w:t xml:space="preserve">    potencial reparación”. Agregó que “el Ministerio de Justicia y  Derechos</w:t>
        <w:br/>
        <w:t xml:space="preserve">    Humanos, así como también la  Procuraduría  General  del  Estado  en  el</w:t>
        <w:br/>
        <w:t xml:space="preserve">    ámbito específico de sus competencias,  han  recibido  la  negativa  del</w:t>
        <w:br/>
        <w:t xml:space="preserve">    señor Mejía Idrovo para aceptar los montos calculados por las  entidades</w:t>
        <w:br/>
        <w:t xml:space="preserve">    correspondientes”. El Estado afirmó que  “a  través  del  Ministerio  de</w:t>
        <w:br/>
        <w:t xml:space="preserve">    Justicia, Derechos Humanos y  Cultos,  el  ISSFA,  y  el  Ministerio  de</w:t>
        <w:br/>
        <w:t xml:space="preserve">    Defensa Nacional realizó y realiza  actualmente  los  mayores  esfuerzos</w:t>
        <w:br/>
        <w:t xml:space="preserve">    para reparar  al  ciudadano  Mejía  Idrovo  siguiendo  el  tenor  de  la</w:t>
        <w:br/>
        <w:t xml:space="preserve">    resolución de la Corte Constitucional” y  que  “se  comprometió  con  la</w:t>
        <w:br/>
        <w:t xml:space="preserve">    Corte Interamericana en el  sentido  de  informar  […]  del  proceso  de</w:t>
        <w:br/>
        <w:t xml:space="preserve">    liquidación en el ISSFA. A este propósito, el Estado manifestó  que  “se</w:t>
        <w:br/>
        <w:t xml:space="preserve">    dispuso la conformación de una Comisión Multidisciplinaria […] que se ha</w:t>
        <w:br/>
        <w:t xml:space="preserve">    reunido  por  tres  ocasiones  a  fin  de  establecer  el  monto   total</w:t>
        <w:br/>
        <w:t xml:space="preserve">    indemnizatorio cuyo valor final ascendió a  US$358.033,59”  (trescientos</w:t>
        <w:br/>
        <w:t xml:space="preserve">    cincuenta y ocho mil treinta  y tres dólares de los  Estados  Unidos  de</w:t>
        <w:br/>
        <w:t xml:space="preserve">    América con cincuenta y nueve centavos).</w:t>
        <w:br/>
        <w:br/>
        <w:t>Consideraciones de la Corte</w:t>
        <w:br/>
        <w:br/>
        <w:t>150. Este Tribunal ha establecido que el daño material supone “la pérdida  o</w:t>
        <w:br/>
        <w:t xml:space="preserve">    detrimento de los ingresos de las víctimas, los  gastos  efectuados  con</w:t>
        <w:br/>
        <w:t xml:space="preserve">    motivo de los hechos y las  consecuencias  de  carácter  pecuniario  que</w:t>
        <w:br/>
        <w:t xml:space="preserve">    tengan un nexo causal con los hechos del caso”[109]. Asimismo, la  Corte</w:t>
        <w:br/>
        <w:t xml:space="preserve">    ha desarrollado el concepto de daño  inmaterial  y  ha  establecido  que</w:t>
        <w:br/>
        <w:t xml:space="preserve">    “puede comprender tanto los sufrimientos y las aflicciones causados a la</w:t>
        <w:br/>
        <w:t xml:space="preserve">    víctima  directa  y  a  sus  allegados,  el  menoscabo  de  valores  muy</w:t>
        <w:br/>
        <w:t xml:space="preserve">    significativos para las personas, así como las alteraciones, de carácter</w:t>
        <w:br/>
        <w:t xml:space="preserve">    no pecuniario, en las condiciones de  existencia  de  la  víctima  o  su</w:t>
        <w:br/>
        <w:t xml:space="preserve">    familia”. En el presente caso es comprensible la existencia de daños  de</w:t>
        <w:br/>
        <w:t xml:space="preserve">    carácter material como inmaterial.</w:t>
        <w:br/>
        <w:br/>
        <w:t>151. En noviembre de 2009 el Estado remitió  a  la  Comisión  Interamericana</w:t>
        <w:br/>
        <w:t xml:space="preserve">    tres notas técnicas (notas Nos. 06054 y 10391 de 13 de noviembre de 2009</w:t>
        <w:br/>
        <w:t xml:space="preserve">    y nota No. 10529 de 23 de noviembre de 2009) en las que señaló  que  por</w:t>
        <w:br/>
        <w:t xml:space="preserve">    concepto de indemnizaciones corresponde al Coronel Mejía Idrovo la  suma</w:t>
        <w:br/>
        <w:t xml:space="preserve">    de US$358.033,58 (de la cual US$194.895,81 corresponde a daño material y</w:t>
        <w:br/>
        <w:t xml:space="preserve">    US$163.137,58 corresponde a daño inmaterial) calculados a junio de 2009.</w:t>
        <w:br/>
        <w:t xml:space="preserve">    Según las informaciones proporcionadas por el Estado, dicho cálculo  fue</w:t>
        <w:br/>
        <w:t xml:space="preserve">    realizado por una Comisión Multidisciplinaria  conformada  ad  hoc  para</w:t>
        <w:br/>
        <w:t xml:space="preserve">    calcular el monto indemnizatorio  a  favor  del  señor  Mejía  Idrovo  y</w:t>
        <w:br/>
        <w:t xml:space="preserve">    “compuesta por el Departamento Jurídico del  Ejército,  el  Director  de</w:t>
        <w:br/>
        <w:t xml:space="preserve">    Finanzas del Ejército, y personal del Instituto de Seguridad  Social  de</w:t>
        <w:br/>
        <w:t xml:space="preserve">    las Fuerzas  Armadas  (ISSFA)”.  Asimismo,  la  Corte  observa  que  los</w:t>
        <w:br/>
        <w:t xml:space="preserve">    representantes han expresado su acuerdo sobre el monto de  US$358.033,58</w:t>
        <w:br/>
        <w:t xml:space="preserve">    por daño  material  e  inmaterial  establecido  por  el  propio  Estado,</w:t>
        <w:br/>
        <w:t xml:space="preserve">    solicitando únicamente la diferencia resultante entre junio  de  2009  y</w:t>
        <w:br/>
        <w:t xml:space="preserve">    octubre de 2010 en que  fue  reincorporado  el  señor  Mejía  Idrovo  al</w:t>
        <w:br/>
        <w:t xml:space="preserve">    servicio activo.</w:t>
        <w:br/>
        <w:br/>
        <w:t>152. El Tribunal nota que en el cuadro remitido a la Comisión por parte  del</w:t>
        <w:br/>
        <w:t xml:space="preserve">    Estado y posteriormente a la Corte en los alegatos  finales,  se  pueden</w:t>
        <w:br/>
        <w:t xml:space="preserve">    distinguir los  siguientes  tres  rubros  respecto  del  daño  material,</w:t>
        <w:br/>
        <w:t xml:space="preserve">    traducido en lucro cesante[110]: a) “las remuneraciones que  el  [señor]</w:t>
        <w:br/>
        <w:t xml:space="preserve">    Mejía [Idrovo] debía recibir de haber  permanecido  en  servicio  activo</w:t>
        <w:br/>
        <w:t xml:space="preserve">    hasta junio del 2009 restada de las pensiones militares”,  luego  de  la</w:t>
        <w:br/>
        <w:t xml:space="preserve">    baja hasta dicha fecha; b) “la cesantía que el  [señor]  Mejía  [Idrovo]</w:t>
        <w:br/>
        <w:t xml:space="preserve">    debía recibir de haber permanecido en servicio activo hasta el año 2009,</w:t>
        <w:br/>
        <w:t xml:space="preserve">    en servicio activo restada de  la  cesantía  que  ya  recibió  al  haber</w:t>
        <w:br/>
        <w:t xml:space="preserve">    permanecido hasta julio del 2001”, y c) “el valor correspondiente de las</w:t>
        <w:br/>
        <w:t xml:space="preserve">    pensiones por pagar, en  los  supuestos  que  se  hubiera  mantenido  en</w:t>
        <w:br/>
        <w:t xml:space="preserve">    servicio activo hasta el año 2009, de julio a diciembre de 2009”.</w:t>
        <w:br/>
        <w:br/>
        <w:t>153. Asimismo, la Corte observa que el monto calculado  por  el  Estado  por</w:t>
        <w:br/>
        <w:t xml:space="preserve">    daño inmaterial sufrido por el coronel Mejía Idrovo está  basado  en  la</w:t>
        <w:br/>
        <w:t xml:space="preserve">    “liquidación realizada por el ISSFA de las pensiones estimadas bajo  los</w:t>
        <w:br/>
        <w:t xml:space="preserve">    siguientes [conceptos][111]: a) baja en junio  del  2009”;  b)  “[g]rado</w:t>
        <w:br/>
        <w:t xml:space="preserve">    [c]oronel”; c) “[t]iempo de [s]ervicio 36 años 6 meses”;  d)  “esperanza</w:t>
        <w:br/>
        <w:t xml:space="preserve">    de vida promedio real 72 años”; e) “existencia de una lesión sufrida, de</w:t>
        <w:br/>
        <w:t xml:space="preserve">    carácter afectivo y no patrimonial”.</w:t>
        <w:br/>
        <w:br/>
        <w:t>154. Por otra parte, la Corte observa que los representantes  señalaron,  de</w:t>
        <w:br/>
        <w:t xml:space="preserve">    acuerdo a lo manifestado por el Estado, que a  nivel  interno  no  había</w:t>
        <w:br/>
        <w:t xml:space="preserve">    fijado ninguna cantidad de dinero a ser pagada a  la  víctima  a  título</w:t>
        <w:br/>
        <w:t xml:space="preserve">    indemnizatorio y que el cálculo se había realizado a favor del ISSFA, en</w:t>
        <w:br/>
        <w:t xml:space="preserve">    que incluso la víctima quedaba adeudando a dicha institución del  Estado</w:t>
        <w:br/>
        <w:t xml:space="preserve">    la suma de US$6.076.00 (seis mil setenta y seis dólares de  los  Estados</w:t>
        <w:br/>
        <w:t xml:space="preserve">    Unidos de América) por concepto de  aportes  patronales  e  individuales</w:t>
        <w:br/>
        <w:t xml:space="preserve">    desde  la  declaratoria  de  inconstitucionalidad  de  los  decretos  de</w:t>
        <w:br/>
        <w:t xml:space="preserve">    disponibilidad y baja hasta  la  efectiva  reincorporación  al  servicio</w:t>
        <w:br/>
        <w:t xml:space="preserve">    activo del señor Mejía Idrovo, lo cual fue también expresado por  Estado</w:t>
        <w:br/>
        <w:t xml:space="preserve">    en la audiencia pública. Este Tribunal considera que estas declaraciones</w:t>
        <w:br/>
        <w:t xml:space="preserve">    del Estado no pueden restar efecto a las pruebas documentales  y  a  las</w:t>
        <w:br/>
        <w:t xml:space="preserve">    manifestaciones del Estado en el trámite ante la Comisión y la Corte  en</w:t>
        <w:br/>
        <w:t xml:space="preserve">    las que Ecuador expresó explícita y reiteradamente que “el  monto  total</w:t>
        <w:br/>
        <w:t xml:space="preserve">    que se reconoció  por  daño  material  fue  de  [US]$194.895,81”.  Dicha</w:t>
        <w:br/>
        <w:t xml:space="preserve">    posición ha sido ratificada posteriormente por el Estado en los alegatos</w:t>
        <w:br/>
        <w:t xml:space="preserve">    finales enviados a este Tribunal el 28 de marzo 2011.</w:t>
        <w:br/>
        <w:br/>
        <w:t>155. Además, la Corte nota que el Ministerio de  Defensa  –Fuerza  Terrestre</w:t>
        <w:br/>
        <w:t xml:space="preserve">    canceló al ISSFA la cantidad de US$570.772,86  (quinientos  setenta  mil</w:t>
        <w:br/>
        <w:t xml:space="preserve">    setecientos setenta y dos dólares de los Estados Unidos de  América  con</w:t>
        <w:br/>
        <w:t xml:space="preserve">    ochenta y seis  centavos),  a  fin  de  habilitar  las  condiciones  del</w:t>
        <w:br/>
        <w:t xml:space="preserve">    reingreso al servicio activo del señor Mejía Idrovo[112].  Sin  embargo,</w:t>
        <w:br/>
        <w:t xml:space="preserve">    este Tribunal considera que se desprende del  expediente  que  hasta  la</w:t>
        <w:br/>
        <w:t xml:space="preserve">    presente fecha ningún pago, con o sin intermediación del  ISSFA,  se  ha</w:t>
        <w:br/>
        <w:t xml:space="preserve">    realizado directamente en favor de la víctima.</w:t>
        <w:br/>
        <w:br/>
        <w:t>156.  En  atención  a  la  coincidencia  entre  las  partes  con  el   monto</w:t>
        <w:br/>
        <w:t xml:space="preserve">    establecido por el propio Estado para reparar  los  daños  materiales  e</w:t>
        <w:br/>
        <w:t xml:space="preserve">    inmateriales sufridos por la víctima, la Corte,  en  el  presente  caso,</w:t>
        <w:br/>
        <w:t xml:space="preserve">    estima  pertinente  acoger  el  monto  de  US$  358.033,59  (trescientos</w:t>
        <w:br/>
        <w:t xml:space="preserve">    cincuenta y ocho mil treinta y tres dólares de  los  Estados  Unidos  de</w:t>
        <w:br/>
        <w:t xml:space="preserve">    América con cincuenta y nueve centavos) propuesto por Ecuador,  el  cual</w:t>
        <w:br/>
        <w:t xml:space="preserve">    se encuentra calculado hasta junio de 2009.  Posteriormente,  el  Estado</w:t>
        <w:br/>
        <w:t xml:space="preserve">    remitió  a  la  Corte  nueva  información[113]  que   incluye   lo   que</w:t>
        <w:br/>
        <w:t xml:space="preserve">    correspondería al período comprendido entre junio de 2009  a  septiembre</w:t>
        <w:br/>
        <w:t xml:space="preserve">    de 2010 hasta la reincorporación del señor Mejía Idrovo  a  las  fuerzas</w:t>
        <w:br/>
        <w:t xml:space="preserve">    armadas. Teniendo en cuenta los parámetros del cálculo remitido  por  el</w:t>
        <w:br/>
        <w:t xml:space="preserve">    Estado, este Tribunal fija, en  equidad,  la  cantidad  de  US$26,000.00</w:t>
        <w:br/>
        <w:t xml:space="preserve">    (veintiséis mil dólares  de  los  Estados  Unidos  de  América)  por  el</w:t>
        <w:br/>
        <w:t xml:space="preserve">    mencionado período, que se  adiciona  al  monto  por  concepto  de  daño</w:t>
        <w:br/>
        <w:t xml:space="preserve">    material antes indicado. Por lo tanto, la Corte considera que el  Estado</w:t>
        <w:br/>
        <w:t xml:space="preserve">    debe pagar  al  señor  Mejía  Idrovo  la  suma  total  de  US$384,033.59</w:t>
        <w:br/>
        <w:t xml:space="preserve">    (trescientos ochenta y cuatro mil treinta y tres dólares de los  Estados</w:t>
        <w:br/>
        <w:t xml:space="preserve">    Unidos  de  América  con  cincuenta  y  nueve  centavos)  a  título   de</w:t>
        <w:br/>
        <w:t xml:space="preserve">    indemnización compensatoria por los  daños  materiales  e  inmateriales.</w:t>
        <w:br/>
        <w:t xml:space="preserve">    Dicho monto deberá ser pagado al señor Mejía Idrovo en el  plazo  de  un</w:t>
        <w:br/>
        <w:t xml:space="preserve">    año, a partir de la  notificación  de  la  presente  Sentencia,  sin  la</w:t>
        <w:br/>
        <w:t xml:space="preserve">    aplicación de ningún descuento o deducción por concepto de impuestos.</w:t>
        <w:br/>
        <w:br/>
        <w:br/>
        <w:t xml:space="preserve">      Costas y Gastos</w:t>
        <w:br/>
        <w:br/>
        <w:br/>
        <w:t>157. Como ya lo ha  señalado  la  Corte  en  oportunidades  anteriores,  las</w:t>
        <w:br/>
        <w:t xml:space="preserve">    costas y gastos están comprendidos dentro  del  concepto  de  reparación</w:t>
        <w:br/>
        <w:t xml:space="preserve">    establecido en el artículo 63.1 de la Convención Americana[114].</w:t>
        <w:br/>
        <w:br/>
        <w:t>158. La Comisión solicitó que “una vez escuchados los representantes  de  la</w:t>
        <w:br/>
        <w:t xml:space="preserve">    víctima”, el Tribunal ordene al Estado el pago de las costas  originadas</w:t>
        <w:br/>
        <w:t xml:space="preserve">    a nivel nacional, así como las originadas en  la  tramitación  del  caso</w:t>
        <w:br/>
        <w:t xml:space="preserve">    ante la  Comisión  y  las  que  se  originen  como  consecuencia  de  su</w:t>
        <w:br/>
        <w:t xml:space="preserve">    tramitación ante la Corte debidamente probadas por los representantes.</w:t>
        <w:br/>
        <w:br/>
        <w:t>159. Los  representantes  solicitaron  a  la  Corte  que  ordene  al  Estado</w:t>
        <w:br/>
        <w:t xml:space="preserve">    reintegrar los gastos y costas en que incurrió la víctima  por  concepto</w:t>
        <w:br/>
        <w:t xml:space="preserve">    de asesoría legal realizados para su defensa en los procesos llevados  a</w:t>
        <w:br/>
        <w:t xml:space="preserve">    cabo a nivel interno e internacional. En específico, en  su  escrito  de</w:t>
        <w:br/>
        <w:t xml:space="preserve">    solicitudes  y  argumentos  solicitaron  el  reintegro  de  los   gastos</w:t>
        <w:br/>
        <w:t xml:space="preserve">    realizados por CEDHU con motivo de su representación ante las instancias</w:t>
        <w:br/>
        <w:t xml:space="preserve">    internacionales, principalmente relativo a costos  de  comunicaciones  y</w:t>
        <w:br/>
        <w:t xml:space="preserve">    viajes realizados por un abogado  de  dicha  representación  durante  la</w:t>
        <w:br/>
        <w:t xml:space="preserve">    tramitación del caso ante la Comisión y consideraron los gastos  en  que</w:t>
        <w:br/>
        <w:t xml:space="preserve">    incurrían en el trámite ante esta Corte.  En  consecuencia,  solicitaron</w:t>
        <w:br/>
        <w:t xml:space="preserve">    que la Corte ordene  el  pago  de  costas  y  gastos  por  un  monto  de</w:t>
        <w:br/>
        <w:t xml:space="preserve">    US$15,000.00 (quince mil dólares de  los  Estados  Unidos  de  América).</w:t>
        <w:br/>
        <w:t xml:space="preserve">    Posteriormente, en su escrito de  alegatos  finales,  señalaron  que  el</w:t>
        <w:br/>
        <w:t xml:space="preserve">    señor Mejía Idrovo contrató los servicios profesionales del señor Edison</w:t>
        <w:br/>
        <w:t xml:space="preserve">    Burbano Portilla por la cantidad de US$30.000,00 (treinta mil dólares de</w:t>
        <w:br/>
        <w:t xml:space="preserve">    los Estados Unidos de América), los cuales serían pagaderos una  vez  el</w:t>
        <w:br/>
        <w:t xml:space="preserve">    señor  Mejía  Idrovo  fuera  integrado  al  servicio  activo,  y  se  le</w:t>
        <w:br/>
        <w:t xml:space="preserve">    reconozcan los daños causados, y  remitieron  los  comprobantes  de  los</w:t>
        <w:br/>
        <w:t xml:space="preserve">    gastos de pasajes aéreos del coronel Mejía Idrovo y de su abogado Xavier</w:t>
        <w:br/>
        <w:t xml:space="preserve">    Mejía  para  trasladarse  a  una  sesión  de  trabajo  a   la   Comisión</w:t>
        <w:br/>
        <w:t xml:space="preserve">    Interamericana en el año 2008, así como los comprobantes relativos a los</w:t>
        <w:br/>
        <w:t xml:space="preserve">    gastos incurridos para su asistencia a la audiencia  pública  ante  esta</w:t>
        <w:br/>
        <w:t xml:space="preserve">    Corte por la cantidad de US$4.022,88 (cuatro mil  veintidós  dólares  de</w:t>
        <w:br/>
        <w:t xml:space="preserve">    los Estados Unidos de América). En suma, los representantes  solicitaron</w:t>
        <w:br/>
        <w:t xml:space="preserve">    el reembolso de gastos por un total aproximado de US$34.000,00  (treinta</w:t>
        <w:br/>
        <w:t xml:space="preserve">    y cuatro mil dólares de los Estados  Unidos  de  América).  Respecto  de</w:t>
        <w:br/>
        <w:t xml:space="preserve">    gastos realizados por CEDHU, en el trámite internacional y equivalente a</w:t>
        <w:br/>
        <w:t xml:space="preserve">    nueve  años  de  litigio,   los   representantes,   remitieron   “alguna</w:t>
        <w:br/>
        <w:t xml:space="preserve">    información disponible respecto a gastos ante la Comisión y  […]  en  la</w:t>
        <w:br/>
        <w:t xml:space="preserve">    fase del procedimiento adelantado ante la Corte”, consideraron que sería</w:t>
        <w:br/>
        <w:t xml:space="preserve">    razonable que la Corte ordene al Estado que reintegre  a  la  CEDHU  “la</w:t>
        <w:br/>
        <w:t xml:space="preserve">    cantidad de 15.000 dólares”. Sin embargo, careciendo de  evidencias  “de</w:t>
        <w:br/>
        <w:t xml:space="preserve">    todos los gastos incurridos”,  los  representantes  solicitaron  que  el</w:t>
        <w:br/>
        <w:t xml:space="preserve">    Tribunal “determine cuanto debe reintegrar el Estado a la CEDHU” en base</w:t>
        <w:br/>
        <w:t xml:space="preserve">    a su jurisprudencia y a la equidad.</w:t>
        <w:br/>
        <w:br/>
        <w:t>160. El  Estado  no  ha  tomado  posición  sobre  las  pretensiones  de  los</w:t>
        <w:br/>
        <w:t xml:space="preserve">    representantes en materia de costas y gastos.</w:t>
        <w:br/>
        <w:br/>
        <w:t>161. Como lo ha señalado la Corte, las  costas  y  gastos  hacen  parte  del</w:t>
        <w:br/>
        <w:t xml:space="preserve">    concepto de reparación, toda vez que la  actividad  desplegada  por  las</w:t>
        <w:br/>
        <w:t xml:space="preserve">    víctimas con el fin de obtener justicia, tanto  a  nivel  nacional  como</w:t>
        <w:br/>
        <w:t xml:space="preserve">    internacional, implica erogaciones que deben ser compensadas  cuando  la</w:t>
        <w:br/>
        <w:t xml:space="preserve">    responsabilidad internacional  del  Estado  es  declarada  mediante  una</w:t>
        <w:br/>
        <w:t xml:space="preserve">    sentencia  condenatoria.  En  cuanto  a  su  reembolso,  corresponde  al</w:t>
        <w:br/>
        <w:t xml:space="preserve">    Tribunal apreciar prudentemente su alcance, el cual comprende los gastos</w:t>
        <w:br/>
        <w:t xml:space="preserve">    generados ante las autoridades de la jurisdicción interna, así como  los</w:t>
        <w:br/>
        <w:t xml:space="preserve">    generados en el curso del proceso ante este Tribunal, teniendo en cuenta</w:t>
        <w:br/>
        <w:t xml:space="preserve">    las circunstancias del caso concreto y la naturaleza de la  jurisdicción</w:t>
        <w:br/>
        <w:t xml:space="preserve">    internacional de protección de los derechos  humanos.  Esta  apreciación</w:t>
        <w:br/>
        <w:t xml:space="preserve">    puede ser realizada con base en el principio de  equidad  y  tomando  en</w:t>
        <w:br/>
        <w:t xml:space="preserve">    cuenta los gastos señalados por las partes, siempre que su  quantum  sea</w:t>
        <w:br/>
        <w:t xml:space="preserve">    razonable[115].</w:t>
        <w:br/>
        <w:br/>
        <w:t>162. El Tribunal ha señalado reiteradamente que  “las  pretensiones  de  las</w:t>
        <w:br/>
        <w:t xml:space="preserve">    víctimas o sus representantes en materia  de  costas  y  gastos,  y  las</w:t>
        <w:br/>
        <w:t xml:space="preserve">    pruebas que los sustentan, deben presentarse a la  Corte  en  el  primer</w:t>
        <w:br/>
        <w:t xml:space="preserve">    momento procesal  que  se  les  concede,  esto  es,  en  el  escrito  de</w:t>
        <w:br/>
        <w:t xml:space="preserve">    solicitudes y argumentos, sin perjuicio de que  tales   pretensiones  se</w:t>
        <w:br/>
        <w:t xml:space="preserve">    actualicen en un momento posterior,  conforme  a  las  nuevas  costas  y</w:t>
        <w:br/>
        <w:t xml:space="preserve">    gastos que se haya incurrido en el procedimiento[116].  Al respecto,  se</w:t>
        <w:br/>
        <w:t xml:space="preserve">    constató que los representantes incurrieron en gastos  relacionados  con</w:t>
        <w:br/>
        <w:t xml:space="preserve">    la tramitación del presente caso ante la jurisdicción interna, así  como</w:t>
        <w:br/>
        <w:t xml:space="preserve">    ante la Comisión y este Tribunal relativos  a  servicios  profesionales,</w:t>
        <w:br/>
        <w:t xml:space="preserve">    envío de documentos, compra  de  tiquetes  aéreos,  hospedaje,  y  otros</w:t>
        <w:br/>
        <w:t xml:space="preserve">    gastos relacionados con la solicitud visas e impuestos de salida,  etc.,</w:t>
        <w:br/>
        <w:t xml:space="preserve">    con ocasión de la celebración de la audiencia pública en San José, Costa</w:t>
        <w:br/>
        <w:t xml:space="preserve">    Rica, para lo cual remitieron los comprobantes respectivos. No obstante,</w:t>
        <w:br/>
        <w:t xml:space="preserve">    la Corte nota que los comprobantes y  la  solicitud  del  pago  por  los</w:t>
        <w:br/>
        <w:t xml:space="preserve">    servicios profesionales del señor Edison Burbano  Portilla,  los  gastos</w:t>
        <w:br/>
        <w:t xml:space="preserve">    relacionados con el traslado y estadía del abogado Xavier  Mejía  y  del</w:t>
        <w:br/>
        <w:t xml:space="preserve">    señor Mejía Idrovo en la Ciudad de Washington en el año 2008,  así  como</w:t>
        <w:br/>
        <w:t xml:space="preserve">    respecto a algunos gastos incurridos por  CEDHU  ante  la  Comisión  fue</w:t>
        <w:br/>
        <w:t xml:space="preserve">    presentada  extemporáneamente  (supra  párr.   39)   y   por   ende   es</w:t>
        <w:br/>
        <w:t xml:space="preserve">    improcedente.</w:t>
        <w:br/>
        <w:br/>
        <w:t>163. Sin perjuicio de lo anterior, y teniendo en cuenta  que  la  víctima  o</w:t>
        <w:br/>
        <w:t xml:space="preserve">    sus representantes han incurrido en determinados gastos, la  Corte  fija</w:t>
        <w:br/>
        <w:t xml:space="preserve">    en equidad una cantidad total de US$15,000.00 (quince mil dólares de los</w:t>
        <w:br/>
        <w:t xml:space="preserve">    Estados Unidos de América) por concepto de costas y gastos incurridos en</w:t>
        <w:br/>
        <w:t xml:space="preserve">    el litigio  del  proceso  interamericano  en  el  presente  caso.  Dicha</w:t>
        <w:br/>
        <w:t xml:space="preserve">    cantidad deberá ser entregada al señor Mejía  Idrovo,  quien  a  su  vez</w:t>
        <w:br/>
        <w:t xml:space="preserve">    deberá  entregar  la  cantidad  que  corresponda  a   las   personas   u</w:t>
        <w:br/>
        <w:t xml:space="preserve">    organizaciones que lo hayan representado.</w:t>
        <w:br/>
        <w:br/>
        <w:t>164. En el procedimiento de  supervisión  de  cumplimiento  de  la  presente</w:t>
        <w:br/>
        <w:t xml:space="preserve">    Sentencia, el Tribunal podrá disponer el reembolso por parte del  Estado</w:t>
        <w:br/>
        <w:t xml:space="preserve">    a la víctima o sus representantes de los gastos  razonables  debidamente</w:t>
        <w:br/>
        <w:t xml:space="preserve">    comprobados.</w:t>
        <w:br/>
        <w:br/>
        <w:br/>
        <w:t xml:space="preserve">      Modalidades de cumplimiento de los pagos ordenados</w:t>
        <w:br/>
        <w:br/>
        <w:br/>
        <w:t>165. El Estado deberá efectuar el pago de las indemnizaciones  por  concepto</w:t>
        <w:br/>
        <w:t xml:space="preserve">    de daño material e inmaterial al señor  Mejía  Idrovo,  y  el  pago  por</w:t>
        <w:br/>
        <w:t xml:space="preserve">    concepto de costas y gastos directamente a la víctima dentro  del  plazo</w:t>
        <w:br/>
        <w:t xml:space="preserve">    de un año contado a partir de la notificación de la presente  Sentencia,</w:t>
        <w:br/>
        <w:t xml:space="preserve">    en los términos de los párrafos siguientes.</w:t>
        <w:br/>
        <w:br/>
        <w:t>166. Las indemnizaciones  establecidas  por  concepto  de  daño  material  e</w:t>
        <w:br/>
        <w:t xml:space="preserve">    inmaterial no excluyen cualquier otro beneficio que por ley pudiera  ser</w:t>
        <w:br/>
        <w:t xml:space="preserve">    acreedor el señor Mejía Idrovo de acuerdo a las normas del Ecuador.</w:t>
        <w:br/>
        <w:br/>
        <w:t>167. En caso de que el beneficiario fallezca antes de que le  sea  entregada</w:t>
        <w:br/>
        <w:t xml:space="preserve">    la indemnización  respectiva,  ésta  se  efectuará  directamente  a  sus</w:t>
        <w:br/>
        <w:t xml:space="preserve">    derechohabientes, conforme al derecho interno aplicable.</w:t>
        <w:br/>
        <w:br/>
        <w:t>168. El Estado debe cumplir sus obligaciones mediante el pago en dólares  de</w:t>
        <w:br/>
        <w:t xml:space="preserve">    los Estados Unidos de América.</w:t>
        <w:br/>
        <w:br/>
        <w:t>169. Si por causas atribuibles al beneficiario de las  indemnizaciones  o  a</w:t>
        <w:br/>
        <w:t xml:space="preserve">    sus derechohabientes, respectivamente, no fuese posible  que  éstos  las</w:t>
        <w:br/>
        <w:t xml:space="preserve">    reciban dentro del plazo indicado, el Estado consignará dichos montos  a</w:t>
        <w:br/>
        <w:t xml:space="preserve">    su favor en una cuenta o certificado  de  depósito  en  una  institución</w:t>
        <w:br/>
        <w:t xml:space="preserve">    financiera, en dólares estadounidenses y en las condiciones  financieras</w:t>
        <w:br/>
        <w:t xml:space="preserve">    más favorables que permitan la legislación y la práctica bancaria. Si al</w:t>
        <w:br/>
        <w:t xml:space="preserve">    cabo de 10 años la indemnización no ha sido  reclamada,  las  cantidades</w:t>
        <w:br/>
        <w:t xml:space="preserve">    serán devueltas al Estado con los intereses devengados.</w:t>
        <w:br/>
        <w:br/>
        <w:t>170. Las cantidades asignadas en la presente Sentencia como  indemnizaciones</w:t>
        <w:br/>
        <w:t xml:space="preserve">    y como reintegro de costas y gastos deberán ser entregadas a la  persona</w:t>
        <w:br/>
        <w:t xml:space="preserve">    indicada en forma íntegra conforme a lo establecido en este  Fallo,  sin</w:t>
        <w:br/>
        <w:t xml:space="preserve">    reducciones derivadas de eventuales cargas fiscales.</w:t>
        <w:br/>
        <w:br/>
        <w:t>171. En caso de que el Estado incurriera en mora, deberá  pagar  un  interés</w:t>
        <w:br/>
        <w:t xml:space="preserve">    sobre  la  cantidad  adeudada,  correspondiente  al   interés   bancario</w:t>
        <w:br/>
        <w:t xml:space="preserve">    moratorio en Ecuador.</w:t>
        <w:br/>
        <w:br/>
        <w:br/>
        <w:br/>
        <w:br/>
        <w:br/>
        <w:t xml:space="preserve">                             Puntos Resolutivos</w:t>
        <w:br/>
        <w:br/>
        <w:br/>
        <w:t>172. Por tanto,</w:t>
        <w:br/>
        <w:br/>
        <w:t>LA CORTE</w:t>
        <w:br/>
        <w:br/>
        <w:br/>
        <w:t>DECIDE:</w:t>
        <w:br/>
        <w:br/>
        <w:br/>
        <w:t>Por unanimidad, que,</w:t>
        <w:br/>
        <w:br/>
        <w:br/>
        <w:t>1. Desestimar las excepciones preliminares interpuestas por  el  Estado,  en</w:t>
        <w:br/>
        <w:t>los términos de los párrafos 18 al 23 y 27 al 34 de la presente Sentencia.</w:t>
        <w:br/>
        <w:br/>
        <w:br/>
        <w:t>DECLARA:</w:t>
        <w:br/>
        <w:br/>
        <w:br/>
        <w:t>Por unanimidad, que</w:t>
        <w:br/>
        <w:br/>
        <w:br/>
        <w:t>1.    No corresponde emitir un pronunciamiento sobre  la  alegada  violación</w:t>
        <w:br/>
        <w:t>del  debido  proceso  establecido  en  el  artículo  8.1  de  la  Convención</w:t>
        <w:br/>
        <w:t>Americana sobre Derechos Humanos, en los términos de los párrafos 63 y 64  y</w:t>
        <w:br/>
        <w:t>68 al 84 de la presente Sentencia.</w:t>
        <w:br/>
        <w:br/>
        <w:br/>
        <w:t xml:space="preserve">                    2. El Estado es responsable por la violación del derecho</w:t>
        <w:br/>
        <w:t xml:space="preserve">                       a la protección judicial establecido en los artículos</w:t>
        <w:br/>
        <w:t xml:space="preserve">                       25.1 y  25.2.c)  de  la  Convención  Americana  sobre</w:t>
        <w:br/>
        <w:t xml:space="preserve">                       Derechos Humanos, en relación con el artículo 1.1  de</w:t>
        <w:br/>
        <w:t xml:space="preserve">                       ese instrumento, en perjuicio de José  Alfredo  Mejía</w:t>
        <w:br/>
        <w:t xml:space="preserve">                       Idrovo, en los términos de los párrafos 89 al 112  de</w:t>
        <w:br/>
        <w:t xml:space="preserve">                       la presente Sentencia.</w:t>
        <w:br/>
        <w:br/>
        <w:br/>
        <w:t xml:space="preserve">                    3. No fue demostrado que  el  Estado  incumplió  con  la</w:t>
        <w:br/>
        <w:t xml:space="preserve">                       obligación  contenida  en  el  artículo   2   de   la</w:t>
        <w:br/>
        <w:t xml:space="preserve">                       Convención  Americana  sobre  Derechos  Humanos,   en</w:t>
        <w:br/>
        <w:t xml:space="preserve">                       perjuicio  de  José  Alfredo  Mejía  Idrovo,  en  los</w:t>
        <w:br/>
        <w:t xml:space="preserve">                       términos del párrafo 115 de la presente Sentencia.</w:t>
        <w:br/>
        <w:br/>
        <w:br/>
        <w:t xml:space="preserve">                    4. No corresponde emitir  un  pronunciamiento  sobre  la</w:t>
        <w:br/>
        <w:t xml:space="preserve">                       alegada violación del derecho a la igualdad  ante  la</w:t>
        <w:br/>
        <w:t xml:space="preserve">                       Ley establecido en el artículo 24  de  la  Convención</w:t>
        <w:br/>
        <w:t xml:space="preserve">                       Americana sobre Derechos Humanos, de conformidad  con</w:t>
        <w:br/>
        <w:t xml:space="preserve">                       los párrafos 120 al 125 de la presente Sentencia.</w:t>
        <w:br/>
        <w:br/>
        <w:br/>
        <w:t xml:space="preserve">                    5. El Estado cumplió con su deber de reincorporar en  su</w:t>
        <w:br/>
        <w:t xml:space="preserve">                       cargo  a  José  Alfredo  Mejía  Idrovo,  y  con  ello</w:t>
        <w:br/>
        <w:t xml:space="preserve">                       restituir  sus  derechos,  en  los  términos  de  los</w:t>
        <w:br/>
        <w:t xml:space="preserve">                       párrafos 137 y 138 de la presente Sentencia.</w:t>
        <w:br/>
        <w:br/>
        <w:br/>
        <w:t>DISPONE:</w:t>
        <w:br/>
        <w:br/>
        <w:br/>
        <w:t>Por unanimidad, que,</w:t>
        <w:br/>
        <w:br/>
        <w:br/>
        <w:t xml:space="preserve">   1. Esta Sentencia constituye per se una forma de reparación.</w:t>
        <w:br/>
        <w:br/>
        <w:t xml:space="preserve">   2. El Estado debe realizar las publicaciones ordenadas en el párrafo  141</w:t>
        <w:br/>
        <w:t xml:space="preserve">      de esta Sentencia, en la forma y en el plazo indicado en el mencionado</w:t>
        <w:br/>
        <w:t xml:space="preserve">      párrafo del Fallo.</w:t>
        <w:br/>
        <w:br/>
        <w:t xml:space="preserve">   3. El Estado debe pagar las cantidades fijadas en los párrafos 156 y 163,</w:t>
        <w:br/>
        <w:t xml:space="preserve">      dentro de los plazos respectivos, por concepto de indemnizaciones  por</w:t>
        <w:br/>
        <w:t xml:space="preserve">      daños materiales e inmateriales, y costas y gastos, en los términos  y</w:t>
        <w:br/>
        <w:t xml:space="preserve">      condiciones indicados en los párrafos 150 al 155 y 161, 162 y  164  de</w:t>
        <w:br/>
        <w:t xml:space="preserve">      la presente Sentencia.</w:t>
        <w:br/>
        <w:br/>
        <w:t xml:space="preserve">   4. Dentro del plazo de un año contado a partir de la notificación de esta</w:t>
        <w:br/>
        <w:t xml:space="preserve">      Sentencia y a los efectos de la supervisión, el Estado debe rendir  al</w:t>
        <w:br/>
        <w:t xml:space="preserve">      Tribunal un informe sobre las medidas adoptadas para ello.</w:t>
        <w:br/>
        <w:br/>
        <w:t xml:space="preserve">   5. La Corte dará por concluido el presente caso una  vez  que  el  Estado</w:t>
        <w:br/>
        <w:t xml:space="preserve">      haya dado cabal cumplimiento a lo dispuesto en la misma.</w:t>
        <w:br/>
        <w:br/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t>Leonardo  A.  Franco                                             Manuel   E.</w:t>
        <w:br/>
        <w:t>Ventura Robles</w:t>
        <w:br/>
        <w:br/>
        <w:br/>
        <w:br/>
        <w:br/>
        <w:t>Margarette May Macaulay                                     Rhadys Abreu</w:t>
        <w:br/>
        <w:t>Blondet</w:t>
        <w:br/>
        <w:br/>
        <w:br/>
        <w:br/>
        <w:br/>
        <w:t xml:space="preserve">                             Eduardo Vio Grossi</w:t>
        <w:br/>
        <w:br/>
        <w:br/>
        <w:br/>
        <w:br/>
        <w:br/>
        <w:br/>
        <w:br/>
        <w:t xml:space="preserve">                          Pablo Saavedra Alesandri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t>-----------------------</w:t>
        <w:br/>
        <w:t>(     El Juez Alberto Pérez Pérez, informó al Tribunal que  por  motivos  de</w:t>
        <w:br/>
        <w:t>fuerza mayor no podía estar presente  en  la  deliberación  de  la  presente</w:t>
        <w:br/>
        <w:t>Sentencia.</w:t>
        <w:br/>
        <w:t>((    La Secretaria Adjunta, Emilia Segares Rodríguez, informó  al  Tribunal</w:t>
        <w:br/>
        <w:t>que por motivos de fuerza mayor no podía estar presente en  la  deliberación</w:t>
        <w:br/>
        <w:t>de la presente Sentencia.</w:t>
        <w:br/>
        <w:t>(((   Conforme a lo dispuesto en el  artículo  79.1  del  Reglamento  de  la</w:t>
        <w:br/>
        <w:t>Corte Interamericana que entró en vigor el 1 de enero de 2010, “[l]os  casos</w:t>
        <w:br/>
        <w:t>contenciosos que ya se hubiesen sometido a  la  consideración  de  la  Corte</w:t>
        <w:br/>
        <w:t>antes del 1 de enero de 2010 se continuarán tramitando, hasta que  se  emita</w:t>
        <w:br/>
        <w:t>sentencia, conforme al Reglamento anterior”. De ese modo, el  Reglamento  de</w:t>
        <w:br/>
        <w:t>la Corte aplicado en el presente caso corresponde  al  instrumento  aprobado</w:t>
        <w:br/>
        <w:t>por el Tribunal en su XLIX Período Ordinario de Sesiones celebrado del 16  a</w:t>
        <w:br/>
        <w:t>25 de noviembre de 2000, reformado parcialmente por la Corte  en  su  LXXXII</w:t>
        <w:br/>
        <w:t>Período Ordinario de Sesiones, celebrado del 19 al 31 de enero  de  2009,  y</w:t>
        <w:br/>
        <w:t>que estuvo en vigor desde el 24 de marzo de 2009 hasta  el  1  de  enero  de</w:t>
        <w:br/>
        <w:t>2010.</w:t>
        <w:br/>
        <w:t>[1]   La Comisión concluyó  que  es  competente  para  examinar  el  reclamo</w:t>
        <w:br/>
        <w:t>presentado por los peticionarios sobre  las  presuntas  violaciones  de  los</w:t>
        <w:br/>
        <w:t>artículos 8.1 y 25.2.c) de la Convención  Americana,  en  relación  con  las</w:t>
        <w:br/>
        <w:t>obligaciones genéricas del artículo 1.1 de dicho  tratado,  conforme  a  los</w:t>
        <w:br/>
        <w:t>requisitos  establecidos  en  los  artículos  46  y  47  de  la  Convención.</w:t>
        <w:br/>
        <w:t>Asimismo, la Comisión declaró  inadmisible  los  extremos  referidos  a  los</w:t>
        <w:br/>
        <w:t>artículos 2, 17 y 24 de la Convención Americana  y  declaró  que  el  Estado</w:t>
        <w:br/>
        <w:t>violó los artículos 8.1 y 25 de la Convención Americana, en conexión con  el</w:t>
        <w:br/>
        <w:t>artículo 1.1 de dicho instrumento, en perjuicio del señor Mejía Idrovo.</w:t>
        <w:br/>
        <w:br/>
        <w:t>[2]   Nota aclaratoria: En octubre de 2008, mediante  referéndum,  entró  en</w:t>
        <w:br/>
        <w:t>vigencia una nueva Constitución Política en el Ecuador.  A  partir  de  este</w:t>
        <w:br/>
        <w:t>momento,  el  Tribunal  Constitucional  del  Ecuador  se   denomina   “Corte</w:t>
        <w:br/>
        <w:t>Constitucional del Ecuador”.  Teniendo en cuenta lo anterior, esta Corte  se</w:t>
        <w:br/>
        <w:t>referirá  a  este  organismo  como  “Tribunal  Constitucional”   para   toda</w:t>
        <w:br/>
        <w:t>resolución emitida antes de octubre del  2008  y  se  utilizará  el  término</w:t>
        <w:br/>
        <w:t>“Corte Constitucional” para toda resolución emitida después de dicha fecha.</w:t>
        <w:br/>
        <w:t>[3]   Cuando se notificó la  demanda  al  Estado  se  le  informó  sobre  su</w:t>
        <w:br/>
        <w:t>derecho a designar un Juez ad hoc para que participara en  la  consideración</w:t>
        <w:br/>
        <w:t>del caso. El 11 de febrero  de  2010  el  Estado  designó  al  señor  Hernán</w:t>
        <w:br/>
        <w:t>Salgado Pesantes como Juez ad hoc. Sin embargo, el 2 de  marzo  de  2010  el</w:t>
        <w:br/>
        <w:t>señor Salgado Pesantes informó al Tribunal que  al  ser  consultado  por  la</w:t>
        <w:br/>
        <w:t>Procuraduría General del Estado aceptó el cargo, pero posteriormente  “luego</w:t>
        <w:br/>
        <w:t>de verificar alguna información concerniente a este caso, [pudo]  establecer</w:t>
        <w:br/>
        <w:t>que el ciudadano demandante  reclamó  ante  el  Tribunal  Constitucional  de</w:t>
        <w:br/>
        <w:t>Ecuador por la presunta violación de sus derechos y lo hizo en una época  en</w:t>
        <w:br/>
        <w:t>que [él] formaba parte de ese  organismo.  [Tiene]  la  seguridad  de  haber</w:t>
        <w:br/>
        <w:t>actuado en este caso –como  miembro  del  Tribunal-  lo  que  constituye  un</w:t>
        <w:br/>
        <w:t>impedimento para que pueda participar en este asunto, de conformidad con  el</w:t>
        <w:br/>
        <w:t>artículo 19.1 del Estatuto de  la  Corte  Interamericana”,  en  consecuencia</w:t>
        <w:br/>
        <w:t>presentó su excusa  para  conocer  el  caso.  El  4  de  marzo  de  2010  la</w:t>
        <w:br/>
        <w:t>Secretaría, siguiendo instrucciones  del  Presidente,  admitió  la  referida</w:t>
        <w:br/>
        <w:t>excusa.</w:t>
        <w:br/>
        <w:br/>
        <w:t>[4]   A esta audiencia comparecieron: a)  por  la  Comisión  Interamericana,</w:t>
        <w:br/>
        <w:t>Paulo Sérgio Pinheiro, Comisionado, y  Lilly  Ching,  Asesora;  b)  por  los</w:t>
        <w:br/>
        <w:t>representantes de las presuntas víctimas, César Duque, de la CEDHU y  Xavier</w:t>
        <w:br/>
        <w:t>Mauricio Mejía Herrera, y c) por el Estado, Erick Roberts  Garcés,  Director</w:t>
        <w:br/>
        <w:t>Nacional  de  Derechos  Humanos,  Agente;  Alonso  Fonseca  Garcés,  Abogado</w:t>
        <w:br/>
        <w:t>Supervisor de Litigios 2, Agente Alterno, Carlos Espinoza,  Asesor  Jurídico</w:t>
        <w:br/>
        <w:t>del Ministerio de  Defensa,  y  Anabell  Rubio,  Jefa  de  Afiliaciones  del</w:t>
        <w:br/>
        <w:t>Instituto de Seguridad Social de las Fuerzas Armadas.</w:t>
        <w:br/>
        <w:t>[5]   Cfr. Caso Acevedo Jaramillo y otros Vs.  Perú.  Interpretación  de  la</w:t>
        <w:br/>
        <w:t>Sentencia  de  Excepciones  Preliminares,  Fondo,  Reparaciones  y   Costas.</w:t>
        <w:br/>
        <w:t>Sentencia de 24 de noviembre de 2006.  Serie  C  No.  157,  párr.  66;  Caso</w:t>
        <w:br/>
        <w:t>Perozo y otros Vs. Venezuela. Excepciones Preliminares, Fondo,  Reparaciones</w:t>
        <w:br/>
        <w:t>y Costas. Sentencia de 28 de enero de 2009. Serie C No.  195,  párr.  64,  y</w:t>
        <w:br/>
        <w:t>Caso Cabrera García y  Montiel  Flores  Vs.  México.  Excepción  Preliminar,</w:t>
        <w:br/>
        <w:t>Fondo, Reparaciones y Costas. Sentencia de 26 de noviembre de 2010. Serie  C</w:t>
        <w:br/>
        <w:t>No. 220, párr. 16.</w:t>
        <w:br/>
        <w:br/>
        <w:t>[6]   En el  Preámbulo  de  la  Convención  Americana  se  sostiene  que  la</w:t>
        <w:br/>
        <w:t>protección  internacional  es  “de  naturaleza  convencional  coadyuvante  o</w:t>
        <w:br/>
        <w:t>complementaria  de  la  que  ofrece  el  derecho  interno  de  los   Estados</w:t>
        <w:br/>
        <w:t>americanos”. Ver también, El Efecto de las  Reservas  sobre  la  Entrada  en</w:t>
        <w:br/>
        <w:t>Vigencia de la Convención Americana sobre Derechos Humanos (arts. 74 y  75).</w:t>
        <w:br/>
        <w:t>Opinión Consultiva OC-2/82 del 24 de septiembre de  1982.  Serie  A  No.  2,</w:t>
        <w:br/>
        <w:t>párr. 31; La Expresión "Leyes" en el Artículo 30 de la Convención  Americana</w:t>
        <w:br/>
        <w:t>sobre Derechos Humanos. Opinión Consultiva OC-6/86 del 9 de  mayo  de  1986.</w:t>
        <w:br/>
        <w:t>Serie A No. 6. Ver también Caso Velásquez  Rodríguez  Vs.  Honduras.  Fondo.</w:t>
        <w:br/>
        <w:t>Sentencia de 29 de julio de 1988. Serie C No. 4, párr  61;  y  Caso  Cabrera</w:t>
        <w:br/>
        <w:t>García y Montiel Flores Vs. México, supra nota 5, párr. 16.</w:t>
        <w:br/>
        <w:br/>
        <w:t>[7]   Cfr.  Caso  Nogueira  de  Carvalho  y  otro  vs.  Brasil.  Excepciones</w:t>
        <w:br/>
        <w:t>Preliminares y Fondo. Sentencia de 28 de noviembre  de  2006.  Serie  C  No.</w:t>
        <w:br/>
        <w:t>161, párr. 80, y Caso Cabrera García y  Montiel  Flores  Vs.  México,  supra</w:t>
        <w:br/>
        <w:t>nota 5, párr. 16.</w:t>
        <w:br/>
        <w:br/>
        <w:t>[8]   Cfr. Caso Cabrera García y Montiel Flores Vs. México,  supra  nota  5,</w:t>
        <w:br/>
        <w:t>párr. 16.</w:t>
        <w:br/>
        <w:br/>
        <w:t>[9]    Cfr.  Caso  Las  Palmeras  Vs.  Colombia.  Excepciones  Preliminares.</w:t>
        <w:br/>
        <w:t>Sentencia de 4 de febrero de 2000. Serie C No. 67,  párr.  34;  Caso  Manuel</w:t>
        <w:br/>
        <w:t>Cepeda Vargas Vs. Colombia. Excepciones Preliminares, Fondo, Reparaciones  y</w:t>
        <w:br/>
        <w:t>Costas. Sentencia 26 de mayo de 2010. Serie C No.  213,  párr.  35,  y  Caso</w:t>
        <w:br/>
        <w:t>Gomes  Lund  y  otros  (Guerrilha  do  Araguaia)  Vs.  Brasil.   Excepciones</w:t>
        <w:br/>
        <w:t>Preliminares, Fondo, Reparaciones y Costas. Sentencia de 24 de noviembre  de</w:t>
        <w:br/>
        <w:t>2010. Serie C No. 219, párr. 11.</w:t>
        <w:br/>
        <w:br/>
        <w:t>[10]  Cfr. Caso  Castañeda  Gutman  Vs.  México.  Excepciones  Preliminares,</w:t>
        <w:br/>
        <w:t>Fondo, Reparaciones y Costas. Sentencia de 6 de agosto de 2008. Serie C  No.</w:t>
        <w:br/>
        <w:t>184, párr. 39; Caso Gomes Lund y otros (Guerrilha do Araguaia)  Vs.  Brasil,</w:t>
        <w:br/>
        <w:t>supra nota 9, párr. 17, y Cabrera García y Montiel Flores Vs. México,  supra</w:t>
        <w:br/>
        <w:t>nota 5, párr. 17.</w:t>
        <w:br/>
        <w:br/>
        <w:t>[11]  Cfr. Caso de los “Niños de la Calle” (Villagrán Morales y  otros)  Vs.</w:t>
        <w:br/>
        <w:t>Guatemala. Fondo. Sentencia de 19 de noviembre de  1999.  Serie  C  No.  63,</w:t>
        <w:br/>
        <w:t>párr. 222; Caso Gomes Lund y otros  (“Guerrilha  Do  Araguaia)  Vs.  Brasil,</w:t>
        <w:br/>
        <w:t>supra nota 9, párr. 49, y Caso Cabrera García y Montiel Flores  Vs.  México,</w:t>
        <w:br/>
        <w:t>supra nota 5, párr. 19.</w:t>
        <w:br/>
        <w:br/>
        <w:br/>
        <w:t>[12]  Cfr. Caso Velásquez Rodríguez Vs. Honduras. Excepciones  Preliminares.</w:t>
        <w:br/>
        <w:t>Sentencia de 26 de junio de 1987. Serie C No.  1,  párr.  85;  Caso  Cabrera</w:t>
        <w:br/>
        <w:t>García y Montiel Flores Vs. México, supra nota 5,  párr.  19;  y  Caso  Vera</w:t>
        <w:br/>
        <w:t>Vera y  otra  Vs.  Ecuador.  Excepción  Preliminar,  Fondo,  Reparaciones  y</w:t>
        <w:br/>
        <w:t>Costas. Sentencia de 19 de mayo de 2011 Serie C No. 224, párr. 13.</w:t>
        <w:br/>
        <w:br/>
        <w:t>[13]  Cfr. Caso Velásquez Rodríguez Vs.  Honduras.  Fondo,   supra  nota  6,</w:t>
        <w:br/>
        <w:t>párr. 61, y  Caso  Fairén  Garbi  y  Solís  Corrales  Vs.  Honduras.  Fondo.</w:t>
        <w:br/>
        <w:t>Sentencia del 15 de marzo de 1989, Serie C No. 6, párr. 85.</w:t>
        <w:br/>
        <w:br/>
        <w:t>[14]  Cfr. Caso Velásquez Rodríguez Vs. Honduras. Excepciones  Preliminares,</w:t>
        <w:br/>
        <w:t>supra  nota  12,  párr.  63;  Caso  Vélez  Loor  Vs.   Panamá.   Excepciones</w:t>
        <w:br/>
        <w:t>Preliminares, Fondo, Reparaciones y Costas. Sentencia de 23 de noviembre  de</w:t>
        <w:br/>
        <w:t>2010. Serie C No. 218, párr. 19, y Caso Vera Vera y otra Vs. Ecuador,  supra</w:t>
        <w:br/>
        <w:t>nota 12, párr. 13.</w:t>
        <w:br/>
        <w:br/>
        <w:t>[15]  Cfr. Caso Velásquez Rodríguez Vs. Honduras. Excepciones  Preliminares,</w:t>
        <w:br/>
        <w:t>supra nota 12, párr. 88; Caso Gomes Lund y otros  (“Guerrilha  Do  Araguaia)</w:t>
        <w:br/>
        <w:t>Vs. Brasil, supra nota 9, párr. 38, y Caso Vera Vera  y  otra  Vs.  Ecuador,</w:t>
        <w:br/>
        <w:t>supra nota 12, párr. 14.</w:t>
        <w:br/>
        <w:br/>
        <w:t>[16]  Cfr. Caso Velásquez Rodríguez Vs. Honduras, Excepciones  Preliminares,</w:t>
        <w:br/>
        <w:t>supra nota 12, párr. 88; Caso Gomes Lund y  otros  (Guerrilha  do  Araguaia)</w:t>
        <w:br/>
        <w:t>Vs. Brasil, supra nota 9, párr. 38, y Caso Vera Vera  y  otra  Vs.  Ecuador,</w:t>
        <w:br/>
        <w:t>supra nota 12, párr. 14.</w:t>
        <w:br/>
        <w:br/>
        <w:t>[17]  Cfr. Caso Velásquez Rodríguez Vs. Honduras, Excepciones  Preliminares,</w:t>
        <w:br/>
        <w:t xml:space="preserve"> supra nota 12, párr. 88; Caso Gomes Lund y otros  (Guerrilha  do  Araguaia)</w:t>
        <w:br/>
        <w:t>Vs. Brasil, supra nota 9, párr. 38, y Caso Vera Vera  y  otra  Vs.  Ecuador,</w:t>
        <w:br/>
        <w:t>supra nota 12, párr. 14.</w:t>
        <w:br/>
        <w:br/>
        <w:t>[18]  Cfr. T.E.D.H., Caso Deweer versus Belgium, Sentencia  del  27.02.1980,</w:t>
        <w:br/>
        <w:t>párr. 26; T.E.D.H., Caso De Jong, Baljet and van den Brink  versus  Holanda,</w:t>
        <w:br/>
        <w:t>Sentencia 22.05.1984, párr. 36, y T.E.D.H.,  Caso  Paksas  versus  Lituania,</w:t>
        <w:br/>
        <w:t>Sentencia 06.01.2011, párr. 75.</w:t>
        <w:br/>
        <w:t>[19]  Cfr. Caso  de  la  “Panel  Blanca”  (Paniagua  Morales  y  otros)  Vs.</w:t>
        <w:br/>
        <w:t>Guatemala. Fondo. Sentencia de 8 de marzo de 1998. Serie  C  No.  37,  párr.</w:t>
        <w:br/>
        <w:t>76; Caso Abrill Alosilla y otros Vs. Perú.  Fondo,  Reparaciones  y  Costas.</w:t>
        <w:br/>
        <w:t>Sentencia de 4 de marzo de 2011. Serie C No. 223,  párr.  35;  y  Caso  Vera</w:t>
        <w:br/>
        <w:t>Vera y otra Vs. Ecuador, supra nota 12, párr. 19.</w:t>
        <w:br/>
        <w:t>[20]  Cfr. Caso  de  la  “Panel  Blanca”  (Paniagua  Morales  y  otros)  Vs.</w:t>
        <w:br/>
        <w:t>Guatemala. Fondo, supra nota 19, párr. 76; Caso Abrill Alosilla y otros  Vs.</w:t>
        <w:br/>
        <w:t>Perú, supra nota 19, párr. 39, y Caso Vera Vera y otra  Vs.  Ecuador,  supra</w:t>
        <w:br/>
        <w:t>nota 12,  párr. 19.</w:t>
        <w:br/>
        <w:br/>
        <w:t>[21]  En dicha resolución también se ordenó recibir la  declaración  rendida</w:t>
        <w:br/>
        <w:t>ante fedatario  público  (affidávit)  del  perito  Víctor  Hugo  López.  Sin</w:t>
        <w:br/>
        <w:t>embargo dado que dicho affidávit fue  presentado  extemporáneamente  no  fue</w:t>
        <w:br/>
        <w:t>admitido (supra párr.  9).</w:t>
        <w:br/>
        <w:br/>
        <w:t>[22]   Cfr. Caso Velásquez Rodríguez Vs.  Honduras.  Fondo,  supra  nota  6,</w:t>
        <w:br/>
        <w:t>párr. 140; Caso Abrill Alosilla y otros Vs. Perú, supra nota 19,  párr.  38,</w:t>
        <w:br/>
        <w:t>y Caso Vera Vera y otra Vs. Ecuador, supra nota 12, párr. 22.</w:t>
        <w:br/>
        <w:br/>
        <w:t>[23]        A saber: 1)  Decisión de incumplimiento  emitida  por  la  Corte</w:t>
        <w:br/>
        <w:t>Constitucional el 8 de octubre de 2009; 2) Hoja de evaluación del  histórico</w:t>
        <w:br/>
        <w:t>personal realizado por el Consejo de Oficiales Generales en  el  2000,  como</w:t>
        <w:br/>
        <w:t>requisito para ascender al grado  de  General  de  Brigada;  3)  Diploma  al</w:t>
        <w:br/>
        <w:t>mérito otorgado el 18 de octubre de 1991 y calificación de excelente  de  la</w:t>
        <w:br/>
        <w:t>obra emitida por  la  jefatura  de  Estado  Mayor  del  Ejército  el  21  de</w:t>
        <w:br/>
        <w:t>diciembre de 1922;  4)  Resoluciones  Ex  Tribunal  Constitucional  y  Corte</w:t>
        <w:br/>
        <w:t>Constitucional del Ecuador, y 5) Ley Personal de Fuerzas Armadas.</w:t>
        <w:br/>
        <w:br/>
        <w:t>[24]  A saber: 1) Informe del Instituto de Seguridad Social de  las  Fuerzas</w:t>
        <w:br/>
        <w:t>Armadas; 2) Informe del Proceso de Calificación a Oficiales Generales de  la</w:t>
        <w:br/>
        <w:t>Fuerza Terrestre; 3) Decreto de  Re-Incorporación  del  Coronel  José  Mejía</w:t>
        <w:br/>
        <w:t>Idrovo; 4) Reglamento Interno de los Consejos  de  Oficiales  Generales;  5)</w:t>
        <w:br/>
        <w:t>Resultado y Análisis de la Curva de Gauss  y  Gráficos;  6)  Informe  de  la</w:t>
        <w:br/>
        <w:t>Comisión de Análisis  de  Documentos  para  la  Calificación  a  General  de</w:t>
        <w:br/>
        <w:t>Brigada del Coronel José Mejía Idrovo; 7) Hoja  de  Evaluación  de  Teniente</w:t>
        <w:br/>
        <w:t>Coronel a  Coronel;  8)  Resolución  del  Consejo  de  Oficiales  Superiores</w:t>
        <w:br/>
        <w:t>Ascenso y Homologación; 10) Comprobantes del Libro de  Vida;  9)  Reglamento</w:t>
        <w:br/>
        <w:t>de Calificación y Requisitos  de  Ascensos  del  año  1992;  10)  Cuadro  de</w:t>
        <w:br/>
        <w:t>Vacantes; 11) Código Orgánico de la Función Judicial; 12) Ley  de  Garantías</w:t>
        <w:br/>
        <w:t>Jurisdiccionales y Control Constitucional; 13) Título de  Oficio  de  Estado</w:t>
        <w:br/>
        <w:t>Mayor de Servicios, otorgado el 18 de septiembre de 1989 por la Academia  de</w:t>
        <w:br/>
        <w:t>Guerra, además en 1993 obtuvo en el Brasil el  título  de  Estado  Mayor  de</w:t>
        <w:br/>
        <w:t>Servicio de Intendencia, por la cual en su hoja de  vida;  14)  Decisión  de</w:t>
        <w:br/>
        <w:t>aclaración emitida por la Corte Constitucional el 11 de marzo de  2010;  15)</w:t>
        <w:br/>
        <w:t>Hoja de vida de José Mejía emitida el 8 de febrero de 2011; 16)  Nota  de  8</w:t>
        <w:br/>
        <w:t>de febrero de 1994 dirigida al Comandante General del  Ejército  solicitando</w:t>
        <w:br/>
        <w:t>se considere su pase a un reparto  en  el  que  pueda  realizar  comando  de</w:t>
        <w:br/>
        <w:t>unidad; 17) Diploma del 10 de agosto  de  1995  conferido  por  el  Jefe  de</w:t>
        <w:br/>
        <w:t>Estado Mayor de la Fuerza Terrestre por el Comandante General de  la  Fuerza</w:t>
        <w:br/>
        <w:t>Terrestre; 18) Nota del 8  de  diciembre  de  2010  dirigida  al  Comandante</w:t>
        <w:br/>
        <w:t>General del Ejército solicitando se de fiel  cumplimento  a  las  sentencias</w:t>
        <w:br/>
        <w:t>emitidas a nivel constitucional, y 19)  Recibos  de  gastos  incurridos  por</w:t>
        <w:br/>
        <w:t>compra de tiquetes aéreos, hospedaje, visas e  impuestos  de  salida,  etc.,</w:t>
        <w:br/>
        <w:t>para asistir a la audiencia ante la Corte, en Costa Rica,  del  señor  Mejía</w:t>
        <w:br/>
        <w:t>Idrovo y su abogado Xavier Mejía.</w:t>
        <w:br/>
        <w:br/>
        <w:t>[25] 1)     A saber: 1) Oficio No. 2011-0046-SCOGFT de 22 de marzo  de  2011</w:t>
        <w:br/>
        <w:t>de la Fuerza Terrestre que contiene Notificación de Resolución  del  Consejo</w:t>
        <w:br/>
        <w:t>de Oficiales Generales  y  Oficio  2011-0062-SCOGFT  6  de  abril  2011;  2)</w:t>
        <w:br/>
        <w:t>Escrito de impugnación a la resolución de 22 de marzo de  2011  emitida  por</w:t>
        <w:br/>
        <w:t>el Consejo de Oficiales Generales de  la  Fuerza  Terrestre;  3)  Oficio  de</w:t>
        <w:br/>
        <w:t>reconsideración de ascenso de 6 de abril 2011, y 4) Decisión  de  aclaración</w:t>
        <w:br/>
        <w:t>emitida por la Corte Constitucional el 11 de marzo de 2010.</w:t>
        <w:br/>
        <w:t>[26]   Cfr.  Caso  Loayza  Tamayo  Vs.  Perú.  Fondo.  Sentencia  de  17  de</w:t>
        <w:br/>
        <w:t>septiembre de 1997. Serie C No. 33,  párr.  43;  Caso  Gelman  Vs.  Uruguay.</w:t>
        <w:br/>
        <w:t>Fondo y Reparaciones. Sentencia de 24 de febrero de 2011. Serie C  No.  221,</w:t>
        <w:br/>
        <w:t>párr. 40, y Caso Vera Vera y otra Vs. Ecuador, supra nota 12, párr. 23.</w:t>
        <w:br/>
        <w:br/>
        <w:t>[27]   Según   lo   señalado   por   los   representantes   recibió   varias</w:t>
        <w:br/>
        <w:t>condecoraciones por su trabajo, fue becado y realizó el Curso de  Comando  y</w:t>
        <w:br/>
        <w:t>Estado Mayor en el Ejército  de  la  República  de  Brasil,  donde  ganó  la</w:t>
        <w:br/>
        <w:t>condecoración   “Medalha    do    Pacificador”    (expediente    excepciones</w:t>
        <w:br/>
        <w:t>preliminares, fondo, reparaciones y costas, tomo I, fs. 100 y 101).</w:t>
        <w:br/>
        <w:br/>
        <w:t>[28]  Según lo señalado por  los  representantes,  entre  1992  y  1999  fue</w:t>
        <w:br/>
        <w:t>calificado anualmente por el Consejo de Oficiales  Generales  del  Ejército.</w:t>
        <w:br/>
        <w:t>Recibió puntajes promedios de 20 en una escala de 20 para los  criterios  de</w:t>
        <w:br/>
        <w:t>“cualidades  morales”,  “cualidades  intelectuales-físicas”   y   “capacidad</w:t>
        <w:br/>
        <w:t>técnico-profesional cada año, con la  excepción  del  1998  cuando  ganó  un</w:t>
        <w:br/>
        <w:t>promedio anual de 19.897. Las condecoraciones, diplomas y títulos del  señor</w:t>
        <w:br/>
        <w:t>Mejía Idrovo fueron incluidos  en  los  anexos  remitidos  por  la  Comisión</w:t>
        <w:br/>
        <w:t>(anexos a  la  demanda,  apéndice  2,  tomo  III,  fs.  770  a  830).   Cfr.</w:t>
        <w:br/>
        <w:t>Reglamento de Condecoraciones Militares, Registro Oficial No. 2780 de 26  de</w:t>
        <w:br/>
        <w:t>noviembre de 1991 publicada en la Orden General Ministerial No.  226  de  la</w:t>
        <w:br/>
        <w:t>misma fecha (anexos al escrito de solicitudes y argumentos, anexos  1  y  2,</w:t>
        <w:br/>
        <w:t>fs. 1519 a 1600). Además los representantes señalaron  que  fue  catedrático</w:t>
        <w:br/>
        <w:t>en la Escuela Superior de Guerra de Brasil en 1996 y una vez que regresó  de</w:t>
        <w:br/>
        <w:t>su misión en Brasil sirvió la institución en  varios  oficios,  entre  ellos</w:t>
        <w:br/>
        <w:t>Jefe de Estado Mayor de la Brigada Logística “Reino de Quito”  y  Secretario</w:t>
        <w:br/>
        <w:t>General de la Fuerza Terrestre (expediente excepciones preliminares,  fondo,</w:t>
        <w:br/>
        <w:t>reparaciones y costas, tomo I, fs. 103, 818, 827 al 829).</w:t>
        <w:br/>
        <w:br/>
        <w:t>[29]   Cfr.  Según  fue  señalado  por  el  Estado  (expediente  excepciones</w:t>
        <w:br/>
        <w:t>preliminares, fondo, reparaciones y costas, escrito de  contestación  de  la</w:t>
        <w:br/>
        <w:t>demanda, tomo 1, fs. 217 al 277).</w:t>
        <w:br/>
        <w:br/>
        <w:t>[30]   Nota del Consejo de Oficiales Generales,  sin  fecha  y  sin  número,</w:t>
        <w:br/>
        <w:t>firmada por Roberto Moya Arellano (anexos a la demanda, anexo 1, f. 1203).</w:t>
        <w:br/>
        <w:br/>
        <w:t>[31]   Escrito del Coronel José A. Mejía Idrovo dirigida al  Presidente  del</w:t>
        <w:br/>
        <w:t>Consejo de Oficiales Generales enviada el 14 de diciembre de 2000 (anexos  a</w:t>
        <w:br/>
        <w:t>la demanda, anexo 2, f. 1205). El Estado señaló que este trámite  consta  en</w:t>
        <w:br/>
        <w:t>el oficio No. 200056-25-BAL-CMDO.</w:t>
        <w:br/>
        <w:br/>
        <w:t>[32]   Comunicación del Secretario del Consejo de Oficiales Generales de  la</w:t>
        <w:br/>
        <w:t>Fuerza Terrestre dirigida al Coronel José Mejía Idrovo el  26  de  diciembre</w:t>
        <w:br/>
        <w:t>de 2000 (anexos a la demanda, anexo 3, f. 1210), y el memorando  N-251-JEMFT</w:t>
        <w:br/>
        <w:t>del Consejo de Oficiales Generales de  26  de  diciembre  2000  dirigida  al</w:t>
        <w:br/>
        <w:t>señor Mejía Idrovo (anexos a la demanda, apéndice 2, tomo III, f. 838).</w:t>
        <w:br/>
        <w:br/>
        <w:t>[33]   Decreto No. 1185  firmado  por  Gustavo  Noboa  Bejarano,  Presidente</w:t>
        <w:br/>
        <w:t>Constitucional de la República del Ecuador, el 30 de enero de  2001  (anexos</w:t>
        <w:br/>
        <w:t>a la demanda, anexo 4, f. 1212).</w:t>
        <w:br/>
        <w:br/>
        <w:t>[34]   En  lo  conducente  señala  que:   “El   militar   será   puesto   en</w:t>
        <w:br/>
        <w:t>disponibilidad, por una de las siguientes  causas  […]  (j)  Por  las  demás</w:t>
        <w:br/>
        <w:t>causas establecidas en la presente Ley”.</w:t>
        <w:br/>
        <w:br/>
        <w:t>[35]   Decreto No. 1680  firmado  por  Gustavo  Noboa  Bejarano,  Presidente</w:t>
        <w:br/>
        <w:t>Constitucional de la República del Ecuador, el 18 de julio de  2001  (anexos</w:t>
        <w:br/>
        <w:t>a la demanda, anexo 6, f. 1250).   Cfr.  Ley  de  Personal  de  las  Fuerzas</w:t>
        <w:br/>
        <w:t>Armadas, Ley No. 118. RO/Sup 660 de  10  de  abril  de  1991  (anexos  a  la</w:t>
        <w:br/>
        <w:t>demanda, anexo 5, f. 1225).</w:t>
        <w:br/>
        <w:br/>
        <w:t>[36]  Recurso de amparo constitucional presentado por el señor Mejía  Idrovo</w:t>
        <w:br/>
        <w:t>ante el Tribunal Distrital No.  1  de  lo  Contencioso  Administrativo  –sin</w:t>
        <w:br/>
        <w:t>fecha- (anexos al escrito de solicitudes y argumentos, anexo 14, f. 1632).</w:t>
        <w:br/>
        <w:br/>
        <w:t>[37]        Cfr. Sentencia  Tribunal  Distrital  No.  1  de  lo  Contencioso</w:t>
        <w:br/>
        <w:t>Administrativo Segunda Sala de 28 de junio de 2001  (anexos  al  escrito  de</w:t>
        <w:br/>
        <w:t>solicitudes y argumentos, anexo 15, f. 1636).</w:t>
        <w:br/>
        <w:br/>
        <w:t>[38]  Cfr. Sentencia No. 470-RA-01-I.S. de  la  Primera  Sala  del  Tribunal</w:t>
        <w:br/>
        <w:t>Constitucional de 19 de octubre de 2001 (anexos al escrito de solicitudes  y</w:t>
        <w:br/>
        <w:t>argumentos, anexo 16, f. 1641).</w:t>
        <w:br/>
        <w:br/>
        <w:t>[39]  Cfr. Oficio No. 04121 del Defensor del Pueblo dirigido  al  Presidente</w:t>
        <w:br/>
        <w:t>del Tribunal Constitucional de 4 de octubre de 2001 (anexos  a  la  demanda,</w:t>
        <w:br/>
        <w:t>anexo 7, fs. 1252 y 1254). En dicho oficio remite un informe de  procedencia</w:t>
        <w:br/>
        <w:t>emitido por el Defensor del Pueblo para demandar la inconstitucionalidad  de</w:t>
        <w:br/>
        <w:t>los Decretos Ejecutivos  Nos. 1185 y 1680 interpuesta  por  el  señor  Mejía</w:t>
        <w:br/>
        <w:t>Idrovo.</w:t>
        <w:br/>
        <w:br/>
        <w:t>[40]  Cfr. Acción de Inconstitucionalidad ante  el  Tribunal  Constitucional</w:t>
        <w:br/>
        <w:t>(anexos al escrito de solicitudes y argumentos, anexo 17, f. 1646).</w:t>
        <w:br/>
        <w:t>[41]  Cfr. Sentencia del Tribunal Constitucional  de  30  de  mayo  de  2002</w:t>
        <w:br/>
        <w:t>(anexos a la demanda, anexo 13, f. 1332).</w:t>
        <w:br/>
        <w:br/>
        <w:t>[42]  Sentencia No. 039-2001-TC del Tribunal Constitucional de 12  de  marzo</w:t>
        <w:br/>
        <w:t>de 2002 (anexos a la demanda, apéndice 2, tomo III, fs. 1052 a 1062).</w:t>
        <w:br/>
        <w:br/>
        <w:t>[43]  Cfr. Oficio de Guía  de  Casilleros  Constitucionales  consta  que  la</w:t>
        <w:br/>
        <w:t>sentencia del Tribunal Constitucional de 12 de marzo de 2002 se notificó  al</w:t>
        <w:br/>
        <w:t>señor Mejía Idrovo, al Presidente de la República, y al  Procurador  General</w:t>
        <w:br/>
        <w:t>del Estado  (apéndices de la demanda de la Comisión, apéndice 2,  tomo  III,</w:t>
        <w:br/>
        <w:t>f. 1068).</w:t>
        <w:br/>
        <w:br/>
        <w:t>[44]  Cfr. Registro Oficial No. 548 (anexos a la demanda, apéndice 2, tomo</w:t>
        <w:br/>
        <w:t>III, f. 1063).</w:t>
        <w:br/>
        <w:br/>
        <w:t>[45]  Cfr. Constitución Política de Ecuador de 1998, aprobada el 5 de  junio</w:t>
        <w:br/>
        <w:t>de 1998 (anexos a la demanda, anexo 8, f. 1302). El  artículo  278  disponía</w:t>
        <w:br/>
        <w:t>“La  declaratoria  de  inconstitucionalidad  causará   ejecutoria   y   será</w:t>
        <w:br/>
        <w:t>promulgada en el Registro Oficial.  Entrará en vigencia desde  la  fecha  de</w:t>
        <w:br/>
        <w:t>su promulgación y dejará sin efecto  la  disposición  o  el  acto  declarado</w:t>
        <w:br/>
        <w:t>inconstitucional.   La  declaratoria  no  tendrá  efecto   retroactivo,   ni</w:t>
        <w:br/>
        <w:t>respecto de ella habrá recurso alguno. “Si transcurridos treinta días  desde</w:t>
        <w:br/>
        <w:t>la publicación de la [R]esolución del Tribunal en el  Registro  Oficial,  el</w:t>
        <w:br/>
        <w:t>funcionario o funcionarios responsables no la cumplieren,  el  Tribunal,  de</w:t>
        <w:br/>
        <w:t>oficio o a petición de parte, los sancionará de conformidad con la ley”.</w:t>
        <w:br/>
        <w:br/>
        <w:t>[46]   Cfr. Oficio del Comandante General de la  Fuerza  Terrestre  dirigido</w:t>
        <w:br/>
        <w:t>al Presidente del Tribunal Constitucional el 8 de abril de  2002  (anexos  a</w:t>
        <w:br/>
        <w:t>la demanda, anexo 11, fs. 1320 y 1321).</w:t>
        <w:br/>
        <w:br/>
        <w:t>[47]   Cfr. Comunicación del señor Mejía Idrovo dirigida al  Presidente  del</w:t>
        <w:br/>
        <w:t>Tribunal Constitucional recibido el 26  de  abril  de  2002   (anexos  a  la</w:t>
        <w:br/>
        <w:t>demanda, anexo 12, fs. 1323 al 1324).</w:t>
        <w:br/>
        <w:br/>
        <w:t>[48]   Resolución del Presidente del Tribunal Constitucional emitida  el  30</w:t>
        <w:br/>
        <w:t>de mayo de 2002 (anexos a la demanda, anexo 13, f. 1332).</w:t>
        <w:br/>
        <w:br/>
        <w:t>[49]    Cfr.  Comunicación  del  señor  Mejía  Idrovo  dirigida   al   señor</w:t>
        <w:br/>
        <w:t>Presidente del Tribunal  Constitucional presentada el 5 de  junio  de  2002,</w:t>
        <w:br/>
        <w:t>en el punto 2.1 se indica literalmente “no he sido notificado legalmente  de</w:t>
        <w:br/>
        <w:t>esta segunda resolución [de 30 de mayo de 2002] en este caso (expediente  de</w:t>
        <w:br/>
        <w:t>anexos a la contestación de la demanda, tomo I, anexo 38, f. 227).</w:t>
        <w:br/>
        <w:br/>
        <w:t>[50]  Cfr. Comunicación del señor Mejía Idrovo dirigida  al  Presidente  del</w:t>
        <w:br/>
        <w:t>Tribunal Constitucional de 8 de abril de 2002 (anexos a  la  demanda,  anexo</w:t>
        <w:br/>
        <w:t>12, f. 1327); comunicación del señor Mejía  Idrovo  dirigida  al  Presidente</w:t>
        <w:br/>
        <w:t>del Tribunal Constitucional recibida el 26 de abril de 2002   (anexos  a  la</w:t>
        <w:br/>
        <w:t>demanda, anexo 12, fs. 1323 al 1324); comunicación del  señor  Mejía  Idrovo</w:t>
        <w:br/>
        <w:t>dirigida al Presidente del Tribunal Constitucional de 7 de  agosto  de  2002</w:t>
        <w:br/>
        <w:t>(anexos a la contestación  de  la  demanda,  anexo  32,  tomo  I,  f.  223);</w:t>
        <w:br/>
        <w:t>comunicación del señor Mejía Idrovo  dirigida  al  Presidente  del  Tribunal</w:t>
        <w:br/>
        <w:t>Constitucional de 28 de agosto de 2002 (anexos a la demanda, anexo  20,  fs.</w:t>
        <w:br/>
        <w:t>1351 al 1353); comunicación del señor Mejía Idrovo  dirigida  al  Presidente</w:t>
        <w:br/>
        <w:t>del Tribunal Constitucional de  10  de  septiembre  de  2002  (anexos  a  la</w:t>
        <w:br/>
        <w:t>demanda, anexo 12, tomo I, f.  1329);  comunicación  de  los  representantes</w:t>
        <w:br/>
        <w:t>dirigida al Presidente y Vocales del Tribunal Constitucional  presentada  el</w:t>
        <w:br/>
        <w:t>14 de septiembre de 2007 (anexos  a  la  demanda,  anexo  40,  f.  1405),  y</w:t>
        <w:br/>
        <w:t>comunicación del señor Mejía Idrovo dirigida al Presidente de  la  República</w:t>
        <w:br/>
        <w:t>de fecha 26 de marzo de 2007  (apéndices de la Comisión,  apéndice  2,  tomo</w:t>
        <w:br/>
        <w:t>II, f. 764).</w:t>
        <w:br/>
        <w:br/>
        <w:t>[51]  Cfr. Sentencia del Pleno del Tribunal Constitucional de 20 de mayo  de</w:t>
        <w:br/>
        <w:t>2003 (expediente de anexos a la demanda, anexo 26, f. 1368).</w:t>
        <w:br/>
        <w:br/>
        <w:t>[52]   Cfr.  Escrito  del  señor  Mejía   Idrovo   dirigido   a   la   Corte</w:t>
        <w:br/>
        <w:t>Constitucional del Ecuador el 22 de abril de  2009  (anexos  al  escrito  de</w:t>
        <w:br/>
        <w:t>argumentos y solicitudes, anexo 57,  fs.  1865  al  1878);  comunicación  de</w:t>
        <w:br/>
        <w:t>Xavier Mejía a la Corte Constitucional del Ecuador del 25 de agosto de  2009</w:t>
        <w:br/>
        <w:t>(anexos al escrito de argumentos y solicitudes, anexo 59, fs. 1884 y  1885),</w:t>
        <w:br/>
        <w:t>y comunicación de Xavier  Mejía  a  la  Corte  Constitucional  sellada  como</w:t>
        <w:br/>
        <w:t>recibida por la Corte Constitucional el 14 de  agosto  de  2009  (anexos  al</w:t>
        <w:br/>
        <w:t>escrito de argumentos y solicitudes, anexo 59, fs. 1886 y 1887).</w:t>
        <w:br/>
        <w:br/>
        <w:t>[53]  Sentencia No. 0013-09-SIS-CC de la Corte  Constitucional  del  Ecuador</w:t>
        <w:br/>
        <w:t>de 8 de octubre de 2009 (anexos al  escrito  de  argumentos  y  solicitudes,</w:t>
        <w:br/>
        <w:t>anexo 60, fs. 1889 al 1897).</w:t>
        <w:br/>
        <w:br/>
        <w:t>[54]  Sentencia No. 0013-09-SIS-CC de la Corte Constitucional  del  Ecuador,</w:t>
        <w:br/>
        <w:t>supra nota 53.</w:t>
        <w:br/>
        <w:br/>
        <w:t>[55]   Cfr.   Según  el  Estado  mediante  oficio  No.   2009-1199-DJFT   el</w:t>
        <w:br/>
        <w:t>Comandante General del Ejército remitió a la Presidencia de la República  el</w:t>
        <w:br/>
        <w:t xml:space="preserve"> proyecto de Decreto Ejecutivo  para  la  reincorporación  del  señor  Mejía</w:t>
        <w:br/>
        <w:t>Idrovo al servicio activo (expediente de  excepciones  preliminares,  fondo,</w:t>
        <w:br/>
        <w:t>reparaciones y costas, escrito de alegatos finales del Estado,  tomo   III,,</w:t>
        <w:br/>
        <w:t>f. 538).</w:t>
        <w:br/>
        <w:br/>
        <w:t>[56]  Cfr. Decreto  de  Re  incorporación  del  coronel  José  Mejía  Idrovo</w:t>
        <w:br/>
        <w:t>publicado el 18 de octubre de 2010 en el  Suplemento  del  Registro  Oficial</w:t>
        <w:br/>
        <w:t>No. 504 (anexos al escrito de alegatos finales del Estado, tomo I, f. 423).</w:t>
        <w:br/>
        <w:br/>
        <w:t>[57]  Cfr. Recurso de Aclaración y Ampliación de la Sentencia  No.  0013-09-</w:t>
        <w:br/>
        <w:t>SIS-CC emitida por el Pleno de la Corte -sin fecha-,  presentado  el  30  de</w:t>
        <w:br/>
        <w:t>octubre de 2009 (anexos al escrito de solicitudes y  argumentos,  anexo  61,</w:t>
        <w:br/>
        <w:t>f. 1898).</w:t>
        <w:br/>
        <w:br/>
        <w:t>[58]  Cfr. Sentencia de Aclaración y Ampliación de la Sentencia No. 0013-09-</w:t>
        <w:br/>
        <w:t>SIS-CC de la Corte Constitucional de 8 de octubre de  2009  emitida  por  la</w:t>
        <w:br/>
        <w:t>Corte Constitucional el 11 de marzo de 2010 (anexos al escrito  de  alegatos</w:t>
        <w:br/>
        <w:t>finales de los representantes, anexo 2, fs. 777 al 779).</w:t>
        <w:br/>
        <w:br/>
        <w:t>[59]  Cfr. Oficio N. 2011-0046-SCOGFT del 22 de marzo  de  2011  (anexos  al</w:t>
        <w:br/>
        <w:t>escrito de alegatos finales de los  representantes,  anexo  3,  fs.  781  al</w:t>
        <w:br/>
        <w:t>790).</w:t>
        <w:br/>
        <w:br/>
        <w:t>[60]   “El militar será puesto en disponibilidad, por una de las  siguientes</w:t>
        <w:br/>
        <w:t>causas […] (f) Por haberse dictado en su contra  auto  motivado  a  auto  de</w:t>
        <w:br/>
        <w:t>llamamiento a juicio plenario, por infracciones militares o comunes una  vez</w:t>
        <w:br/>
        <w:t>ejecutoriados.</w:t>
        <w:br/>
        <w:br/>
        <w:t>[61]  Cfr.  Escrito de impugnación a la resolución de 22 de  marzo  de  2011</w:t>
        <w:br/>
        <w:t>emitida por el Consejo de Generales de la Fuerza  Terrestre  (anexos  a  los</w:t>
        <w:br/>
        <w:t>alegatos finales de los representantes, tomo I, f. 813).</w:t>
        <w:br/>
        <w:br/>
        <w:t>[62]  Cfr. Oficio No. 2011-0062-SCOGFT de 6 de abril de 2011 (expediente  de</w:t>
        <w:br/>
        <w:t>excepciones preliminares, fondo, reparaciones y costas,  tomo III,  fs.  666</w:t>
        <w:br/>
        <w:t>al 670).</w:t>
        <w:br/>
        <w:br/>
        <w:t>[63]  Constitución Política de Ecuador de 1998, establecía  en  el  artículo</w:t>
        <w:br/>
        <w:t>24, inciso 13:</w:t>
        <w:br/>
        <w:t>“Las resoluciones de los  poderes  públicos  que  afecten  a  las  personas,</w:t>
        <w:br/>
        <w:t>deberán ser motivadas. No habrá tal motivación si en  la  resolución  no  se</w:t>
        <w:br/>
        <w:t>enunciaren normas o principios jurídicos en que se haya fundado, y si no  se</w:t>
        <w:br/>
        <w:t>explicare la pertinencia de su aplicación a los antecedentes  de  hecho.  Al</w:t>
        <w:br/>
        <w:t>resolver la impugnación de una sanción no se  podrá  empeorar  la  situación</w:t>
        <w:br/>
        <w:t>del recurrente”.</w:t>
        <w:br/>
        <w:br/>
        <w:t>[64]  El Reglamento del Consejo de Oficiales Generales, Literal a) dispone:</w:t>
        <w:br/>
        <w:t xml:space="preserve">      “Si un candidato fuere calificado como no apto en  cualquiera  de  los</w:t>
        <w:br/>
        <w:t>conceptos  de  cualidades  morales,  inmediatamente  se  debe  suspender  su</w:t>
        <w:br/>
        <w:t>evaluación, pero el calificador debe justificar ese hecho”.</w:t>
        <w:br/>
        <w:t>[65]  A saber: el escrito de 4 de abril de 2002 mediante el  cual  el  señor</w:t>
        <w:br/>
        <w:t>Mejía Idrovo solicitó que se le reintegre al servicio activo con el  trámite</w:t>
        <w:br/>
        <w:t>de ascenso inmediato, y el escrito de 7 de agosto de 2002  del  señor  Mejía</w:t>
        <w:br/>
        <w:t>Idrovo  en  el  cual  hace  una   interpretación   errónea   e   invoca   la</w:t>
        <w:br/>
        <w:t>inconstitucionalidad de los decretos ejecutivos para  su  ascenso  al  grado</w:t>
        <w:br/>
        <w:t>jerárquico inmediatamente superior a partir del 21 de diciembre de de  2000.</w:t>
        <w:br/>
        <w:t>En dicha comunicación dirigida al  señor  Presidente  Constitucional  de  la</w:t>
        <w:br/>
        <w:t>República del Ecuador de la época,  hizo  un  señalamiento  de  una  cuantía</w:t>
        <w:br/>
        <w:t>económica  desmesurada  que  desnaturaliza   cualquier   criterio   judicial</w:t>
        <w:br/>
        <w:t>reparatorio (escrito de alegatos finales del Estado, f. 542).</w:t>
        <w:br/>
        <w:br/>
        <w:t>[66]  Cfr. Oficio de Guía de Casilleros Constitucionales, supra nota 43.</w:t>
        <w:br/>
        <w:br/>
        <w:t>[67]  Cfr. Artículo  278 de la  Constitución  Política  del  Ecuador,  supra</w:t>
        <w:br/>
        <w:t>nota 45.</w:t>
        <w:br/>
        <w:br/>
        <w:t>[68]   Artículo 67 dispone que: “Ejecución de las resoluciones  Pleno.-  las</w:t>
        <w:br/>
        <w:t>resoluciones por el Pleno serán Ejecutadas por el Presidente del Tribunal.</w:t>
        <w:br/>
        <w:br/>
        <w:t>[69]  Artículo 285 dispone que:  “El juez  que  dictó  sentencia,  no  puede</w:t>
        <w:br/>
        <w:t>revocarla ni alterar su sentido en  ningún  caso;  pero  podrá  aclararla  o</w:t>
        <w:br/>
        <w:t>ampliarla, si alguna de las partes lo solicitare dentro de tres días”.</w:t>
        <w:br/>
        <w:br/>
        <w:t>[70]  Artículo 286 dispone que: “la aclaración tendrá lugar si la  sentencia</w:t>
        <w:br/>
        <w:t>fuere obscura; y la ampliación, cuando no se  hubiere   resuelto  alguno  de</w:t>
        <w:br/>
        <w:t>los puntos controvertidos,  o  se  hubiere  omitido  decidir  sobre  frutos,</w:t>
        <w:br/>
        <w:t>intereses o costas. Para la aclaración o la ampliación se  oirá  previamente</w:t>
        <w:br/>
        <w:t>a la otra parte.”</w:t>
        <w:br/>
        <w:br/>
        <w:t>[71]  Cfr. Caso Castillo Petruzzi y otros Vs. Perú.  Fondo,  Reparaciones  y</w:t>
        <w:br/>
        <w:t>Costas. Sentencia de 30 de mayo de 1999. Serie C No.  52,  párr.  129;  Caso</w:t>
        <w:br/>
        <w:t>Ivcher Bronstein Vs. Perú. Fondo, Reparaciones y Costas. Sentencia de  6  de</w:t>
        <w:br/>
        <w:t>febrero  de  2001.  Serie  C  No.  74,  párr.  112,  y  Caso  del   Tribunal</w:t>
        <w:br/>
        <w:t>Constitucional Vs. Perú. Fondo, Reparaciones y Costas. Sentencia  de  31  de</w:t>
        <w:br/>
        <w:t>enero de 2001. Serie C No. 71, párr. 73. Ver también Los Principios  Básicos</w:t>
        <w:br/>
        <w:t>de las Naciones Unidas  relativos  a  la  Independencia  de  la  Judicatura.</w:t>
        <w:br/>
        <w:t>Adoptados por el Séptimo Congreso de las Naciones  Unidas  sobre  Prevención</w:t>
        <w:br/>
        <w:t>del Delito y Tratamiento del Delincuente,  celebrado  en  Milán  del  26  de</w:t>
        <w:br/>
        <w:t>agosto al 6 de septiembre de 1985, y confirmados por la Asamblea General  en</w:t>
        <w:br/>
        <w:t>sus resoluciones 40/32 de 29  de  noviembre  de  1985  y  40/146  de  13  de</w:t>
        <w:br/>
        <w:t>diciembre de 1985.</w:t>
        <w:br/>
        <w:br/>
        <w:t>[72]  Sin embargo, se hace notar que la  decisión  del  Pleno  del  Tribunal</w:t>
        <w:br/>
        <w:t>Constitucional de 20  de  mayo  de  2003  no  realizó  un  análisis  de  las</w:t>
        <w:br/>
        <w:t>irregularidades ocurridas en el procedimiento seguido por el Presidente  del</w:t>
        <w:br/>
        <w:t>Tribunal Constitucional.</w:t>
        <w:br/>
        <w:t>[73]  Es irretroactiva cuando  su  pronunciamiento  versa  sobre  normas  de</w:t>
        <w:br/>
        <w:t>carácter general -leyes, reglamentos, ordenanzas, estatutos- pero cuando  la</w:t>
        <w:br/>
        <w:t>decisión versa sobre derechos subjetivos de carácter particular entonces  en</w:t>
        <w:br/>
        <w:t>una correcta aplicación del numeral 2 de la referida  norma  constitucional,</w:t>
        <w:br/>
        <w:t>el  acto  declarado  inconstitucional  deja  de  tener  efectos   jurídicos,</w:t>
        <w:br/>
        <w:t>retrotrayéndose la resolución al momento del  sometimiento  del  acto.  Cfr.</w:t>
        <w:br/>
        <w:t>Sentencia del Tribunal Constitucional de 12 de marzo  de  2002  (supra  nota</w:t>
        <w:br/>
        <w:t>42).</w:t>
        <w:br/>
        <w:br/>
        <w:t>[74]   Cfr. Caso Velásquez Rodríguez Vs.  Honduras.  Fondo,  supra  nota  6,</w:t>
        <w:br/>
        <w:t>párr. 63; Caso Vélez Loor Vs. Panamá, supra nota 14, párr. 19, y  Caso  Vera</w:t>
        <w:br/>
        <w:t>Vera y otra Vs. Ecuador, supra nota 12, párr. 13.</w:t>
        <w:br/>
        <w:br/>
        <w:br/>
        <w:t>[75]         Cfr.  Caso  Velásquez  Rodríguez  Vs.   Honduras.   Excepciones</w:t>
        <w:br/>
        <w:t>Preliminares, supra nota 12, párr. 93; Caso Comunidad Indígena Xákmok  Kásek</w:t>
        <w:br/>
        <w:t>Vs. Paraguay. Fondo, Reparaciones y Costas. Sentencia de  24  de  agosto  de</w:t>
        <w:br/>
        <w:t>2010. Serie C No. 214, párr. 140, y Caso Abrill Alosilla y otros  Vs.  Perú,</w:t>
        <w:br/>
        <w:t>supra nota 19, párr. 75.</w:t>
        <w:br/>
        <w:br/>
        <w:t>[76]  Cfr. Caso Baena Ricardo y otros Vs. Panamá. Competencia. Sentencia  de</w:t>
        <w:br/>
        <w:t>28 de noviembre de 2003. Serie C No 104. párr. 73; Caso  Acevedo  Buendía  y</w:t>
        <w:br/>
        <w:t>otros (“Cesantes  y  Jubilados  de  la  Contraloría”)  Vs.  Perú.  Excepción</w:t>
        <w:br/>
        <w:t>Preliminar, Fondo, Reparaciones y Costas. Sentencia de 1 de julio  de  2009.</w:t>
        <w:br/>
        <w:t>Serie C No. 198, párr. 66, y Caso Abrill Alosilla y otros  Vs.  Perú,  supra</w:t>
        <w:br/>
        <w:t>nota 19, párr. 75.</w:t>
        <w:br/>
        <w:br/>
        <w:t>[77]  Cfr. Caso Velásquez Rodríguez Vs.  Honduras.  Reparaciones  y  Costas.</w:t>
        <w:br/>
        <w:t>Sentencia de 21 de julio de 1989. Serie C  No.  7,  párrs.  25  y  26;  Caso</w:t>
        <w:br/>
        <w:t>González y otras (“Campo  Algodonero”)  Vs.  México.  Excepción  Preliminar,</w:t>
        <w:br/>
        <w:t>Fondo, Reparaciones y Costas. Sentencia de 16 de noviembre de 2009. Serie  C</w:t>
        <w:br/>
        <w:t>No. 205, párr. 450, y Caso Barreto Leiva Vs. Venezuela. Fondo,  Reparaciones</w:t>
        <w:br/>
        <w:t>y Costas. Sentencia de 17 de noviembre de 2009. Serie C No. 206, párr. 128.</w:t>
        <w:br/>
        <w:br/>
        <w:t>[78]        Cfr. Caso  De  la  Masacre  de  las  Dos  Erres  Vs.  Guatemala.</w:t>
        <w:br/>
        <w:t>Excepción Preliminar, Fondo, Reparaciones  y  Costas.  Sentencia  de  24  de</w:t>
        <w:br/>
        <w:t>noviembre de 2009. Serie C No. 211, párr. 121.</w:t>
        <w:br/>
        <w:br/>
        <w:t>[79]        Sentencia de Aclaración y Ampliación de la Corte  Constitucional</w:t>
        <w:br/>
        <w:t>de 11 de marzo de 2010, supra nota 58, fs. 777 al 779.</w:t>
        <w:br/>
        <w:br/>
        <w:t>[80]  Asimismo, la Corte ha declarado violaciones al artículo 25 con  motivo</w:t>
        <w:br/>
        <w:t>de la  falta  de  debida  diligencia  y  la  tolerancia  por  parte  de  los</w:t>
        <w:br/>
        <w:t>tribunales al momento de tramitar [… recursos], así como la falta de  tutela</w:t>
        <w:br/>
        <w:t>judicial efectiva, han permitido el uso abusivo […] como práctica  dilatoria</w:t>
        <w:br/>
        <w:t>en el proceso.  Cfr. Caso De la Masacre de  las  Dos  Erres  Vs.  Guatemala,</w:t>
        <w:br/>
        <w:t>supra nota 78, párr. 120.</w:t>
        <w:br/>
        <w:br/>
        <w:t>[81]  Cfr. Caso Suárez  Rosero  Vs.  Ecuador.  Fondo.  Sentencia  de  12  de</w:t>
        <w:br/>
        <w:t>noviembre de 1997. Serie C No. 35, párr. 65; Caso Rosendo Cantú y  otra  Vs.</w:t>
        <w:br/>
        <w:t>México. Excepción Preliminar, Fondo, Reparaciones y Costas. Sentencia de  31</w:t>
        <w:br/>
        <w:t>de agosto de 2010. Serie C No. 216, párr.  166,  y  Caso  Cabrera  García  y</w:t>
        <w:br/>
        <w:t>Montiel Flores Vs. México, supra nota 5, párr. 142.</w:t>
        <w:br/>
        <w:br/>
        <w:t>[82]  Cfr. Caso Baena Ricardo y otros Vs. Panamá.  Competencia,  supra  nota</w:t>
        <w:br/>
        <w:t>76, párr. 73; Caso Acevedo Buendía y otros  (“Cesantes  y  Jubilados  de  la</w:t>
        <w:br/>
        <w:t>Contraloría”) Vs. Perú, supra nota 76, párr. 66, y Caso  Abrill  Alosilla  y</w:t>
        <w:br/>
        <w:t>otros Vs. Perú, supra nota 19, párr. 75.</w:t>
        <w:br/>
        <w:br/>
        <w:t>[83]  Cfr. Caso Baena Ricardo y otros Vs. Panamá.  Competencia,  supra  nota</w:t>
        <w:br/>
        <w:t>76, párr. 82; Caso Acevedo Jaramillo  Vs.  Perú,  Excepciones  Preliminares,</w:t>
        <w:br/>
        <w:t>Fondo, Reparaciones y Costas. Sentencia de 7 de febrero de 2006, párr.  220,</w:t>
        <w:br/>
        <w:t>y Caso Acevedo Buendía y otros (“Cesantes y Jubilados  de  la  Contraloría”)</w:t>
        <w:br/>
        <w:t>Vs. Perú, supra nota 76, párr. 72.</w:t>
        <w:br/>
        <w:t>[84]  Cfr. T.E.D.H., Caso Matheus versus  Francia,  n°  62740/01,  Sentencia</w:t>
        <w:br/>
        <w:t>del 31.03.2005, párr. 58; y T.E.D.H., Caso Sabin Popescu versus Romania,  n°</w:t>
        <w:br/>
        <w:t>48102/99, Sentencia del 2.03.2004, párrs. 68  y  ss.  Según  los  estándares</w:t>
        <w:br/>
        <w:t>elaborados por el Comité Consultivo de Jueces  Europeos  (CCJE),  un  Órgano</w:t>
        <w:br/>
        <w:t>Consultivo del Comité de Ministros del Consejo de  Europa  en  las  materias</w:t>
        <w:br/>
        <w:t>relativas  a  la  independencia,  la   imparcialidad,   y   la   competencia</w:t>
        <w:br/>
        <w:t>profesional de los jueces, “la ejecución de las decisiones de justicia  debe</w:t>
        <w:br/>
        <w:t>ser equitativa, rápida, efectiva  y  proporcionada”  (Cfr.  Opinión  no.  13</w:t>
        <w:br/>
        <w:t>(2010) on the role of judges  in  the  enforcement  of  judicial  decisions,</w:t>
        <w:br/>
        <w:t>disponible   en   inglés,   francés   y   polonés   al   siguiente   enlace:</w:t>
        <w:br/>
        <w:t>https://wcd.coe.int/wcd/ViewDoc.jsp?Ref=CCJE(2010)2&amp;Language=lanEnglish&amp;Ver=</w:t>
        <w:br/>
        <w:t>original&amp;BackColorInternet=DBDCF2&amp;BackColorIntranet=FDC864&amp;BackColorLogged=F</w:t>
        <w:br/>
        <w:t>DC864, último acceso 1 de julio de 2011.</w:t>
        <w:br/>
        <w:br/>
        <w:t>[85]  Cfr. T.E.D.H., Caso Cocchiarella  versus  Italia  (GC),  n°  64886/01,</w:t>
        <w:br/>
        <w:t>Sentencia del  29.03.2006,  párr.  89;  y  T.E.D.H.,  Caso  Gaglione  versus</w:t>
        <w:br/>
        <w:t>Italia, n° 45867/07, Sentencia del 21.12.2010, párr. 34.  A  la  luz  de  la</w:t>
        <w:br/>
        <w:t>jurisprudencia consolidada de la T.E.D.H., el retraso en la ejecución de  la</w:t>
        <w:br/>
        <w:t>decisión de justicia puede  constituir  una  violación  del  derecho  a  ser</w:t>
        <w:br/>
        <w:t>juzgado dentro un plazo razonable protegido por el artículo 6 párr. 1 de  la</w:t>
        <w:br/>
        <w:t>CEDH ya que dicha ejecución  “debe  ser  considerada  parte  integrante  del</w:t>
        <w:br/>
        <w:t>proceso a los fines  del  artículo  6  (traducción  de  esta  Corte)”.  Cfr.</w:t>
        <w:br/>
        <w:t>T.E.D.H.,  Caso  Hornsby  versus  Greece,   n°   18357/91,   Sentencia   del</w:t>
        <w:br/>
        <w:t>19.03.1997, párr. 40; y T.E.D.H., Casos  Di  Pede  versus  Italia  y  Zappia</w:t>
        <w:br/>
        <w:t>versus Italia, n° 15797/89 y 24295/94, Sentencia del 26.09.1996, párr. 16  y</w:t>
        <w:br/>
        <w:t>20 respectivamente. “Un retraso en la ejecución de una  decisión  puede  ser</w:t>
        <w:br/>
        <w:t>justificado en circunstancias particulares.  Sin  embargo,  en  ningún  caso</w:t>
        <w:br/>
        <w:t>este retraso podrá  comprometer la esencia  del  derecho  protegido  por  el</w:t>
        <w:br/>
        <w:t>artículo  6”   (traducción  libre  de  la  Secretaría  de  la  Corte).  Cfr.</w:t>
        <w:br/>
        <w:t>T.E.D.H., Caso Jasiūnienė  versus  Lithuania,  n°  41510/98,  Sentencia  del</w:t>
        <w:br/>
        <w:t>6.03.2003, párr. 27.</w:t>
        <w:br/>
        <w:br/>
        <w:t>[86]  Cfr. Opinion no. 13 (2010) on the role of judges  in  the  enforcement</w:t>
        <w:br/>
        <w:t>of judicial decisions, cit., conclusiones, H), supra nota 84.</w:t>
        <w:br/>
        <w:br/>
        <w:t>[87]  Cfr. Opinion no. 13 (2010) on the role of judges  in  the  enforcement</w:t>
        <w:br/>
        <w:t>of judicial decisions, cit., conclusiones, F), supra nota  84.  Ver  también</w:t>
        <w:br/>
        <w:t>Matheus versus Francia, supra nota 84, párrs. 58 y ss;  y  Cabourdin  versus</w:t>
        <w:br/>
        <w:t>France, nº 60796/00, sentencia del 11 abril 2006, párrs. 28-30.</w:t>
        <w:br/>
        <w:br/>
        <w:t>[88]  Es decir que su acatamiento sea forzoso y que en caso de que  no  sean</w:t>
        <w:br/>
        <w:t>obedecidas voluntariamente, puedan ser exigibles de manera coactiva.</w:t>
        <w:br/>
        <w:br/>
        <w:t>[89]  La Corte Europea ha establecido en el Caso  Inmobiliare  Saffi  versus</w:t>
        <w:br/>
        <w:t>Italia: “Si se puede admitir en principio que los Estados intervengan en  un</w:t>
        <w:br/>
        <w:t>procedimiento de ejecución de una decisión de justicia, tal intervención  no</w:t>
        <w:br/>
        <w:t>puede tener como consecuencia práctica que se impida, invalide o retrase  de</w:t>
        <w:br/>
        <w:t>manera excesiva la ejecución en cuestión y menos aún  que  se  cuestione  el</w:t>
        <w:br/>
        <w:t>fondo de la decisión” (traducción libre de la Secretaría de la Corte).  Cfr.</w:t>
        <w:br/>
        <w:t>T.E.D.H., Caso Inmobiliare Saffi versus Italia, n° 22774/93,  Sentencia  del</w:t>
        <w:br/>
        <w:t>28.07.1999, párr. 74.</w:t>
        <w:br/>
        <w:br/>
        <w:t>[90]  Cfr.  oficios  Nros.  576-TC-P,  573-TC-P,  574-TC-P  y  575-TC-P  del</w:t>
        <w:br/>
        <w:t>Secretario General del Tribunal  Constitucional  de  12  de  julio  de  2002</w:t>
        <w:br/>
        <w:t>dirigidos, respectivamente,  al  Procurador  General  de  la  República,  al</w:t>
        <w:br/>
        <w:t>Presidente Constitucional de la República, al Ministro de  Defensa  Nacional</w:t>
        <w:br/>
        <w:t>y al Jefe del Comando Conjunto de las Fuerzas Armadas (anexos a la  demanda,</w:t>
        <w:br/>
        <w:t>apéndice 2, tomo III, fs.  1072,  1073,  1109,  y  1110).  Al  respecto,  el</w:t>
        <w:br/>
        <w:t>artículo 60  del  Reglamento  de  Trámite  de  Expedientes  en  el  Tribunal</w:t>
        <w:br/>
        <w:t>Constitucional  de  7  de  enero  de  2002,   establece:   “[e]n   caso   de</w:t>
        <w:br/>
        <w:t>incumplimiento de resoluciones del Tribunal  Constitucional,  el  Pleno  del</w:t>
        <w:br/>
        <w:t>Tribunal comunicará el hecho al Ministro Fiscal General  para la  aplicación</w:t>
        <w:br/>
        <w:t>de lo previsto en los  artículos  251,  277  y  demás  aplicables  al  caso,</w:t>
        <w:br/>
        <w:t>constantes en el Código Penal”.</w:t>
        <w:br/>
        <w:br/>
        <w:t>[91]  Cfr. Oficio Nro. 2002-194-AJ-CCFFAA del Jefe del Comando  Conjunto  de</w:t>
        <w:br/>
        <w:t>las FF.AA dirigida al despacho del Tribunal Constitucional el  22  de  julio</w:t>
        <w:br/>
        <w:t>de 2002; Oficio  Nro.  021130-  MS-7-1  del  Ministro  de  Defensa  Nacional</w:t>
        <w:br/>
        <w:t>dirigida al Secretario General del Tribunal Constitucional el  31  de  julio</w:t>
        <w:br/>
        <w:t>de 2002, y oficio  Nro.  2002-213-AJ-CCFFAA  del  Comando  Conjunto  de  las</w:t>
        <w:br/>
        <w:t>FF.AA. dirigida al Secretario General del Tribunal Constitucional el  31  de</w:t>
        <w:br/>
        <w:t>julio de 2002  (anexos de la demanda, apéndice 2, tomo III, fs. 1115,  1117,</w:t>
        <w:br/>
        <w:t>y 1120).  Además el Oficio Nro. 25152 de la Directora de  Patrocinio  de  la</w:t>
        <w:br/>
        <w:t>Procuraduría General del Estado dirigida al Secretario General del  Tribunal</w:t>
        <w:br/>
        <w:t>Constitucional  el  17  de  julio  de  2002,  en  el  que  informó  que   la</w:t>
        <w:br/>
        <w:t>Procuraduría fue parte en el caso, que en virtud de los artículos 2 y  6  de</w:t>
        <w:br/>
        <w:t>la Ley Orgánica de la Procuraduría General del  Estado  no  tiene  nada  que</w:t>
        <w:br/>
        <w:t>cumplir ni informar al respecto Nacional  (anexos a la demanda, apéndice  2,</w:t>
        <w:br/>
        <w:t>tomo III, f. 1113).</w:t>
        <w:br/>
        <w:br/>
        <w:t>[92]        Artículo 93 de la Constitución del  Ecuador,  2008.    Cfr.   La</w:t>
        <w:br/>
        <w:t>Corte Constitucional admite al respecto en la sentencia de 8 de  octubre  de</w:t>
        <w:br/>
        <w:t>2009:</w:t>
        <w:br/>
        <w:t xml:space="preserve">      Por su parte, la connotación de  "garantas  jurisdiccionales",  siendo</w:t>
        <w:br/>
        <w:t xml:space="preserve">      una  de   ellas   la   acción   por   incumplimiento   de   sentencias</w:t>
        <w:br/>
        <w:t xml:space="preserve">      constitucionales, guarda relación directa con la obligación que  tiene</w:t>
        <w:br/>
        <w:t xml:space="preserve">      el juez constitucional de controlar que los actos públicos  no  violen</w:t>
        <w:br/>
        <w:t xml:space="preserve">      derechos  constitucionales.  En  definitiva,  dentro  de  las   nuevas</w:t>
        <w:br/>
        <w:t xml:space="preserve">      garantías   jurisdiccionales   implementadas   en   la    Constitución</w:t>
        <w:br/>
        <w:t xml:space="preserve">      ecuatoriana del 2008, se puede identificar como tal a  la  acción  por</w:t>
        <w:br/>
        <w:t xml:space="preserve">      incumplimiento, que por cierto es una garantía constitucional  que  no</w:t>
        <w:br/>
        <w:t xml:space="preserve">      existió en el pasado del constitucionalismo ecuatoriano.</w:t>
        <w:br/>
        <w:br/>
        <w:br/>
        <w:t>[93]  El deber general del Estado  de  adecuar  su  derecho  interno  a  las</w:t>
        <w:br/>
        <w:t>disposiciones de la Convención Americana para  garantizar  los  derechos  en</w:t>
        <w:br/>
        <w:t>ella consagrados, establecido en el  artículo  2,  implica  la  adopción  de</w:t>
        <w:br/>
        <w:t>medidas en dos vertientes. Por una parte,  la  supresión  de  las  normas  y</w:t>
        <w:br/>
        <w:t>prácticas de cualquier naturaleza que entrañen  violación  a  las  garantías</w:t>
        <w:br/>
        <w:t>previstas en la Convención.  Por la otra,  la  expedición  de  normas  y  el</w:t>
        <w:br/>
        <w:t>desarrollo de prácticas conducentes a  la  efectiva  observancia  de  dichas</w:t>
        <w:br/>
        <w:t>garantías. Cfr. Caso Castillo Petruzzi y otros  Vs.  Perú,  supra  nota  71,</w:t>
        <w:br/>
        <w:t>párr. 207; Caso Salvador Chiriboga Vs. Ecuador. Excepciones  Preliminares  y</w:t>
        <w:br/>
        <w:t>Fondo. Sentencia de 6 de mayo de 2008, párr. 122, y  Caso  Reverón  Trujillo</w:t>
        <w:br/>
        <w:t>Vs.  Venezuela.  Excepción  Preliminar,  Fondo,   Reparaciones   y   Costas.</w:t>
        <w:br/>
        <w:t>Sentencia de 30 de junio de 2009. Serie C No. 197, párr. 60.</w:t>
        <w:br/>
        <w:br/>
        <w:t>[94]  En el Informe de Admisibilidad y Fondo No. 07/09, la  Comisión  estimó</w:t>
        <w:br/>
        <w:t>que no había sido debidamente fundamentado por los peticionarios en el  caso</w:t>
        <w:br/>
        <w:t>particular, y por lo tanto no admitió dicho extremo de la petición.</w:t>
        <w:br/>
        <w:t>[95]  El 20 de junio de 2011 el Estado  remitió  el  Oficio  No.  2011-0087-</w:t>
        <w:br/>
        <w:t>SCOGFT de 19 de mayo de 2011, suscrito  por  el  General  Patricio  Cárdenas</w:t>
        <w:br/>
        <w:t>Proaño, Comandante General de  la  Fuerza  Terrestre,  en  relación  con  el</w:t>
        <w:br/>
        <w:t>proceso de calificación del coronel Mejía Idrovo. Al respecto la  Secretaría</w:t>
        <w:br/>
        <w:t>transmitió dicho escrito a los representantes  y  a  la  Comisión  para  que</w:t>
        <w:br/>
        <w:t>presentaran sus observaciones. El 28 de junio  de  2011  los  representantes</w:t>
        <w:br/>
        <w:t>remitieron  sus  observaciones  y  la   Comisión   señaló   que   no   tenía</w:t>
        <w:br/>
        <w:t>observaciones al respecto, supra párr. 13.</w:t>
        <w:br/>
        <w:br/>
        <w:t>[96]   Cfr. Condición Jurídica y Derechos de los  Migrantes  Indocumentados.</w:t>
        <w:br/>
        <w:t>Opinión Consultiva OC-18/03 del 17 de septiembre de 2003. Serie  A  No.  18,</w:t>
        <w:br/>
        <w:t>párrs. 56 y 57.</w:t>
        <w:br/>
        <w:br/>
        <w:t>[97]  Cfr. Caso Salvador Chiriboga Vs. Ecuador. Excepciones Preliminares y</w:t>
        <w:br/>
        <w:t>Fondo, supra nota 93, párr. 93, y Apitz Barbera y otros (“Corte Primera de</w:t>
        <w:br/>
        <w:t>lo Contencioso Administrativo”) Vs. Venezuela. Sentencia de 5 de agosto de</w:t>
        <w:br/>
        <w:t>2008. Serie C No. 182, párr. 200.</w:t>
        <w:br/>
        <w:br/>
        <w:t>[98]  Cfr. Caso Velásquez Rodríguez Vs.  Honduras.  Reparaciones  y  Costas,</w:t>
        <w:br/>
        <w:t>supra nota 77, párr. 25; Caso Salvador Chiriboga Vs.  Ecuador.  Reparaciones</w:t>
        <w:br/>
        <w:t>y Costas. Sentencia de 3 de marzo de 2011. Serie C  No.  222,  párr.  32,  y</w:t>
        <w:br/>
        <w:t>Caso Vera Vera y otros Vs. Ecuador, supra nota 12, párr. 106.</w:t>
        <w:br/>
        <w:br/>
        <w:t>[99]  Cfr.  Caso  de  los  “Niños  de  la  Calle”  (Villagrán  Morales)  Vs.</w:t>
        <w:br/>
        <w:t>Guatemala. Reparaciones y Costas. Sentencia de 26 de mayo de 2001.  Serie  C</w:t>
        <w:br/>
        <w:t>No. 77, párr. 62;  Caso  Salvador  Chiriboga  Vs.  Ecuador.  Reparaciones  y</w:t>
        <w:br/>
        <w:t>Costas, supra nota 98, párr. 32, y Caso  Vera  Vera  y  otros  Vs.  Ecuador,</w:t>
        <w:br/>
        <w:t>supra nota 12, párr. 106.</w:t>
        <w:br/>
        <w:br/>
        <w:t>[100]       Cfr. Caso  Velásquez  Rodríguez  Vs.  Honduras.  Reparaciones  y</w:t>
        <w:br/>
        <w:t>Costas, supra nota 77, párrs. 25 al 27; Caso Abrill  Alosilla  y  otros  Vs.</w:t>
        <w:br/>
        <w:t>Perú, supra nota 19, párr. 88, y Caso Vera Vera y otros Vs.  Ecuador,  supra</w:t>
        <w:br/>
        <w:t>nota 12, párr. 108.</w:t>
        <w:br/>
        <w:br/>
        <w:t>[101]       Cfr. Caso del Tribunal Constitucional Vs. Perú.  Reparaciones  y</w:t>
        <w:br/>
        <w:t>Costas. Sentencia de 31 de enero de 2001. Serie C No. 71,  párr.  119;  Caso</w:t>
        <w:br/>
        <w:t>González y Otras (“Campo Algodonero”) Vs. México, supra nota 77, párr.  450,</w:t>
        <w:br/>
        <w:t>y Caso  Barreto Leiva Vs. Venezuela, supra nota 77, párr. 128.</w:t>
        <w:br/>
        <w:br/>
        <w:t>[102]        Cfr.  Caso  Ticona  Estrada  y  otros   Vs.   Bolivia.   Fondo,</w:t>
        <w:br/>
        <w:t>Reparaciones y Costas. Sentencia de 27 de noviembre de  2008.  Serie  C  No.</w:t>
        <w:br/>
        <w:t>191, párr 110; Caso Abrill Alosilla y otros Vs. Perú, supra nota  19,  párr.</w:t>
        <w:br/>
        <w:t>87, y Caso Vera Vera y otros Vs. Ecuador, supra nota 12, párr. 107.</w:t>
        <w:br/>
        <w:br/>
        <w:br/>
        <w:t>[103]       Cfr.  Caso Bayarri Vs. Argentina. Excepción  Preliminar,  Fondo,</w:t>
        <w:br/>
        <w:t>Reparaciones y Costas. Sentencia de 30 de octubre de 2008. Serie C No.  187,</w:t>
        <w:br/>
        <w:t>párr. 126; Caso Abrill Alosilla y otros Vs. Perú, supra nota 19,  párr.  89,</w:t>
        <w:br/>
        <w:t>y Caso Vera Vera y otros Vs. Ecuador, supra nota 12, párr. 109.</w:t>
        <w:br/>
        <w:br/>
        <w:t>[104]       Cfr. Caso de las Masacres de Ituango Vs.  Colombia.  Excepciones</w:t>
        <w:br/>
        <w:t>Preliminares, Fondo, Reparaciones y Costas.  Sentencia  de  1  de  julio  de</w:t>
        <w:br/>
        <w:t>2006. Serie C No. 148, párr 98; Caso Gomes Lund y otros  Vs.  Brasil,  supra</w:t>
        <w:br/>
        <w:t>nota 9, párr. 78, y Caso Vera Vera y  otros  Vs.  Ecuador,  supra  nota  12,</w:t>
        <w:br/>
        <w:t>párr. 28.</w:t>
        <w:br/>
        <w:br/>
        <w:t>[105]       Cfr. Caso de los  “Niños  de  la  Calle”  (Villagrán  Morales  y</w:t>
        <w:br/>
        <w:t>otros) Vs. Guatemala. Reparaciones y Costas, supra nota 99, párr.  84;  Caso</w:t>
        <w:br/>
        <w:t>de Salvador Chiriboga Vs. Ecuador. Reparaciones y  Costas,  supra  nota  98,</w:t>
        <w:br/>
        <w:t>párr. 125, y Caso Vera Vera y otros Vs. Ecuador, supra nota 12, párr. 106.</w:t>
        <w:br/>
        <w:br/>
        <w:t>[106]       Cfr. Caso  Neira  Alegría  y  otros  Vs.  Perú.  Reparaciones  y</w:t>
        <w:br/>
        <w:t>Costas. Sentencia de 19 de septiembre de 1996. Serie C  No.  29,  párr.  56;</w:t>
        <w:br/>
        <w:t>Caso Abrill Alosilla y otros Vs. Perú, supra nota  19,  párr.  132,  y  Caso</w:t>
        <w:br/>
        <w:t>Vera Vera y otros Vs. Ecuador, supra nota 12, párr. 135.</w:t>
        <w:br/>
        <w:br/>
        <w:t>[107]       Cfr.  Caso  Barrios  Altos  Vs.  Perú.  Reparaciones  y  Costas.</w:t>
        <w:br/>
        <w:t>Sentencia de 30 de noviembre de 2001.  Serie  C  No.  87,  Punto  Resolutivo</w:t>
        <w:br/>
        <w:t>5.d); Caso Abrill Alosilla Vs. Perú, supra nota 19, párr. 92,  y  Caso  Vera</w:t>
        <w:br/>
        <w:t>Vera y otros Vs. Ecuador, supra nota 12, párr. 125.</w:t>
        <w:br/>
        <w:br/>
        <w:t>[108]        Al   respecto   adjuntó   diversos   documentos   de   respaldo</w:t>
        <w:br/>
        <w:t>correspondientes (anexos al escrito de solicitudes y argumentos, anexos  70,</w:t>
        <w:br/>
        <w:t>71 y 72, fs. 1983 a 2000).</w:t>
        <w:br/>
        <w:t>[109]       Cfr. Caso Bámaca  Velásquez  Vs.  Guatemala.  Reparaciones  y</w:t>
        <w:br/>
        <w:t>Costas. Sentencia de 22 de febrero de 2002. Serie C  No.  91,  párr.  43;</w:t>
        <w:br/>
        <w:t>Caso Abrill Alosilla Vs. Perú, supra nota 19, nota 91, y Caso Vera Vera y</w:t>
        <w:br/>
        <w:t>otros Vs. Ecuador, supra nota 12, párr. 128.</w:t>
        <w:br/>
        <w:br/>
        <w:t>[110]       Daños materiales $194.895,81, como se  detalla  a  continuación:</w:t>
        <w:br/>
        <w:t>1.  Valor  de  remuneraciones  –  Pensiones  pagadas   =    118.212,98;   2.</w:t>
        <w:br/>
        <w:t>Liquidación pensiones por pagar =  7.524,89, y 3.Liquidación de  cesantía  –</w:t>
        <w:br/>
        <w:t>Cesantía pagada      =   69.158,14</w:t>
        <w:br/>
        <w:t>[111]        Daños   inmateriales   US$163.137,58,   como   se   detalla   a</w:t>
        <w:br/>
        <w:t>continuación:  1.  Proyección  de  pensiones  por  esperanza   de   vida   =</w:t>
        <w:br/>
        <w:t>US$163.137,58. Total US$358.033,59.</w:t>
        <w:br/>
        <w:br/>
        <w:t>[112]       Cfr. Informe del Instituto de Seguridad Social  de  las  Fuerzas</w:t>
        <w:br/>
        <w:t>Armadas del Estado (anexos alegatos finales del Estado,  anexo  1,  tomo  I,</w:t>
        <w:br/>
        <w:t>fs. 340 y 355).</w:t>
        <w:br/>
        <w:br/>
        <w:t>[113]       Cfr. Informe Soporte sobre las Condiciones Legales  que  definen</w:t>
        <w:br/>
        <w:t>el marco jurídico que regula la profesión militar, así como, la  liquidación</w:t>
        <w:br/>
        <w:t>de valores, elaborada para el reconocimiento de los  derechos  patrimoniales</w:t>
        <w:br/>
        <w:t>en aplicación a  la  Sentencia  No.  002-09-SIS-CC,  emitida  por  la  Corte</w:t>
        <w:br/>
        <w:t>Constitucional del Ecuador del 08-OCT-2009 referente a  las  inquietudes  de</w:t>
        <w:br/>
        <w:t>la Corte Interamericana de  Derechos  Humanos,  generadas  en  la  audiencia</w:t>
        <w:br/>
        <w:t>efectuada por la demanda planteada en contra del Estado Ecuatoriano  por  el</w:t>
        <w:br/>
        <w:t>coronel de ejército José Mejía Idrovo.  Apartado  titulado:  Liquidación  de</w:t>
        <w:br/>
        <w:t>emolumentos  de  ley  como  militar  en  servicio  activo   –   período   de</w:t>
        <w:br/>
        <w:t>reincorporación. “Rubros entre los que se consideran las remuneraciones  que</w:t>
        <w:br/>
        <w:t>les correspondían recibir como Militar Activo al señor  CRNL.  JOSÉ  ALFREDO</w:t>
        <w:br/>
        <w:t>MEJÍA IDROVO, desde 01 de agosto de  2001  hasta  el  30  de  septiembre  de</w:t>
        <w:br/>
        <w:t>2010”. Total de ingresos de liquidación $250.345,47. (anexos a los  alegatos</w:t>
        <w:br/>
        <w:t>finales del Estado, anexo I, folios 340 a 341).</w:t>
        <w:br/>
        <w:br/>
        <w:t>[114]            Cfr. Caso Garrido y Baigorria Vs.  Argentina.  Reparaciones</w:t>
        <w:br/>
        <w:t>y Costas. Sentencia de 27 de agosto de 1998. Serie  C.  No.  39,  párr.  79;</w:t>
        <w:br/>
        <w:t>Caso Abrill Alosilla Vs. Perú, supra nota 19, párr. 133, y Caso Vera Vera  y</w:t>
        <w:br/>
        <w:t>otros Vs. Ecuador, supra nota 12, párr. 140.</w:t>
        <w:br/>
        <w:br/>
        <w:t>[115]        Cfr. Caso Garrido y Baigorria Vs. Argentina,  supra  nota  114,</w:t>
        <w:br/>
        <w:t>párr. 82; Caso Abrill Alosilla Vs. Perú, supra nota 19, párr.  137,  y  Caso</w:t>
        <w:br/>
        <w:t>Vera Vera y otros Vs. Ecuador, supra nota 12, párr. 144.</w:t>
        <w:br/>
        <w:br/>
        <w:t>[116]        Cfr.  Caso  Chaparro  Álvarez  y  Lapo  Iñiquez  Vs.   Ecuador.</w:t>
        <w:br/>
        <w:t>Excepciones Preliminares, Fondo, Reparaciones y Costas. Sentencia de  21  de</w:t>
        <w:br/>
        <w:t>noviembre de 2007. Serie C. No. 170, párr. 275; Caso de  Salvador  Chiriboga</w:t>
        <w:br/>
        <w:t>Vs. Ecuador. Reparaciones y Costas, supra nota 98, párr. 138, y Caso  Abrill</w:t>
        <w:br/>
        <w:t>Alosilla Vs. Perú, supra nota 19, párr. 137.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