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    CASO SALVADOR CHIRIBOGA VS. ECUADOR</w:t>
        <w:br/>
        <w:br/>
        <w:br/>
        <w:t xml:space="preserve">                      SENTENCIA DE 29 DE AGOSTO DE 2011</w:t>
        <w:br/>
        <w:t xml:space="preserve">          (INTERPRETACIÓN DE LA SENTENCIA DE REPARACIONES Y COSTAS)</w:t>
        <w:br/>
        <w:br/>
        <w:br/>
        <w:br/>
        <w:t>En el caso Salvador Chiriboga,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jueces(:</w:t>
        <w:br/>
        <w:br/>
        <w:t xml:space="preserve">      Diego García-Sayán, Presidente((;</w:t>
        <w:br/>
        <w:t xml:space="preserve">      Cecilia Medina Quiroga, Jueza;</w:t>
        <w:br/>
        <w:t xml:space="preserve">      Sergio García Ramírez, Juez;</w:t>
        <w:br/>
        <w:t xml:space="preserve">      Manuel E. Ventura Robles, Juez;</w:t>
        <w:br/>
        <w:t xml:space="preserve">      Margarette May Macaulay, Jueza;</w:t>
        <w:br/>
        <w:t xml:space="preserve">      Rhadys Abreu Blondet, Jueza, y</w:t>
        <w:br/>
        <w:t xml:space="preserve">      Diego Rodríguez Pinzón, Juez ad hoc;</w:t>
        <w:br/>
        <w:br/>
        <w:t>presente, además,</w:t>
        <w:br/>
        <w:br/>
        <w:t>Pablo Saavedra Alessandri, Secretario(((,</w:t>
        <w:br/>
        <w:br/>
        <w:t>de conformidad con el artículo 67 de la Convención Americana sobre  Derechos</w:t>
        <w:br/>
        <w:t>Humanos (en adelante “la Convención  Americana”  o  “la  Convención”)  y  el</w:t>
        <w:br/>
        <w:t>artículo 68 del Reglamento de la Corte (en  adelante  “el  Reglamento”)((((,</w:t>
        <w:br/>
        <w:t>resuelve la demanda de interpretación de  la  Sentencia  de  reparaciones  y</w:t>
        <w:br/>
        <w:t>costas emitida por el Tribunal el 3 de marzo del 2011 en  el  presente  caso</w:t>
        <w:br/>
        <w:t>(en adelante “la Sentencia”), interpuesta el 2  de  junio  de  2011  por  la</w:t>
        <w:br/>
        <w:t>República del Ecuador (en adelante “el Estado” o “Ecuador”).</w:t>
        <w:br/>
        <w:br/>
        <w:t xml:space="preserve">                                      I</w:t>
        <w:br/>
        <w:t xml:space="preserve">                INTRODUCCIÓN DE LA DEMANDA DE INTERPRETACIÓN</w:t>
        <w:br/>
        <w:t xml:space="preserve">                        Y PROCEDIMIENTO ANTE LA CORTE</w:t>
        <w:br/>
        <w:br/>
        <w:br/>
        <w:t>1.    El 3 de marzo de 2011 la Corte emitió la Sentencia de  reparaciones  y</w:t>
        <w:br/>
        <w:t>costas, la cual fue notificada a las partes el 23 de marzo de 2011.</w:t>
        <w:br/>
        <w:br/>
        <w:t>2.     El  2  de  junio  de  2011  el  Estado  presentó   una   demanda   de</w:t>
        <w:br/>
        <w:t>interpretación de la Sentencia, de conformidad con los artículos  67  de  la</w:t>
        <w:br/>
        <w:t>Convención  y  68  del  Reglamento.  El  Estado  solicitó  al  Tribunal  que</w:t>
        <w:br/>
        <w:t>interpretara la  Sentencia  de  reparaciones  y  costas  específicamente  en</w:t>
        <w:br/>
        <w:t>relación con: a) el estado de los procesos internos frente  a  la  Sentencia</w:t>
        <w:br/>
        <w:t>de la Corte Interamericana de 3 marzo 2011, debido  a  la  necesidad  de  un</w:t>
        <w:br/>
        <w:t>pronunciamiento internacional sobre la situación en  que  deben  quedar  los</w:t>
        <w:br/>
        <w:t>procesos locales respecto al objeto de litigio que,  de  manera  subsidiaria</w:t>
        <w:br/>
        <w:t>se encontraba bajo el conocimiento de dicho Tribunal, y b) la  “sustentación</w:t>
        <w:br/>
        <w:t>del monto indemnizatorio determinado por la […] Corte”.</w:t>
        <w:br/>
        <w:br/>
        <w:t>3.    El 28 de junio  de  2011,  de  conformidad  con  lo  dispuesto  en  el</w:t>
        <w:br/>
        <w:t>artículo 68.2 del Reglamento y siguiendo instrucciones del Presidente de  la</w:t>
        <w:br/>
        <w:t>Corte  (en  adelante  “el  Presidente”),  la  Secretaría  del  Tribunal  (en</w:t>
        <w:br/>
        <w:t>adelante  “la  Secretaría”)  transmitió  una  copia   de   la   demanda   de</w:t>
        <w:br/>
        <w:t>interpretación  a  los  representantes  de  la  víctima  (en  adelante  “los</w:t>
        <w:br/>
        <w:t>representantes”) y a la Comisión  Interamericana  de  Derechos  Humanos  (en</w:t>
        <w:br/>
        <w:t>adelante  “la  Comisión  Interamericana”  o  “la  Comisión”).  Asimismo,  se</w:t>
        <w:br/>
        <w:t>informó a los representantes y a  la  Comisión  Interamericana  que  podrían</w:t>
        <w:br/>
        <w:t>presentar los alegatos escritos que estimaran pertinentes, a más  tardar  el</w:t>
        <w:br/>
        <w:t>28 de julio de 2011.</w:t>
        <w:br/>
        <w:br/>
        <w:t xml:space="preserve">   4. El 26 de julio de 2011 los  representantes  presentaron  sus  alegatos</w:t>
        <w:br/>
        <w:t xml:space="preserve">      escritos y  solicitaron  al  Tribunal  que  rechace  la  solicitud  de</w:t>
        <w:br/>
        <w:t xml:space="preserve">      interpretación de  la  Sentencia  de  3  de  marzo  de  2011  por  ser</w:t>
        <w:br/>
        <w:t xml:space="preserve">      “improcedente y contraria a las normas del Sistema  Interamericano  de</w:t>
        <w:br/>
        <w:t xml:space="preserve">      Protección de los Derechos Humanos”.</w:t>
        <w:br/>
        <w:br/>
        <w:t xml:space="preserve">   5. Por su parte, el 28 de julio de 2011 la Comisión presentó sus alegatos</w:t>
        <w:br/>
        <w:t xml:space="preserve">      escritos, y señaló “que no existe vaguedad en la [S]entencia ni ningún</w:t>
        <w:br/>
        <w:t xml:space="preserve">      tema de orden público interamericano que deba ser aclarado, razón  por</w:t>
        <w:br/>
        <w:t xml:space="preserve">      la cual no tiene observaciones que formular al respecto”.</w:t>
        <w:br/>
        <w:br/>
        <w:br/>
        <w:t xml:space="preserve">                                     II</w:t>
        <w:br/>
        <w:t xml:space="preserve">                    COMPETENCIA Y COMPOSICIÓN DE LA CORTE</w:t>
        <w:br/>
        <w:br/>
        <w:br/>
        <w:t xml:space="preserve">   6. El artículo 67 de la Convención establece que:</w:t>
        <w:br/>
        <w:br/>
        <w:t xml:space="preserve">      [e]l fallo de la Corte  será  definitivo  e  inapelable.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t xml:space="preserve">   7. De conformidad con el artículo citado, la  Corte  es  competente  para</w:t>
        <w:br/>
        <w:t xml:space="preserve">      interpretar sus fallos. Para realizar  el  examen  de  la  demanda  de</w:t>
        <w:br/>
        <w:t xml:space="preserve">      interpretación y resolver lo  que  a  este  respecto  corresponda,  el</w:t>
        <w:br/>
        <w:t xml:space="preserve">      Tribunal debe tener, si es posible, la misma composición que tenía  al</w:t>
        <w:br/>
        <w:t xml:space="preserve">      dictar la Sentencia respectiva, de acuerdo con el  artículo  68.3  del</w:t>
        <w:br/>
        <w:t xml:space="preserve">      Reglamento. En esta ocasión, la Corte se integra con  los  jueces  que</w:t>
        <w:br/>
        <w:t xml:space="preserve">      dictaron la Sentencia cuya interpretación ha sido  solicitada  por  el</w:t>
        <w:br/>
        <w:t xml:space="preserve">      Estado[1].</w:t>
        <w:br/>
        <w:br/>
        <w:t xml:space="preserve">                                     III</w:t>
        <w:br/>
        <w:t xml:space="preserve">                                ADMISIBILIDAD</w:t>
        <w:br/>
        <w:br/>
        <w:t xml:space="preserve">   8. Corresponde a la Corte  verificar  si  la  demanda  de  interpretación</w:t>
        <w:br/>
        <w:t xml:space="preserve">      cumple con los requisitos establecidos en  las  normas  aplicables,  a</w:t>
        <w:br/>
        <w:t xml:space="preserve">      saber, el artículo 67 de la Convención,  anteriormente  citado,  y  el</w:t>
        <w:br/>
        <w:t xml:space="preserve">      artículo 68 del Reglamento que dispone, en lo pertinente, que:</w:t>
        <w:br/>
        <w:br/>
        <w:t xml:space="preserve">      1.    [l]a solicitud de interpretación a que se refiere el artículo 67</w:t>
        <w:br/>
        <w:t xml:space="preserve">      de la Convención podrá promoverse en relación con  las  sentencias  de</w:t>
        <w:br/>
        <w:t xml:space="preserve">      excepciones preliminares, fondo o  de  reparaciones  y  costas,  y  se</w:t>
        <w:br/>
        <w:t xml:space="preserve">      presentará en la Secretaría de  la  Corte  indicándose  en  ella,  con</w:t>
        <w:br/>
        <w:t xml:space="preserve">      precisión, las  cuestiones  relativas  al  sentido  o  alcance  de  la</w:t>
        <w:br/>
        <w:t xml:space="preserve">      sentencia cuya interpretación se pida[;]</w:t>
        <w:br/>
        <w:br/>
        <w:br/>
        <w:t xml:space="preserve">      […]</w:t>
        <w:br/>
        <w:br/>
        <w:br/>
        <w:t xml:space="preserve">      4.    [l]a demanda de interpretación no suspenderá la ejecución de  la</w:t>
        <w:br/>
        <w:t xml:space="preserve">      sentencia[, y]</w:t>
        <w:br/>
        <w:br/>
        <w:br/>
        <w:t xml:space="preserve">      5.    [l]a  Corte  determinará  el  procedimiento  que  se  seguirá  y</w:t>
        <w:br/>
        <w:t xml:space="preserve">      resolverá mediante una sentencia.</w:t>
        <w:br/>
        <w:br/>
        <w:t xml:space="preserve">   9. Asimismo, el artículo 31.3 del Reglamento establece que “[c]ontra  las</w:t>
        <w:br/>
        <w:t xml:space="preserve">      sentencias y resoluciones de la  Corte  no  procede  ningún  medio  de</w:t>
        <w:br/>
        <w:t xml:space="preserve">      impugnación”.</w:t>
        <w:br/>
        <w:br/>
        <w:t xml:space="preserve">  10. La Corte observa que el Estado interpuso la demanda de  interpretación</w:t>
        <w:br/>
        <w:t xml:space="preserve">      dentro del plazo establecido  en  el  artículo  67  de  la  Convención</w:t>
        <w:br/>
        <w:t xml:space="preserve">      Americana, ya que la misma fue presentada el día 2 de junio de 2011  y</w:t>
        <w:br/>
        <w:t xml:space="preserve">      la Sentencia fue notificada a las partes el 23 de marzo de 2011.</w:t>
        <w:br/>
        <w:br/>
        <w:t xml:space="preserve">  11. Por  otro  lado,  tal  como  lo  ha  dispuesto  este  Tribunal  en  su</w:t>
        <w:br/>
        <w:t xml:space="preserve">      jurisprudencia constante, claramente  sustentada  en  el  ordenamiento</w:t>
        <w:br/>
        <w:t xml:space="preserve">      aplicable,  una  demanda  de  interpretación  de  sentencia  no   debe</w:t>
        <w:br/>
        <w:t xml:space="preserve">      utilizarse  como  medio   de   impugnación   de   la   decisión   cuya</w:t>
        <w:br/>
        <w:t xml:space="preserve">      interpretación se solicita. La demanda de  interpretación  tiene  como</w:t>
        <w:br/>
        <w:t xml:space="preserve">      objeto, exclusivamente, desentrañar el  sentido  de  un  fallo  cuando</w:t>
        <w:br/>
        <w:t xml:space="preserve">      alguna de las partes sostiene que el texto de sus puntos resolutivos o</w:t>
        <w:br/>
        <w:t xml:space="preserve">      de sus consideraciones carece  de  claridad  o  precisión,  siempre  y</w:t>
        <w:br/>
        <w:t xml:space="preserve">      cuando esas consideraciones incidan en dicha parte resolutiva[2].  Por</w:t>
        <w:br/>
        <w:t xml:space="preserve">      lo tanto, no  se  puede  pedir  la  modificación  o  anulación  de  la</w:t>
        <w:br/>
        <w:t xml:space="preserve">      sentencia respectiva a través de una demanda de interpretación[3].</w:t>
        <w:br/>
        <w:br/>
        <w:t xml:space="preserve">  12.  La  Corte  procederá  a  analizar  la  solicitud  de   interpretación</w:t>
        <w:br/>
        <w:t xml:space="preserve">      presentada por el Estado y, en su caso, las  aclaraciones  que  estime</w:t>
        <w:br/>
        <w:t xml:space="preserve">      pertinentes.  Para  ello,  examinará  las  cuestiones  planteadas  por</w:t>
        <w:br/>
        <w:t xml:space="preserve">      Ecuador,  así  como  las  observaciones  de  la  Comisión  y  de   los</w:t>
        <w:br/>
        <w:t xml:space="preserve">      representantes.</w:t>
        <w:br/>
        <w:br/>
        <w:t xml:space="preserve">                                     IV</w:t>
        <w:br/>
        <w:t xml:space="preserve">                 RESPECTO DE LOS PROCESOS INTERNOS FRENTE A</w:t>
        <w:br/>
        <w:t xml:space="preserve">               LA SENTENCIA DE LA CORTE DE 3 DE MARZO DE 2011</w:t>
        <w:br/>
        <w:br/>
        <w:t>Alegatos de las partes</w:t>
        <w:br/>
        <w:br/>
        <w:t xml:space="preserve">  13. El Estado manifestó a la Corte “[l]a necesidad de  un  pronunciamiento</w:t>
        <w:br/>
        <w:t xml:space="preserve">      internacional sobre el estado en que deben quedar los procesos locales</w:t>
        <w:br/>
        <w:t xml:space="preserve">      respecto al objeto litigioso que, de manera subsidiaria se  encontraba</w:t>
        <w:br/>
        <w:t xml:space="preserve">      bajo el conocimiento de la Corte Interamericana. Esto en razón de  que</w:t>
        <w:br/>
        <w:t xml:space="preserve">      con  fecha  7  de  abril  de  2010  […]  el   proceso   legal   siguió</w:t>
        <w:br/>
        <w:t xml:space="preserve">      instrumentándose mediante una nueva audiencia ante la Primera Sala  de</w:t>
        <w:br/>
        <w:t xml:space="preserve">      lo Civil de la Corte Provincial de Pichincha, donde los representantes</w:t>
        <w:br/>
        <w:t xml:space="preserve">      de la familia Salvador Chiriboga volvieron a presentar una  pretensión</w:t>
        <w:br/>
        <w:t xml:space="preserve">      económica […]”. Según señaló el Estado, el Municipio de Quito  “refutó</w:t>
        <w:br/>
        <w:t xml:space="preserve">      lo dicho por los representantes  de  la  señora  Salvador  [Chiriboga]</w:t>
        <w:br/>
        <w:t xml:space="preserve">      señalando que, al ser el mismo objeto litigioso el que está en disputa</w:t>
        <w:br/>
        <w:t xml:space="preserve">      tanto en la Corte Interamericana como en el proceso interno, la  Corte</w:t>
        <w:br/>
        <w:t xml:space="preserve">      Provincial  debe  declarar  mediante  un  auto  inhibitorio,  que   la</w:t>
        <w:br/>
        <w:t xml:space="preserve">      competencia en esta materia está radicada en la Corte  Interamericana,</w:t>
        <w:br/>
        <w:t xml:space="preserve">      toda vez que éste es un [s]istema subsidiario”.</w:t>
        <w:br/>
        <w:br/>
        <w:t xml:space="preserve">  14. En consecuencia, el Estado solicitó que la Corte amplíe la explicación</w:t>
        <w:br/>
        <w:t xml:space="preserve">      de los párrafos 48, 61 y 93 de la Sentencia “[d]e manera  que  resulte</w:t>
        <w:br/>
        <w:t xml:space="preserve">      concluyente para las partes,  que  los  procesos  internos  no  pueden</w:t>
        <w:br/>
        <w:t xml:space="preserve">      seguir substanciándose en  razón  de  la  subsidiariedad  del  Sistema</w:t>
        <w:br/>
        <w:t xml:space="preserve">      Interamericano, pues por su naturaleza, es  un  sistema  que  funciona</w:t>
        <w:br/>
        <w:t xml:space="preserve">      única y exclusivamente cuando se  ha  probado  la  ineficacia  de  las</w:t>
        <w:br/>
        <w:t xml:space="preserve">      instituciones nacionales o la demora excesiva en la administración  de</w:t>
        <w:br/>
        <w:t xml:space="preserve">      justicia, como en efecto fue determinado  en  la  sentencia  sobre  el</w:t>
        <w:br/>
        <w:t xml:space="preserve">      fondo del caso Salvador Chiriboga”.</w:t>
        <w:br/>
        <w:br/>
        <w:t xml:space="preserve">  15. Al respecto, los representantes señalaron que, el día 31 de  marzo  de</w:t>
        <w:br/>
        <w:t xml:space="preserve">      2011,  inmediatamente  después  de  que  fueron  notificados   de   la</w:t>
        <w:br/>
        <w:t xml:space="preserve">      Sentencia, presentaron ante la Primera Sala de lo Civil y Mercantil de</w:t>
        <w:br/>
        <w:t xml:space="preserve">      la Corte Provincial de Justicia  un  escrito  de  la  señora  Salvador</w:t>
        <w:br/>
        <w:t xml:space="preserve">      Chiriboga, en el cual indicó que en la Sentencia dictada el 3 de marzo</w:t>
        <w:br/>
        <w:t xml:space="preserve">      de 2011 “se fij[ó] el valor de la justa indemnización por el predio de</w:t>
        <w:br/>
        <w:t xml:space="preserve">      [s]u propiedad que fue objeto de expropiación[,…] de  conformidad  con</w:t>
        <w:br/>
        <w:t xml:space="preserve">      lo dispuesto en los párrafos 84 y 101  de  [dicha  S]entencia”[.]  Por</w:t>
        <w:br/>
        <w:t xml:space="preserve">      ello, solicitó que la Sala así lo declare, ya que el asunto  principal</w:t>
        <w:br/>
        <w:t xml:space="preserve">      ha sido resuelto por la justicia internacional.  En  consecuencia,  se</w:t>
        <w:br/>
        <w:t xml:space="preserve">      deberá ordenar el archivo de la causa”. Según los  representantes,  en</w:t>
        <w:br/>
        <w:t xml:space="preserve">      virtud de  dicho  escrito,  la  referida  Primera  Sala  de  la  Corte</w:t>
        <w:br/>
        <w:t xml:space="preserve">      Provincial de Pichincha “mediante providencia de 28 de abril  de  2011</w:t>
        <w:br/>
        <w:t xml:space="preserve">      corrió traslado al Municipio [del Distrito Metropolitano] de Quito y a</w:t>
        <w:br/>
        <w:t xml:space="preserve">      la  Procuraduría  General  del  Estado[,  los   cuales   en   escritos</w:t>
        <w:br/>
        <w:t xml:space="preserve">      presentados el día 4 de mayo de 2011]” coincidieron en  lo  siguiente:</w:t>
        <w:br/>
        <w:t xml:space="preserve">      “a) [q]ue la causa a nivel interno, una vez que el tema  de  la  justa</w:t>
        <w:br/>
        <w:t xml:space="preserve">      indemnización ha sido resuelto por la Corte Interamericana,  no  puede</w:t>
        <w:br/>
        <w:t xml:space="preserve">      continuar; y b) [q]ue simplemente se requiere de una orden de la  Sala</w:t>
        <w:br/>
        <w:t xml:space="preserve">      para que se inscriba la transferencia de dominio del inmueble a  favor</w:t>
        <w:br/>
        <w:t xml:space="preserve">      del ente municipal, con  el  fin  de  que  cuente  con  un  título  de</w:t>
        <w:br/>
        <w:t xml:space="preserve">      propiedad”.</w:t>
        <w:br/>
        <w:br/>
        <w:t xml:space="preserve">  16.  En razón de lo anterior,  los  representantes  consideraron  que  “el</w:t>
        <w:br/>
        <w:t xml:space="preserve">      Estado tiene claro los efectos de la [S]entencia de 3 de marzo de 2011</w:t>
        <w:br/>
        <w:t xml:space="preserve">      dictada por la […] Corte. De hecho, los representantes  de  la  señora</w:t>
        <w:br/>
        <w:t xml:space="preserve">      Salvador Chiriboga,  quienes  actúan  también  a  nivel  interno  como</w:t>
        <w:br/>
        <w:t xml:space="preserve">      abogados, coinciden  plenamente  con  el  deber  que  tiene  la  Corte</w:t>
        <w:br/>
        <w:t xml:space="preserve">      Provincial de archivar  la  causa,  pues  el  conflicto  existente  ha</w:t>
        <w:br/>
        <w:t xml:space="preserve">      concluido con la [S]entencia de reparaciones [y costas]. Por ello,  es</w:t>
        <w:br/>
        <w:t xml:space="preserve">      claro para todas las partes que no existe razón alguna para  continuar</w:t>
        <w:br/>
        <w:t xml:space="preserve">      con los procesos internos. En tales circunstancias  todas  las  partes</w:t>
        <w:br/>
        <w:t xml:space="preserve">      coinciden en que la causa debe de ser archivada.  […]”.  Sin  embargo,</w:t>
        <w:br/>
        <w:t xml:space="preserve">      esto  no  fue  mencionado  por  el   Estado   en   la   solicitud   de</w:t>
        <w:br/>
        <w:t xml:space="preserve">      interpretación. En razón de ello, los representantes manifestaron  que</w:t>
        <w:br/>
        <w:t xml:space="preserve">      “carece de  sentido  que  […]  el  Estado  sostenga  que  se  requiere</w:t>
        <w:br/>
        <w:t xml:space="preserve">      interpretación de la [S]entencia  cuando  su  conducta  demuestra  que</w:t>
        <w:br/>
        <w:t xml:space="preserve">      tiene pleno  entendimiento  de  los  efectos  y  consecuencias  de  la</w:t>
        <w:br/>
        <w:t xml:space="preserve">      [misma]”. Dado lo anterior,  es  evidente  que  no  existe  fundamento</w:t>
        <w:br/>
        <w:t xml:space="preserve">      alguno para que la Corte proceda a la interpretación de este punto.</w:t>
        <w:br/>
        <w:br/>
        <w:t xml:space="preserve">  17. La Comisión no agregó más manifestaciones  que  las  señaladas  en  el</w:t>
        <w:br/>
        <w:t xml:space="preserve">      párrafo 5 de la presente Sentencia.</w:t>
        <w:br/>
        <w:br/>
        <w:t>Consideraciones de la Corte</w:t>
        <w:br/>
        <w:br/>
        <w:t xml:space="preserve">  18. Al respecto, este Tribunal considera necesario remitirse al párrafo 61</w:t>
        <w:br/>
        <w:t xml:space="preserve">      de la Sentencia de reparaciones y costas, en  la  cual  se  estableció</w:t>
        <w:br/>
        <w:t xml:space="preserve">      que:</w:t>
        <w:br/>
        <w:br/>
        <w:t xml:space="preserve">      La Corte nota que, en el presente caso,  el  proceso  de  expropiación</w:t>
        <w:br/>
        <w:t xml:space="preserve">      mediante el cual se fija el precio del bien en cuestión  se  encuentra</w:t>
        <w:br/>
        <w:t xml:space="preserve">      pendiente en el fuero interno (supra párr. 48). No obstante,  el  caso</w:t>
        <w:br/>
        <w:t xml:space="preserve">      fue sometido y resuelto  en  cuanto  al  fondo  en  esta  jurisdicción</w:t>
        <w:br/>
        <w:t xml:space="preserve">      internacional el 6 de mayo  de  2008,  y  tanto  el  Estado  como  los</w:t>
        <w:br/>
        <w:t xml:space="preserve">      representantes han insistido en  que  este  Tribunal  cuenta  con  los</w:t>
        <w:br/>
        <w:t xml:space="preserve">      elementos  suficientes  para  determinar  el   valor   de   la   justa</w:t>
        <w:br/>
        <w:t xml:space="preserve">      indemnización (supra párr. 19). Al respecto,  la  Corte  reconoce  que</w:t>
        <w:br/>
        <w:t xml:space="preserve">      compete a los Estados fijar los criterios para determinar el  pago  de</w:t>
        <w:br/>
        <w:t xml:space="preserve">      una indemnización en derecho interno por una expropiación, de  acuerdo</w:t>
        <w:br/>
        <w:t xml:space="preserve">      con sus normativas y prácticas, siempre y cuando éstos sean razonables</w:t>
        <w:br/>
        <w:t xml:space="preserve">      y de conformidad con los derechos reconocidos en la Convención. En  el</w:t>
        <w:br/>
        <w:t xml:space="preserve">      presente caso concedió a las partes un plazo de seis meses, contado  a</w:t>
        <w:br/>
        <w:t xml:space="preserve">      partir  de  la  notificación  de  la  Sentencia  de  fondo,  para  que</w:t>
        <w:br/>
        <w:t xml:space="preserve">      alcanzaran un acuerdo, sin que lo lograran. Asimismo,  la  víctima  ha</w:t>
        <w:br/>
        <w:t xml:space="preserve">      esperado más de 19 años para la determinación de un  monto  definitivo</w:t>
        <w:br/>
        <w:t xml:space="preserve">      como justo pago por la expropiación de sus bienes.  En  este  sentido,</w:t>
        <w:br/>
        <w:t xml:space="preserve">      sería irrazonable continuar esperando  un  fallo  definitivo  en  sede</w:t>
        <w:br/>
        <w:t xml:space="preserve">      interna cuando la Sentencia de fondo evidencia la violación del  plazo</w:t>
        <w:br/>
        <w:t xml:space="preserve">      razonable por parte del Estado  para  solucionar  el  asunto.  Por  lo</w:t>
        <w:br/>
        <w:t xml:space="preserve">      tanto, de conformidad con el objeto y fin de la  Convención  Americana</w:t>
        <w:br/>
        <w:t xml:space="preserve">      para la protección efectiva del derecho  a  la  propiedad  privada,  y</w:t>
        <w:br/>
        <w:t xml:space="preserve">      atendiendo lo dispuesto en el párrafo 134 de la Sentencia de fondo, la</w:t>
        <w:br/>
        <w:t xml:space="preserve">      Corte fijará el valor de la justa indemnización en vía internacional.</w:t>
        <w:br/>
        <w:br/>
        <w:br/>
        <w:t xml:space="preserve">  19. Asimismo, en  los  Puntos  Resolutivos  segundo  a  séptimo  de  dicha</w:t>
        <w:br/>
        <w:t xml:space="preserve">      Sentencia, la Corte dispuso los pagos que deberá efectuar el Estado  a</w:t>
        <w:br/>
        <w:t xml:space="preserve">      la señora María Salvador Chiriboga, de acuerdo con las consideraciones</w:t>
        <w:br/>
        <w:t xml:space="preserve">      establecidas en el Fallo.</w:t>
        <w:br/>
        <w:br/>
        <w:t xml:space="preserve">  20. El Tribunal estima que de la Sentencia de  reparaciones  y  costas  se</w:t>
        <w:br/>
        <w:t xml:space="preserve">      desprende  claramente  que  el  presente  caso  fue  resuelto  en   la</w:t>
        <w:br/>
        <w:t xml:space="preserve">      jurisdicción  internacional,  incluyendo  lo  pertinente  a  la  justa</w:t>
        <w:br/>
        <w:t xml:space="preserve">      indemnización. En ese sentido, la  Corte  recuerda  su  jurisprudencia</w:t>
        <w:br/>
        <w:t xml:space="preserve">      constante en cuanto a que la obligación de reparación establecida  por</w:t>
        <w:br/>
        <w:t xml:space="preserve">      los tribunales internacionales se rige por el derecho internacional en</w:t>
        <w:br/>
        <w:t xml:space="preserve">      todos sus aspectos: su alcance, sus modalidades y la determinación  de</w:t>
        <w:br/>
        <w:t xml:space="preserve">      los beneficiarios, nada de lo cual puede ser modificado por el  Estado</w:t>
        <w:br/>
        <w:t xml:space="preserve">      invocando para ello disposiciones de su derecho interno[4].  Asimismo,</w:t>
        <w:br/>
        <w:t xml:space="preserve">      esta Corte observa que no existe  controversia  entre  las  partes  en</w:t>
        <w:br/>
        <w:t xml:space="preserve">      relación con los efectos de dicha Sentencia, sino  por  el  contrario,</w:t>
        <w:br/>
        <w:t xml:space="preserve">      las partes coinciden en que ésta es definitiva. En consecuencia,  este</w:t>
        <w:br/>
        <w:t xml:space="preserve">      Tribunal considera innecesario pronunciarse al respecto.</w:t>
        <w:br/>
        <w:br/>
        <w:t xml:space="preserve">                                      V</w:t>
        <w:br/>
        <w:t xml:space="preserve">                    SUSTENTACIÓN DEL MONTO INDEMNIZATORIO</w:t>
        <w:br/>
        <w:t xml:space="preserve">                          DETERMINADO POR LA CORTE</w:t>
        <w:br/>
        <w:br/>
        <w:t>Alegatos de las partes</w:t>
        <w:br/>
        <w:br/>
        <w:t xml:space="preserve">  21. El Estado consideró que “la Corte no ha sido clara  al  establecer  un</w:t>
        <w:br/>
        <w:t xml:space="preserve">      nexo de causalidad entre sus consideraciones para la determinación del</w:t>
        <w:br/>
        <w:t xml:space="preserve">      valor del predio (párrafos 67, 69, 71, 73, 82 y párrafos 76, 79, 80  y</w:t>
        <w:br/>
        <w:t xml:space="preserve">      83) y la determinación de la justa indemnización  (párrafo  84)”.  Por</w:t>
        <w:br/>
        <w:t xml:space="preserve">      ello, manifestó que “precisa de una aclaración respecto de la relación</w:t>
        <w:br/>
        <w:t xml:space="preserve">      entre sus consideraciones  y  la  cuantificación  proveniente  de  ese</w:t>
        <w:br/>
        <w:t xml:space="preserve">      ejercicio intelectual”.</w:t>
        <w:br/>
        <w:br/>
        <w:t xml:space="preserve">  22. Del mismo modo, el Estado expresó que  “[d]ado  que  el  peritaje  del</w:t>
        <w:br/>
        <w:t xml:space="preserve">      arquitecto Estupiñán es el único  que  toma  en  cuenta  la  serie  de</w:t>
        <w:br/>
        <w:t xml:space="preserve">      limitaciones  jurídicas  que  tuvo  el  predio  al   momento   de   la</w:t>
        <w:br/>
        <w:t xml:space="preserve">      expropiación y que no le dota de “vocación urbana” al bien inmueble  y</w:t>
        <w:br/>
        <w:t xml:space="preserve">      habida cuenta que el modo de cálculo  de  ese  peritaje  es,  a  todas</w:t>
        <w:br/>
        <w:t xml:space="preserve">      luces, el más cercano a todos los razonamientos de la Corte, el Estado</w:t>
        <w:br/>
        <w:t xml:space="preserve">      ecuatoriano no encuentra claridad suficiente respecto a los  elementos</w:t>
        <w:br/>
        <w:t xml:space="preserve">      utilizados por la […] Corte para arribar a una suma  que  excede  tres</w:t>
        <w:br/>
        <w:t xml:space="preserve">      veces al peritaje [y] encuentra que la relación  “causa-efecto”  entre</w:t>
        <w:br/>
        <w:t xml:space="preserve">      los considerandos y la determinación del monto, se prestan para muchas</w:t>
        <w:br/>
        <w:t xml:space="preserve">      interpretaciones y carece de claridad”. Finalmente, el Estado  expresó</w:t>
        <w:br/>
        <w:t xml:space="preserve">      que  “considera  que  el  ejercicio  de  ponderación   entre   interés</w:t>
        <w:br/>
        <w:t xml:space="preserve">      particular y general no ha sido desarrollado en la  […]  [S]entencia”.</w:t>
        <w:br/>
        <w:t xml:space="preserve">      Por ello, solicitó a la Corte “que se determine con claridad  absoluta</w:t>
        <w:br/>
        <w:t xml:space="preserve">      la forma en que se llegó a la suma determinada en el apartado 84 de la</w:t>
        <w:br/>
        <w:t xml:space="preserve">      [S]entencia”.</w:t>
        <w:br/>
        <w:br/>
        <w:t xml:space="preserve">  23.  Los  representantes  señalaron  que  “[e]l  Estado  pretende  con  su</w:t>
        <w:br/>
        <w:t xml:space="preserve">      solicitud de interpretación que la […] Corte modifique su [S]entencia,</w:t>
        <w:br/>
        <w:t xml:space="preserve">      lo cual es contrario a las normas que rigen el procedimiento  ante  la</w:t>
        <w:br/>
        <w:t xml:space="preserve">      Corte Interamericana de Derechos Humanos. El Estado  […]  presenta  de</w:t>
        <w:br/>
        <w:t xml:space="preserve">      nuevo  cuestiones  de  hecho  que  ya  han  sido  resueltas  por  este</w:t>
        <w:br/>
        <w:t xml:space="preserve">      [T]ribunal y expone con suficiente claridad su  inconformidad  con  la</w:t>
        <w:br/>
        <w:t xml:space="preserve">      [S]entencia emitida a fecha 3 marzo  2011,  lo  cual  produce  que  la</w:t>
        <w:br/>
        <w:t xml:space="preserve">      solicitud  también  sea  inadmisible  […]”.   En   consecuencia,   los</w:t>
        <w:br/>
        <w:t xml:space="preserve">      representantes solicitaron a la Corte rechazar la solicitud, “pues  la</w:t>
        <w:br/>
        <w:t xml:space="preserve">      misma no se encuentra dirigida  a  una  interpretación,  sino  por  el</w:t>
        <w:br/>
        <w:t xml:space="preserve">      contrario busca la modificación de la [S]entencia  que  se  afirma  se</w:t>
        <w:br/>
        <w:t xml:space="preserve">      busca interpretar”.</w:t>
        <w:br/>
        <w:br/>
        <w:t xml:space="preserve">  24. Por su parte, la Comisión Interamericana como se señaló anteriormente,</w:t>
        <w:br/>
        <w:t xml:space="preserve">      no agregó más argumentaciones que las indicadas en el  párrafo  5  del</w:t>
        <w:br/>
        <w:t xml:space="preserve">      presente Fallo.</w:t>
        <w:br/>
        <w:br/>
        <w:t>Consideraciones de la Corte</w:t>
        <w:br/>
        <w:br/>
        <w:br/>
        <w:t xml:space="preserve">  25. En la Sentencia de reparaciones y costas, la Corte, en el apartado  B)</w:t>
        <w:br/>
        <w:t xml:space="preserve">      1, analizó las  diligencias,  peritajes  y  normativa  en  el  trámite</w:t>
        <w:br/>
        <w:t xml:space="preserve">      interno e internacional. Asimismo,  en  el  apartado  B)  2,  titulado</w:t>
        <w:br/>
        <w:t xml:space="preserve">      “Determinación de la justa indemnización por esta Corte”, analizó  los</w:t>
        <w:br/>
        <w:t xml:space="preserve">      diferentes avalúos allegados  al  Tribunal  (párrs.  63  a  66  de  la</w:t>
        <w:br/>
        <w:t xml:space="preserve">      Sentencia). Al respecto, la Corte concluyó que:</w:t>
        <w:br/>
        <w:br/>
        <w:t xml:space="preserve">      […] de acuerdo a las características esenciales del terreno, así  como</w:t>
        <w:br/>
        <w:t xml:space="preserve">      el acervo probatorio, se puede desprender que se trata  de  un  predio</w:t>
        <w:br/>
        <w:t xml:space="preserve">      rústico,  en  cuanto  a  la  ausencia  de  edificaciones   y   algunas</w:t>
        <w:br/>
        <w:t xml:space="preserve">      afectaciones del terreno, con características particulares debido a su</w:t>
        <w:br/>
        <w:t xml:space="preserve">      localización urbana, al cual le fueron impuestas limitaciones a su uso</w:t>
        <w:br/>
        <w:t xml:space="preserve">      y goce con la finalidad de alcanzar beneficios ambientales, ecológicos</w:t>
        <w:br/>
        <w:t xml:space="preserve">      y recreativos,  los  cuales  contribuyen  a  la  preservación  de  los</w:t>
        <w:br/>
        <w:t xml:space="preserve">      recursos naturales en beneficio  de  la  sociedad,  siendo  todo  ello</w:t>
        <w:br/>
        <w:t xml:space="preserve">      valorado para fijar su justo precio […].</w:t>
        <w:br/>
        <w:br/>
        <w:br/>
        <w:t xml:space="preserve">      […] En razón de esto, cuando se emitió  la  declaratoria  de  utilidad</w:t>
        <w:br/>
        <w:t xml:space="preserve">      pública el  13  de  mayo  de  1991,  el  predio  ya  contaba  con  las</w:t>
        <w:br/>
        <w:t xml:space="preserve">      limitaciones jurídicas de uso, y por consiguiente, su valor  comercial</w:t>
        <w:br/>
        <w:t xml:space="preserve">      había disminuido[5].</w:t>
        <w:br/>
        <w:br/>
        <w:t xml:space="preserve">  26. Queda  claro  que  en  dicha  Sentencia  fueron  valorados  todos  los</w:t>
        <w:br/>
        <w:t xml:space="preserve">      peritajes que constaban en el expediente ante la  Corte,  sin  que  el</w:t>
        <w:br/>
        <w:t xml:space="preserve">      Tribunal tomara como determinante alguno de ellos. Así, en el  párrafo</w:t>
        <w:br/>
        <w:t xml:space="preserve">      81 de la Sentencia se estableció que:</w:t>
        <w:br/>
        <w:br/>
        <w:t xml:space="preserve">      [e]n consideración de  las  pretensiones  de  reparaciones,  la  Corte</w:t>
        <w:br/>
        <w:t xml:space="preserve">      valoró en su  conjunto  la  prueba  aportada  por  las  partes,  y  la</w:t>
        <w:br/>
        <w:t xml:space="preserve">      elaboración y conclusiones de los diversos peritajes, los  cuales  son</w:t>
        <w:br/>
        <w:t xml:space="preserve">      diferentes e inclusive discrepantes. En todos ellos existen  elementos</w:t>
        <w:br/>
        <w:t xml:space="preserve">      útiles, aunque ninguno es determinante por sí mismo en forma integral.</w:t>
        <w:br/>
        <w:t xml:space="preserve">      Por ello, el Tribunal considera esas  opiniones  como  elementos  para</w:t>
        <w:br/>
        <w:t xml:space="preserve">      configurar los criterios establecidos en la presente Sentencia.</w:t>
        <w:br/>
        <w:br/>
        <w:t xml:space="preserve">  27. En el apartado 2.b) la Corte se pronunció  sobre  la  “valoración  del</w:t>
        <w:br/>
        <w:t xml:space="preserve">      justo equilibrio entre el interés general y particular” (párrafos 75 a</w:t>
        <w:br/>
        <w:t xml:space="preserve">      79 de la Sentencia), y en el párrafo 83 de la  Sentencia  se  concluyó</w:t>
        <w:br/>
        <w:t xml:space="preserve">      que:</w:t>
        <w:br/>
        <w:br/>
        <w:t xml:space="preserve">      Adicionalmente, en la  Sentencia  de  fondo  la  Corte  estableció  la</w:t>
        <w:br/>
        <w:t xml:space="preserve">      existencia del interés legítimo  de  la  expropiación  basado  en  las</w:t>
        <w:br/>
        <w:t xml:space="preserve">      razones de utilidad pública con fundamento en la protección del  medio</w:t>
        <w:br/>
        <w:t xml:space="preserve">      ambiente, lo cual resulta en el beneficio social que genera el  Parque</w:t>
        <w:br/>
        <w:t xml:space="preserve">      Metropolitano, que es de vital importancia para la ciudad de Quito,  y</w:t>
        <w:br/>
        <w:t xml:space="preserve">      el predio expropiado representa un gran aporte no sólo para el  parque</w:t>
        <w:br/>
        <w:t xml:space="preserve">      en sí, sino para toda la sociedad  y  el  medio  ambiente  en  general</w:t>
        <w:br/>
        <w:t xml:space="preserve">      (supra párr. 73).  Sin  embargo,  el  Estado  incumplió  con  el  pago</w:t>
        <w:br/>
        <w:t xml:space="preserve">      requerido por el artículo 21.2 de la Convención  y  los  criterios  de</w:t>
        <w:br/>
        <w:t xml:space="preserve">      plazos razonables en perjuicio de la víctima.</w:t>
        <w:br/>
        <w:br/>
        <w:t xml:space="preserve">  28. Finalmente, en el párrafo 84 de la Sentencia, el Tribunal determinó el</w:t>
        <w:br/>
        <w:t xml:space="preserve">      monto por concepto de justa indemnización en  sede  internacional,  de</w:t>
        <w:br/>
        <w:t xml:space="preserve">      acuerdo con los siguientes criterios:</w:t>
        <w:br/>
        <w:br/>
        <w:t xml:space="preserve">      Por  tanto,  de  acuerdo  a  las  pretensiones  de  las  partes,   las</w:t>
        <w:br/>
        <w:t xml:space="preserve">      restricciones jurídicas que afectan el predio, las  cuales  impactaron</w:t>
        <w:br/>
        <w:t xml:space="preserve">      sobre su valor, puesto que el inmueble objeto de  la  expropiación  ha</w:t>
        <w:br/>
        <w:t xml:space="preserve">      sido destinado a la protección ambiental y recreación, lo cual  es  de</w:t>
        <w:br/>
        <w:t xml:space="preserve">      gran relevancia e interés público para la  ciudad  de  Quito  […],  en</w:t>
        <w:br/>
        <w:t xml:space="preserve">      atención al justo equilibrio entre el interés  público  y  el  interés</w:t>
        <w:br/>
        <w:t xml:space="preserve">      particular, la Corte, de acuerdo a  los  criterios  de  razonabilidad,</w:t>
        <w:br/>
        <w:t xml:space="preserve">      proporcionalidad y equidad, fija la suma de […] por concepto de  justa</w:t>
        <w:br/>
        <w:t xml:space="preserve">      indemnización en sede internacional, la  cual  incluye  el  valor  del</w:t>
        <w:br/>
        <w:t xml:space="preserve">      inmueble expropiado y sus accesorios.</w:t>
        <w:br/>
        <w:br/>
        <w:t xml:space="preserve">  29. De conformidad con el artículo 63.1 de  la  Convención  Americana,  la</w:t>
        <w:br/>
        <w:t xml:space="preserve">      Corte tiene facultades  inherentes  para  ordenar  reparaciones  y  en</w:t>
        <w:br/>
        <w:t xml:space="preserve">      específico determinar el pago de una justa indemnización  a  la  parte</w:t>
        <w:br/>
        <w:t xml:space="preserve">      lesionada. El Tribunal señaló también en dicha Sentencia la obligación</w:t>
        <w:br/>
        <w:t xml:space="preserve">      del Estado de  pagar  una  justa  indemnización  derivada  del  propio</w:t>
        <w:br/>
        <w:t xml:space="preserve">      artículo 21.2 de la Convención Americana (párrafo 35 de la Sentencia).</w:t>
        <w:br/>
        <w:t xml:space="preserve">       Así, la Corte fue clara en establecer detalladamente los elementos de</w:t>
        <w:br/>
        <w:t xml:space="preserve">      prueba que fueron valorados y los criterios específicos  desarrollados</w:t>
        <w:br/>
        <w:t xml:space="preserve">      por el Tribunal en el presente caso. Asimismo, con base  en  criterios</w:t>
        <w:br/>
        <w:t xml:space="preserve">      de razonabilidad, proporcionalidad y equidad,  práctica  constante  de</w:t>
        <w:br/>
        <w:t xml:space="preserve">      Tribunales internacionales[6] y de esta propia Corte[7], determinó  el</w:t>
        <w:br/>
        <w:t xml:space="preserve">      monto  de  la  justa  indemnización  del   inmueble   objeto   de   la</w:t>
        <w:br/>
        <w:t xml:space="preserve">      expropiación.</w:t>
        <w:br/>
        <w:br/>
        <w:t xml:space="preserve">  30. En razón de lo anterior, el  Tribunal  advierte  que  de  la  pregunta</w:t>
        <w:br/>
        <w:t xml:space="preserve">      realizada por el Estado, se desprende su inconformidad  por  no  haber</w:t>
        <w:br/>
        <w:t xml:space="preserve">      tomado como determinante el peritaje ofrecido por el  Estado  ante  la</w:t>
        <w:br/>
        <w:t xml:space="preserve">      Corte. Asimismo, con ello pretende que el Tribunal  valore  nuevamente</w:t>
        <w:br/>
        <w:t xml:space="preserve">      cuestiones que ya han sido resueltas por éste  en  su  Sentencia  para</w:t>
        <w:br/>
        <w:t xml:space="preserve">      fijar el monto de la justa indemnización. Al  respecto,  la  Corte  ha</w:t>
        <w:br/>
        <w:t xml:space="preserve">      sostenido la improcedencia  de  revaluar  cuestiones  de  hecho  y  de</w:t>
        <w:br/>
        <w:t xml:space="preserve">      derecho que ya fueron planteadas en su oportunidad  procesal  y  sobre</w:t>
        <w:br/>
        <w:t xml:space="preserve">      las cuales el Tribunal adoptó una decisión[8].</w:t>
        <w:br/>
        <w:br/>
        <w:t xml:space="preserve">  31. En razón de lo anterior, la segunda pregunta de aclaratoria  planteada</w:t>
        <w:br/>
        <w:t xml:space="preserve">      por el Estado es improcedente en función a que la Sentencia  es  clara</w:t>
        <w:br/>
        <w:t xml:space="preserve">      en cuanto a los elementos que  fueron  valorados  para  determinar  el</w:t>
        <w:br/>
        <w:t xml:space="preserve">      monto de la justa indemnización, y el Tribunal considera que el Estado</w:t>
        <w:br/>
        <w:t xml:space="preserve">      pretende revaluar cuestiones que han sido resueltas por la Corte,  sin</w:t>
        <w:br/>
        <w:t xml:space="preserve">      que  exista  la  posibilidad  de  que  el  fallo  sea   modificado   o</w:t>
        <w:br/>
        <w:t xml:space="preserve">      ampliado[9], de conformidad con los  artículos  67  de  la  Convención</w:t>
        <w:br/>
        <w:t xml:space="preserve">      Americana y 31.3 y 68 de su Reglamento.</w:t>
        <w:br/>
        <w:br/>
        <w:br/>
        <w:br/>
        <w:br/>
        <w:br/>
        <w:br/>
        <w:br/>
        <w:t xml:space="preserve">                                     VI</w:t>
        <w:br/>
        <w:t xml:space="preserve">                             PUNTOS RESOLUTIVOS</w:t>
        <w:br/>
        <w:br/>
        <w:br/>
        <w:br/>
        <w:br/>
        <w:t xml:space="preserve">  32. Por las razones expuestas,</w:t>
        <w:br/>
        <w:br/>
        <w:br/>
        <w:br/>
        <w:br/>
        <w:t>LA CORTE INTERAMERICANA DE DERECHOS HUMANOS</w:t>
        <w:br/>
        <w:br/>
        <w:br/>
        <w:br/>
        <w:br/>
        <w:t>de conformidad con el artículo 67 de la Convención Americana sobre  Derechos</w:t>
        <w:br/>
        <w:t>Humanos y los  artículos 31.3 y 68 del Reglamento,</w:t>
        <w:br/>
        <w:br/>
        <w:br/>
        <w:t>Decide:</w:t>
        <w:br/>
        <w:br/>
        <w:br/>
        <w:t>Por unanimidad,</w:t>
        <w:br/>
        <w:br/>
        <w:t>Declarar  admisible  la  demanda  de  interpretación  de  la  Sentencia   de</w:t>
        <w:br/>
        <w:t>reparaciones y costas en el presente caso interpuesta por el Estado, en  los</w:t>
        <w:br/>
        <w:t>términos  de  los  párrafos  10  al  12  de   la   presente   Sentencia   de</w:t>
        <w:br/>
        <w:t>Interpretación.</w:t>
        <w:br/>
        <w:br/>
        <w:t>Desestimar  por  improcedente  el  cuestionamiento  del  Estado  sobre   los</w:t>
        <w:br/>
        <w:t>procesos internos respecto del pronunciamiento de  la  Corte  Interamericana</w:t>
        <w:br/>
        <w:t>en su Sentencia de 3 de marzo de 2011, en los términos de  los  párrafos  18</w:t>
        <w:br/>
        <w:t>al 20 de la presente Sentencia.</w:t>
        <w:br/>
        <w:br/>
        <w:t>Desestimar por improcedente el cuestionamiento  del  Estado  respecto  a  la</w:t>
        <w:br/>
        <w:t>sustentación   del   monto   indemnizatorio   determinado   por   la   Corte</w:t>
        <w:br/>
        <w:t>Interamericana, en los términos de los párrafos 25  al  31  de  la  presente</w:t>
        <w:br/>
        <w:t>Sentencia, en la medida que no se adecua a lo previsto en los  artículos  67</w:t>
        <w:br/>
        <w:t>de la Convención y a las normas reglamentarias.</w:t>
        <w:br/>
        <w:br/>
        <w:t>Requerir a la Secretaría de la Corte Interamericana de Derechos Humanos  que</w:t>
        <w:br/>
        <w:t>notifique la presente Sentencia a la República del Ecuador,  a  la  Comisión</w:t>
        <w:br/>
        <w:t>Interamericana de Derechos Humanos y a los representantes de la víctima.</w:t>
        <w:br/>
        <w:br/>
        <w:br/>
        <w:t>Redactada en español e inglés, haciendo fe del texto en español, en  Bogotá,</w:t>
        <w:br/>
        <w:t>Colombia, el 29 de agosto de 2011.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t>Cecilia Medina Quiroga                                  Sergio García</w:t>
        <w:br/>
        <w:t>Ramírez</w:t>
        <w:br/>
        <w:br/>
        <w:br/>
        <w:br/>
        <w:br/>
        <w:br/>
        <w:t>Manuel  E.  Ventura  Robles                                  Margarette  May</w:t>
        <w:br/>
        <w:t>Macaulay</w:t>
        <w:br/>
        <w:br/>
        <w:br/>
        <w:br/>
        <w:br/>
        <w:t>Rhadys  Abreu  Blondet                                     Diego   Rodríguez</w:t>
        <w:br/>
        <w:t>Pinzón</w:t>
        <w:br/>
        <w:t xml:space="preserve">                                                          Juez ad hoc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t xml:space="preserve">                                                   Diego García Sayán</w:t>
        <w:br/>
        <w:t xml:space="preserve">                                                         Presidente</w:t>
        <w:br/>
        <w:br/>
        <w:br/>
        <w:t>Pablo Saavedra Alessandri</w:t>
        <w:br/>
        <w:t xml:space="preserve">          Secretario</w:t>
        <w:br/>
        <w:t>-----------------------</w:t>
        <w:br/>
        <w:t>(     El Juez Leonardo A. Franco, informó al Tribunal que por motivos de</w:t>
        <w:br/>
        <w:t>fuerza mayor no podía estar presente en la deliberación de la presente</w:t>
        <w:br/>
        <w:t>Sentencia.</w:t>
        <w:br/>
        <w:br/>
        <w:t>((    La Jueza Medina Quiroga cedió la  Presidencia,  en  los  términos  del</w:t>
        <w:br/>
        <w:t>artículo 4.2 del Reglamento, al entonces Vicepresidente  del  Tribunal  para</w:t>
        <w:br/>
        <w:t>el presente caso, Juez Diego García-Sayán.</w:t>
        <w:br/>
        <w:br/>
        <w:t>(((   La Secretaria Adjunta, Emilia Segares Rodríguez, informó al Tribunal</w:t>
        <w:br/>
        <w:t>que por motivos de fuerza mayor no podía estar presente en la deliberación</w:t>
        <w:br/>
        <w:t>de la presente Sentencia.</w:t>
        <w:br/>
        <w:br/>
        <w:t>((((  El Reglamento de la Corte  mencionado  en  la  presente  Sentencia  de</w:t>
        <w:br/>
        <w:t>Interpretación, corresponde al instrumento  aprobado  por  la  Corte  en  su</w:t>
        <w:br/>
        <w:t>LXXXV Período Ordinario de Sesiones celebrado del 16 al 28 de  noviembre  de</w:t>
        <w:br/>
        <w:t>2009, que entró en vigor en el año 2010.</w:t>
        <w:br/>
        <w:br/>
        <w:br/>
        <w:t>[1]   La Corte al momento del dictar la Sentencia de reparaciones  y  costas</w:t>
        <w:br/>
        <w:t>estaba integrada por los siguientes Jueces: Diego García-Sayán,  Presidente,</w:t>
        <w:br/>
        <w:t>Cecilia Medina Quiroga,  Jueza;  Sergio  García  Ramírez,  Juez;  Manuel  E.</w:t>
        <w:br/>
        <w:t>Ventura Robles, Juez; Leonardo A. Franco,  Juez;  Margarette  May  Macaulay,</w:t>
        <w:br/>
        <w:t>Jueza; Rhadys Abreu Blondet, Jueza, y Diego Rodríguez Pinzón, Juez ad hoc.</w:t>
        <w:br/>
        <w:br/>
        <w:t>[2]   Cfr. Caso Loayza Tamayo Vs. Perú. Interpretación de  la  Sentencia  de</w:t>
        <w:br/>
        <w:t>Fondo. Sentencia de la Corte de 8 de marzo de 1998. Serie C  No.  47,  párr.</w:t>
        <w:br/>
        <w:t>16;  Caso  Fernández  Ortega  y  otros  Vs.  México.  Interpretación  de  la</w:t>
        <w:br/>
        <w:t>Sentencia de Excepción Preliminar, Fondo, Reparaciones y  Costas.  Sentencia</w:t>
        <w:br/>
        <w:t>de la Corte de 30 de agosto de 2010. Serie C  No.  215,  párr.  11,  y  Caso</w:t>
        <w:br/>
        <w:t>Rosendo  Cantú  y  otra  Vs.  México.  Interpretación  de  la  Sentencia  de</w:t>
        <w:br/>
        <w:t>Excepción Preliminar, Fondo, Reparaciones y Costas. Sentencia  de  la  Corte</w:t>
        <w:br/>
        <w:t>de 15 de mayo de 2011. Serie C No. 216, párr. 11.</w:t>
        <w:br/>
        <w:br/>
        <w:t>[3]   Cfr. Caso Loayza Tamayo Vs. Perú. Interpretación de  la  Sentencia  de</w:t>
        <w:br/>
        <w:t>Fondo, supra nota 2, párr. 16; Caso Fernández Ortega  y  otros  Vs.  México.</w:t>
        <w:br/>
        <w:t>Interpretación de la Sentencia Excepción Preliminar, Fondo,  Reparaciones  y</w:t>
        <w:br/>
        <w:t>Costas, supra nota 2, párr. 11, y Caso Rosendo  Cantú  y  otra  Vs.  México.</w:t>
        <w:br/>
        <w:t>Interpretación  de  la  Sentencia  de  de   Excepción   Preliminar,   Fondo,</w:t>
        <w:br/>
        <w:t>Reparaciones y Costas, supra nota 2, párr. 11.</w:t>
        <w:br/>
        <w:t>[4]   Cfr. Caso Velásquez Rodríguez Vs.  Honduras.  Reparaciones  y  Costas.</w:t>
        <w:br/>
        <w:t>Sentencia de la Corte de 21 de julio de 1989. Serie C No. 7, párr. 30;  Caso</w:t>
        <w:br/>
        <w:t>Chaparro Álvarez Vs. Ecuador. Interpretación  de  la  Sentencia  Excepciones</w:t>
        <w:br/>
        <w:t>Preliminares, Fondo, Reparaciones y Costas. Sentencia de la Corte de  26  de</w:t>
        <w:br/>
        <w:t>noviembre de 2008. Serie C No. 189, párr. 21, y  Caso  Chocrón  Chocrón  Vs.</w:t>
        <w:br/>
        <w:t>Venezuela. Excepciones Preliminares, Fondo Reparaciones y Costas.  Sentencia</w:t>
        <w:br/>
        <w:t>de la Corte de 1 de julio de 2011. Serie C No. 227, párr. 175.</w:t>
        <w:br/>
        <w:t>[5]    Cfr. Caso Salvador Chiriboga Vs. Ecuador. Reparaciones y Costas.</w:t>
        <w:br/>
        <w:t>Sentencia de la Corte de 3 marzo de 2011. Serie C No. 222, párrs. 73 y 82.</w:t>
        <w:br/>
        <w:t>[6]   Cfr. Iran-US Claims Tribunal,  American  International  Group  Inc.  v</w:t>
        <w:br/>
        <w:t>Islamic Republic of Iran. Award No. 93- 2- 3- 4; Iran-U.S.C.T.R  96  (1983);</w:t>
        <w:br/>
        <w:t>Iran-US Claims Tribunal, Philips Petroleum Co. and  The  Government  of  the</w:t>
        <w:br/>
        <w:t>Islamic Republic of Iran. Award No 425-39- 21.  Iran-U.S.C.T.R.  79  (1989);</w:t>
        <w:br/>
        <w:t>Permanent Court of International Justice Judicial Year 1937.  The  Diversion</w:t>
        <w:br/>
        <w:t>of Water from the Meuse. Netherlands v. Belgium.  Par.  323;  Grand  Chamber</w:t>
        <w:br/>
        <w:t>Case of Varnava and others v. Turkey (Applications nos. 16064/90,  16065/90,</w:t>
        <w:br/>
        <w:t>16066/90, 16068/90, 16069/90, 16070/90,  16071/90,  16072/90  and  16073/90)</w:t>
        <w:br/>
        <w:t>Judgment, Strasbourg, September 18 2009. Par 224-225.</w:t>
        <w:br/>
        <w:br/>
        <w:t>[7]   Cfr. Caso Garrido Baigorria  Vs.  Argentina.  Reparaciones  y  Costas.</w:t>
        <w:br/>
        <w:t>Sentencia de la Corte de 27 de agosto de 1998. Serie C  No.  39,  párr.  79;</w:t>
        <w:br/>
        <w:t>Caso  Chocrón  Chocrón  Vs.  Venezuela.  Excepciones  Preliminares,   Fondo,</w:t>
        <w:br/>
        <w:t>Reparaciones y Costas. Sentencia, supra nota 5,  párr.  192,  y  Caso  Mejía</w:t>
        <w:br/>
        <w:t>Idrovo Vs. Ecuador. Excepciones Preliminares, Fondo, Reparaciones y  Costas.</w:t>
        <w:br/>
        <w:t>Sentencia de la Corte de 5 de julio de 2011. Serie C No. 228, párr. 157.</w:t>
        <w:br/>
        <w:br/>
        <w:t>[8]   Cfr. Caso Loayza Tamayo Vs. Perú. Interpretación de  la  Sentencia  de</w:t>
        <w:br/>
        <w:t>Reparaciones y Costas, supra nota 2, párr. 15;  Caso  Fernández  Ortega  Vs.</w:t>
        <w:br/>
        <w:t>México. Interpretación de  la  Sentencia  de  Excepción  Preliminar,  Fondo,</w:t>
        <w:br/>
        <w:t>Reparaciones y Costas, supra nota 2, párr. 12, y Caso Rosendo Cantú  y  otra</w:t>
        <w:br/>
        <w:t>Vs. México. Interpretación de la Sentencia de Excepción  Preliminar,  Fondo,</w:t>
        <w:br/>
        <w:t>Reparaciones y Costas, supra nota 2, párr. 12.</w:t>
        <w:br/>
        <w:br/>
        <w:t>[9]   Cfr. Caso Loayza Tamayo Vs. Perú. Interpretación de  la  Sentencia  de</w:t>
        <w:br/>
        <w:t>Fondo, supra nota 2, párr. 16; Caso  Fernández Ortega y  otros  Vs.  México.</w:t>
        <w:br/>
        <w:t>Interpretación de la Sentencia Excepción Preliminar, Fondo,  Reparaciones  y</w:t>
        <w:br/>
        <w:t>Costas, supra nota 2, párr. 11, y Caso Rosendo  Cantú  y  otra  Vs.  México.</w:t>
        <w:br/>
        <w:t>Interpretación  de  la  Sentencia  de  de   Excepción   Preliminar,   Fondo,</w:t>
        <w:br/>
        <w:t>Reparaciones y Costas, supra nota 2, párr. 11.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