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CASO FONTEVECCHIA Y D’AMICO VS. ARGENTINA</w:t>
        <w:br/>
        <w:br/>
        <w:br/>
        <w:br/>
        <w:t xml:space="preserve">                    SENTENCIA DE 29 DE NOVIEMBRE DE 2011</w:t>
        <w:br/>
        <w:br/>
        <w:br/>
        <w:t xml:space="preserve">                       (Fondo, Reparaciones y Costas)</w:t>
        <w:br/>
        <w:br/>
        <w:br/>
        <w:t>En el caso Fontevecchia y D’Amico,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Diego García-Sayán, 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Derechos Humanos (en adelante también “la Convención Americana” o  “la</w:t>
        <w:br/>
        <w:t>Convención”) y con los artículos 31, 32, 65 y 67 del Reglamento de la  Corte</w:t>
        <w:br/>
        <w:t>(en adelante también “el Reglamento”)[1], dicta la presente Sentencia.</w:t>
        <w:br/>
        <w:t>[pic]</w:t>
        <w:br/>
        <w:br/>
        <w:t xml:space="preserve">                                      I</w:t>
        <w:br/>
        <w:br/>
        <w:t>INTRODUCCIÓN DE LA CAUSA Y OBJETO DE LA CONTROVERSIA</w:t>
        <w:br/>
        <w:br/>
        <w:br/>
        <w:t xml:space="preserve">   1. El 10 de diciembre de 2010, de conformidad con  lo  dispuesto  en  los</w:t>
        <w:br/>
        <w:t xml:space="preserve">      artículos 51 y 61 de la Convención Americana  y  el  artículo  35  del</w:t>
        <w:br/>
        <w:t xml:space="preserve">      Reglamento de la Corte, la Comisión Interamericana de Derechos Humanos</w:t>
        <w:br/>
        <w:t xml:space="preserve">      (en adelante “la Comisión Interamericana” o “la Comisión”)  sometió  a</w:t>
        <w:br/>
        <w:t xml:space="preserve">      la jurisdicción de la Corte  Interamericana  el  caso  Fontevecchia  y</w:t>
        <w:br/>
        <w:t xml:space="preserve">      D’Amico en contra de la República Argentina (en adelante  también  “el</w:t>
        <w:br/>
        <w:t xml:space="preserve">      Estado” o “Argentina”), originado en una petición presentada el 15  de</w:t>
        <w:br/>
        <w:t xml:space="preserve">      noviembre de 2001 por los señores Jorge Fontevecchia, Héctor D’Amico y</w:t>
        <w:br/>
        <w:t xml:space="preserve">      Horacio Verbitsky (en representación de  la  Asociación  Periodistas),</w:t>
        <w:br/>
        <w:t xml:space="preserve">      con el patrocinio de los señores Eduardo Bertoni y Damián  Loretti[2].</w:t>
        <w:br/>
        <w:t xml:space="preserve">      El 12 de octubre de 2005, la Comisión Interamericana adoptó el Informe</w:t>
        <w:br/>
        <w:t xml:space="preserve">      de Admisibilidad No. 51/05[3] y el 13  de  julio  de  2010  aprobó  el</w:t>
        <w:br/>
        <w:t xml:space="preserve">      Informe de Fondo No. 82/10, en los términos  del  artículo  50  de  la</w:t>
        <w:br/>
        <w:t xml:space="preserve">      Convención, en el cual realizó una serie de recomendaciones al Estado.</w:t>
        <w:br/>
        <w:t xml:space="preserve">      Este  último  informe  fue  notificado  a   Argentina   mediante   una</w:t>
        <w:br/>
        <w:t xml:space="preserve">      comunicación de 11 de agosto de 2010,  otorgándole  un  plazo  de  dos</w:t>
        <w:br/>
        <w:t xml:space="preserve">      meses para informar sobre  el  cumplimiento  de  las  recomendaciones.</w:t>
        <w:br/>
        <w:t xml:space="preserve">      Luego de vencido el plazo de una prórroga solicitada por Argentina, la</w:t>
        <w:br/>
        <w:t xml:space="preserve">      Comisión sometió el caso al Tribunal debido a la falta de cumplimiento</w:t>
        <w:br/>
        <w:t xml:space="preserve">      de las recomendaciones  por  parte  del  Estado  y  a  la  consecuente</w:t>
        <w:br/>
        <w:t xml:space="preserve">      necesidad de obtener justicia y  una  justa  reparación.  La  Comisión</w:t>
        <w:br/>
        <w:t xml:space="preserve">      Interamericana designó como delegados a la  Comisionada  Luz  Patricia</w:t>
        <w:br/>
        <w:t xml:space="preserve">      Mejía, al Secretario Ejecutivo, Santiago A. Canton, y  a  la  Relatora</w:t>
        <w:br/>
        <w:t xml:space="preserve">      Especial para la  Libertad  de  Expresión,  Catalina  Botero,  y  como</w:t>
        <w:br/>
        <w:t xml:space="preserve">      asesores legales a su Secretaria  Ejecutiva  Adjunta,  Elizabeth  Abi-</w:t>
        <w:br/>
        <w:t xml:space="preserve">      Mershed, y a María Claudia Pulido, Lilly Ching  Soto  y  Michael  John</w:t>
        <w:br/>
        <w:t xml:space="preserve">      Camilleri, abogadas y abogado de la Secretaría Ejecutiva.</w:t>
        <w:br/>
        <w:br/>
        <w:t xml:space="preserve">   2. Según indicó la Comisión Interamericana, el presente caso se relaciona</w:t>
        <w:br/>
        <w:t xml:space="preserve">      con la alegada violación del derecho a la libertad de expresión de los</w:t>
        <w:br/>
        <w:t xml:space="preserve">      señores Jorge Fontevecchia y Héctor D’Amico, quienes eran  director  y</w:t>
        <w:br/>
        <w:t xml:space="preserve">      editor, respectivamente, de la revista Noticias. La supuesta violación</w:t>
        <w:br/>
        <w:t xml:space="preserve">      se habría producido en virtud de la condena civil que les fue impuesta</w:t>
        <w:br/>
        <w:t xml:space="preserve">      mediante  sentencias   dictadas   por   tribunales   argentinos   como</w:t>
        <w:br/>
        <w:t xml:space="preserve">      responsabilidad ulterior por  la  publicación  de  dos  artículos,  en</w:t>
        <w:br/>
        <w:t xml:space="preserve">      noviembre de 1995, en la mencionada revista. Dichas  publicaciones  se</w:t>
        <w:br/>
        <w:t xml:space="preserve">      referían a la existencia de un hijo no  reconocido  del  señor  Carlos</w:t>
        <w:br/>
        <w:t xml:space="preserve">      Saúl Menem, entonces Presidente de la Nación, con una diputada,  a  la</w:t>
        <w:br/>
        <w:t xml:space="preserve">      relación entre el ex presidente y la diputada y a la relación entre el</w:t>
        <w:br/>
        <w:t xml:space="preserve">      primer mandatario y su hijo[4]. Tanto un tribunal de segunda instancia</w:t>
        <w:br/>
        <w:t xml:space="preserve">      como la Corte Suprema de Justicia de la Nación  (en  adelante  también</w:t>
        <w:br/>
        <w:t xml:space="preserve">      “Corte Suprema”) consideraron que se había violado  el  derecho  a  la</w:t>
        <w:br/>
        <w:t xml:space="preserve">      vida  privada  del  señor  Menem   como   consecuencia   de   aquellas</w:t>
        <w:br/>
        <w:t xml:space="preserve">      publicaciones.  La  Comisión,  en  su  Informe  de  Fondo  No.  82/10,</w:t>
        <w:br/>
        <w:t xml:space="preserve">      consideró que la condena civil impuesta a las presuntas víctimas  como</w:t>
        <w:br/>
        <w:t xml:space="preserve">      responsabilidad ulterior por la publicación de los referidos artículos</w:t>
        <w:br/>
        <w:t xml:space="preserve">      de prensa  no  observó  los  requerimientos  del  artículo  13  de  la</w:t>
        <w:br/>
        <w:t xml:space="preserve">      Convención  Americana.  En  consecuencia,  solicitó  a  la  Corte  que</w:t>
        <w:br/>
        <w:t xml:space="preserve">      concluya y declare la responsabilidad internacional del Estado por  la</w:t>
        <w:br/>
        <w:t xml:space="preserve">      violación del derecho a la libertad de pensamiento y de  expresión  de</w:t>
        <w:br/>
        <w:t xml:space="preserve">      los señores Fontevecchia y D’Amico, consagrado en el artículo 13 de la</w:t>
        <w:br/>
        <w:t xml:space="preserve">      Convención Americana, en  relación  con  el  artículo  1.1  del  mismo</w:t>
        <w:br/>
        <w:t xml:space="preserve">      instrumento. La Comisión solicitó  al  Tribunal  que  ordene  diversas</w:t>
        <w:br/>
        <w:t xml:space="preserve">      medidas de reparación.</w:t>
        <w:br/>
        <w:br/>
        <w:t xml:space="preserve">   3. El sometimiento del caso por parte de la Comisión fue notificado a los</w:t>
        <w:br/>
        <w:t xml:space="preserve">      representantes y al Estado el 25 de enero de 2010. El 28 de  marzo  de</w:t>
        <w:br/>
        <w:t xml:space="preserve">      2010 el Centro de Estudios Legales y Sociales y  Eduardo  Bertoni  (en</w:t>
        <w:br/>
        <w:t xml:space="preserve">      adelante “los representantes”) remitieron su escrito  de  solicitudes,</w:t>
        <w:br/>
        <w:t xml:space="preserve">      argumentos  y  pruebas  (en  adelante  “escrito   de   solicitudes   y</w:t>
        <w:br/>
        <w:t xml:space="preserve">      argumentos”), en los términos de los artículos 25 y 40 del Reglamento.</w:t>
        <w:br/>
        <w:t xml:space="preserve">      Los  representantes  coincidieron,  en  general,   con   la   Comisión</w:t>
        <w:br/>
        <w:t xml:space="preserve">      Interamericana respecto de la alegada violación al derecho a la  libre</w:t>
        <w:br/>
        <w:t xml:space="preserve">      expresión reconocido en el artículo 13 de la  Convención  Americana  y</w:t>
        <w:br/>
        <w:t xml:space="preserve">      añadieron el supuesto  incumplimiento  de  la  obligación  de  adoptar</w:t>
        <w:br/>
        <w:t xml:space="preserve">      disposiciones de derecho interno establecida  en  el  artículo  2  del</w:t>
        <w:br/>
        <w:t xml:space="preserve">      mismo instrumento, en perjuicio de las presuntas víctimas. Finalmente,</w:t>
        <w:br/>
        <w:t xml:space="preserve">      solicitaron al Tribunal que ordenara al Estado la adopción de diversas</w:t>
        <w:br/>
        <w:t xml:space="preserve">      medidas de reparación.</w:t>
        <w:br/>
        <w:br/>
        <w:t xml:space="preserve">   4. El 10 de junio de 2011  el  Estado  presentó  su  contestación  a  los</w:t>
        <w:br/>
        <w:t xml:space="preserve">      escritos de sometimiento del caso y de solicitudes  y  argumentos  (en</w:t>
        <w:br/>
        <w:t xml:space="preserve">      adelante “escrito de contestación”  o  “contestación”).  Argentina  se</w:t>
        <w:br/>
        <w:t xml:space="preserve">      refirió a diversos cambios institucionales, normativos y de adecuación</w:t>
        <w:br/>
        <w:t xml:space="preserve">      jurisprudencial  “a  los  estándares  internacionales  en  materia  de</w:t>
        <w:br/>
        <w:t xml:space="preserve">      libertad de expresión [que] han modificado la situación  existente  al</w:t>
        <w:br/>
        <w:t xml:space="preserve">      momento del dictado de la sentencia de la Corte Suprema de Justicia de</w:t>
        <w:br/>
        <w:t xml:space="preserve">      la Nación contra las presuntas víctimas”. Indicó que  el  ordenamiento</w:t>
        <w:br/>
        <w:t xml:space="preserve">      jurídico argentino, en su estado actual, se encuentra  en  consonancia</w:t>
        <w:br/>
        <w:t xml:space="preserve">      con la Convención Americana en materia de libertad  de  expresión.  El</w:t>
        <w:br/>
        <w:t xml:space="preserve">      Estado designó como Agente a  Eduardo  Acevedo  Díaz  y  como  Agentes</w:t>
        <w:br/>
        <w:t xml:space="preserve">      Alternos  a  Juan  José  Arcuri,  Alberto  Javier  Salgado  y  Natalia</w:t>
        <w:br/>
        <w:t xml:space="preserve">      Luterstein.</w:t>
        <w:br/>
        <w:br/>
        <w:br/>
        <w:br/>
        <w:t>II</w:t>
        <w:br/>
        <w:br/>
        <w:br/>
        <w:t>PROCEDIMIENTO ANTE LA CORTE</w:t>
        <w:br/>
        <w:br/>
        <w:br/>
        <w:t xml:space="preserve">   5. Con posterioridad a la presentación de los escritos principales (supra</w:t>
        <w:br/>
        <w:t xml:space="preserve">      párrs. 1 a 4), así como de otros escritos remitidos por las partes, el</w:t>
        <w:br/>
        <w:t xml:space="preserve">      Presidente del Tribunal ordenó, mediante Resolución de 27 de julio  de</w:t>
        <w:br/>
        <w:t xml:space="preserve">      2011, recibir un peritaje propuesto por los representantes,  a  través</w:t>
        <w:br/>
        <w:t xml:space="preserve">      de una declaración rendida ante fedatario público (en adelante también</w:t>
        <w:br/>
        <w:t xml:space="preserve">      “affidávit”), respecto del cual  el  Estado  tuvo  la  oportunidad  de</w:t>
        <w:br/>
        <w:t xml:space="preserve">      formular preguntas y observaciones. Asimismo, convocó  a  la  Comisión</w:t>
        <w:br/>
        <w:t xml:space="preserve">      Interamericana, a los representantes  y  al  Estado  a  una  audiencia</w:t>
        <w:br/>
        <w:t xml:space="preserve">      pública para recibir las declaraciones de las dos  presuntas  víctimas</w:t>
        <w:br/>
        <w:t xml:space="preserve">      propuestas por los representantes, el dictamen de un perito  convocado</w:t>
        <w:br/>
        <w:t xml:space="preserve">      de oficio y los alegatos finales orales de los  representantes  y  del</w:t>
        <w:br/>
        <w:t xml:space="preserve">      Estado, así como las observaciones finales orales de la Comisión sobre</w:t>
        <w:br/>
        <w:t xml:space="preserve">      el fondo, las reparaciones y las costas[5].</w:t>
        <w:br/>
        <w:br/>
        <w:t xml:space="preserve">   6. La audiencia pública fue celebrada los días 24 y 25 de agosto de  2011</w:t>
        <w:br/>
        <w:t xml:space="preserve">      durante el 92 Período Ordinario de Sesiones de  la  Corte,  llevado  a</w:t>
        <w:br/>
        <w:t xml:space="preserve">      cabo en  Bogotá,  República  de  Colombia[6].  En  ella,  el  Tribunal</w:t>
        <w:br/>
        <w:t xml:space="preserve">      solicitó a las partes que, al presentar sus alegatos finales escritos,</w:t>
        <w:br/>
        <w:t xml:space="preserve">      remitieran cierta información y documentación adicional.</w:t>
        <w:br/>
        <w:br/>
        <w:t xml:space="preserve">   7. El 28 de septiembre  de  2011  el  Estado,  los  representantes  y  la</w:t>
        <w:br/>
        <w:t xml:space="preserve">      Comisión  Interamericana   enviaron   sus   respectivos   alegatos   y</w:t>
        <w:br/>
        <w:t xml:space="preserve">      observaciones finales escritas. Junto con sus escritos la  Comisión  y</w:t>
        <w:br/>
        <w:t xml:space="preserve">      los representantes remitieron, entre otros, documentos solicitados por</w:t>
        <w:br/>
        <w:t xml:space="preserve">      el  Tribunal  durante  la  audiencia  pública,   los   cuales   fueron</w:t>
        <w:br/>
        <w:t xml:space="preserve">      transmitidos a las demás partes para que formularan las  observaciones</w:t>
        <w:br/>
        <w:t xml:space="preserve">      que  estimaran  pertinentes.  El  26   de   octubre   de   2011,   los</w:t>
        <w:br/>
        <w:t xml:space="preserve">      representantes presentaron sus observaciones al anexo enviado  por  la</w:t>
        <w:br/>
        <w:t xml:space="preserve">      Comisión y ésta última informó que no tenía observaciones que realizar</w:t>
        <w:br/>
        <w:t xml:space="preserve">      a los documentos aportados por los representantes.</w:t>
        <w:br/>
        <w:br/>
        <w:t xml:space="preserve">   8. Por otra parte, el 9 de septiembre de 2011 la Corte recibió un escrito</w:t>
        <w:br/>
        <w:t xml:space="preserve">      en calidad de amicus curiae del  Comité  para  la  Protección  de  los</w:t>
        <w:br/>
        <w:t xml:space="preserve">      Periodistas[7].</w:t>
        <w:br/>
        <w:br/>
        <w:br/>
        <w:br/>
        <w:t>III</w:t>
        <w:br/>
        <w:br/>
        <w:br/>
        <w:t>COMPETENCIA</w:t>
        <w:br/>
        <w:br/>
        <w:br/>
        <w:t xml:space="preserve">   9. La Corte Interamericana es competente para conocer del presente  caso,</w:t>
        <w:br/>
        <w:t xml:space="preserve">      en los términos del artículo 62.3 de  la  Convención  Americana  sobre</w:t>
        <w:br/>
        <w:t xml:space="preserve">      Derechos Humanos, ya que Argentina es Estado Parte  de  la  Convención</w:t>
        <w:br/>
        <w:t xml:space="preserve">      desde  el  5  de  septiembre  de  1984  y  reconoció  la   competencia</w:t>
        <w:br/>
        <w:t xml:space="preserve">      contenciosa del Tribunal en esa misma fecha.</w:t>
        <w:br/>
        <w:br/>
        <w:br/>
        <w:br/>
        <w:t xml:space="preserve">                                     IV</w:t>
        <w:br/>
        <w:br/>
        <w:br/>
        <w:t xml:space="preserve">                                   PRUEBA</w:t>
        <w:br/>
        <w:br/>
        <w:br/>
        <w:t xml:space="preserve">  10. Con base  en  lo  establecido  en  los  artículos  50,  57  y  58  del</w:t>
        <w:br/>
        <w:t xml:space="preserve">      Reglamento, así como en su jurisprudencia respecto de la prueba  y  su</w:t>
        <w:br/>
        <w:t xml:space="preserve">      apreciación, la Corte examinará y valorará los  elementos  probatorios</w:t>
        <w:br/>
        <w:t xml:space="preserve">      documentales  remitidos  en  diversas  oportunidades  procesales,  las</w:t>
        <w:br/>
        <w:t xml:space="preserve">      declaraciones de las presuntas víctimas y  los  dictámenes  periciales</w:t>
        <w:br/>
        <w:t xml:space="preserve">      rendidos mediante declaración jurada ante fedatario público  y  en  la</w:t>
        <w:br/>
        <w:t xml:space="preserve">      audiencia pública ante la Corte. Para ello, la Corte se atendrá a  los</w:t>
        <w:br/>
        <w:t xml:space="preserve">      principios  de  la  sana   crítica,   dentro   del   marco   normativo</w:t>
        <w:br/>
        <w:t xml:space="preserve">      correspondiente[8].</w:t>
        <w:br/>
        <w:br/>
        <w:t xml:space="preserve">      A. Prueba documental, testimonial y pericial</w:t>
        <w:br/>
        <w:br/>
        <w:br/>
        <w:t xml:space="preserve">  11.  El  Tribunal  recibió  documentos   presentados   por   la   Comisión</w:t>
        <w:br/>
        <w:t xml:space="preserve">      Interamericana y por los representantes[9], así  como  la  declaración</w:t>
        <w:br/>
        <w:t xml:space="preserve">      rendida ante fedatario público del siguiente perito:</w:t>
        <w:br/>
        <w:br/>
        <w:t xml:space="preserve">      1) Julio César Rivera (h.), perito propuesto por  los  representantes,</w:t>
        <w:br/>
        <w:t xml:space="preserve">      abogado especialista en derecho civil y constitucional,  quien  rindió</w:t>
        <w:br/>
        <w:t xml:space="preserve">      un dictamen pericial sobre el funcionamiento de los juicios civiles en</w:t>
        <w:br/>
        <w:t xml:space="preserve">      Argentina, la normativa de fondo y procesal en estos casos, el  efecto</w:t>
        <w:br/>
        <w:t xml:space="preserve">      de las condenas en este fuero  y  las  dificultades  derivadas  de  un</w:t>
        <w:br/>
        <w:t xml:space="preserve">      sistema legal que deja librado  a  la  voluntad  discrecional  de  los</w:t>
        <w:br/>
        <w:t xml:space="preserve">      jueces el establecimiento  de  los  montos  reparatorios  sin  incluir</w:t>
        <w:br/>
        <w:t xml:space="preserve">      criterios de proporcionalidad.</w:t>
        <w:br/>
        <w:br/>
        <w:t xml:space="preserve">  12. En cuanto a la prueba rendida en audiencia pública, la  Corte  recibió</w:t>
        <w:br/>
        <w:t xml:space="preserve">      las declaraciones de las siguientes personas:</w:t>
        <w:br/>
        <w:br/>
        <w:t xml:space="preserve">      1)  Jorge   Fontevecchia,   presunta   víctima   propuesta   por   los</w:t>
        <w:br/>
        <w:t xml:space="preserve">      representantes,  quien   declaró   sobre   los   alegados   hechos   y</w:t>
        <w:br/>
        <w:t xml:space="preserve">      circunstancias relativas  al  caso;  su  labor  como  director  y  las</w:t>
        <w:br/>
        <w:t xml:space="preserve">      características de la revista Noticias, así como el  rol  que  ocupaba</w:t>
        <w:br/>
        <w:t xml:space="preserve">      esta revista en el debate público sobre la política argentina,  y  los</w:t>
        <w:br/>
        <w:t xml:space="preserve">      alegados efectos de la condena a pagar una indemnización pecuniaria;</w:t>
        <w:br/>
        <w:br/>
        <w:br/>
        <w:t xml:space="preserve">      2) Héctor D´Amico, presunta víctima propuesta por los  representantes,</w:t>
        <w:br/>
        <w:t xml:space="preserve">      quien declaró sobre los alegados hechos y circunstancias relativas  al</w:t>
        <w:br/>
        <w:t xml:space="preserve">      caso; su labor como editor y periodista en la revista Noticias  y  los</w:t>
        <w:br/>
        <w:t xml:space="preserve">      supuestos efectos de la condena a pagar una indemnización  pecuniaria,</w:t>
        <w:br/>
        <w:t xml:space="preserve">      y</w:t>
        <w:br/>
        <w:br/>
        <w:t xml:space="preserve">      3) Roberto Saba[10], abogado, Decano de la Facultad de Derecho  de  la</w:t>
        <w:br/>
        <w:t xml:space="preserve">      Universidad de Palermo, perito convocado de oficio por  el  Presidente</w:t>
        <w:br/>
        <w:t xml:space="preserve">      del Tribunal, quien rindió un dictamen sobre si las sanciones  civiles</w:t>
        <w:br/>
        <w:t xml:space="preserve">      pueden constituir restricciones indebidas de la libertad de  expresión</w:t>
        <w:br/>
        <w:t xml:space="preserve">      y sobre un marco jurídico adecuado que ofrezca  garantías  suficientes</w:t>
        <w:br/>
        <w:t xml:space="preserve">      para que las restricciones a la libertad de expresión cumplan con  los</w:t>
        <w:br/>
        <w:t xml:space="preserve">      parámetros del artículo 13 de la Convención Americana.</w:t>
        <w:br/>
        <w:br/>
        <w:t xml:space="preserve">      B. Admisión de la prueba</w:t>
        <w:br/>
        <w:br/>
        <w:t xml:space="preserve">  13. En el presente caso,  como  en  otros,  el  Tribunal  admite  aquellos</w:t>
        <w:br/>
        <w:t xml:space="preserve">      documentos remitidos por las partes en la debida oportunidad  procesal</w:t>
        <w:br/>
        <w:t xml:space="preserve">      que no fueron controvertidos ni objetados, ni  cuya  autenticidad  fue</w:t>
        <w:br/>
        <w:t xml:space="preserve">      puesta en duda[11]. Los documentos solicitados  por  el  Tribunal  que</w:t>
        <w:br/>
        <w:t xml:space="preserve">      fueron aportados por la Comisión y por los  representantes  junto  con</w:t>
        <w:br/>
        <w:t xml:space="preserve">      sus observaciones y alegatos finales escritos,  así  como  la  versión</w:t>
        <w:br/>
        <w:t xml:space="preserve">      escrita del dictamen  del  perito  Saba  son  incorporados  al  acervo</w:t>
        <w:br/>
        <w:t xml:space="preserve">      probatorio en aplicación  de  lo  dispuesto  en  el  artículo  58  del</w:t>
        <w:br/>
        <w:t xml:space="preserve">      Reglamento.</w:t>
        <w:br/>
        <w:br/>
        <w:t xml:space="preserve">  14. En cuanto a las notas de prensa,  este  Tribunal  ha  considerado  que</w:t>
        <w:br/>
        <w:t xml:space="preserve">      podrán ser apreciadas cuando recojan  hechos  públicos  y  notorios  o</w:t>
        <w:br/>
        <w:t xml:space="preserve">      declaraciones de funcionarios del Estado o cuando corroboren  aspectos</w:t>
        <w:br/>
        <w:t xml:space="preserve">      relacionados con el caso[12].  El  Tribunal  decide  admitir  aquellos</w:t>
        <w:br/>
        <w:t xml:space="preserve">      documentos que se encuentren completos o que, por lo  menos,  permitan</w:t>
        <w:br/>
        <w:t xml:space="preserve">      constatar su fuente y fecha de publicación, y los valorará tomando  en</w:t>
        <w:br/>
        <w:t xml:space="preserve">      cuenta el conjunto del acervo probatorio,  las  observaciones  de  las</w:t>
        <w:br/>
        <w:t xml:space="preserve">      partes y las reglas de la sana crítica.</w:t>
        <w:br/>
        <w:br/>
        <w:t xml:space="preserve">  15. Por otra  parte,  respecto  de  las  declaraciones  de  las  presuntas</w:t>
        <w:br/>
        <w:t xml:space="preserve">      víctimas y de los  dictámenes  rendidos  en  la  audiencia  pública  y</w:t>
        <w:br/>
        <w:t xml:space="preserve">      mediante declaración jurada, la Corte los estima pertinentes  sólo  en</w:t>
        <w:br/>
        <w:t xml:space="preserve">      aquello que se ajuste al objeto que fue definido por el Presidente del</w:t>
        <w:br/>
        <w:t xml:space="preserve">      Tribunal en la Resolución mediante la cual  ordenó  recibirlos  (supra</w:t>
        <w:br/>
        <w:t xml:space="preserve">      párrs. 5,  11  y  12).  Éstos  serán  valorados  en  el  capítulo  que</w:t>
        <w:br/>
        <w:t xml:space="preserve">      corresponda, en conjunto con los demás elementos del acervo probatorio</w:t>
        <w:br/>
        <w:t xml:space="preserve">      y tomando en cuenta  las  observaciones  formuladas  por  las  partes.</w:t>
        <w:br/>
        <w:t xml:space="preserve">      Asimismo,  conforme  a  la  jurisprudencia  de  este   Tribunal,   las</w:t>
        <w:br/>
        <w:t xml:space="preserve">      declaraciones rendidas  por  las  presuntas  víctimas  no  pueden  ser</w:t>
        <w:br/>
        <w:t xml:space="preserve">      valoradas aisladamente sino dentro del conjunto  de  las  pruebas  del</w:t>
        <w:br/>
        <w:t xml:space="preserve">      proceso, ya que son útiles en la medida  en  que  pueden  proporcionar</w:t>
        <w:br/>
        <w:t xml:space="preserve">      mayor   información   sobre   las   presuntas   violaciones   y    sus</w:t>
        <w:br/>
        <w:t xml:space="preserve">      consecuencias[13].</w:t>
        <w:br/>
        <w:br/>
        <w:br/>
        <w:t xml:space="preserve">                                      V</w:t>
        <w:br/>
        <w:t xml:space="preserve">  LIBERTAD DE PENSAMIENTO Y DE EXPRESIÓN, EN RELACIÓN CON LA OBLIGACIÓN DE</w:t>
        <w:br/>
        <w:t xml:space="preserve">                            RESPETAR LOS DERECHOS</w:t>
        <w:br/>
        <w:br/>
        <w:t xml:space="preserve">      A. Alegatos de las partes</w:t>
        <w:br/>
        <w:br/>
        <w:t xml:space="preserve">  16. Respecto de la alegada violación del artículo 13 de la Convención[14],</w:t>
        <w:br/>
        <w:t xml:space="preserve">      la  Comisión  Interamericana  consideró  que  la  cuestión  central  a</w:t>
        <w:br/>
        <w:t xml:space="preserve">      resolver en el presente  caso  es  “si  la  sociedad  argentina  tenía</w:t>
        <w:br/>
        <w:t xml:space="preserve">      derecho a conocer la información publicada y, en  consecuencia,  debía</w:t>
        <w:br/>
        <w:t xml:space="preserve">      prevalecer la libertad de expresión de los periodistas, o si,  por  el</w:t>
        <w:br/>
        <w:t xml:space="preserve">      contrario, el entonces presidente tenía derecho a mantener en  secreto</w:t>
        <w:br/>
        <w:t xml:space="preserve">      los datos revelados”. Resaltó las dos dimensiones de  la  libertad  de</w:t>
        <w:br/>
        <w:t xml:space="preserve">      expresión  y  el  diferente  umbral  de  protección  respecto  de  las</w:t>
        <w:br/>
        <w:t xml:space="preserve">      expresiones relativas a los funcionarios públicos y a los que  aspiran</w:t>
        <w:br/>
        <w:t xml:space="preserve">      a serlo, quienes están sometidos a un mayor examen  por  parte  de  la</w:t>
        <w:br/>
        <w:t xml:space="preserve">      sociedad. No obstante, recordó que la libertad de expresión no  es  un</w:t>
        <w:br/>
        <w:t xml:space="preserve">      derecho absoluto y desarrolló el régimen de restricciones  permisibles</w:t>
        <w:br/>
        <w:t xml:space="preserve">      a dicho derecho.</w:t>
        <w:br/>
        <w:br/>
        <w:t xml:space="preserve">  17. Asimismo, la Comisión destacó la importancia de la  protección  de  la</w:t>
        <w:br/>
        <w:t xml:space="preserve">      vida privada[15], considerándola  como  una  de  las  más  importantes</w:t>
        <w:br/>
        <w:t xml:space="preserve">      conquistas de los  regímenes  democráticos.  Desarrolló  los  diversos</w:t>
        <w:br/>
        <w:t xml:space="preserve">      ámbitos de protección del derecho a la vida privada y  señaló  que  si</w:t>
        <w:br/>
        <w:t xml:space="preserve">      bien la Convención Americana reconoce ese derecho a toda  persona,  su</w:t>
        <w:br/>
        <w:t xml:space="preserve">      nivel de protección disminuye en  la  medida  de  la  importancia  que</w:t>
        <w:br/>
        <w:t xml:space="preserve">      puedan tener las actividades y funciones de la persona concernida para</w:t>
        <w:br/>
        <w:t xml:space="preserve">      un debate de interés general en una sociedad democrática.  Señaló  que</w:t>
        <w:br/>
        <w:t xml:space="preserve">      para resolver el conflicto entre el derecho a la vida  privada  de  un</w:t>
        <w:br/>
        <w:t xml:space="preserve">      alto funcionario público y el derecho a la libertad de  expresión,  en</w:t>
        <w:br/>
        <w:t xml:space="preserve">      primer lugar, es necesario verificar si realmente se produjo  un  daño</w:t>
        <w:br/>
        <w:t xml:space="preserve">      cierto sobre el  derecho  supuestamente  afectado.  Este  daño  no  se</w:t>
        <w:br/>
        <w:t xml:space="preserve">      presentaría en aquellos casos en los cuales la  información  difundida</w:t>
        <w:br/>
        <w:t xml:space="preserve">      ya se encontraba en  el  dominio  público  o  si  la  persona  dio  su</w:t>
        <w:br/>
        <w:t xml:space="preserve">      autorización tácita o explícita para publicar dicha información,  pues</w:t>
        <w:br/>
        <w:t xml:space="preserve">      en esos casos no existe una expectativa  legítima  de  privacidad.  En</w:t>
        <w:br/>
        <w:t xml:space="preserve">      segundo lugar, cualquier alegato referido a la presunta vulneración de</w:t>
        <w:br/>
        <w:t xml:space="preserve">      la vida privada  debe  obligar  al  juez  a  estudiar  la  información</w:t>
        <w:br/>
        <w:t xml:space="preserve">      supuestamente revelada en el contexto en el cual se produce. En tercer</w:t>
        <w:br/>
        <w:t xml:space="preserve">      lugar,  el  factor  decisivo  para  resolver  este  conflicto  es   la</w:t>
        <w:br/>
        <w:t xml:space="preserve">      relevancia pública de la  información,  es  decir  su  capacidad  para</w:t>
        <w:br/>
        <w:t xml:space="preserve">      contribuir a un debate de interés general. Entre otras circunstancias,</w:t>
        <w:br/>
        <w:t xml:space="preserve">      la información sobre un funcionario es de relevancia  pública  cuando:</w:t>
        <w:br/>
        <w:t xml:space="preserve">      a) de alguna manera, a pesar de tener un componente de  vida  privada,</w:t>
        <w:br/>
        <w:t xml:space="preserve">      tiene que ver con las funciones que esa persona ejecuta; b) se refiere</w:t>
        <w:br/>
        <w:t xml:space="preserve">      al incumplimiento de un deber legal como ciudadano; c) resulta un dato</w:t>
        <w:br/>
        <w:t xml:space="preserve">      relevante sobre la confianza depositada en él, y d) se  refiere  a  la</w:t>
        <w:br/>
        <w:t xml:space="preserve">      competencia y las capacidades para ejercer sus funciones.</w:t>
        <w:br/>
        <w:br/>
        <w:t xml:space="preserve">  18. En el presente caso, la Comisión  consideró  que  la  restricción  del</w:t>
        <w:br/>
        <w:t xml:space="preserve">      derecho  a  la  libre  expresión  se  encontraba   fundada   en   ley,</w:t>
        <w:br/>
        <w:t xml:space="preserve">      específicamente en los artículos 19 de la Constitución Nacional y 1071</w:t>
        <w:br/>
        <w:t xml:space="preserve">      bis del Código Civil. Asimismo, la restricción impuesta respondía a un</w:t>
        <w:br/>
        <w:t xml:space="preserve">      objetivo permitido por el artículo 13.2 de  la  Convención  Americana,</w:t>
        <w:br/>
        <w:t xml:space="preserve">      que es la protección del respeto a los derechos o la reputación de los</w:t>
        <w:br/>
        <w:t xml:space="preserve">      demás, pues las decisiones judiciales estudiadas buscaban proteger  el</w:t>
        <w:br/>
        <w:t xml:space="preserve">      derecho a la vida privada del entonces presidente Menem. Sin  embargo,</w:t>
        <w:br/>
        <w:t xml:space="preserve">      la sanción impuesta a las presuntas víctimas era innecesaria, dado que</w:t>
        <w:br/>
        <w:t xml:space="preserve">      los periodistas fueron condenados a indemnizar  al  Presidente  de  la</w:t>
        <w:br/>
        <w:t xml:space="preserve">      República por publicar información que ya se encontraba en el  dominio</w:t>
        <w:br/>
        <w:t xml:space="preserve">      público y que, además, era de interés público dado que se  trataba de:</w:t>
        <w:br/>
        <w:t xml:space="preserve">      a) el posible uso del poder del Estado  para  fines  particulares  por</w:t>
        <w:br/>
        <w:t xml:space="preserve">      parte del Presidente de  la  Nación;  b)  el  posible  enriquecimiento</w:t>
        <w:br/>
        <w:t xml:space="preserve">      ilícito de una diputada; c)  la  posible  existencia  de  amenazas  de</w:t>
        <w:br/>
        <w:t xml:space="preserve">      muerte contra el hijo del entonces presidente, y d) el  incumplimiento</w:t>
        <w:br/>
        <w:t xml:space="preserve">      del deber legal por parte del ex presidente de reconocer al niño, acto</w:t>
        <w:br/>
        <w:t xml:space="preserve">      que no es una mera liberalidad de los padres.</w:t>
        <w:br/>
        <w:br/>
        <w:t xml:space="preserve">  19. Por otra parte, la Comisión sostuvo que, de acuerdo a  la  información</w:t>
        <w:br/>
        <w:t xml:space="preserve">      que consta  en  las  revistas,  de  aquella  aportada  en  el  proceso</w:t>
        <w:br/>
        <w:t xml:space="preserve">      internacional y de la observación de las imágenes,  se  puede  afirmar</w:t>
        <w:br/>
        <w:t xml:space="preserve">      que  las  cinco  fotografías  que  ilustran  las  notas  periodísticas</w:t>
        <w:br/>
        <w:t xml:space="preserve">      cuestionadas fueron captadas con el consentimiento o  conocimiento  de</w:t>
        <w:br/>
        <w:t xml:space="preserve">      quien se dijo agraviado y, por  ello,  no  requerían  su  autorización</w:t>
        <w:br/>
        <w:t xml:space="preserve">      previa y expresa para ser publicadas. No sería razonable sostener  que</w:t>
        <w:br/>
        <w:t xml:space="preserve">      los medios de comunicación  deben  solicitar  la  autorización  de  un</w:t>
        <w:br/>
        <w:t xml:space="preserve">      Presidente para difundir su imagen cuando  sea  captada  en  contextos</w:t>
        <w:br/>
        <w:t xml:space="preserve">      como los del presente caso. Tratándose del Presidente  de  la  Nación,</w:t>
        <w:br/>
        <w:t xml:space="preserve">      funcionario público electo popularmente, que  ocupa  el  máximo  cargo</w:t>
        <w:br/>
        <w:t xml:space="preserve">      ejecutivo de la dirección de un país, no puede tener la expectativa de</w:t>
        <w:br/>
        <w:t xml:space="preserve">      protección respecto de todos los hechos que ocurran en  el  ámbito  de</w:t>
        <w:br/>
        <w:t xml:space="preserve">      las relaciones sociales o en los actos que se desarrollan en contextos</w:t>
        <w:br/>
        <w:t xml:space="preserve">      públicos o pudiendo ser observados por otros,  a  pesar  de  no  tener</w:t>
        <w:br/>
        <w:t xml:space="preserve">      naturaleza pública o no tener interés de que se divulguen. Tomando  en</w:t>
        <w:br/>
        <w:t xml:space="preserve">      cuenta el  contexto  en  que  fueron  obtenidas  las  fotografías,  el</w:t>
        <w:br/>
        <w:t xml:space="preserve">      contenido de las mismas, así como la persona  pública  a  la  cual  se</w:t>
        <w:br/>
        <w:t xml:space="preserve">      referían, la Comisión estimó que la publicación  de  las  imágenes  no</w:t>
        <w:br/>
        <w:t xml:space="preserve">      constituyó una injerencia arbitraria en el derecho a la  vida  privada</w:t>
        <w:br/>
        <w:t xml:space="preserve">      del señor Menem.</w:t>
        <w:br/>
        <w:br/>
        <w:t xml:space="preserve">  20. Finalmente, la Comisión indicó que la condena  civil  tuvo  un  efecto</w:t>
        <w:br/>
        <w:t xml:space="preserve">      notable en el derecho a la libertad  de  expresión  de  las  presuntas</w:t>
        <w:br/>
        <w:t xml:space="preserve">      víctimas. La  condena  judicial  tuvo  el  resultado  de  declarar  la</w:t>
        <w:br/>
        <w:t xml:space="preserve">      responsabilidad de  los  señores  Fontevecchia  y  D’Amico  por  haber</w:t>
        <w:br/>
        <w:t xml:space="preserve">      incurrido, en el ejercicio de su profesión, en  conductas  violatorias</w:t>
        <w:br/>
        <w:t xml:space="preserve">      de un derecho fundamental, en este caso, nada menos que  en  perjuicio</w:t>
        <w:br/>
        <w:t xml:space="preserve">      de quien fungía como Presidente de  la  Nación,  con  la  consiguiente</w:t>
        <w:br/>
        <w:t xml:space="preserve">      difusión pública del resultado del proceso  y  su  inherente  reproche</w:t>
        <w:br/>
        <w:t xml:space="preserve">      jurídico y social, incluyendo la orden de publicación de  un  extracto</w:t>
        <w:br/>
        <w:t xml:space="preserve">      de la sentencia civil condenatoria.  Además,  las  presuntas  víctimas</w:t>
        <w:br/>
        <w:t xml:space="preserve">      tuvieron que enfrentar todos los trámites y las  consecuencias  de  la</w:t>
        <w:br/>
        <w:t xml:space="preserve">      ejecución del cobro de la indemnización; el  señor  D’Amico  tuvo  que</w:t>
        <w:br/>
        <w:t xml:space="preserve">      pagar la totalidad de la indemnización más sus intereses en favor  del</w:t>
        <w:br/>
        <w:t xml:space="preserve">      señor Menem y, además, sufrió las consecuencias de un  embargo  de  un</w:t>
        <w:br/>
        <w:t xml:space="preserve">      elevado porcentaje de su salario mensual durante un año y ocho  meses,</w:t>
        <w:br/>
        <w:t xml:space="preserve">      equivalente a unos cuarenta y seis mil dólares. La Comisión  consideró</w:t>
        <w:br/>
        <w:t xml:space="preserve">      que la  condena  civil  impuesta  en  el  presente  caso  resultó  una</w:t>
        <w:br/>
        <w:t xml:space="preserve">      violación al derecho a la  libertad  de  pensamiento  y  de  expresión</w:t>
        <w:br/>
        <w:t xml:space="preserve">      reconocido por el artículo 13 de la Convención Americana, en  relación</w:t>
        <w:br/>
        <w:t xml:space="preserve">      con la obligación de respetar y garantizar los derechos,  prevista  en</w:t>
        <w:br/>
        <w:t xml:space="preserve">      el artículo 1.1. del mismo instrumento, en perjuicio de las  presuntas</w:t>
        <w:br/>
        <w:t xml:space="preserve">      víctimas.</w:t>
        <w:br/>
        <w:br/>
        <w:t xml:space="preserve">  21.  Los  representantes  coincidieron,  en  general,  con   la   Comisión</w:t>
        <w:br/>
        <w:t xml:space="preserve">      Interamericana, entre otros aspectos, en el contenido y el alcance  de</w:t>
        <w:br/>
        <w:t xml:space="preserve">      los artículos 11 y 13 de la Convención Americana, en la importancia de</w:t>
        <w:br/>
        <w:t xml:space="preserve">      la  libertad  de  expresión  en  una  sociedad  democrática,  en   las</w:t>
        <w:br/>
        <w:t xml:space="preserve">      restricciones permisibles a  este  último  derecho,  en  el  diferente</w:t>
        <w:br/>
        <w:t xml:space="preserve">      umbral de protección de la vida privada de funcionarios públicos,  así</w:t>
        <w:br/>
        <w:t xml:space="preserve">      como también en el interés público de la información publicada por  la</w:t>
        <w:br/>
        <w:t xml:space="preserve">      revista Noticias. Recordaron  que  el  entonces  presidente  era  “una</w:t>
        <w:br/>
        <w:t xml:space="preserve">      figura política con una altísima  exposición  y  controversia  pública</w:t>
        <w:br/>
        <w:t xml:space="preserve">      [aún] respecto de su vida  familiar”  y  que,  cuando  ocurrieron  los</w:t>
        <w:br/>
        <w:t xml:space="preserve">      hechos  del  caso,  Argentina  “estuvo  signada  por  una   serie   de</w:t>
        <w:br/>
        <w:t xml:space="preserve">      persecuciones a los periodistas y  comunicadores  sociales.  Por  esos</w:t>
        <w:br/>
        <w:t xml:space="preserve">      años era bastante común que los funcionarios nacionales y provinciales</w:t>
        <w:br/>
        <w:t xml:space="preserve">      presentaran demandas judiciales contra periodistas,  con  el  evidente</w:t>
        <w:br/>
        <w:t xml:space="preserve">      fin de morigerar las criticas o condicionar la libertad editorial  del</w:t>
        <w:br/>
        <w:t xml:space="preserve">      periodista y de los medios de  comunicación”.  Muchos  de  esos  casos</w:t>
        <w:br/>
        <w:t xml:space="preserve">      llegaron al Sistema Interamericano. En esos  años  también  ocurrieron</w:t>
        <w:br/>
        <w:t xml:space="preserve">      ataques físicos contra periodistas, siendo uno de los casos más graves</w:t>
        <w:br/>
        <w:t xml:space="preserve">      el asesinato de un reportero gráfico de Noticias, José  Luis  Cabezas,</w:t>
        <w:br/>
        <w:t xml:space="preserve">      ocurrido en 1997.</w:t>
        <w:br/>
        <w:br/>
        <w:t xml:space="preserve">  22.  Adicionalmente,   los   representantes   indicaron   que,   si   bien</w:t>
        <w:br/>
        <w:t xml:space="preserve">      tradicionalmente  suele  relacionarse  el  efecto  inhibidor  con   la</w:t>
        <w:br/>
        <w:t xml:space="preserve">      imposición de sanciones  penales  por  la  restricción  a  un  derecho</w:t>
        <w:br/>
        <w:t xml:space="preserve">      fundamental como es la libertad de  un  individuo,  la  aplicación  de</w:t>
        <w:br/>
        <w:t xml:space="preserve">      sanciones civiles, multas, indemnizaciones  o  resarcimientos  también</w:t>
        <w:br/>
        <w:t xml:space="preserve">      puede generar fuertes restricciones a la  libertad  de  expresión.  La</w:t>
        <w:br/>
        <w:t xml:space="preserve">      posibilidad de  enfrentar  responsabilidades  ulteriores  de  carácter</w:t>
        <w:br/>
        <w:t xml:space="preserve">      pecuniario tiene graves consecuencias  para:  a)  los  periodistas,  a</w:t>
        <w:br/>
        <w:t xml:space="preserve">      quienes ningún medio de comunicación les ofrece garantías respecto  de</w:t>
        <w:br/>
        <w:t xml:space="preserve">      su capacidad de pago; b) los medios de comunicación,  quienes  también</w:t>
        <w:br/>
        <w:t xml:space="preserve">      serán  víctimas  del  efecto  inhibidor  frente  al  peligro   de   la</w:t>
        <w:br/>
        <w:t xml:space="preserve">      bancarrota, y c) los investigadores individuales que no  forman  parte</w:t>
        <w:br/>
        <w:t xml:space="preserve">      de un grupo de profesionales o no cuentan  con  un  gremio  que  pueda</w:t>
        <w:br/>
        <w:t xml:space="preserve">      respaldar su actuación.</w:t>
        <w:br/>
        <w:br/>
        <w:t xml:space="preserve">  23. Respecto de la medida  de  responsabilidad  ulterior  impuesta  en  el</w:t>
        <w:br/>
        <w:t xml:space="preserve">      presente  caso,  los  representantes  alegaron:  a)  en  cuanto  a  la</w:t>
        <w:br/>
        <w:t xml:space="preserve">      legalidad,  que  la  restricción   que   generó   la   responsabilidad</w:t>
        <w:br/>
        <w:t xml:space="preserve">      internacional del Estado no estaba basada  en  una  ley;  si  bien  el</w:t>
        <w:br/>
        <w:t xml:space="preserve">      Código Civil argentino es una ley en  sentido  formal,  no  lo  es  en</w:t>
        <w:br/>
        <w:t xml:space="preserve">      sentido material, ya que  “una  ley  no  puede  ser  vaga”  ni  “puede</w:t>
        <w:br/>
        <w:t xml:space="preserve">      permitir una discrecionalidad tanto en la interpretación de fondo  del</w:t>
        <w:br/>
        <w:t xml:space="preserve">      asunto […] como [en las] reparaciones”, y b) en cuanto a la necesidad,</w:t>
        <w:br/>
        <w:t xml:space="preserve">      que la información publicada ya era ampliamente conocida y  estaba  en</w:t>
        <w:br/>
        <w:t xml:space="preserve">      el dominio público, y que era de interés público, porque  se  refería:</w:t>
        <w:br/>
        <w:t xml:space="preserve">      i)  a  la  existencia  de  un  hijo  no  reconocido  por  el  entonces</w:t>
        <w:br/>
        <w:t xml:space="preserve">      presidente, lo cual se vinculaba con el cumplimiento de una obligación</w:t>
        <w:br/>
        <w:t xml:space="preserve">      moral y legal de reconocerlo; ii) a la existencia de  una  amenaza  de</w:t>
        <w:br/>
        <w:t xml:space="preserve">      muerte contra el hijo de un presidente; iii)  a  regalos  de  un  alto</w:t>
        <w:br/>
        <w:t xml:space="preserve">      valor económico, en principio incompatibles con los ingresos del señor</w:t>
        <w:br/>
        <w:t xml:space="preserve">      Menem,  y  a  la  posibilidad  que  los  mismos  pudieran  haber  sido</w:t>
        <w:br/>
        <w:t xml:space="preserve">      adquiridos con fondos públicos; iv) al “asilo o refugio” de la madre y</w:t>
        <w:br/>
        <w:t xml:space="preserve">      del niño en Paraguay, y v) a la señora  Meza,  quien  era  funcionaria</w:t>
        <w:br/>
        <w:t xml:space="preserve">      pública y había interés eminente de informar sobre su relación con  el</w:t>
        <w:br/>
        <w:t xml:space="preserve">      entonces presidente así como el incremento de su patrimonio por la vía</w:t>
        <w:br/>
        <w:t xml:space="preserve">      de recibir regalos del señor Menem.</w:t>
        <w:br/>
        <w:br/>
        <w:t xml:space="preserve">  24.  En  relación  con  las  fotografías  incluidas  en  las  notas,   los</w:t>
        <w:br/>
        <w:t xml:space="preserve">      representantes afirmaron que fueron obtenidas con  consentimiento  del</w:t>
        <w:br/>
        <w:t xml:space="preserve">      ex presidente ya que para que las fotografías pudieran tomarse,  aquel</w:t>
        <w:br/>
        <w:t xml:space="preserve">      debió  permitir  el  ingreso  de   periodistas   a   las   residencias</w:t>
        <w:br/>
        <w:t xml:space="preserve">      presidenciales cuando el niño  se  encontraba  en  ellas,  en  lugares</w:t>
        <w:br/>
        <w:t xml:space="preserve">      abiertos a la prensa, donde el presidente se mostraba  sin  reparos  y</w:t>
        <w:br/>
        <w:t xml:space="preserve">      con plena conformidad frente a la presencia de  medios  gráficos.  Por</w:t>
        <w:br/>
        <w:t xml:space="preserve">      otra parte, indicaron que, de acuerdo con lo  afirmado  por  el  señor</w:t>
        <w:br/>
        <w:t xml:space="preserve">      D’Amico en la audiencia pública, las imágenes fueron entregadas  a  la</w:t>
        <w:br/>
        <w:t xml:space="preserve">      revista por el servicio de prensa de la Presidencia de la  Nación.  De</w:t>
        <w:br/>
        <w:t xml:space="preserve">      manera que no sólo fue el  gobierno  del  ex  presidente  Menem  quien</w:t>
        <w:br/>
        <w:t xml:space="preserve">      invitó a actos públicos relevantes a su hijo y a la madre y los  situó</w:t>
        <w:br/>
        <w:t xml:space="preserve">      en lugares preferenciales, sino que inclusive fue quien los fotografió</w:t>
        <w:br/>
        <w:t xml:space="preserve">      y entregó las imágenes en forma oficial a los medios de comunicación.</w:t>
        <w:br/>
        <w:br/>
        <w:t xml:space="preserve">  25. Finalmente, los representantes  consideraron  que  la  sanción  en  el</w:t>
        <w:br/>
        <w:t xml:space="preserve">      presente caso resultó desproporcionada dado que la  cifra  establecida</w:t>
        <w:br/>
        <w:t xml:space="preserve">      por la Corte Suprema fue trescientas veces superior al salario  mínimo</w:t>
        <w:br/>
        <w:t xml:space="preserve">      argentino y unas cincuenta veces superior al salario  promedio  de  un</w:t>
        <w:br/>
        <w:t xml:space="preserve">      periodista,  distando  mucho  de  ser  un  monto  razonable.  La  suma</w:t>
        <w:br/>
        <w:t xml:space="preserve">      originalmente dispuesta, más los intereses y los gastos del juicio, se</w:t>
        <w:br/>
        <w:t xml:space="preserve">      tradujeron en el cuádruple de la indemnización inicial, resultando una</w:t>
        <w:br/>
        <w:t xml:space="preserve">      condena desproporcionada y excesiva,  que  inevitablemente  genera  un</w:t>
        <w:br/>
        <w:t xml:space="preserve">      efecto inhibidor sobre el debate público. Con  base  en  lo  anterior,</w:t>
        <w:br/>
        <w:t xml:space="preserve">      concluyeron que el Estado violó el derecho a la libertad de  expresión</w:t>
        <w:br/>
        <w:t xml:space="preserve">      de los señores Fontevecchia y D’Amico.</w:t>
        <w:br/>
        <w:br/>
        <w:t xml:space="preserve">  26. Por su parte, el Estado afirmó que los derechos a la información  y  a</w:t>
        <w:br/>
        <w:t xml:space="preserve">      la libertad de expresión gozan hoy de un reconocimiento  pleno  en  su</w:t>
        <w:br/>
        <w:t xml:space="preserve">      ordenamiento jurídico, alcanzado con la  reforma  de  la  Constitución</w:t>
        <w:br/>
        <w:t xml:space="preserve">      Nacional en 1994, la cual otorgó jerarquía constitucional a una  serie</w:t>
        <w:br/>
        <w:t xml:space="preserve">      de instrumentos internacionales en materia de derechos humanos,  entre</w:t>
        <w:br/>
        <w:t xml:space="preserve">      los cuales se destaca la Convención Americana. Señaló que “no se puede</w:t>
        <w:br/>
        <w:t xml:space="preserve">      atribuir al [Estado] ninguna acción en contra de tal derecho, ni puede</w:t>
        <w:br/>
        <w:t xml:space="preserve">      afirmarse que algún medio de comunicación haya sido censurado  por  su</w:t>
        <w:br/>
        <w:t xml:space="preserve">      accionar, o que [algún] periodista  o  comunicador  social  haya  sido</w:t>
        <w:br/>
        <w:t xml:space="preserve">      objeto de censuras o persecuciones por  las  expresiones  publicadas”.</w:t>
        <w:br/>
        <w:t xml:space="preserve">      Asimismo, desde el dictado de la sentencia que originara  la  petición</w:t>
        <w:br/>
        <w:t xml:space="preserve">      de los señores Fontevecchia y D´Amico, Argentina “ha llevado  adelante</w:t>
        <w:br/>
        <w:t xml:space="preserve">      reformas    legislativas,    jurisprudenciales    e    institucionales</w:t>
        <w:br/>
        <w:t xml:space="preserve">      reconociendo la existencia de una situación en materia de libertad  de</w:t>
        <w:br/>
        <w:t xml:space="preserve">      expresión  que  no  guardaba  la  necesaria  compatibilidad  con   los</w:t>
        <w:br/>
        <w:t xml:space="preserve">      estándares internacionales de la Convención Americana.  Esta  política</w:t>
        <w:br/>
        <w:t xml:space="preserve">      abordó la temática de  manera  integral,  con  el  claro  objetivo  de</w:t>
        <w:br/>
        <w:t xml:space="preserve">      reparar la situación evidenciada”.</w:t>
        <w:br/>
        <w:br/>
        <w:t xml:space="preserve">  27. Entre otras reformas, el Estado mencionó la  adopción  de  la  Ley  de</w:t>
        <w:br/>
        <w:t xml:space="preserve">      Servicios  de  Comunicación  Audiovisual,  que  reemplazó  la  ley  de</w:t>
        <w:br/>
        <w:t xml:space="preserve">      radiodifusión de la dictadura militar, como parte  de  un  proceso  de</w:t>
        <w:br/>
        <w:t xml:space="preserve">      democratización y desmonopolización de medios de comunicación iniciado</w:t>
        <w:br/>
        <w:t xml:space="preserve">      por el Poder Ejecutivo Nacional.  Asimismo,  indicó  que  “el  sistema</w:t>
        <w:br/>
        <w:t xml:space="preserve">      jurídico  argentino  […]  resultaría  compatible  con  los  estándares</w:t>
        <w:br/>
        <w:t xml:space="preserve">      internacionales en [la] materia”, tras la  reforma  del  código  penal</w:t>
        <w:br/>
        <w:t xml:space="preserve">      derivada del cumplimiento de la sentencia emitida en  el  caso  Kimel,</w:t>
        <w:br/>
        <w:t xml:space="preserve">      que despenalizó las calumnias e injurias en los casos que se  refieren</w:t>
        <w:br/>
        <w:t xml:space="preserve">      a asuntos de interés público. Además, “la doctrina de la real  malicia</w:t>
        <w:br/>
        <w:t xml:space="preserve">      ha sido aplicada por  [su]  [m]áximo  Tribunal  de  modo  constante  y</w:t>
        <w:br/>
        <w:t xml:space="preserve">      uniforme […] despejando toda duda sobre  su  aplicación  en  casos  de</w:t>
        <w:br/>
        <w:t xml:space="preserve">      reparaciones civiles como consecuencia de expresiones  de  información</w:t>
        <w:br/>
        <w:t xml:space="preserve">      de interés público”. La Corte Suprema es  contundente  en  afirmar  la</w:t>
        <w:br/>
        <w:t xml:space="preserve">      importancia fundamental de la libertad  de  expresión  en  un  sistema</w:t>
        <w:br/>
        <w:t xml:space="preserve">      democrático y su fuerte carácter  tutelar  de  derechos,  que  en  las</w:t>
        <w:br/>
        <w:t xml:space="preserve">      cuestiones de interés público no se da lugar a resarcimiento económico</w:t>
        <w:br/>
        <w:t xml:space="preserve">      alguno a favor de los funcionarios presuntamente afectados en su honor</w:t>
        <w:br/>
        <w:t xml:space="preserve">      y que los funcionarios públicos merecen “una tutela más  atenuada  que</w:t>
        <w:br/>
        <w:t xml:space="preserve">      la que corresponde a los simples ciudadanos privados”. Adicionalmente,</w:t>
        <w:br/>
        <w:t xml:space="preserve">      resaltó las reformas institucionales ocurridas en dicho tribunal  cuya</w:t>
        <w:br/>
        <w:t xml:space="preserve">      composición en la época de la presidencia del señor Menem “comprometía</w:t>
        <w:br/>
        <w:t xml:space="preserve">      la   independencia   y   estabilidad    judicial”.    Esas    reformas</w:t>
        <w:br/>
        <w:t xml:space="preserve">      institucionales “tuvieron consecuencias positivas en la adecuación  de</w:t>
        <w:br/>
        <w:t xml:space="preserve">      la interpretación judicial a los estándares internacionales en materia</w:t>
        <w:br/>
        <w:t xml:space="preserve">      de derechos humanos”.</w:t>
        <w:br/>
        <w:br/>
        <w:t xml:space="preserve">  28. El Estado concluyó  que  “viene  desarrollando  en  forma  continua  y</w:t>
        <w:br/>
        <w:t xml:space="preserve">      progresiva una  política  pública  integral  en  materia  de  derechos</w:t>
        <w:br/>
        <w:t xml:space="preserve">      humanos”, proceso que ha sido acompañado por los órganos  del  Sistema</w:t>
        <w:br/>
        <w:t xml:space="preserve">      Interamericano. En  este  sentido,  en  los  casos  ante  el  Sistema,</w:t>
        <w:br/>
        <w:t xml:space="preserve">      Argentina “ha sostenido una  política  de  transparencia:  no  negando</w:t>
        <w:br/>
        <w:t xml:space="preserve">      aquello que resulta innegable, afrontando su responsabilidad  –incluso</w:t>
        <w:br/>
        <w:t xml:space="preserve">      en el marco del principio de continuidad jurídica del  [E]stado,  como</w:t>
        <w:br/>
        <w:t xml:space="preserve">      en  este  caso-  y  asumiendo  las  consecuencias  jurídicas  ante  la</w:t>
        <w:br/>
        <w:t xml:space="preserve">      comprobación de la comisión de hechos que caracterizan una violación”.</w:t>
        <w:br/>
        <w:t xml:space="preserve">      Consecuentemente, “se pondrá a disposición de la Corte[,]  la  que  en</w:t>
        <w:br/>
        <w:t xml:space="preserve">      virtud de su conocimiento jurídico y espíritu democrático resolverá el</w:t>
        <w:br/>
        <w:t xml:space="preserve">      caso”.</w:t>
        <w:br/>
        <w:br/>
        <w:t xml:space="preserve">      B. Hechos</w:t>
        <w:br/>
        <w:br/>
        <w:t xml:space="preserve">  29. Antes de establecer los hechos probados, el Tribunal recuerda que,  de</w:t>
        <w:br/>
        <w:t xml:space="preserve">      conformidad con el artículo  41.3  del  Reglamento,  podrá  considerar</w:t>
        <w:br/>
        <w:t xml:space="preserve">      aceptados los hechos que no hayan  sido  expresamente  negados  y  las</w:t>
        <w:br/>
        <w:t xml:space="preserve">      pretensiones que no hayan  sido  expresamente  controvertidas.  En  el</w:t>
        <w:br/>
        <w:t xml:space="preserve">      presente caso el Estado no controvirtió los hechos que  se  consideran</w:t>
        <w:br/>
        <w:t xml:space="preserve">      probados en los párrafos que siguen.</w:t>
        <w:br/>
        <w:br/>
        <w:t xml:space="preserve">  30. Los señores Jorge Fontevecchia y Héctor D’Amico son periodistas con 30</w:t>
        <w:br/>
        <w:t xml:space="preserve">      y 40 años de ejercicio de la  profesión,  quienes  al  momento  de  la</w:t>
        <w:br/>
        <w:t xml:space="preserve">      publicación de los artículos que dieron origen a esta controversia  se</w:t>
        <w:br/>
        <w:t xml:space="preserve">      desempeñaban, respectivamente, como director  editorial  de  Editorial</w:t>
        <w:br/>
        <w:t xml:space="preserve">      Perfil  Sociedad  Anónima  (en  adelante  “Editorial  Perfil”  o   “la</w:t>
        <w:br/>
        <w:t xml:space="preserve">      Editorial”) y director editorial de  la  revista  Noticias.  Editorial</w:t>
        <w:br/>
        <w:t xml:space="preserve">      Perfil publica Noticias, una revista semanal de  interés  general  que</w:t>
        <w:br/>
        <w:t xml:space="preserve">      hace investigación periodística y tiene  una  línea  crítica  con  los</w:t>
        <w:br/>
        <w:t xml:space="preserve">      gobiernos[16].</w:t>
        <w:br/>
        <w:br/>
        <w:t xml:space="preserve">  31. Entre octubre y noviembre de 1995, Noticias publicó tres ediciones que</w:t>
        <w:br/>
        <w:t xml:space="preserve">      incluyeron artículos vinculados  con  el  entonces  Presidente  de  la</w:t>
        <w:br/>
        <w:t xml:space="preserve">      Nación de Argentina Carlos Saúl Menem, respecto  de  los  cuales  éste</w:t>
        <w:br/>
        <w:t xml:space="preserve">      presentó una demanda civil (infra párr. 37)[17].</w:t>
        <w:br/>
        <w:br/>
        <w:t xml:space="preserve">  32. La segunda de esas ediciones fue publicada el 5 de noviembre de 1995 e</w:t>
        <w:br/>
        <w:t xml:space="preserve">      incluía la nota titulada “Zulema  Yoma.  Un  golpe  al  corazón”,  que</w:t>
        <w:br/>
        <w:t xml:space="preserve">      versaba, principalmente, sobre el estado de salud de la ex esposa  del</w:t>
        <w:br/>
        <w:t xml:space="preserve">      señor Menem. Entre otras cuestiones, en dicha nota se hacía referencia</w:t>
        <w:br/>
        <w:t xml:space="preserve">      a: a) la  existencia  de  un  “presunto  hijo  natural”  del  entonces</w:t>
        <w:br/>
        <w:t xml:space="preserve">      presidente con  la  diputada  Martha  Meza,  nacido  de  una  relación</w:t>
        <w:br/>
        <w:t xml:space="preserve">      circunstancial entre ambos, cuando el primero  fue  trasladado  a  una</w:t>
        <w:br/>
        <w:t xml:space="preserve">      localidad del interior  del  país  por  el  gobierno  militar;  b)  la</w:t>
        <w:br/>
        <w:t xml:space="preserve">      denuncia que la señora Meza habría hecho a fines del año 1994 respecto</w:t>
        <w:br/>
        <w:t xml:space="preserve">      del robo de joyas por un valor  de  US$  230.000,00  “‘que  le  fueron</w:t>
        <w:br/>
        <w:t xml:space="preserve">      regaladas por  el  Presidente  de  la  Nación’,  según  consta  en  el</w:t>
        <w:br/>
        <w:t xml:space="preserve">      expediente que investiga[ba] la sustracción”; c) el encuentro  que  el</w:t>
        <w:br/>
        <w:t xml:space="preserve">      señor Menem, la señora Meza y el hijo de ambos, Carlos  Nair,  habrían</w:t>
        <w:br/>
        <w:t xml:space="preserve">      tenido en la Casa de Gobierno, y d) la posibilidad que el señor  Menem</w:t>
        <w:br/>
        <w:t xml:space="preserve">      reconociera su paternidad sobre el niño una vez concluido  el  trámite</w:t>
        <w:br/>
        <w:t xml:space="preserve">      de divorcio con su ex esposa[18].</w:t>
        <w:br/>
        <w:br/>
        <w:t xml:space="preserve">  33. Asimismo, en dicha publicación  aparece  otra  nota  titulada  “Carlos</w:t>
        <w:br/>
        <w:t xml:space="preserve">      Nair. Regalos Presidenciales”, en la cual, entre otra información,  se</w:t>
        <w:br/>
        <w:t xml:space="preserve">      menciona la entrega de importantes sumas de dinero así como de regalos</w:t>
        <w:br/>
        <w:t xml:space="preserve">      de gran valor económico que el entonces presidente habría hecho  tanto</w:t>
        <w:br/>
        <w:t xml:space="preserve">      a su hijo como a la madre del niño[19]. Esta nota se ilustra  con  una</w:t>
        <w:br/>
        <w:t xml:space="preserve">      foto en la cual aparecen el señor Menem, la señora Meza y el  hijo  de</w:t>
        <w:br/>
        <w:t xml:space="preserve">      ambos, con la siguiente leyenda “Álbum familiar: Martha  Meza,  Carlos</w:t>
        <w:br/>
        <w:t xml:space="preserve">      Nair y Carlos Menem, en Olivos, en 1992. Ella es  Diputada  Provincial</w:t>
        <w:br/>
        <w:t xml:space="preserve">      por el [Partido Justicialista]”.</w:t>
        <w:br/>
        <w:br/>
        <w:t xml:space="preserve">  34. La siguiente edición fue publicada el 12  de  noviembre  de  1995.  La</w:t>
        <w:br/>
        <w:t xml:space="preserve">      portada de la revista titulaba “La otra  familia  de  Menem.  Cómo  el</w:t>
        <w:br/>
        <w:t xml:space="preserve">      Presidente conoció a la diputada Martha Meza, tuvieron un hijo, Carlos</w:t>
        <w:br/>
        <w:t xml:space="preserve">      Nair, y la relación se convirtió en  una  cuestión  de  Estado”.  Esta</w:t>
        <w:br/>
        <w:t xml:space="preserve">      publicación incluía la nota titulada  “Menem  vs.  Zulema.  El  Factor</w:t>
        <w:br/>
        <w:t xml:space="preserve">      Humano”, que hacía referencia a los contactos entre el señor  Menem  y</w:t>
        <w:br/>
        <w:t xml:space="preserve">      su hijo y a la visita, en mayo de 1995, de Carlos Nair y su  madre  al</w:t>
        <w:br/>
        <w:t xml:space="preserve">      entonces presidente en la Casa de Gobierno[20].</w:t>
        <w:br/>
        <w:br/>
        <w:t xml:space="preserve">  35. Adicionalmente, en esa edición se encontraba la nota titulada “El otro</w:t>
        <w:br/>
        <w:t xml:space="preserve">      hijo. Un tal Carlos…” que informaba sobre  distintos  aspectos  de  la</w:t>
        <w:br/>
        <w:t xml:space="preserve">      vida de la señora Meza y de su hijo y la  relación  de  ellos  con  el</w:t>
        <w:br/>
        <w:t xml:space="preserve">      señor Menem, los regalos que Carlos Nair  Meza  recibía  de  parte  de</w:t>
        <w:br/>
        <w:t xml:space="preserve">      aquel, las visitas que el niño realizaba a su padre en  la  residencia</w:t>
        <w:br/>
        <w:t xml:space="preserve">      oficial del presidente, en el complejo presidencial de verano y en  la</w:t>
        <w:br/>
        <w:t xml:space="preserve">      Casa de Gobierno. Entre otros aspectos, esa nota  informaba  sobre  la</w:t>
        <w:br/>
        <w:t xml:space="preserve">      existencia de amenazas contra el hijo  de  Menem,  las  cuales  fueron</w:t>
        <w:br/>
        <w:t xml:space="preserve">      denunciadas por la  señora  Meza,  quien  responsabilizó  al  gobierno</w:t>
        <w:br/>
        <w:t xml:space="preserve">      nacional por su seguridad y  que  motivaron  su  pedido  de  asilo  en</w:t>
        <w:br/>
        <w:t xml:space="preserve">      Paraguay, y se refería a la  comunicación  entre  los  Presidentes  de</w:t>
        <w:br/>
        <w:t xml:space="preserve">      Argentina y Paraguay al respecto. Adicionalmente, la nota menciona  un</w:t>
        <w:br/>
        <w:t xml:space="preserve">      reclamo por parte de  la  señora  Meza  y  su  marido,  por  cincuenta</w:t>
        <w:br/>
        <w:t xml:space="preserve">      millones de dólares al señor Menem, la existencia de un acuerdo  entre</w:t>
        <w:br/>
        <w:t xml:space="preserve">      la señora Meza y el señor Menem por medio  del  cual  este  último  le</w:t>
        <w:br/>
        <w:t xml:space="preserve">      otorgaba una pensión por un monto de  veinte  mil  dólares  mensuales,</w:t>
        <w:br/>
        <w:t xml:space="preserve">      creaba un fideicomiso a favor  de  Carlos  Nair  Meza  por  una  cifra</w:t>
        <w:br/>
        <w:t xml:space="preserve">      cercana al millón de  dólares,  y  prestaba  “cobertura  política”  en</w:t>
        <w:br/>
        <w:t xml:space="preserve">      relación con una investigación que estaba enfrentando en aquel momento</w:t>
        <w:br/>
        <w:t xml:space="preserve">      el esposo de la señora Meza por un supuesto desfalco millonario en  la</w:t>
        <w:br/>
        <w:t xml:space="preserve">      obra social de los jubilados. En esta  última  publicación  se  relata</w:t>
        <w:br/>
        <w:t xml:space="preserve">      nuevamente el robo de joyas y dinero en  efectivo  denunciado  por  la</w:t>
        <w:br/>
        <w:t xml:space="preserve">      señora Meza y  se  informa  sobre  su  “ascenso  económico”.  En  este</w:t>
        <w:br/>
        <w:t xml:space="preserve">      artículo se hace expresa mención al libro El  Jefe.  Vida  y  Obra  de</w:t>
        <w:br/>
        <w:t xml:space="preserve">      Carlos  Saúl  Menem  de  donde  se  obtuvo  parte  de  la  información</w:t>
        <w:br/>
        <w:t xml:space="preserve">      publicada[21].</w:t>
        <w:br/>
        <w:br/>
        <w:t xml:space="preserve">  36. Las notas de esta edición son ilustradas por  cuatro  fotografías  del</w:t>
        <w:br/>
        <w:t xml:space="preserve">      entonces presidente Menem con su hijo Carlos  Nair  Meza.  En  una  de</w:t>
        <w:br/>
        <w:t xml:space="preserve">      ellas, junto a la leyenda “Chapadmalal ’93. Una de las tantas  visitas</w:t>
        <w:br/>
        <w:t xml:space="preserve">      de Carlos Nair al complejo oficial para estar con Menem”, se  observa,</w:t>
        <w:br/>
        <w:t xml:space="preserve">      entre otros, al ex presidente y al niño jugando  al  billar.  En  otra</w:t>
        <w:br/>
        <w:t xml:space="preserve">      imagen aparecen, entre otras personas, el señor Menem, la señora  Meza</w:t>
        <w:br/>
        <w:t xml:space="preserve">      y el hijo de ambos junto a  la  leyenda  “Las  Lomitas  ’93.  Un  acto</w:t>
        <w:br/>
        <w:t xml:space="preserve">      menemista, Martha Meza, Carlos Nair y el Presidente, primera fila”. En</w:t>
        <w:br/>
        <w:t xml:space="preserve">      la siguiente fotografía se observa al señor Menem, a Carlos Nair, a su</w:t>
        <w:br/>
        <w:t xml:space="preserve">      madre y a otras personas en una  comida  formal  junto  a  la  leyenda</w:t>
        <w:br/>
        <w:t xml:space="preserve">      “Olivos ’92. Menem preside, Martha a su derecha y  Carlos  Nair  a  su</w:t>
        <w:br/>
        <w:t xml:space="preserve">      izquierda, Mera Figueroa mira”. En la cuarta ilustración se retrata al</w:t>
        <w:br/>
        <w:t xml:space="preserve">      señor Menem abrazando a su hijo y a su lado  la  señora  Meza  con  la</w:t>
        <w:br/>
        <w:t xml:space="preserve">      leyenda “Chapadmalal ’91. Un familiar  día  de  playa.  Frente  a  los</w:t>
        <w:br/>
        <w:t xml:space="preserve">      vientos del mar y lejos de otras tormentas”. En todas  las  fotos,  de</w:t>
        <w:br/>
        <w:t xml:space="preserve">      ambas ediciones, la imagen del niño aparece  distorsionada  de  manera</w:t>
        <w:br/>
        <w:t xml:space="preserve">      que no puede ser reconocido.</w:t>
        <w:br/>
        <w:br/>
        <w:t xml:space="preserve">  37. El señor Menem, quien al momento de las  publicaciones  referidas  era</w:t>
        <w:br/>
        <w:t xml:space="preserve">      Presidente de la Nación inició, por derecho  propio,  una  demanda  de</w:t>
        <w:br/>
        <w:t xml:space="preserve">      daños y  perjuicios  contra  Editorial  Perfil  y  los  señores  Jorge</w:t>
        <w:br/>
        <w:t xml:space="preserve">      Fontevecchia y Hector D´Amico. El objeto de dicha acción  era  obtener</w:t>
        <w:br/>
        <w:t xml:space="preserve">      un resarcimiento económico por el alegado daño moral  causado  por  la</w:t>
        <w:br/>
        <w:t xml:space="preserve">      supuesta violación del derecho a la  intimidad,  consecuencia  de  las</w:t>
        <w:br/>
        <w:t xml:space="preserve">      publicaciones de la revista. El monto indemnizatorio solicitado en  la</w:t>
        <w:br/>
        <w:t xml:space="preserve">      demanda era de $1.500.000,00 (un millón quinientos mil pesos), más los</w:t>
        <w:br/>
        <w:t xml:space="preserve">      intereses y costas y gastos del juicio. Adicionalmente, se solicitó la</w:t>
        <w:br/>
        <w:t xml:space="preserve">      publicación íntegra de la sentencia a cargo de los demandados[22].</w:t>
        <w:br/>
        <w:br/>
        <w:t xml:space="preserve">  38. El 10 de julio de 1997 un  juez  de  primera  instancia  en  lo  civil</w:t>
        <w:br/>
        <w:t xml:space="preserve">      resolvió la controversia rechazando  la  demanda  interpuesta  por  el</w:t>
        <w:br/>
        <w:t xml:space="preserve">      señor  Menem  y  la  reconvención   interpuesta   por   uno   de   los</w:t>
        <w:br/>
        <w:t xml:space="preserve">      periodistas[23]. Dicha sentencia fue apelada y el 11 de marzo de  1998</w:t>
        <w:br/>
        <w:t xml:space="preserve">      una sala de la Cámara Nacional  de  Apelaciones  en  lo  Civil  de  la</w:t>
        <w:br/>
        <w:t xml:space="preserve">      Capital Federal revirtió, por mayoría, “la sentencia apelada [e  hizo]</w:t>
        <w:br/>
        <w:t xml:space="preserve">      lugar a la demanda, condenándose a la Editorial Perfil S.A., y  a  los</w:t>
        <w:br/>
        <w:t xml:space="preserve">      [señores] Jorge Fontevecchia y Héctor D´Amico a pagarle al  actor,  en</w:t>
        <w:br/>
        <w:t xml:space="preserve">      el plazo de 10 días, la suma  de  $150.000,00  [ciento  cincuenta  mil</w:t>
        <w:br/>
        <w:t xml:space="preserve">      pesos], en concepto de indemnización por haber violado su derecho a la</w:t>
        <w:br/>
        <w:t xml:space="preserve">      intimidad, con más sus intereses […], así como la  publicación  de  un</w:t>
        <w:br/>
        <w:t xml:space="preserve">      extracto de [esa] sentencia, y las costas de ambas instancias”[24].</w:t>
        <w:br/>
        <w:br/>
        <w:t xml:space="preserve">  39.  Contra  dicha  sentencia  los  demandados  interpusieron  un  recurso</w:t>
        <w:br/>
        <w:t xml:space="preserve">      extraordinario federal[25]. El 25  de  septiembre  de  2001  la  Corte</w:t>
        <w:br/>
        <w:t xml:space="preserve">      Suprema confirmó la  sentencia  recurrida  aunque  modificó  el  monto</w:t>
        <w:br/>
        <w:t xml:space="preserve">      indemnizatorio, reduciéndolo a la  suma  de  $60.000,00  (sesenta  mil</w:t>
        <w:br/>
        <w:t xml:space="preserve">      pesos)[26]. Asimismo, confirmó lo resuelto respecto de  la  imposición</w:t>
        <w:br/>
        <w:t xml:space="preserve">      de “gastos causídicos” de  las  instancias  anteriores  e  impuso  las</w:t>
        <w:br/>
        <w:t xml:space="preserve">      costas de esa instancia en un 90% a cargo de los codemandados y en  un</w:t>
        <w:br/>
        <w:t xml:space="preserve">      10% a cargo de la parte actora. En  su  sentencia,  la  Corte  Suprema</w:t>
        <w:br/>
        <w:t xml:space="preserve">      recordó  que  no  encontraba  controvertida  la   veracidad   de   las</w:t>
        <w:br/>
        <w:t xml:space="preserve">      informaciones difundidas por la revista  Noticias,  sino  su  carácter</w:t>
        <w:br/>
        <w:t xml:space="preserve">      íntimo. Asimismo, dicho Tribunal se refirió, entre otros  aspectos,  a</w:t>
        <w:br/>
        <w:t xml:space="preserve">      los criterios generales sobre los derechos a la libertad de  expresión</w:t>
        <w:br/>
        <w:t xml:space="preserve">      y a la vida privada, a la resolución de posibles tensiones entre ellos</w:t>
        <w:br/>
        <w:t xml:space="preserve">      y a cuándo una intromisión en la intimidad podría  estar  justificada,</w:t>
        <w:br/>
        <w:t xml:space="preserve">      al distinto umbral de protección de  “personajes  célebres  cuya  vida</w:t>
        <w:br/>
        <w:t xml:space="preserve">      tiene carácter público o de personajes populares” y a la esfera de  la</w:t>
        <w:br/>
        <w:t xml:space="preserve">      vida privada del “hombre público”, y señaló:</w:t>
        <w:br/>
        <w:br/>
        <w:br/>
        <w:t xml:space="preserve">    [q]ue en el caso de  personajes  célebres,  cuya  vida  tiene  carácter</w:t>
        <w:br/>
        <w:t xml:space="preserve">    público o de personajes populares, su actuación pública o privada puede</w:t>
        <w:br/>
        <w:t xml:space="preserve">    divulgarse en lo que se relacione con la  actividad  que  les  confiere</w:t>
        <w:br/>
        <w:t xml:space="preserve">    prestigio o notoriedad, y siempre que lo justifique el interés general.</w:t>
        <w:br/>
        <w:t xml:space="preserve">    Pero ese avance sobre la  intimidad  no  autoriza  a  dañar  la  imagen</w:t>
        <w:br/>
        <w:t xml:space="preserve">    pública o el honor de estas personas y menos sostener que no tienen  un</w:t>
        <w:br/>
        <w:t xml:space="preserve">    sector o ámbito de vida privada  protegida  de  toda  intromisión  […].</w:t>
        <w:br/>
        <w:t xml:space="preserve">    Efectivamente, aun el hombre público, que ve restringida la  esfera  de</w:t>
        <w:br/>
        <w:t xml:space="preserve">    su vida privada con motivo de la exposición pública a la que  se  halla</w:t>
        <w:br/>
        <w:t xml:space="preserve">    sometido por el desempeño de su función, tiene derecho a  preservar  un</w:t>
        <w:br/>
        <w:t xml:space="preserve">    ámbito en la esfera de la tranquilidad y secreto  que  es  esencial  en</w:t>
        <w:br/>
        <w:t xml:space="preserve">    todo hombre, en tanto ese aspecto privado no tenga vinculación  con  el</w:t>
        <w:br/>
        <w:t xml:space="preserve">    manejo de la cosa pública o medie un interés superior en defensa de  la</w:t>
        <w:br/>
        <w:t xml:space="preserve">    sociedad.</w:t>
        <w:br/>
        <w:br/>
        <w:br/>
        <w:t xml:space="preserve">    […]</w:t>
        <w:br/>
        <w:br/>
        <w:br/>
        <w:t xml:space="preserve">    Que, en autos, tanto la difusión de cuestiones familiares  íntimas  por</w:t>
        <w:br/>
        <w:t xml:space="preserve">    medio  de  la  palabra  escrita  como  la   publicación   de   imágenes</w:t>
        <w:br/>
        <w:t xml:space="preserve">    fotográficas -en todo caso no autorizadas por el actor en el  tiempo  y</w:t>
        <w:br/>
        <w:t xml:space="preserve">    en el contexto en que fueron usadas  por  el  medio  de  prensa-  sobre</w:t>
        <w:br/>
        <w:t xml:space="preserve">    presuntos vínculos familiares y  sobre  el  estado  anímico  de  su  ex</w:t>
        <w:br/>
        <w:t xml:space="preserve">    cónyuge en relación a tales lazos, configura una intrusión en  la  zona</w:t>
        <w:br/>
        <w:t xml:space="preserve">    de reserva del sujeto no justificada por  intereses  superiores  de  la</w:t>
        <w:br/>
        <w:t xml:space="preserve">    comunidad. Máxime cuando se  han  incorporado  imágenes  y  nombres  de</w:t>
        <w:br/>
        <w:t xml:space="preserve">    menores,  con  exposición  sin  prudencia  profesional  de   cuestiones</w:t>
        <w:br/>
        <w:t xml:space="preserve">    atinentes a la filiación de estos niños, con  mortificación  espiritual</w:t>
        <w:br/>
        <w:t xml:space="preserve">    no sólo del hombre en  cuanto  tal  sino  en  su  relación  con  ellos,</w:t>
        <w:br/>
        <w:t xml:space="preserve">    conducta que revela el carácter  arbitrario  de  la  injerencia  en  la</w:t>
        <w:br/>
        <w:t xml:space="preserve">    esfera de intimidad del actor, no justificada por el debate vigoroso de</w:t>
        <w:br/>
        <w:t xml:space="preserve">    las ideas sobre los asuntos de interés público ni por la  transparencia</w:t>
        <w:br/>
        <w:t xml:space="preserve">    que debe tener la actuación del hombre público en el ejercicio  de  sus</w:t>
        <w:br/>
        <w:t xml:space="preserve">    altas responsabilidades[27].</w:t>
        <w:br/>
        <w:br/>
        <w:t xml:space="preserve">  40. Con posterioridad a dicha decisión comenzó el proceso de ejecución  de</w:t>
        <w:br/>
        <w:t xml:space="preserve">      la sentencia y, por otra parte, el 26 de febrero de  2002  un  juzgado</w:t>
        <w:br/>
        <w:t xml:space="preserve">      comercial ordenó, a solicitud de Editorial  Perfil,  la  apertura  del</w:t>
        <w:br/>
        <w:t xml:space="preserve">      concurso   preventivo   de   acreedores[28].   Luego    de    diversas</w:t>
        <w:br/>
        <w:t xml:space="preserve">      circunstancias relativas a la situación jurídica y patrimonial  de  la</w:t>
        <w:br/>
        <w:t xml:space="preserve">      Editorial[29], el proceso de ejecución de sentencia continuó contra el</w:t>
        <w:br/>
        <w:t xml:space="preserve">      codemandado, el señor D’Amico, quien entonces trabajaba en otro  medio</w:t>
        <w:br/>
        <w:t xml:space="preserve">      de comunicación[30]. El 22 de octubre de 2003 un juzgado civil  ordenó</w:t>
        <w:br/>
        <w:t xml:space="preserve">      “llevar adelante la ejecución hasta que el [señor]  D´Amico  [hiciera]</w:t>
        <w:br/>
        <w:t xml:space="preserve">      íntegro pago a la ejecutante  de  las  sumas  adeudadas  con  más  sus</w:t>
        <w:br/>
        <w:t xml:space="preserve">      intereses y las costas de la ejecución”[31]. Mediante un oficio de  18</w:t>
        <w:br/>
        <w:t xml:space="preserve">      de febrero de 2004 dirigido a la  empresa  donde  trabajaba  el  señor</w:t>
        <w:br/>
        <w:t xml:space="preserve">      D’Amico se ordenó “trabar embargo sobre los haberes y/o cualquier suma</w:t>
        <w:br/>
        <w:t xml:space="preserve">      que por cualquier concepto percibiere mensualmente el [señor]  D´Amico</w:t>
        <w:br/>
        <w:t xml:space="preserve">      […], hasta cubrir la suma de [ciento ocho mil quinientos catorce pesos</w:t>
        <w:br/>
        <w:t xml:space="preserve">      con setenta y cinco centavos] con más la de [treinta mil pesos] que se</w:t>
        <w:br/>
        <w:t xml:space="preserve">      presupuesta para responder a intereses y costas”[32]. Los haberes  del</w:t>
        <w:br/>
        <w:t xml:space="preserve">      señor D’Amico fueron embargados desde marzo de 2004 hasta noviembre de</w:t>
        <w:br/>
        <w:t xml:space="preserve">      2005[33].  Por   su   parte,   Editorial   Perfil   cubrió   la   suma</w:t>
        <w:br/>
        <w:t xml:space="preserve">      correspondiente a la tasa de justicia por $ 105.808,50  (ciento  cinco</w:t>
        <w:br/>
        <w:t xml:space="preserve">      mil ochocientos ocho pesos con cincuenta centavos)[34].</w:t>
        <w:br/>
        <w:br/>
        <w:t xml:space="preserve">  41. Al momento de los hechos,  el  artículo  1071  bis  del  Código  Civil</w:t>
        <w:br/>
        <w:t xml:space="preserve">      establecía:</w:t>
        <w:br/>
        <w:br/>
        <w:t xml:space="preserve">    [e]l que arbitrariamente se entrometiere en la vida  ajena,  publicando</w:t>
        <w:br/>
        <w:t xml:space="preserve">    retratos, difundiendo correspondencia,  mortificando  a  otros  en  sus</w:t>
        <w:br/>
        <w:t xml:space="preserve">    costumbres  o  sentimientos,  o  perturbando  de  cualquier   modo   su</w:t>
        <w:br/>
        <w:t xml:space="preserve">    intimidad, y el hecho no fuere un delito penal, será obligado  a  cesar</w:t>
        <w:br/>
        <w:t xml:space="preserve">    en tales actividades, si antes  no  hubieren  cesado,  y  a  pagar  una</w:t>
        <w:br/>
        <w:t xml:space="preserve">    indemnización que fijará equitativamente el juez, de  acuerdo  con  las</w:t>
        <w:br/>
        <w:t xml:space="preserve">    circunstancias; además, podrá éste, a pedido del agraviado, ordenar  la</w:t>
        <w:br/>
        <w:t xml:space="preserve">    publicación de la sentencia en un diario o periódico del lugar, si esta</w:t>
        <w:br/>
        <w:t xml:space="preserve">    medida fuese procedente para una adecuada reparación.</w:t>
        <w:br/>
        <w:br/>
        <w:t xml:space="preserve">    C. Consideraciones de la Corte</w:t>
        <w:br/>
        <w:br/>
        <w:t xml:space="preserve">    1. Derechos a la libertad de pensamiento y de expresión  y  a  la  vida</w:t>
        <w:br/>
        <w:t>privada</w:t>
        <w:br/>
        <w:br/>
        <w:t xml:space="preserve">  42. Respecto al contenido de la libertad de pensamiento y de expresión, la</w:t>
        <w:br/>
        <w:t xml:space="preserve">      jurisprudencia de esta Corte ha sido constante en señalar que  quienes</w:t>
        <w:br/>
        <w:t xml:space="preserve">      están bajo la protección de la Convención Americana tienen el  derecho</w:t>
        <w:br/>
        <w:t xml:space="preserve">      de buscar, recibir y difundir ideas e informaciones  de  toda  índole,</w:t>
        <w:br/>
        <w:t xml:space="preserve">      así como también el de recibir y conocer  las  informaciones  e  ideas</w:t>
        <w:br/>
        <w:t xml:space="preserve">      difundidas por los demás[35].</w:t>
        <w:br/>
        <w:br/>
        <w:t xml:space="preserve">  43. Sin embargo, la libertad de expresión no es un  derecho  absoluto.  El</w:t>
        <w:br/>
        <w:t xml:space="preserve">      artículo 13.2 de la Convención, que prohíbe la censura previa, también</w:t>
        <w:br/>
        <w:t xml:space="preserve">      prevé la posibilidad de exigir  responsabilidades  ulteriores  por  el</w:t>
        <w:br/>
        <w:t xml:space="preserve">      ejercicio abusivo de este derecho. Estas restricciones tienen carácter</w:t>
        <w:br/>
        <w:t xml:space="preserve">      excepcional  y  no  deben  limitar,  más  allá  de  lo   estrictamente</w:t>
        <w:br/>
        <w:t xml:space="preserve">      necesario,  el  pleno  ejercicio  de  la  libertad  de   expresión   y</w:t>
        <w:br/>
        <w:t xml:space="preserve">      convertirse en un mecanismo directo o indirecto de censura previa[36].</w:t>
        <w:br/>
        <w:br/>
        <w:br/>
        <w:br/>
        <w:t xml:space="preserve">  44. En su jurisprudencia  la  Corte  ha  establecido  que  los  medios  de</w:t>
        <w:br/>
        <w:t xml:space="preserve">      comunicación social juegan un rol  esencial  como  vehículos  para  el</w:t>
        <w:br/>
        <w:t xml:space="preserve">      ejercicio de la dimensión social de la libertad de  expresión  en  una</w:t>
        <w:br/>
        <w:t xml:space="preserve">      sociedad democrática, razón por la cual es indispensable  que  recojan</w:t>
        <w:br/>
        <w:t xml:space="preserve">      las más diversas informaciones y opiniones. Los referidos medios, como</w:t>
        <w:br/>
        <w:t xml:space="preserve">      instrumentos esenciales de la libertad de pensamiento y de  expresión,</w:t>
        <w:br/>
        <w:t xml:space="preserve">      deben   ejercer   con   responsabilidad   la   función   social    que</w:t>
        <w:br/>
        <w:t xml:space="preserve">      desarrollan[37].</w:t>
        <w:br/>
        <w:br/>
        <w:t xml:space="preserve">  45. Dada la importancia de  la  libertad  de  expresión  en  una  sociedad</w:t>
        <w:br/>
        <w:t xml:space="preserve">      democrática y la elevada responsabilidad que ello entraña para quienes</w:t>
        <w:br/>
        <w:t xml:space="preserve">      ejercen profesionalmente labores de comunicación social, el Estado  no</w:t>
        <w:br/>
        <w:t xml:space="preserve">      sólo  debe  minimizar  las  restricciones  a  la  circulación  de   la</w:t>
        <w:br/>
        <w:t xml:space="preserve">      información sino también equilibrar, en la mayor medida de lo posible,</w:t>
        <w:br/>
        <w:t xml:space="preserve">      la participación de las distintas informaciones en el debate  público,</w:t>
        <w:br/>
        <w:t xml:space="preserve">      impulsando el pluralismo informativo. En consecuencia, la equidad debe</w:t>
        <w:br/>
        <w:t xml:space="preserve">      regir el flujo informativo. En  estos  términos  puede  explicarse  la</w:t>
        <w:br/>
        <w:t xml:space="preserve">      protección de los derechos humanos de quien enfrenta el poder  de  los</w:t>
        <w:br/>
        <w:t xml:space="preserve">      medios  y  el  intento  por  asegurar  condiciones  estructurales  que</w:t>
        <w:br/>
        <w:t xml:space="preserve">      permitan la expresión equitativa de las ideas[38].</w:t>
        <w:br/>
        <w:br/>
        <w:t xml:space="preserve">  46. La Corte Interamericana recuerda que en la primera oportunidad que  se</w:t>
        <w:br/>
        <w:t xml:space="preserve">      refirió al derecho a la libre expresión destacó que “la  profesión  de</w:t>
        <w:br/>
        <w:t xml:space="preserve">      periodista […] implica precisamente  el  buscar,  recibir  y  difundir</w:t>
        <w:br/>
        <w:t xml:space="preserve">      información. El ejercicio del periodismo por tanto, requiere  que  una</w:t>
        <w:br/>
        <w:t xml:space="preserve">      persona se involucre en actividades que están definidas  o  encerradas</w:t>
        <w:br/>
        <w:t xml:space="preserve">      en  la  libertad  de  expresión  garantizada  en  la  Convención”.   A</w:t>
        <w:br/>
        <w:t xml:space="preserve">      diferencia  de  otras  profesiones,  el  ejercicio   profesional   del</w:t>
        <w:br/>
        <w:t xml:space="preserve">      periodismo  es  una  actividad  específicamente  garantizada  por   la</w:t>
        <w:br/>
        <w:t xml:space="preserve">      Convención y “no puede ser diferenciado de la libertad  de  expresión,</w:t>
        <w:br/>
        <w:t xml:space="preserve">      por el contrario, ambas cosas están evidentemente imbricadas, pues  el</w:t>
        <w:br/>
        <w:t xml:space="preserve">      periodista profesional no es, ni puede ser, otra cosa que una  persona</w:t>
        <w:br/>
        <w:t xml:space="preserve">      que ha decidido ejercer la libertad de  expresión  de  modo  continuo,</w:t>
        <w:br/>
        <w:t xml:space="preserve">      estable y remunerado”[39]. El presente caso trata de  dos  periodistas</w:t>
        <w:br/>
        <w:t xml:space="preserve">      quienes reclaman la protección del artículo 13 de la Convención.</w:t>
        <w:br/>
        <w:br/>
        <w:t xml:space="preserve">  47. Asimismo, el Tribunal recuerda que las expresiones concernientes a  la</w:t>
        <w:br/>
        <w:t xml:space="preserve">      idoneidad de una persona para el desempeño de un cargo público o a los</w:t>
        <w:br/>
        <w:t xml:space="preserve">      actos realizados por funcionarios públicos  en  el  desempeño  de  sus</w:t>
        <w:br/>
        <w:t xml:space="preserve">      labores, entre otras, gozan de mayor protección, de manera tal que  se</w:t>
        <w:br/>
        <w:t xml:space="preserve">      propicie el debate democrático.  La  Corte  ha  señalado  que  en  una</w:t>
        <w:br/>
        <w:t xml:space="preserve">      sociedad democrática los funcionarios públicos están más expuestos  al</w:t>
        <w:br/>
        <w:t xml:space="preserve">      escrutinio y a la  crítica  del  público.  Este  diferente  umbral  de</w:t>
        <w:br/>
        <w:t xml:space="preserve">      protección se explica porque se  han  expuesto  voluntariamente  a  un</w:t>
        <w:br/>
        <w:t xml:space="preserve">      escrutinio más exigente. Sus  actividades  salen  del  dominio  de  la</w:t>
        <w:br/>
        <w:t xml:space="preserve">      esfera privada para insertarse en la esfera del debate  público.  Este</w:t>
        <w:br/>
        <w:t xml:space="preserve">      umbral no solo se asienta en la calidad del sujeto, sino en el interés</w:t>
        <w:br/>
        <w:t xml:space="preserve">      público de las actividades que realiza[40].</w:t>
        <w:br/>
        <w:br/>
        <w:t xml:space="preserve">  48. Por su parte, el artículo 11 de la Convención Americana  reconoce  que</w:t>
        <w:br/>
        <w:t xml:space="preserve">      toda persona tiene, entre otros, derecho a la vida privada  y  prohíbe</w:t>
        <w:br/>
        <w:t xml:space="preserve">      toda injerencia arbitraria o  abusiva  en  ella,  enunciando  diversos</w:t>
        <w:br/>
        <w:t xml:space="preserve">      ámbitos de la  misma  como  la  vida  privada  de  sus  familias,  sus</w:t>
        <w:br/>
        <w:t xml:space="preserve">      domicilios o sus correspondencias.  El  ámbito  de  la  privacidad  se</w:t>
        <w:br/>
        <w:t xml:space="preserve">      caracteriza por quedar exento e inmune a las invasiones  o  agresiones</w:t>
        <w:br/>
        <w:t xml:space="preserve">      abusivas o arbitrarias  por  parte  de  terceros  o  de  la  autoridad</w:t>
        <w:br/>
        <w:t xml:space="preserve">      pública[41] y comprende, entre  otras  dimensiones,  tomar  decisiones</w:t>
        <w:br/>
        <w:t xml:space="preserve">      relacionadas con diversas áreas de la propia vida libremente, tener un</w:t>
        <w:br/>
        <w:t xml:space="preserve">      espacio de tranquilidad personal, mantener reservados ciertos aspectos</w:t>
        <w:br/>
        <w:t xml:space="preserve">      de la vida privada y controlar la  difusión  de  información  personal</w:t>
        <w:br/>
        <w:t xml:space="preserve">      hacia el público.</w:t>
        <w:br/>
        <w:br/>
        <w:t xml:space="preserve">  49. El artículo 11.2 de  la  Convención  Americana  protege  al  individuo</w:t>
        <w:br/>
        <w:t xml:space="preserve">      frente a la posible interferencia arbitraria o abusiva del Estado. Sin</w:t>
        <w:br/>
        <w:t xml:space="preserve">      embargo, eso no  significa  que  el  Estado  cumpla  sus  obligaciones</w:t>
        <w:br/>
        <w:t xml:space="preserve">      convencionales con el solo  hecho  de  abstenerse  de  realizar  tales</w:t>
        <w:br/>
        <w:t xml:space="preserve">      interferencias. Además, el artículo 11.3 de la Convención impone a los</w:t>
        <w:br/>
        <w:t xml:space="preserve">      Estados el deber de brindar la protección de la  ley  contra  aquellas</w:t>
        <w:br/>
        <w:t xml:space="preserve">      injerencias.  En  consecuencia,  el  Estado  tiene  la  obligación  de</w:t>
        <w:br/>
        <w:t xml:space="preserve">      garantizar el derecho a la vida privada mediante  acciones  positivas,</w:t>
        <w:br/>
        <w:t xml:space="preserve">      lo cual puede implicar, en  ciertos  casos,  la  adopción  de  medidas</w:t>
        <w:br/>
        <w:t xml:space="preserve">      dirigidas a asegurar dicho derecho protegiéndolo de las interferencias</w:t>
        <w:br/>
        <w:t xml:space="preserve">      de las autoridades  públicas  así  como  también  de  las  personas  o</w:t>
        <w:br/>
        <w:t xml:space="preserve">      instituciones privadas, incluyendo los medios de comunicación[42].</w:t>
        <w:br/>
        <w:br/>
        <w:t xml:space="preserve">  50. En este contexto, la Corte debe encontrar un equilibrio entre la  vida</w:t>
        <w:br/>
        <w:t xml:space="preserve">      privada y la libertad de expresión que, sin  ser  absolutos,  son  dos</w:t>
        <w:br/>
        <w:t xml:space="preserve">      derechos fundamentales garantizados en la Convención Americana y de la</w:t>
        <w:br/>
        <w:t xml:space="preserve">      mayor importancia en una sociedad democrática.  El  Tribunal  recuerda</w:t>
        <w:br/>
        <w:t xml:space="preserve">      que el ejercicio de cada derecho fundamental  tiene  que  hacerse  con</w:t>
        <w:br/>
        <w:t xml:space="preserve">      respeto y salvaguarda de los  demás  derechos  fundamentales.  En  ese</w:t>
        <w:br/>
        <w:t xml:space="preserve">      proceso de armonización le cabe un papel medular  al  Estado  buscando</w:t>
        <w:br/>
        <w:t xml:space="preserve">      establecer las responsabilidades y  sanciones  que  fueren  necesarias</w:t>
        <w:br/>
        <w:t xml:space="preserve">      para obtener tal propósito[43]. La necesidad de proteger los  derechos</w:t>
        <w:br/>
        <w:t xml:space="preserve">      que pudieran verse afectados por un ejercicio abusivo de  la  libertad</w:t>
        <w:br/>
        <w:t xml:space="preserve">      de expresión, requiere la debida observancia de los límites fijados  a</w:t>
        <w:br/>
        <w:t xml:space="preserve">      este respecto por la propia Convención[44].</w:t>
        <w:br/>
        <w:br/>
        <w:t xml:space="preserve">      2. La restricción al derecho a la libertad de expresión y la</w:t>
        <w:br/>
        <w:t xml:space="preserve">      aplicación de responsabilidad ulterior en el presente caso</w:t>
        <w:br/>
        <w:br/>
        <w:t xml:space="preserve">  51. Teniendo en cuenta las anteriores consideraciones y lo alegado por las</w:t>
        <w:br/>
        <w:t xml:space="preserve">      partes, la Corte examinará si la medida  de  responsabilidad  ulterior</w:t>
        <w:br/>
        <w:t xml:space="preserve">      civil aplicada en el presente caso cumplió con los requisitos de estar</w:t>
        <w:br/>
        <w:t xml:space="preserve">      prevista en la ley, perseguir un fin legítimo y ser idónea,  necesaria</w:t>
        <w:br/>
        <w:t xml:space="preserve">      y proporcional. Al respecto, si bien este Fallo se referirá a las  dos</w:t>
        <w:br/>
        <w:t xml:space="preserve">      sentencias internas relativas al presente caso (supra párrs. 38 y 39),</w:t>
        <w:br/>
        <w:t xml:space="preserve">      el análisis se centrará, principalmente, en la decisión  de  la  Corte</w:t>
        <w:br/>
        <w:t xml:space="preserve">      Suprema que dejó firme la condena civil y decidió de forma  definitiva</w:t>
        <w:br/>
        <w:t xml:space="preserve">      el reclamo de las presuntas víctimas.</w:t>
        <w:br/>
        <w:br/>
        <w:t xml:space="preserve">      Legalidad de la medida</w:t>
        <w:br/>
        <w:br/>
        <w:t xml:space="preserve">  52. El derecho  a  la  intimidad  por  cuya  violación  fueron  condenadas</w:t>
        <w:br/>
        <w:t xml:space="preserve">      civilmente las presuntas víctimas estaba previsto en el artículo  1071</w:t>
        <w:br/>
        <w:t xml:space="preserve">      bis del Código Civil, el cual es una ley en sentido formal y material.</w:t>
        <w:br/>
        <w:t xml:space="preserve">      En  cuanto  a  lo  alegado  por  los  representantes,  que  la   norma</w:t>
        <w:br/>
        <w:t xml:space="preserve">      cuestionada no satisface el requisito de  ley  material  (supra  párr.</w:t>
        <w:br/>
        <w:t xml:space="preserve">      23),  la  Corte  considera  que  si  bien  es  una  disposición   que,</w:t>
        <w:br/>
        <w:t xml:space="preserve">      efectivamente, está  redactada  en  términos  generales,  ello  no  es</w:t>
        <w:br/>
        <w:t xml:space="preserve">      suficiente para privarla de su carácter de ley material (infra  párrs.</w:t>
        <w:br/>
        <w:t xml:space="preserve">      89 a 92).</w:t>
        <w:br/>
        <w:br/>
        <w:t xml:space="preserve">      Finalidad e idoneidad de la medida</w:t>
        <w:br/>
        <w:br/>
        <w:t xml:space="preserve">  53. La Corte ha señalado que  los  funcionarios  públicos,  al  igual  que</w:t>
        <w:br/>
        <w:t xml:space="preserve">      cualquier otra persona, están amparados  por  la  protección  que  les</w:t>
        <w:br/>
        <w:t xml:space="preserve">      brinda el artículo 11  convencional  que  consagra,  entre  otros,  el</w:t>
        <w:br/>
        <w:t xml:space="preserve">      derecho a  la  vida  privada.  Asimismo,  el  artículo  13.2.a  de  la</w:t>
        <w:br/>
        <w:t xml:space="preserve">      Convención establece que “el respeto a los derechos […] de los  demás”</w:t>
        <w:br/>
        <w:t xml:space="preserve">      puede  ser  motivo  para  fijar  responsabilidades  ulteriores  en  el</w:t>
        <w:br/>
        <w:t xml:space="preserve">      ejercicio de la libertad de expresión. En consecuencia, la  protección</w:t>
        <w:br/>
        <w:t xml:space="preserve">      del derecho a la vida privada de  toda  persona  es  un  fin  legítimo</w:t>
        <w:br/>
        <w:t xml:space="preserve">      acorde con la Convención. Por otra  parte,  la  vía  civil  es  idónea</w:t>
        <w:br/>
        <w:t xml:space="preserve">      porque sirve al fin de salvaguardar, a través de medidas de reparación</w:t>
        <w:br/>
        <w:t xml:space="preserve">      de daños, el bien jurídico que se quiere proteger,  es  decir,  podría</w:t>
        <w:br/>
        <w:t xml:space="preserve">      estar  en  capacidad  de  contribuir  a  la   realización   de   dicho</w:t>
        <w:br/>
        <w:t xml:space="preserve">      objetivo[45].</w:t>
        <w:br/>
        <w:br/>
        <w:t xml:space="preserve">      Necesidad de la medida</w:t>
        <w:br/>
        <w:br/>
        <w:t xml:space="preserve">  54. Desde su primera decisión sobre la materia el Tribunal ha  hecho  suyo</w:t>
        <w:br/>
        <w:t xml:space="preserve">      el criterio que para que una restricción  a  la  libre  expresión  sea</w:t>
        <w:br/>
        <w:t xml:space="preserve">      compatible con la Convención Americana, aquella debe ser necesaria  en</w:t>
        <w:br/>
        <w:t xml:space="preserve">      una sociedad democrática, entendiendo por “necesaria” la existencia de</w:t>
        <w:br/>
        <w:t xml:space="preserve">      una necesidad social imperiosa que justifique la restricción[46].</w:t>
        <w:br/>
        <w:br/>
        <w:t xml:space="preserve">  55. Asimismo, la Corte ha establecido que el Estado tiene que dotar a  las</w:t>
        <w:br/>
        <w:t xml:space="preserve">      personas  de  los  medios  para  establecer  las  responsabilidades  y</w:t>
        <w:br/>
        <w:t xml:space="preserve">      sanciones que fueren  necesarias  para  respetar  y  salvaguardar  los</w:t>
        <w:br/>
        <w:t xml:space="preserve">      derechos fundamentales. En su jurisprudencia, el Tribunal ha analizado</w:t>
        <w:br/>
        <w:t xml:space="preserve">      casos en los cuales se debatía la necesidad de la sanción penal  y  ha</w:t>
        <w:br/>
        <w:t xml:space="preserve">      establecido que “no estima contraria a la Convención cualquier  medida</w:t>
        <w:br/>
        <w:t xml:space="preserve">      penal a propósito de la expresión de informaciones u opiniones”[47].</w:t>
        <w:br/>
        <w:br/>
        <w:t xml:space="preserve">  56. En sentido similar, la Corte tampoco estima contraria a la  Convención</w:t>
        <w:br/>
        <w:t xml:space="preserve">      Americana  una  medida  civil  a  propósito   de   la   expresión   de</w:t>
        <w:br/>
        <w:t xml:space="preserve">      informaciones u opiniones que afecten  la  vida  privada  o  intimidad</w:t>
        <w:br/>
        <w:t xml:space="preserve">      personal. Sin embargo, esta posibilidad se debe analizar con  especial</w:t>
        <w:br/>
        <w:t xml:space="preserve">      cautela, ponderando la conducta desplegada por el emisor de  aquéllas,</w:t>
        <w:br/>
        <w:t xml:space="preserve">      las características del daño alegadamente causado y  otros  datos  que</w:t>
        <w:br/>
        <w:t xml:space="preserve">      pongan de manifiesto la necesidad de recurrir a la  vía  civil.  Ambas</w:t>
        <w:br/>
        <w:t xml:space="preserve">      vías, bajo ciertas circunstancias y en la medida  que  reúnan  ciertos</w:t>
        <w:br/>
        <w:t xml:space="preserve">      requisitos, son legítimas.</w:t>
        <w:br/>
        <w:br/>
        <w:t xml:space="preserve">  57. En su decisión de 25 de  septiembre  de  2001,  la  Corte  Suprema  no</w:t>
        <w:br/>
        <w:t xml:space="preserve">      estableció los hechos específicos que consideró que afectaban la  vida</w:t>
        <w:br/>
        <w:t xml:space="preserve">      privada del señor  Menem  y  que,  según  su  criterio,  generaron  la</w:t>
        <w:br/>
        <w:t xml:space="preserve">      responsabilidad  de  los  periodistas,  sino  que  recordó   que   las</w:t>
        <w:br/>
        <w:t xml:space="preserve">      “circunstancias fácticas ha[bía]n sido  exhaustivamente  expuestas  en</w:t>
        <w:br/>
        <w:t xml:space="preserve">      las instancias anteriores”,  e  indicó  que  solo  cabía  resolver  la</w:t>
        <w:br/>
        <w:t xml:space="preserve">      tensión entre ambos derechos constitucionales.</w:t>
        <w:br/>
        <w:br/>
        <w:br/>
        <w:t xml:space="preserve">  58. De aquella decisión, surgiría que  “las  cuestiones  familiares”  cuya</w:t>
        <w:br/>
        <w:t xml:space="preserve">      difusión constituyó una violación a la intimidad del señor Menem según</w:t>
        <w:br/>
        <w:t xml:space="preserve">      la Corte Suprema son: a) los “presuntos vínculos familiares” del señor</w:t>
        <w:br/>
        <w:t xml:space="preserve">      Menem; b) el estado anímico de su ex cónyuge  en  relación  con  tales</w:t>
        <w:br/>
        <w:t xml:space="preserve">      lazos, y c) las imágenes y “nombres” de “menores”  con  exposición  de</w:t>
        <w:br/>
        <w:t xml:space="preserve">      cuestiones de filiación de “estos niños” (supra párr. 39). Esta  Corte</w:t>
        <w:br/>
        <w:t xml:space="preserve">      estima oportuno reiterar que el señor Menem demandó solamente  por  su</w:t>
        <w:br/>
        <w:t xml:space="preserve">      propio  derecho  (supra  párr.  37),  por  lo   que   no   corresponde</w:t>
        <w:br/>
        <w:t xml:space="preserve">      pronunciarse sobre eventuales injerencias en la vida privada  respecto</w:t>
        <w:br/>
        <w:t xml:space="preserve">      de terceros.</w:t>
        <w:br/>
        <w:br/>
        <w:t xml:space="preserve">  59. El Tribunal considera que los estándares que ha utilizado  respecto  a</w:t>
        <w:br/>
        <w:t xml:space="preserve">      la protección de la libertad de expresión en los casos de los derechos</w:t>
        <w:br/>
        <w:t xml:space="preserve">      a la honra y a la reputación son aplicables, en lo pertinente, a casos</w:t>
        <w:br/>
        <w:t xml:space="preserve">      como el presente. Ambos derechos están protegidos en el mismo artículo</w:t>
        <w:br/>
        <w:t xml:space="preserve">      bajo una fórmula común e involucran  principios  similares  vinculados</w:t>
        <w:br/>
        <w:t xml:space="preserve">      con el funcionamiento de una sociedad democrática. De  tal  modo,  dos</w:t>
        <w:br/>
        <w:t xml:space="preserve">      criterios relevantes, tratándose de la difusión de  información  sobre</w:t>
        <w:br/>
        <w:t xml:space="preserve">      eventuales aspectos de la vida privada, son: a) el diferente umbral de</w:t>
        <w:br/>
        <w:t xml:space="preserve">      protección de los funcionarios públicos, más aún de aquellos  que  son</w:t>
        <w:br/>
        <w:t xml:space="preserve">      elegidos popularmente, respecto de  las  figuras  públicas  y  de  los</w:t>
        <w:br/>
        <w:t xml:space="preserve">      particulares, y b) el interés público de  las  acciones  que  aquellos</w:t>
        <w:br/>
        <w:t xml:space="preserve">      realizan.</w:t>
        <w:br/>
        <w:br/>
        <w:t xml:space="preserve">  60. El diferente umbral de protección del funcionario público  se  explica</w:t>
        <w:br/>
        <w:t xml:space="preserve">      porque se expone voluntariamente al escrutinio de la sociedad, lo cual</w:t>
        <w:br/>
        <w:t xml:space="preserve">      lo puede llevar a un mayor riesgo de sufrir afectaciones a su  derecho</w:t>
        <w:br/>
        <w:t xml:space="preserve">      a la vida privada. En el presente  caso  se  trataba  del  funcionario</w:t>
        <w:br/>
        <w:t xml:space="preserve">      público  que  ostentaba  el  más  alto  cargo  electivo  de  su  país,</w:t>
        <w:br/>
        <w:t xml:space="preserve">      Presidente de la Nación y, por ello, estaba sujeto al mayor escrutinio</w:t>
        <w:br/>
        <w:t xml:space="preserve">      social, no solo sobre sus actividades oficiales o el ejercicio de  sus</w:t>
        <w:br/>
        <w:t xml:space="preserve">      funciones sino también sobre aspectos que, en principio, podrían estar</w:t>
        <w:br/>
        <w:t xml:space="preserve">      vinculados a su vida privada  pero  que  revelan  asuntos  de  interés</w:t>
        <w:br/>
        <w:t xml:space="preserve">      público.</w:t>
        <w:br/>
        <w:br/>
        <w:t xml:space="preserve">  61. En cuanto al carácter de interés  público,  en  su  jurisprudencia  la</w:t>
        <w:br/>
        <w:t xml:space="preserve">      Corte ha reafirmado la protección a la libertad de expresión  respecto</w:t>
        <w:br/>
        <w:t xml:space="preserve">      de las opiniones o  informaciones  sobre  asuntos  en  los  cuales  la</w:t>
        <w:br/>
        <w:t xml:space="preserve">      sociedad tiene un legítimo interés de mantenerse informada, de conocer</w:t>
        <w:br/>
        <w:t xml:space="preserve">      lo que incide sobre el funcionamiento del Estado, o afecta derechos  o</w:t>
        <w:br/>
        <w:t xml:space="preserve">      intereses generales o le acarrea consecuencias importantes[48]. En  el</w:t>
        <w:br/>
        <w:t xml:space="preserve">      presente caso, tanto la Comisión  como  los  representantes  señalaron</w:t>
        <w:br/>
        <w:t xml:space="preserve">      que, por diversos motivos, la información era  de  interés  público  y</w:t>
        <w:br/>
        <w:t xml:space="preserve">      ello justificaba su difusión (supra párrs. 18 y 23).</w:t>
        <w:br/>
        <w:br/>
        <w:t xml:space="preserve">  62. La información relativa a la existencia del hijo no reconocido por  el</w:t>
        <w:br/>
        <w:t xml:space="preserve">      señor Menem, así como la relación de este último con el niño y con  su</w:t>
        <w:br/>
        <w:t xml:space="preserve">      madre  constituían  la  causa  principal  y  un  elemento  central   e</w:t>
        <w:br/>
        <w:t xml:space="preserve">      inseparable de los hechos  publicados  por  la  revista  Noticias  que</w:t>
        <w:br/>
        <w:t xml:space="preserve">      informaban sobre: a) la disposición  de  cuantiosas  sumas  de  dinero</w:t>
        <w:br/>
        <w:t xml:space="preserve">      hacia esas personas por parte del entonces Presidente de la Nación; b)</w:t>
        <w:br/>
        <w:t xml:space="preserve">      la entrega a dichas personas de regalos costosos,  y  c)  la  presunta</w:t>
        <w:br/>
        <w:t xml:space="preserve">      existencia de gestiones y favores económicos y políticos  al  entonces</w:t>
        <w:br/>
        <w:t xml:space="preserve">      esposo de la señora  Meza.  Dicha  información  se  relaciona  con  la</w:t>
        <w:br/>
        <w:t xml:space="preserve">      integridad de los funcionarios y, aún sin necesidad de  determinar  si</w:t>
        <w:br/>
        <w:t xml:space="preserve">      se hizo uso de fondos públicos para fines personales,  la  disposición</w:t>
        <w:br/>
        <w:t xml:space="preserve">      de sumas cuantiosas y regalos costosos por parte de un  Presidente  de</w:t>
        <w:br/>
        <w:t xml:space="preserve">      la Nación,  así  como  con  la  eventual  existencia  de  gestiones  o</w:t>
        <w:br/>
        <w:t xml:space="preserve">      interferencias en una investigación judicial, son cuestiones sobre las</w:t>
        <w:br/>
        <w:t xml:space="preserve">      cuales existe un legítimo interés social en conocerlas. Por ello, para</w:t>
        <w:br/>
        <w:t xml:space="preserve">      este Tribunal la información difundida por la revista  Noticias  posee</w:t>
        <w:br/>
        <w:t xml:space="preserve">      el carácter de interés público y su publicación resultó en un  llamado</w:t>
        <w:br/>
        <w:t xml:space="preserve">      para ejercer el control público y, en su caso,  judicial  respecto  de</w:t>
        <w:br/>
        <w:t xml:space="preserve">      aquellos hechos.</w:t>
        <w:br/>
        <w:br/>
        <w:t xml:space="preserve">  63. Por otra parte, en el presente caso surge del acervo probatorio que la</w:t>
        <w:br/>
        <w:t xml:space="preserve">      información relativa a los “lazos  familiares”  del  Presidente  y  la</w:t>
        <w:br/>
        <w:t xml:space="preserve">      posible paternidad sobre Carlos Nair  Meza  había  sido  difundida  en</w:t>
        <w:br/>
        <w:t xml:space="preserve">      distintos medios de comunicación, al  menos,  dos  años  antes  de  su</w:t>
        <w:br/>
        <w:t xml:space="preserve">      publicación por la revista Noticias en 1995. En efecto,  en  1993  fue</w:t>
        <w:br/>
        <w:t xml:space="preserve">      publicado el libro El Jefe. Vida y obra de Carlos Saúl Menem donde  se</w:t>
        <w:br/>
        <w:t xml:space="preserve">      relata con detalle la relación entre el señor Menem y la  señora  Meza</w:t>
        <w:br/>
        <w:t xml:space="preserve">      cuando el primero fue trasladado al interior del país bajo el  régimen</w:t>
        <w:br/>
        <w:t xml:space="preserve">      militar y el nacimiento del hijo de ambos en 1981; los acuerdos a  los</w:t>
        <w:br/>
        <w:t xml:space="preserve">      que habrían llegado los padres, que incluían el  envío  de  giros  por</w:t>
        <w:br/>
        <w:t xml:space="preserve">      parte de Menem y el silencio por parte de la madre; la campaña por una</w:t>
        <w:br/>
        <w:t xml:space="preserve">      diputación provincial por parte de la señora Meza bajo el slogan  “[si</w:t>
        <w:br/>
        <w:t xml:space="preserve">      Menem] no le da de comer a su hijo, qué va a hacer por  el  país”;  el</w:t>
        <w:br/>
        <w:t xml:space="preserve">      ofrecimiento del señor Menem de reconocer  legalmente  al  niño  y  la</w:t>
        <w:br/>
        <w:t xml:space="preserve">      oposición de  su  entonces  esposa  quien  habría  amenazado  con  una</w:t>
        <w:br/>
        <w:t xml:space="preserve">      escándalo  público;  las  visitas  de  los  Meza   a   la   residencia</w:t>
        <w:br/>
        <w:t xml:space="preserve">      presidencial de Olivos luego de la separación del  señor  Menem  y  su</w:t>
        <w:br/>
        <w:t xml:space="preserve">      esposa, y la institución de visitas el primer domingo de cada mes[49].</w:t>
        <w:br/>
        <w:t xml:space="preserve">      Más aún, información similar  sobre  la  paternidad  del  señor  Menem</w:t>
        <w:br/>
        <w:t xml:space="preserve">      respecto del niño, las circunstancias de su  nacimiento,  la  relación</w:t>
        <w:br/>
        <w:t xml:space="preserve">      del ex presidente con la madre,  entre  otros  hechos,  fue  publicada</w:t>
        <w:br/>
        <w:t xml:space="preserve">      también por el diario El Mundo de España en su edición de 2  de  marzo</w:t>
        <w:br/>
        <w:t xml:space="preserve">      de 1994[50] donde, citando el libro antes mencionado, relata la  misma</w:t>
        <w:br/>
        <w:t xml:space="preserve">      historia y señala:</w:t>
        <w:br/>
        <w:br/>
        <w:t xml:space="preserve">    [l]a existencia de un presunto hijo extramatrimonial no reconocido  del</w:t>
        <w:br/>
        <w:t xml:space="preserve">    presidente Carlos Menem ha dejado de ser un secreto en Argentina  y  la</w:t>
        <w:br/>
        <w:t xml:space="preserve">    justicia investiga el asunto a petición de la ex primera  dama,  Zulema</w:t>
        <w:br/>
        <w:t xml:space="preserve">    Yoma de Menem[;]</w:t>
        <w:br/>
        <w:br/>
        <w:br/>
        <w:t xml:space="preserve">    los hombres del presidente no quieren ni oír hablar del delicado asunto</w:t>
        <w:br/>
        <w:t xml:space="preserve">    que ha venido a abonar de una manera explosiva la fama de  mujeriego  y</w:t>
        <w:br/>
        <w:t xml:space="preserve">    ‘bon vivant’ cultivada por el propio Menem en forma pública.</w:t>
        <w:br/>
        <w:br/>
        <w:br/>
        <w:t xml:space="preserve">  64. De lo anterior se desprende que, para el momento de la publicación por</w:t>
        <w:br/>
        <w:t xml:space="preserve">      parte de la revista Noticias, los hechos cuestionados que dieron lugar</w:t>
        <w:br/>
        <w:t xml:space="preserve">      a la presente controversia relativos a la paternidad no reconocida  de</w:t>
        <w:br/>
        <w:t xml:space="preserve">      un hijo extramatrimonial, habían tenido  difusión  pública  en  medios</w:t>
        <w:br/>
        <w:t xml:space="preserve">      escritos, tanto en Argentina como en el extranjero. Por otro lado,  no</w:t>
        <w:br/>
        <w:t xml:space="preserve">      consta al Tribunal que ante aquellas difusiones públicas previas de la</w:t>
        <w:br/>
        <w:t xml:space="preserve">      información, el señor Menem se hubiera interesado en disponer  medidas</w:t>
        <w:br/>
        <w:t xml:space="preserve">      de resguardo de su vida privada o en evitar, de cualquier otra manera,</w:t>
        <w:br/>
        <w:t xml:space="preserve">      la difusión pública que luego objetó respecto de la revista Noticias.</w:t>
        <w:br/>
        <w:br/>
        <w:t xml:space="preserve">  65. Adicionalmente, el Tribunal constata que el señor  Menem  adoptó,  con</w:t>
        <w:br/>
        <w:t xml:space="preserve">      anterioridad  a  que  se  realizaran  las  publicaciones   que   luego</w:t>
        <w:br/>
        <w:t xml:space="preserve">      cuestionó, pautas de comportamiento favorables a dar  a  conocer  esas</w:t>
        <w:br/>
        <w:t xml:space="preserve">      relaciones personales, al compartir actos o situaciones  públicas  con</w:t>
        <w:br/>
        <w:t xml:space="preserve">      dichas personas, las cuales aparecen  registradas  en  varias  de  las</w:t>
        <w:br/>
        <w:t xml:space="preserve">      fotos que ilustran las notas, e incluso recibiendo  al  niño  y  a  su</w:t>
        <w:br/>
        <w:t xml:space="preserve">      madre en un lugar oficial como la Casa de Gobierno (supra  párrs.  32,</w:t>
        <w:br/>
        <w:t xml:space="preserve">      35 y 36)[51]. La Corte recuerda que el derecho a la  vida  privada  es</w:t>
        <w:br/>
        <w:t xml:space="preserve">      disponible para el  interesado  y,  por  ello,  resulta  relevante  la</w:t>
        <w:br/>
        <w:t xml:space="preserve">      conducta desplegada por el mismo. En este caso, su conducta no fue  de</w:t>
        <w:br/>
        <w:t xml:space="preserve">      resguardo de la vida privada en ese aspecto.</w:t>
        <w:br/>
        <w:br/>
        <w:t xml:space="preserve">  66. Por último, como lo ha sostenido  la  Corte  anteriormente,  el  poder</w:t>
        <w:br/>
        <w:t xml:space="preserve">      judicial debe tomar en consideración el contexto en el que se realizan</w:t>
        <w:br/>
        <w:t xml:space="preserve">      las expresiones en  asuntos  de  interés  público;  el  juzgador  debe</w:t>
        <w:br/>
        <w:t xml:space="preserve">      “ponderar el respeto a los derechos o a la reputación de los demás con</w:t>
        <w:br/>
        <w:t xml:space="preserve">      el valor que tiene en una sociedad democrática el debate abierto sobre</w:t>
        <w:br/>
        <w:t xml:space="preserve">      temas de interés o preocupación pública”[52].  Este  Tribunal  observa</w:t>
        <w:br/>
        <w:t xml:space="preserve">      que  en  su  decisión  la  Corte  Suprema  se  refirió  a  cuándo  una</w:t>
        <w:br/>
        <w:t xml:space="preserve">      intromisión en la intimidad podría estar justificada y a la protección</w:t>
        <w:br/>
        <w:t xml:space="preserve">      de la intimidad del “hombre”  público,  entre  otros  aspectos  (supra</w:t>
        <w:br/>
        <w:t xml:space="preserve">      párr. 39). Sin embargo, no analizó  en  el  caso  en  concreto  si  la</w:t>
        <w:br/>
        <w:t xml:space="preserve">      información cuestionada tenía o  no  carácter  de  interés  público  o</w:t>
        <w:br/>
        <w:t xml:space="preserve">      contribuía a un debate de interés general. Por  el  contrario,  en  su</w:t>
        <w:br/>
        <w:t xml:space="preserve">      decisión se refirió a los alegados aspectos  de  la  vida  privada  de</w:t>
        <w:br/>
        <w:t xml:space="preserve">      manera aislada de las cuestiones de interés público que  de  ellos  se</w:t>
        <w:br/>
        <w:t xml:space="preserve">      derivan  y  que  constituyen  el  aspecto  fundamental  de  las  notas</w:t>
        <w:br/>
        <w:t xml:space="preserve">      cuestionadas. Esa misma descontextualización se ve reflejada en uno de</w:t>
        <w:br/>
        <w:t xml:space="preserve">      los votos mayoritarios de la decisión de la Cámara Civil, donde  luego</w:t>
        <w:br/>
        <w:t xml:space="preserve">      de indicar que en caso de duda entre la libertad  de  expresión  y  la</w:t>
        <w:br/>
        <w:t xml:space="preserve">      intimidad del funcionario debía dar primacía a lo segundo, sostuvo:</w:t>
        <w:br/>
        <w:br/>
        <w:t xml:space="preserve">    [p]or otra parte se alude  a  la  supuesta  fortuna  adquirida  por  la</w:t>
        <w:br/>
        <w:t xml:space="preserve">    diputada Meza, a la existencia de favores  políticos  y  económicos  de</w:t>
        <w:br/>
        <w:t xml:space="preserve">    envergadura hacia ella, lo cual de ser cierto es repudiable y digno  de</w:t>
        <w:br/>
        <w:t xml:space="preserve">    ser conocido por la ciudadanía. No es ésta la vida privada a la que  me</w:t>
        <w:br/>
        <w:t xml:space="preserve">    refiero y que merece protección, pues  si  el  Presidente  hizo  manejo</w:t>
        <w:br/>
        <w:t xml:space="preserve">    indebido de fondos públicos debería ser juzgado  por  ello,  y  si  una</w:t>
        <w:br/>
        <w:t xml:space="preserve">    diputada se enriqueció indebidamente también. En cambio  considero  que</w:t>
        <w:br/>
        <w:t xml:space="preserve">    no existe  un  interés  público  suficiente  como  para  justificar  la</w:t>
        <w:br/>
        <w:t xml:space="preserve">    difusión de hechos no actuales relacionados con la vida sentimental  de</w:t>
        <w:br/>
        <w:t xml:space="preserve">    los involucrados y, especialmente, con la posible existencia de un hijo</w:t>
        <w:br/>
        <w:t xml:space="preserve">    fruto de tal relación [...][53].</w:t>
        <w:br/>
        <w:br/>
        <w:t xml:space="preserve">                                      *</w:t>
        <w:br/>
        <w:br/>
        <w:t>67.    En  relación  con  las  cinco  fotografías  que  ilustran  las  notas</w:t>
        <w:br/>
        <w:t>cuestionadas en las cuales aparece el señor Menem  con  su  hijo,  la  Corte</w:t>
        <w:br/>
        <w:t>recuerda que la protección que otorga la  Convención  Americana  a  la  vida</w:t>
        <w:br/>
        <w:t>privada se extiende a  otros  ámbitos  además  de  los  que  específicamente</w:t>
        <w:br/>
        <w:t>enumera dicha norma[54].  Aunque  el  derecho  a  la  propia  imagen  no  se</w:t>
        <w:br/>
        <w:t>encuentra expresamente enunciado en el artículo 11  de  la  Convención,  las</w:t>
        <w:br/>
        <w:t>imágenes o fotografías personales,  evidentemente,  están  incluidas  dentro</w:t>
        <w:br/>
        <w:t>del ámbito de protección de la vida privada[55]. Asimismo, la fotografía  es</w:t>
        <w:br/>
        <w:t>una forma de expresión que recae en el ámbito de protección del artículo  13</w:t>
        <w:br/>
        <w:t>de la Convención[56]. La fotografía no solo tiene el valor  de  respaldar  o</w:t>
        <w:br/>
        <w:t>dar credibilidad a informaciones brindadas por medio de la  escritura,  sino</w:t>
        <w:br/>
        <w:t>que  tiene  en  sí  misma  un  importante  contenido  y   valor   expresivo,</w:t>
        <w:br/>
        <w:t>comunicativo e informativo; de hecho, en algunos casos, las imágenes  pueden</w:t>
        <w:br/>
        <w:t>comunicar o informar con igual o mayor impacto que la palabra  escrita.  Por</w:t>
        <w:br/>
        <w:t>ello, su protección  cobra  importancia  en  tiempos  donde  los  medios  de</w:t>
        <w:br/>
        <w:t>comunicación audiovisual predominan. Sin embargo, por esa misma razón y  por</w:t>
        <w:br/>
        <w:t>el  contenido  de  información  personal  e  íntima  que  pueden  tener  las</w:t>
        <w:br/>
        <w:t>imágenes, su potencial para afectar la vida privada de una  persona  es  muy</w:t>
        <w:br/>
        <w:t>alto.</w:t>
        <w:br/>
        <w:br/>
        <w:t xml:space="preserve">  68. El Tribunal ha concluido que el tema  sobre  el  cual  informaban  los</w:t>
        <w:br/>
        <w:t xml:space="preserve">      artículos que acompañaban las fotografías  se  referían  a  la  máxima</w:t>
        <w:br/>
        <w:t xml:space="preserve">      autoridad electiva del país y eran de interés público (supra parrs. 60</w:t>
        <w:br/>
        <w:t xml:space="preserve">      a 62). La Corte considera que las  imágenes  estaban  fundamentalmente</w:t>
        <w:br/>
        <w:t xml:space="preserve">      dirigidas a respaldar la existencia de  la  relación  entre  el  señor</w:t>
        <w:br/>
        <w:t xml:space="preserve">      Menem, la señora Meza y Carlos Nair Meza, apoyando la credibilidad  de</w:t>
        <w:br/>
        <w:t xml:space="preserve">      la  nota  escrita  y,  de  tal  modo,  llamar  la  atención  sobre  la</w:t>
        <w:br/>
        <w:t xml:space="preserve">      disposición de  sumas  cuantiosas  y  regalos  costosos  así  como  la</w:t>
        <w:br/>
        <w:t xml:space="preserve">      eventual existencia de  otros  favores  y  gestiones,  por  parte  del</w:t>
        <w:br/>
        <w:t xml:space="preserve">      entonces presidente en beneficio de quienes aparecen retratados en las</w:t>
        <w:br/>
        <w:t xml:space="preserve">      imágenes publicadas. De  esta  forma,  las  imágenes  representan  una</w:t>
        <w:br/>
        <w:t xml:space="preserve">      contribución al debate de  interés  general  y  no  están  simplemente</w:t>
        <w:br/>
        <w:t xml:space="preserve">      dirigidas a satisfacer la curiosidad del público respecto de  la  vida</w:t>
        <w:br/>
        <w:t xml:space="preserve">      privada del presidente Menem.</w:t>
        <w:br/>
        <w:br/>
        <w:t xml:space="preserve">  69.  Adicionalmente,  el  Tribunal  considera  relevante  atender  a   las</w:t>
        <w:br/>
        <w:t xml:space="preserve">      circunstancias  sobre  cómo  las  fotografías  fueron  obtenidas.   Al</w:t>
        <w:br/>
        <w:t xml:space="preserve">      respecto, el Estado no objetó  ni  controvirtió  ante  esta  Corte  lo</w:t>
        <w:br/>
        <w:t xml:space="preserve">      afirmado por la Comisión y los representantes sobre el  hecho  de  que</w:t>
        <w:br/>
        <w:t xml:space="preserve">      las fotografías  fueron  tomadas  con  consentimiento  del  mandatario</w:t>
        <w:br/>
        <w:t xml:space="preserve">      (supra párrs. 19 y 24), ni lo afirmado por  el  señor  D’Amico  en  la</w:t>
        <w:br/>
        <w:t xml:space="preserve">      audiencia pública del presente caso, en el sentido de que  ninguna  de</w:t>
        <w:br/>
        <w:t xml:space="preserve">      las fotografías fue tomada por la revista sino que fueron entregadas a</w:t>
        <w:br/>
        <w:t xml:space="preserve">      Noticias por la Oficina de Prensa de la Presidencia de la  Nación[57].</w:t>
        <w:br/>
        <w:t xml:space="preserve">      Con base en lo anterior, el Tribunal no encuentra en el presente  caso</w:t>
        <w:br/>
        <w:t xml:space="preserve">      algún elemento que indique que  las  fotografías  en  cuestión  fueron</w:t>
        <w:br/>
        <w:t xml:space="preserve">      obtenidas en un clima de  hostigamiento  o  persecución  respecto  del</w:t>
        <w:br/>
        <w:t xml:space="preserve">      señor Menem o de cualquier otro modo que le hubiera generado un fuerte</w:t>
        <w:br/>
        <w:t xml:space="preserve">      sentimiento de intrusión, tales como el  ingreso  físico  a  un  lugar</w:t>
        <w:br/>
        <w:t xml:space="preserve">      restringido o  el  uso  de  medios  tecnológicos  que  posibiliten  la</w:t>
        <w:br/>
        <w:t xml:space="preserve">      captación de  imágenes  a  distancia  o  que  hayan  sido  tomadas  de</w:t>
        <w:br/>
        <w:t xml:space="preserve">      cualquier otra manera subrepticia.</w:t>
        <w:br/>
        <w:br/>
        <w:t>70.   Por otra parte, si bien la Corte Suprema señaló  en  su  decisión  que</w:t>
        <w:br/>
        <w:t>las publicaciones de las imágenes “no [fueron] autorizadas por el  actor  en</w:t>
        <w:br/>
        <w:t>el tiempo y en el contexto en que fueron usadas por  el  medio  de  prensa”,</w:t>
        <w:br/>
        <w:t>este Tribunal considera que no toda  publicación  de  imágenes  requiere  el</w:t>
        <w:br/>
        <w:t>consentimiento de la persona retratada. Esto resulta aún  más  claro  cuando</w:t>
        <w:br/>
        <w:t>las imágenes se refieren a quien desempeña el más alto  cargo  ejecutivo  de</w:t>
        <w:br/>
        <w:t>un país, dado que no sería razonable exigir que  un  medio  de  comunicación</w:t>
        <w:br/>
        <w:t>deba  obtener  un  consentimiento  expreso  en  cada  ocasión  que  pretenda</w:t>
        <w:br/>
        <w:t>publicar una imagen del Presidente de la Nación. Por ello, en este  caso  en</w:t>
        <w:br/>
        <w:t>particular, la alegada ausencia de  autorización  del  señor  Menem  tampoco</w:t>
        <w:br/>
        <w:t>transforma a las imágenes publicadas en violatorias de su privacidad.</w:t>
        <w:br/>
        <w:br/>
        <w:t xml:space="preserve">                                      *</w:t>
        <w:br/>
        <w:br/>
        <w:t xml:space="preserve">  71. Este Tribunal  considera  que  las  publicaciones  realizadas  por  la</w:t>
        <w:br/>
        <w:t xml:space="preserve">      revista Noticias respecto del funcionario público electivo de más alto</w:t>
        <w:br/>
        <w:t xml:space="preserve">      rango del país trataban sobre asuntos  de  interés  público,  que  los</w:t>
        <w:br/>
        <w:t xml:space="preserve">      hechos al momento de ser  difundidos  se  encontraban  en  el  dominio</w:t>
        <w:br/>
        <w:t xml:space="preserve">      público  y  que  el  presunto  afectado  con  su  conducta  no   había</w:t>
        <w:br/>
        <w:t xml:space="preserve">      contribuido a resguardar la información cuya  difusión  luego  objetó.</w:t>
        <w:br/>
        <w:t xml:space="preserve">      Por ello, no hubo una injerencia arbitraria en el derecho  a  la  vida</w:t>
        <w:br/>
        <w:t xml:space="preserve">      privada del señor Menem. De tal modo,  la  medida  de  responsabilidad</w:t>
        <w:br/>
        <w:t xml:space="preserve">      ulterior impuesta,  que  excluyó  cualquier  ponderación  en  el  caso</w:t>
        <w:br/>
        <w:t xml:space="preserve">      concreto de los aspectos de interés público  de  la  información,  fue</w:t>
        <w:br/>
        <w:t xml:space="preserve">      innecesaria en relación  con  la  alegada  finalidad  de  proteger  el</w:t>
        <w:br/>
        <w:t xml:space="preserve">      derecho a la vida privada.</w:t>
        <w:br/>
        <w:br/>
        <w:t xml:space="preserve">  72.  En  consecuencia,  la   Corte   Interamericana   considera   que   el</w:t>
        <w:br/>
        <w:t xml:space="preserve">      procedimiento  civil  en  la  justicia  argentina,  la  atribución  de</w:t>
        <w:br/>
        <w:t xml:space="preserve">      responsabilidad civil, la  imposición  de  la  indemnización  más  los</w:t>
        <w:br/>
        <w:t xml:space="preserve">      intereses, las costas y gastos, así  como  la  orden  de  publicar  un</w:t>
        <w:br/>
        <w:t xml:space="preserve">      extracto de la sentencia y  el  embargo  dictado  contra  uno  de  los</w:t>
        <w:br/>
        <w:t xml:space="preserve">      periodistas afectaron el derecho a la libertad  de  expresión  de  los</w:t>
        <w:br/>
        <w:t xml:space="preserve">      señores Jorge Fontevecchia y Héctor D’Amico.</w:t>
        <w:br/>
        <w:br/>
        <w:t xml:space="preserve">  73. El señor Fontevecchia puso en contexto dicha  afectación  al  recordar</w:t>
        <w:br/>
        <w:t xml:space="preserve">      que durante el gobierno del señor Menem, el entonces  “presidente,  su</w:t>
        <w:br/>
        <w:t xml:space="preserve">      familia,  sus  allegados,  sus  secretarios  [y]  sus  ministros   […]</w:t>
        <w:br/>
        <w:t xml:space="preserve">      acumulaban demandas  por  cifras  muy  altas”  en  diecinueve  juicios</w:t>
        <w:br/>
        <w:t xml:space="preserve">      civiles y  penales  que  iniciaron  contra  la  revista  Noticias.  La</w:t>
        <w:br/>
        <w:t xml:space="preserve">      acumulación de acciones civiles generaba un perjuicio que  colocaba  a</w:t>
        <w:br/>
        <w:t xml:space="preserve">      la empresa en la posible disolución y generaba consecuencias desde  el</w:t>
        <w:br/>
        <w:t xml:space="preserve">      mismo momento  que  se  entablaban;  algunos  “directores  financieros</w:t>
        <w:br/>
        <w:t xml:space="preserve">      [reclamaban] que había que cambiar de política porque la  empresa  así</w:t>
        <w:br/>
        <w:t xml:space="preserve">      era insustentable”. De igual modo, en su declaración, el señor D’Amico</w:t>
        <w:br/>
        <w:t xml:space="preserve">      coincidió en señalar que el ex presidente y  sus  allegados  iniciaron</w:t>
        <w:br/>
        <w:t xml:space="preserve">      diecinueve procesos civiles y penales contra la revista. En  cuanto  a</w:t>
        <w:br/>
        <w:t xml:space="preserve">      las consecuencias personales que tuvo  la  sentencia  cuestionada,  el</w:t>
        <w:br/>
        <w:t xml:space="preserve">      señor D’Amico recordó que fue embargado, razón por la cual durante  un</w:t>
        <w:br/>
        <w:t xml:space="preserve">      período de diecinueve meses le fue retenido parte de su  salario  para</w:t>
        <w:br/>
        <w:t xml:space="preserve">      cubrir la deuda de la condena civil.</w:t>
        <w:br/>
        <w:br/>
        <w:t xml:space="preserve">  74. Por último, dado que el Tribunal  ha  establecido  que  la  medida  de</w:t>
        <w:br/>
        <w:t xml:space="preserve">      responsabilidad ulterior  impuesta  internamente  no  cumplió  con  el</w:t>
        <w:br/>
        <w:t xml:space="preserve">      requisito de ser necesaria en una sociedad democrática,  no  analizará</w:t>
        <w:br/>
        <w:t xml:space="preserve">      si el monto de la condena civil en  el  presente  caso  resultó  o  no</w:t>
        <w:br/>
        <w:t xml:space="preserve">      desproporcionado. Sin  perjuicio  de  lo  anterior,  la  Corte  estima</w:t>
        <w:br/>
        <w:t xml:space="preserve">      oportuno reiterar que el temor a una  sanción  civil  desproporcionada</w:t>
        <w:br/>
        <w:t xml:space="preserve">      puede ser a todas luces tan o más  intimidante  e  inhibidor  para  el</w:t>
        <w:br/>
        <w:t xml:space="preserve">      ejercicio de la libertad de expresión que una sanción penal, en  tanto</w:t>
        <w:br/>
        <w:t xml:space="preserve">      tiene la potencialidad de comprometer la vida personal y  familiar  de</w:t>
        <w:br/>
        <w:t xml:space="preserve">      quien denuncia o, como en el presente caso, publica información  sobre</w:t>
        <w:br/>
        <w:t xml:space="preserve">      un funcionario público, con el  resultado  evidente  y  disvalioso  de</w:t>
        <w:br/>
        <w:t xml:space="preserve">      autocensura, tanto  para  el  afectado  como  para  otros  potenciales</w:t>
        <w:br/>
        <w:t xml:space="preserve">      críticos de la actuación de un servidor público[58].</w:t>
        <w:br/>
        <w:br/>
        <w:t xml:space="preserve">                                      *</w:t>
        <w:br/>
        <w:br/>
        <w:t xml:space="preserve">  75. Con base en  lo  expuesto,  el  Tribunal  concluye  que  no  hubo  una</w:t>
        <w:br/>
        <w:t xml:space="preserve">      injerencia abusiva o arbitraria en la vida privada del señor Menem  en</w:t>
        <w:br/>
        <w:t xml:space="preserve">      los términos del artículo 11 de la Convención Americana y que, por  el</w:t>
        <w:br/>
        <w:t xml:space="preserve">      contrario, las publicaciones cuestionadas constituyeron  un  ejercicio</w:t>
        <w:br/>
        <w:t xml:space="preserve">      legítimo del derecho a la libre expresión reconocido en el artículo 13</w:t>
        <w:br/>
        <w:t xml:space="preserve">      de dicho tratado. En consecuencia, la  Corte  Interamericana  concluye</w:t>
        <w:br/>
        <w:t xml:space="preserve">      que la medida de responsabilidad ulterior impuesta en el presente caso</w:t>
        <w:br/>
        <w:t xml:space="preserve">      violó el derecho a la libertad de pensamiento y de  expresión  de  los</w:t>
        <w:br/>
        <w:t xml:space="preserve">      señores Jorge Fontevecchia y Héctor D’Amico, reconocido en el artículo</w:t>
        <w:br/>
        <w:t xml:space="preserve">      13 de la Convención  Americana,  en  relación  con  la  obligación  de</w:t>
        <w:br/>
        <w:t xml:space="preserve">      respetar ese  derecho,  establecida  en  el  artículo  1.1  del  mismo</w:t>
        <w:br/>
        <w:t xml:space="preserve">      instrumento.</w:t>
        <w:br/>
        <w:br/>
        <w:br/>
        <w:t xml:space="preserve">                                     VI</w:t>
        <w:br/>
        <w:t xml:space="preserve">           OBLIGACION DE ADOPTAR DISPOSICIONES DE DERECHO INTERNO</w:t>
        <w:br/>
        <w:t xml:space="preserve">          EN RELACION CON LA LIBERTAD DE PENSAMIENTO Y DE EXPRESIÓN</w:t>
        <w:br/>
        <w:br/>
        <w:t xml:space="preserve">      A. Alegatos de las partes</w:t>
        <w:br/>
        <w:br/>
        <w:t xml:space="preserve">  76. La Comisión recordó que en su Informe de Fondo no se  pronunció  sobre</w:t>
        <w:br/>
        <w:t xml:space="preserve">      la alegada violación del artículo 2 de  la  Convención  Americana[59],</w:t>
        <w:br/>
        <w:t xml:space="preserve">      “toda vez que en la etapa de litigio [ante ella] los peticionarios ‘no</w:t>
        <w:br/>
        <w:t xml:space="preserve">      precisaron ni cómo ni por qué el artículo 1071 bis  del  Código  Civil</w:t>
        <w:br/>
        <w:t xml:space="preserve">      viola, per se, [dicho tratado]’”. Aunque en sus observaciones  finales</w:t>
        <w:br/>
        <w:t xml:space="preserve">      señaló que se remitía “a las nuevas pruebas y  alegatos  aportados  al</w:t>
        <w:br/>
        <w:t xml:space="preserve">      proceso durante el período  de  audiencia”,  la  Comisión  mantuvo  su</w:t>
        <w:br/>
        <w:t xml:space="preserve">      postura y no alegó la existencia de una violación a dicho artículo.</w:t>
        <w:br/>
        <w:br/>
        <w:t xml:space="preserve">  77. Los representantes alegaron que la normativa argentina, principalmente</w:t>
        <w:br/>
        <w:t xml:space="preserve">      el artículo 1071 bis del Código Civil, adolece de distintas fallas que</w:t>
        <w:br/>
        <w:t xml:space="preserve">      contradicen el mandato de la Convención  Americana  debido  a:  a)  la</w:t>
        <w:br/>
        <w:t xml:space="preserve">      amplia discrecionalidad con la que cuenta el juzgador para  determinar</w:t>
        <w:br/>
        <w:t xml:space="preserve">      cuándo la intromisión en la vida privada de una persona es  arbitraria</w:t>
        <w:br/>
        <w:t xml:space="preserve">      y la falta de  consideración  al  especial  carácter  que  reviste  la</w:t>
        <w:br/>
        <w:t xml:space="preserve">      información de interés público, y b) la ausencia de  criterios  claros</w:t>
        <w:br/>
        <w:t xml:space="preserve">      que puedan ser usados para la determinación de los montos  de  condena</w:t>
        <w:br/>
        <w:t xml:space="preserve">      en casos en los que se demanda por daño moral por violación al derecho</w:t>
        <w:br/>
        <w:t xml:space="preserve">      a la intimidad. Fue  con  base  en  dicha  norma  que  los  tribunales</w:t>
        <w:br/>
        <w:t xml:space="preserve">      argentinos dictaron las sentencias contra los periodistas por entender</w:t>
        <w:br/>
        <w:t xml:space="preserve">      que las publicaciones cuestionadas habían incurrido en una intromisión</w:t>
        <w:br/>
        <w:t xml:space="preserve">      arbitraria  a  la  intimidad  del  entonces  presidente.  El  referido</w:t>
        <w:br/>
        <w:t xml:space="preserve">      artículo no constituye, en tanto norma que posibilita una restricción,</w:t>
        <w:br/>
        <w:t xml:space="preserve">      una  ley  en  sentido   material,   porque   permite   una   amplísima</w:t>
        <w:br/>
        <w:t xml:space="preserve">      discrecionalidad al juzgador en la interpretación del fondo del asunto</w:t>
        <w:br/>
        <w:t xml:space="preserve">      así como en la determinación de las eventuales reparaciones.</w:t>
        <w:br/>
        <w:br/>
        <w:t xml:space="preserve">  78. Según los representantes la laxitud del artículo 1071 bis  del  Código</w:t>
        <w:br/>
        <w:t xml:space="preserve">      Civil vulnera el derecho a la libertad  de  expresión  al  no  dar  al</w:t>
        <w:br/>
        <w:t xml:space="preserve">      juzgador el mandato de analizar específicamente las implicancias  para</w:t>
        <w:br/>
        <w:t xml:space="preserve">      el derecho a la libertad de expresión en juego, al no  determinar  más</w:t>
        <w:br/>
        <w:t xml:space="preserve">      precisamente la  conducta  prohibida  y  al  permitir  una  aplicación</w:t>
        <w:br/>
        <w:t xml:space="preserve">      selectiva y discriminatoria de dicha disposición. La imprecisión de la</w:t>
        <w:br/>
        <w:t xml:space="preserve">      norma afecta su condición de ley y genera una afectación a la libertad</w:t>
        <w:br/>
        <w:t xml:space="preserve">      de expresión ya que el  efecto  inhibidor  puede  originarse  tanto  a</w:t>
        <w:br/>
        <w:t xml:space="preserve">      partir de la aplicación de sanciones demasiado elevadas,  como  de  la</w:t>
        <w:br/>
        <w:t xml:space="preserve">      indeterminación  previa  a  la  publicación   del   alcance   de   las</w:t>
        <w:br/>
        <w:t xml:space="preserve">      restricciones. En tales circunstancias, las personas deberán  recurrir</w:t>
        <w:br/>
        <w:t xml:space="preserve">      a la autocensura para no exponerse  a  sanciones  legales.  La  citada</w:t>
        <w:br/>
        <w:t xml:space="preserve">      norma  es  genérica  y  orientadora,  sin   embargo,   al   establecer</w:t>
        <w:br/>
        <w:t xml:space="preserve">      restricciones a un derecho fundamental requiere precisión.</w:t>
        <w:br/>
        <w:br/>
        <w:t xml:space="preserve">  79. En relación con el argumento  estatal  según  el  cual  las  falencias</w:t>
        <w:br/>
        <w:t xml:space="preserve">      normativas se encuentran solucionadas  por  vía  jurisprudencial,  los</w:t>
        <w:br/>
        <w:t xml:space="preserve">      representantes indicaron que la “imprecisión excesiva  de  la  ley  no</w:t>
        <w:br/>
        <w:t xml:space="preserve">      puede  resolverse  por  [dicha  vía],  debido  a  […]  la   falta   de</w:t>
        <w:br/>
        <w:t xml:space="preserve">      obligatoriedad de seguir los precedentes de la Corte Suprema” y a  que</w:t>
        <w:br/>
        <w:t xml:space="preserve">      los jueces del fuero civil tienen una tendencia  a  aplicar  criterios</w:t>
        <w:br/>
        <w:t xml:space="preserve">      más vinculados a la reparación de daños que  a  la  protección  de  la</w:t>
        <w:br/>
        <w:t xml:space="preserve">      libertad de expresión. Además,  aceptar  dicho  argumento  “implicaría</w:t>
        <w:br/>
        <w:t xml:space="preserve">      desplazar la facultad de restringir los derechos  humanos  del  órgano</w:t>
        <w:br/>
        <w:t xml:space="preserve">      legislativo  al  poder  judicial”,   contradiciendo   los   estándares</w:t>
        <w:br/>
        <w:t xml:space="preserve">      convencionales. Adicionalmente, la doctrina de la real  malicia  a  la</w:t>
        <w:br/>
        <w:t xml:space="preserve">      que refiere la jurisprudencia alegada por el Estado no es aplicable “a</w:t>
        <w:br/>
        <w:t xml:space="preserve">      casos vinculados al derecho a la intimidad, en tanto  en  estos  casos</w:t>
        <w:br/>
        <w:t xml:space="preserve">      las discusiones no giran en torno a la publicación de datos  erróneos,</w:t>
        <w:br/>
        <w:t xml:space="preserve">      sino en  torno  a  la  cuestión  de  si  podía  hacerse  pública  [la]</w:t>
        <w:br/>
        <w:t xml:space="preserve">      información referida […] al ámbito privado de una persona”. Es más, la</w:t>
        <w:br/>
        <w:t xml:space="preserve">      situación interna es precisamente la contraria a la  señalada  por  el</w:t>
        <w:br/>
        <w:t xml:space="preserve">      Estado, esto es, no existe legislación precisa sobre el derecho  a  la</w:t>
        <w:br/>
        <w:t xml:space="preserve">      intimidad que delimite los casos en que la protección de dicho derecho</w:t>
        <w:br/>
        <w:t xml:space="preserve">      genera una restricción al derecho a la libertad de expresión.</w:t>
        <w:br/>
        <w:br/>
        <w:t xml:space="preserve">  80. Respecto a la ausencia de criterios para la  determinación  de  montos</w:t>
        <w:br/>
        <w:t xml:space="preserve">      indemnizatorios,  los  representantes  afirmaron  que  en  el  derecho</w:t>
        <w:br/>
        <w:t xml:space="preserve">      argentino,  el  criterio  para  establecer  el  monto   indemnizatorio</w:t>
        <w:br/>
        <w:t xml:space="preserve">      consiste en ponderar el daño sufrido y fijar un  monto  equivalente  y</w:t>
        <w:br/>
        <w:t xml:space="preserve">      dado que en estos casos en general se trata de daños inmateriales,  la</w:t>
        <w:br/>
        <w:t xml:space="preserve">      justicia tiene absoluta discrecionalidad para establecer el  monto  de</w:t>
        <w:br/>
        <w:t xml:space="preserve">      la indemnización. Ello se evidencia en el  presente  caso  ya  que  en</w:t>
        <w:br/>
        <w:t xml:space="preserve">      ninguna de las sentencias internas se hace siquiera una mínima mención</w:t>
        <w:br/>
        <w:t xml:space="preserve">      a criterio  alguno  utilizado  para  determinar  el  monto  de  ciento</w:t>
        <w:br/>
        <w:t xml:space="preserve">      cincuenta mil pesos primero y sesenta mil pesos  después.  Los  jueces</w:t>
        <w:br/>
        <w:t xml:space="preserve">      asumen la función de fijar montos  como  una  actividad  discrecional,</w:t>
        <w:br/>
        <w:t xml:space="preserve">      desvinculada de parámetros objetivos.  Además,  en  la  jurisprudencia</w:t>
        <w:br/>
        <w:t xml:space="preserve">      argentina rige el criterio según el cual toda afectación al honor o  a</w:t>
        <w:br/>
        <w:t xml:space="preserve">      la intimidad de una  persona  causa  un  daño,  sin  que  se  requiera</w:t>
        <w:br/>
        <w:t xml:space="preserve">      comprobación. El sistema de determinación del daño del Código Civil es</w:t>
        <w:br/>
        <w:t xml:space="preserve">      el sistema previsto para todos los casos de daños, sin  considerar  en</w:t>
        <w:br/>
        <w:t xml:space="preserve">      forma particular aquellos casos en los cuales la asignación de éste es</w:t>
        <w:br/>
        <w:t xml:space="preserve">      también la graduación de la entidad de la  restricción  a  un  derecho</w:t>
        <w:br/>
        <w:t xml:space="preserve">      humano, como la libertad de expresión. En este sentido, al  establecer</w:t>
        <w:br/>
        <w:t xml:space="preserve">      la existencia del daño y el monto indemnizatorio, el  eventual  efecto</w:t>
        <w:br/>
        <w:t xml:space="preserve">      que la asignación de un monto elevado pueda tener sobre la libertad de</w:t>
        <w:br/>
        <w:t xml:space="preserve">      expresión y el debate propio de una sociedad democrática, en  general,</w:t>
        <w:br/>
        <w:t xml:space="preserve">      no jugará ningún papel dentro de la estructura lógica del  fallo,  que</w:t>
        <w:br/>
        <w:t xml:space="preserve">      estará circunscrita a la estimación del daño y de la  suma  de  dinero</w:t>
        <w:br/>
        <w:t xml:space="preserve">      que pueda propiciar su compensación.</w:t>
        <w:br/>
        <w:br/>
        <w:t xml:space="preserve">  81. Por último, los representantes indicaron que ni la ley vigente, ni  la</w:t>
        <w:br/>
        <w:t xml:space="preserve">      jurisprudencia arraigada, incorporan  en  forma  efectiva  dentro  del</w:t>
        <w:br/>
        <w:t xml:space="preserve">      ordenamiento jurídico el criterio de proporcionalidad de los montos de</w:t>
        <w:br/>
        <w:t xml:space="preserve">      asignación de responsabilidades ulteriores. Por otra parte, el  riesgo</w:t>
        <w:br/>
        <w:t xml:space="preserve">      de enfrentar una demanda como la del caso no se limita a hacer  frente</w:t>
        <w:br/>
        <w:t xml:space="preserve">      al monto de condena, sino también a los gastos de la parte  contraria,</w:t>
        <w:br/>
        <w:t xml:space="preserve">      más intereses, por lo cual la suma total que se puede terminar pagando</w:t>
        <w:br/>
        <w:t xml:space="preserve">      puede ser más del doble del monto fijado en concepto de  indemnización</w:t>
        <w:br/>
        <w:t xml:space="preserve">      de daño moral, a lo que hay que incluir el gasto que genera la condena</w:t>
        <w:br/>
        <w:t xml:space="preserve">      a publicar la sentencia. Con base en las  anteriores  consideraciones,</w:t>
        <w:br/>
        <w:t xml:space="preserve">      concluyeron que el artículo 1071 bis del Código Civil  no  cumple  con</w:t>
        <w:br/>
        <w:t xml:space="preserve">      los requisitos mínimos para ser considerado una restricción legítima a</w:t>
        <w:br/>
        <w:t xml:space="preserve">      la libertad de expresión y solicitaron a la Corte que declare  que  el</w:t>
        <w:br/>
        <w:t xml:space="preserve">      Estado incumplió el artículo 2 de la Convención Americana.</w:t>
        <w:br/>
        <w:br/>
        <w:t xml:space="preserve">  82. El Estado sostuvo que, en  el  contexto  de  su  política  pública  de</w:t>
        <w:br/>
        <w:t xml:space="preserve">      reformas legislativas con miras a  adaptar  el  ordenamiento  jurídico</w:t>
        <w:br/>
        <w:t xml:space="preserve">      argentino en materia de libertad de información y de  expresión  a  la</w:t>
        <w:br/>
        <w:t xml:space="preserve">      Convención Americana, tras la reforma del Código Penal realizada  como</w:t>
        <w:br/>
        <w:t xml:space="preserve">      parte del cumplimiento de la Sentencia  del  caso  Kimel,  el  sistema</w:t>
        <w:br/>
        <w:t xml:space="preserve">      jurídico  argentino   resultaría   compatible   con   los   estándares</w:t>
        <w:br/>
        <w:t xml:space="preserve">      internacionales en la materia; “la legislación civil y  penal  vigente</w:t>
        <w:br/>
        <w:t xml:space="preserve">      -con la interpretación que le asigna actualmente la Corte  Suprema  de</w:t>
        <w:br/>
        <w:t xml:space="preserve">      Justicia de la Nación- no resultaría incompatible  con  la  Convención</w:t>
        <w:br/>
        <w:t xml:space="preserve">      Americana”. Argentina recordó que la Convención Americana reconoce los</w:t>
        <w:br/>
        <w:t xml:space="preserve">      derechos a la libertad de  expresión  y  a  la  intimidad,  y  que  el</w:t>
        <w:br/>
        <w:t xml:space="preserve">      ejercicio de cada derecho  fundamental  reconocido  en  la  Convención</w:t>
        <w:br/>
        <w:t xml:space="preserve">      tiene que hacerse con respeto y  salvaguarda  de  los  demás  derechos</w:t>
        <w:br/>
        <w:t xml:space="preserve">      fundamentales. De ahí  que  una  reforma  normativa  diferente  podría</w:t>
        <w:br/>
        <w:t xml:space="preserve">      resultar en una tensión entre la libertad de expresión y el derecho al</w:t>
        <w:br/>
        <w:t xml:space="preserve">      honor  y  a  la  intimidad,  dejando   sin   protección   determinadas</w:t>
        <w:br/>
        <w:t xml:space="preserve">      situaciones. Para solucionar los conflictos entre ambos derechos  debe</w:t>
        <w:br/>
        <w:t xml:space="preserve">      examinarse  caso  por  caso,  conforme   a   sus   características   y</w:t>
        <w:br/>
        <w:t xml:space="preserve">      circunstancias. Allí, entonces adquiere trascendental  importancia  la</w:t>
        <w:br/>
        <w:t xml:space="preserve">      actividad del poder judicial,  que  debe  interpretar  la  legislación</w:t>
        <w:br/>
        <w:t xml:space="preserve">      vigente en cada caso particular para lograr  una  resolución  adecuada</w:t>
        <w:br/>
        <w:t xml:space="preserve">      ante este conflicto de derechos.</w:t>
        <w:br/>
        <w:br/>
        <w:t xml:space="preserve">  83. Adicionalmente, el Estado indicó  que  en  el  caso  de  las  acciones</w:t>
        <w:br/>
        <w:t xml:space="preserve">      civiles, la  jurisprudencia  de  la  Corte  Suprema  ha  receptado  la</w:t>
        <w:br/>
        <w:t xml:space="preserve">      doctrina  de  la  real  malicia  de   modo   constante   y   uniforme,</w:t>
        <w:br/>
        <w:t xml:space="preserve">      estableciendo estándares adecuados que están vigentes en  el  país,  y</w:t>
        <w:br/>
        <w:t xml:space="preserve">      que existe una marcada evolución jurisprudencial con miras a optimizar</w:t>
        <w:br/>
        <w:t xml:space="preserve">      el ordenamiento argentino. Concluyó que la política pública en materia</w:t>
        <w:br/>
        <w:t xml:space="preserve">      de libertad de expresión implementada por el  Estado  ha  adecuado  la</w:t>
        <w:br/>
        <w:t xml:space="preserve">      situación en materia legislativa, institucional  y  jurisprudencial  a</w:t>
        <w:br/>
        <w:t xml:space="preserve">      los estándares internacionales.</w:t>
        <w:br/>
        <w:br/>
        <w:t xml:space="preserve">      B. Consideraciones de la Corte</w:t>
        <w:br/>
        <w:br/>
        <w:br/>
        <w:t xml:space="preserve">  84. La Comisión Interamericana no alegó el incumplimiento del  artículo  2</w:t>
        <w:br/>
        <w:t xml:space="preserve">      de la Convención Americana (supra párr. 76).  Dichos  alegatos  fueron</w:t>
        <w:br/>
        <w:t xml:space="preserve">      sostenidos  solamente  por  los  representantes.  Al  respecto,   este</w:t>
        <w:br/>
        <w:t xml:space="preserve">      Tribunal ha establecido que la presunta víctima, sus familiares o  sus</w:t>
        <w:br/>
        <w:t xml:space="preserve">      representantes pueden invocar derechos distintos de  los  comprendidos</w:t>
        <w:br/>
        <w:t xml:space="preserve">      en el Informe de Fondo de la Comisión, sobre la  base  de  los  hechos</w:t>
        <w:br/>
        <w:t xml:space="preserve">      presentados por ésta[60].</w:t>
        <w:br/>
        <w:br/>
        <w:t xml:space="preserve">  85. La Corte ha interpretado que la adecuación de la normativa  interna  a</w:t>
        <w:br/>
        <w:t xml:space="preserve">      los parámetros establecidos en la Convención implica  la  adopción  de</w:t>
        <w:br/>
        <w:t xml:space="preserve">      medidas en dos vertientes, a saber: a) la supresión de  las  normas  y</w:t>
        <w:br/>
        <w:t xml:space="preserve">      prácticas  de  cualquier  naturaleza  que  entrañen  violación  a  las</w:t>
        <w:br/>
        <w:t xml:space="preserve">      garantías previstas en la Convención o que  desconozcan  los  derechos</w:t>
        <w:br/>
        <w:t xml:space="preserve">      allí reconocidos u obstaculicen su ejercicio, y b)  la  expedición  de</w:t>
        <w:br/>
        <w:t xml:space="preserve">      normas  y  el  desarrollo  de  prácticas  conducentes  a  la  efectiva</w:t>
        <w:br/>
        <w:t xml:space="preserve">      observancia de dichas garantías. La primera vertiente se satisface con</w:t>
        <w:br/>
        <w:t xml:space="preserve">      la reforma, la derogación, o la anulación de las  normas  o  prácticas</w:t>
        <w:br/>
        <w:t xml:space="preserve">      que tengan esos alcances, según corresponda.  La  segunda,  obliga  al</w:t>
        <w:br/>
        <w:t xml:space="preserve">      Estado a prevenir la recurrencia de violaciones a los derechos humanos</w:t>
        <w:br/>
        <w:t xml:space="preserve">      y, por eso, debe adoptar todas las medidas legales, administrativas  y</w:t>
        <w:br/>
        <w:t xml:space="preserve">      de otra índole que sean necesarias para evitar  que  hechos  similares</w:t>
        <w:br/>
        <w:t xml:space="preserve">      vuelvan a ocurrir en el futuro[61].</w:t>
        <w:br/>
        <w:br/>
        <w:t xml:space="preserve">  86. Con anterioridad esta Corte se ha pronunciado sobre las  restricciones</w:t>
        <w:br/>
        <w:t xml:space="preserve">      a la libertad de expresión basadas en la ley penal. Si la  restricción</w:t>
        <w:br/>
        <w:t xml:space="preserve">      proviene de dicho ámbito del derecho es preciso observar los estrictos</w:t>
        <w:br/>
        <w:t xml:space="preserve">      requerimientos característicos de la tipificación  penal  y  debe  ser</w:t>
        <w:br/>
        <w:t xml:space="preserve">      formulada de manera expresa, precisa, taxativa  y  previa[62].  En  el</w:t>
        <w:br/>
        <w:t xml:space="preserve">      presente caso, los representantes han  cuestionado  la  compatibilidad</w:t>
        <w:br/>
        <w:t xml:space="preserve">      del artículo 1071 bis del Código Civil  con  la  Convención  Americana</w:t>
        <w:br/>
        <w:t xml:space="preserve">      (supra párrs. 23 y 77 a 81).</w:t>
        <w:br/>
        <w:br/>
        <w:t xml:space="preserve">  87. Dicho artículo protege la vida privada y la intimidad y establece  las</w:t>
        <w:br/>
        <w:t xml:space="preserve">      medidas que un  juez  puede  ordenar  ante  su  infracción.  La  norma</w:t>
        <w:br/>
        <w:t xml:space="preserve">      cuestionada por los representantes: a) no define qué  debe  entenderse</w:t>
        <w:br/>
        <w:t xml:space="preserve">      por entrometerse arbitrariamente en la vida ajena, más allá de brindar</w:t>
        <w:br/>
        <w:t xml:space="preserve">      ciertos ejemplos; b) señala que la afectación a  la  intimidad,  entre</w:t>
        <w:br/>
        <w:t xml:space="preserve">      otros supuestos, se  puede  producir  “mortificando  a  otros  en  sus</w:t>
        <w:br/>
        <w:t xml:space="preserve">      costumbres  o  sentimientos”  o  “perturbando  de  cualquier  modo  su</w:t>
        <w:br/>
        <w:t xml:space="preserve">      intimidad”,  y  c)  establece,  entre  otras  posibles   medidas,   la</w:t>
        <w:br/>
        <w:t xml:space="preserve">      publicación  de  la  sentencia  y  una   “indemnización   que   fijará</w:t>
        <w:br/>
        <w:t xml:space="preserve">      equitativamente el juez, de acuerdo con las circunstancias”.</w:t>
        <w:br/>
        <w:br/>
        <w:t xml:space="preserve">  88. Particularmente, respecto de la alegada incompatibilidad del  artículo</w:t>
        <w:br/>
        <w:t xml:space="preserve">      1071 bis del Código Civil con la  Convención  Americana,  los  peritos</w:t>
        <w:br/>
        <w:t xml:space="preserve">      Saba[63] y Rivera[64] coincidieron en señalar la vaguedad de la  norma</w:t>
        <w:br/>
        <w:t xml:space="preserve">      y el margen de discrecionalidad que otorga  al  juez.  Adicionalmente,</w:t>
        <w:br/>
        <w:t xml:space="preserve">      entre otros aspectos, ambos peritos se refirieron a la importancia  de</w:t>
        <w:br/>
        <w:t xml:space="preserve">      proteger el derecho a la intimidad  de  manera  tal  que  no  implique</w:t>
        <w:br/>
        <w:t xml:space="preserve">      inhibiciones a la libertad de  expresión  y  a  la  necesidad  de  una</w:t>
        <w:br/>
        <w:t xml:space="preserve">      reforma legislativa en la materia. Además, el perito Saba sostuvo  que</w:t>
        <w:br/>
        <w:t xml:space="preserve">      las medidas civiles  de  responsabilidad  ulterior  pueden  configurar</w:t>
        <w:br/>
        <w:t xml:space="preserve">      censura indirecta y que el efecto inhibidor de las  sanciones  civiles</w:t>
        <w:br/>
        <w:t xml:space="preserve">      puede ser incluso mayor que el de las responsabilidades  penales.  Por</w:t>
        <w:br/>
        <w:t xml:space="preserve">      su parte, el perito Rivera  enfatizó  la  importancia  de  la  reforma</w:t>
        <w:br/>
        <w:t xml:space="preserve">      normativa, la cual cobra mayor relevancia debido a que en  el  sistema</w:t>
        <w:br/>
        <w:t xml:space="preserve">      argentino las decisiones de la Corte Suprema no son  vinculantes  para</w:t>
        <w:br/>
        <w:t xml:space="preserve">      los tribunales inferiores.</w:t>
        <w:br/>
        <w:br/>
        <w:t xml:space="preserve">  89.  La  Corte  recuerda  que  es  la  ley  la  que  debe  establecer  las</w:t>
        <w:br/>
        <w:t xml:space="preserve">      restricciones a la libertad de expresión y solamente para  lograr  los</w:t>
        <w:br/>
        <w:t xml:space="preserve">      fines que la propia Convención señala. La definición  legal  debe  ser</w:t>
        <w:br/>
        <w:t xml:space="preserve">      necesariamente expresa  y  taxativa[65].  No  obstante,  el  grado  de</w:t>
        <w:br/>
        <w:t xml:space="preserve">      precisión requerido a la legislación interna depende considerablemente</w:t>
        <w:br/>
        <w:t xml:space="preserve">      de la materia. La precisión de una norma civil puede ser  diferente  a</w:t>
        <w:br/>
        <w:t xml:space="preserve">      la requerida por el principio de legalidad en materia  penal,  por  la</w:t>
        <w:br/>
        <w:t xml:space="preserve">      naturaleza de los conflictos que la primera está destinada a resolver.</w:t>
        <w:br/>
        <w:t xml:space="preserve">      No puede  exigirse  que  la  norma  civil,  al  contrario  de  lo  que</w:t>
        <w:br/>
        <w:t xml:space="preserve">      usualmente ocurre con las normas penales, prevea con extrema precisión</w:t>
        <w:br/>
        <w:t xml:space="preserve">      los supuestos de hecho que puedan presentarse; ello impediría  que  la</w:t>
        <w:br/>
        <w:t xml:space="preserve">      norma civil resolviera una innumerable cantidad de conflictos  que  la</w:t>
        <w:br/>
        <w:t xml:space="preserve">      realidad ofrece  en  forma  permanente  y  que  resulta  de  imposible</w:t>
        <w:br/>
        <w:t xml:space="preserve">      previsión para el legislador.</w:t>
        <w:br/>
        <w:br/>
        <w:t xml:space="preserve">  90. La Corte considera que la  ley  debe  estar  formulada  con  precisión</w:t>
        <w:br/>
        <w:t xml:space="preserve">      suficiente para permitir a las personas regular su conducta, de manera</w:t>
        <w:br/>
        <w:t xml:space="preserve">      de ser capaces de prever con un grado que sea razonable, de acuerdo  a</w:t>
        <w:br/>
        <w:t xml:space="preserve">      las circunstancias, las consecuencias que una acción determinada puede</w:t>
        <w:br/>
        <w:t xml:space="preserve">      conllevar. Como ha sido señalado, si bien la  certeza  en  la  ley  es</w:t>
        <w:br/>
        <w:t xml:space="preserve">      altamente deseable, ello puede traer una rigidez  excesiva.  Por  otra</w:t>
        <w:br/>
        <w:t xml:space="preserve">      parte, la ley debe ser capaz de mantenerse  vigente  a  pesar  de  las</w:t>
        <w:br/>
        <w:t xml:space="preserve">      circunstancias  cambiantes.  En  consecuencia,  muchas   leyes   están</w:t>
        <w:br/>
        <w:t xml:space="preserve">      formuladas en términos que, en mayor o menor medida, son vagos y  cuya</w:t>
        <w:br/>
        <w:t xml:space="preserve">      interpretación y aplicación son cuestiones de práctica[66].</w:t>
        <w:br/>
        <w:br/>
        <w:t xml:space="preserve">  91. La Corte determinó que la violación del artículo 13 de  la  Convención</w:t>
        <w:br/>
        <w:t xml:space="preserve">      Americana resultó de la decisión de la Corte Suprema que  confirmó  la</w:t>
        <w:br/>
        <w:t xml:space="preserve">      condena civil impuesta por un tribunal  de  alzada.  De  tal  modo  la</w:t>
        <w:br/>
        <w:t xml:space="preserve">      medida de responsabilidad ulterior impuesta resultó innecesaria en una</w:t>
        <w:br/>
        <w:t xml:space="preserve">      sociedad democrática e incompatible con aquel tratado (supra párrs. 54</w:t>
        <w:br/>
        <w:t xml:space="preserve">      a 75). En el presente caso  no  fue  la  norma  en  sí  misma  la  que</w:t>
        <w:br/>
        <w:t xml:space="preserve">      determinó  el  resultado  lesivo  e  incompatible  con  la  Convención</w:t>
        <w:br/>
        <w:t xml:space="preserve">      Americana, sino su aplicación en el caso concreto por las  autoridades</w:t>
        <w:br/>
        <w:t xml:space="preserve">      judiciales del Estado, la cual no observó los criterios  de  necesidad</w:t>
        <w:br/>
        <w:t xml:space="preserve">      mencionados.</w:t>
        <w:br/>
        <w:br/>
        <w:t xml:space="preserve">  92. Si bien los argumentos de los representantes y las consideraciones  de</w:t>
        <w:br/>
        <w:t xml:space="preserve">      los  peritos  sobre  la  eventualidad  que,  con  base  a   la   norma</w:t>
        <w:br/>
        <w:t xml:space="preserve">      cuestionada, se arriben a decisiones contrarias al derecho a la  libre</w:t>
        <w:br/>
        <w:t xml:space="preserve">      expresión resultan atendibles, la Corte  considera  que,  en  general,</w:t>
        <w:br/>
        <w:t xml:space="preserve">      aquella disposición, en  grado  suficiente,  permite  a  las  personas</w:t>
        <w:br/>
        <w:t xml:space="preserve">      regular sus conductas y prever razonablemente las consecuencias de  su</w:t>
        <w:br/>
        <w:t xml:space="preserve">      infracción. De tal modo  que  su  aplicación  resulte  conforme  a  la</w:t>
        <w:br/>
        <w:t xml:space="preserve">      Convención  dependerá  de  su  interpretación  judicial  en  el   caso</w:t>
        <w:br/>
        <w:t xml:space="preserve">      concreto.</w:t>
        <w:br/>
        <w:br/>
        <w:t xml:space="preserve">  93. Este Tribunal ha establecido en su jurisprudencia  que  es  consciente</w:t>
        <w:br/>
        <w:t xml:space="preserve">      que las autoridades internas están sujetas al imperio de la ley y, por</w:t>
        <w:br/>
        <w:t xml:space="preserve">      ello, están obligadas a  aplicar  las  disposiciones  vigentes  en  el</w:t>
        <w:br/>
        <w:t xml:space="preserve">      ordenamiento jurídico. Pero cuando un Estado es parte  de  un  tratado</w:t>
        <w:br/>
        <w:t xml:space="preserve">      internacional como la Convención Americana,  dicho  tratado  obliga  a</w:t>
        <w:br/>
        <w:t xml:space="preserve">      todos sus órganos, incluidos sus jueces, quienes deben velar  por  que</w:t>
        <w:br/>
        <w:t xml:space="preserve">      los efectos de las disposiciones de la Convención no se vean  mermados</w:t>
        <w:br/>
        <w:t xml:space="preserve">      por la aplicación de normas o interpretaciones contrarias a su  objeto</w:t>
        <w:br/>
        <w:t xml:space="preserve">      y fin. Los jueces y órganos vinculados a la administración de justicia</w:t>
        <w:br/>
        <w:t xml:space="preserve">      en todos los niveles están en la obligación de ejercer ex  officio  un</w:t>
        <w:br/>
        <w:t xml:space="preserve">      “control  de  convencionalidad”  entre  las  normas  internas   y   la</w:t>
        <w:br/>
        <w:t xml:space="preserve">      Convención Americana, evidentemente en el  marco  de  sus  respectivas</w:t>
        <w:br/>
        <w:t xml:space="preserve">      competencias y de las  regulaciones  procesales  correspondientes.  En</w:t>
        <w:br/>
        <w:t xml:space="preserve">      esta tarea, los jueces y órganos vinculados  a  la  administración  de</w:t>
        <w:br/>
        <w:t xml:space="preserve">      justicia deben tener en cuenta no solamente el tratado,  sino  también</w:t>
        <w:br/>
        <w:t xml:space="preserve">      la interpretación que del mismo ha hecho la Corte Interamericana[67].</w:t>
        <w:br/>
        <w:br/>
        <w:t xml:space="preserve">  94. Al respecto, la Corte  destaca  la  importancia  de  que  los  órganos</w:t>
        <w:br/>
        <w:t xml:space="preserve">      judiciales argentinos aseguren que los procedimientos internos en  los</w:t>
        <w:br/>
        <w:t xml:space="preserve">      cuales se debate el ejercicio del derecho a la libertad de  expresión,</w:t>
        <w:br/>
        <w:t xml:space="preserve">      cumplan con el  propósito  y  fin  así  como  las  demás  obligaciones</w:t>
        <w:br/>
        <w:t xml:space="preserve">      derivadas de la Convención Americana. De tal modo, es preciso  que  en</w:t>
        <w:br/>
        <w:t xml:space="preserve">      el análisis de casos como el  presente  tengan  en  cuenta  el  umbral</w:t>
        <w:br/>
        <w:t xml:space="preserve">      diferenciado de protección al derecho a la vida  privada  consecuencia</w:t>
        <w:br/>
        <w:t xml:space="preserve">      de la condición de  funcionario  público,  la  existencia  de  interés</w:t>
        <w:br/>
        <w:t xml:space="preserve">      público de la información y la eventualidad  que  las  indemnizaciones</w:t>
        <w:br/>
        <w:t xml:space="preserve">      civiles no impliquen una inhibición o autocensura de  quienes  ejercen</w:t>
        <w:br/>
        <w:t xml:space="preserve">      el  derecho  a  la  libre  expresión  y  de  la  ciudadanía,  lo  cual</w:t>
        <w:br/>
        <w:t xml:space="preserve">      restringiría  ilegítimamente  el  debate  público   y   limitaría   el</w:t>
        <w:br/>
        <w:t xml:space="preserve">      pluralismo informativo, necesario en toda sociedad democrática.</w:t>
        <w:br/>
        <w:br/>
        <w:t xml:space="preserve">  95. Por otra parte, el Tribunal toma  nota  de  los  cambios  que  se  han</w:t>
        <w:br/>
        <w:t xml:space="preserve">      producido a nivel interno en materia de libertad de  expresión,  tales</w:t>
        <w:br/>
        <w:t xml:space="preserve">      como la reforma legislativa derivada del caso Kimel, que  modificó  el</w:t>
        <w:br/>
        <w:t xml:space="preserve">      código penal argentino eliminando la posibilidad que las expresiones u</w:t>
        <w:br/>
        <w:t xml:space="preserve">      opiniones relacionadas  con  asuntos  de  interés  público  configuren</w:t>
        <w:br/>
        <w:t xml:space="preserve">      supuestos de calumnia o injuria,  la  sanción  de  la  Ley  26.522  de</w:t>
        <w:br/>
        <w:t xml:space="preserve">      Servicios  de  Comunicación  Audiovisual,   así   como   los   cambios</w:t>
        <w:br/>
        <w:t xml:space="preserve">      institucionales y jurisprudenciales ocurridos en la Corte  Suprema  en</w:t>
        <w:br/>
        <w:t xml:space="preserve">      materia de libertad de expresión.</w:t>
        <w:br/>
        <w:br/>
        <w:t xml:space="preserve">                                      *</w:t>
        <w:br/>
        <w:br/>
        <w:t xml:space="preserve">  96. Con base en las consideraciones anteriores, el Tribunal  concluye  que</w:t>
        <w:br/>
        <w:t xml:space="preserve">      el Estado no incumplió la obligación general de adoptar  disposiciones</w:t>
        <w:br/>
        <w:t xml:space="preserve">      de derecho interno establecida en  el  artículo  2  de  la  Convención</w:t>
        <w:br/>
        <w:t xml:space="preserve">      Americana, en relación con el derecho  a  la  libertad  de  expresión,</w:t>
        <w:br/>
        <w:t xml:space="preserve">      respecto de la legislación civil.</w:t>
        <w:br/>
        <w:br/>
        <w:br/>
        <w:t xml:space="preserve">                                     VII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 xml:space="preserve">  97. Sobre la base de lo dispuesto en el artículo  63.1  de  la  Convención</w:t>
        <w:br/>
        <w:t xml:space="preserve">      Americana[68],  la  Corte  ha  indicado  que  toda  violación  de  una</w:t>
        <w:br/>
        <w:t xml:space="preserve">      obligación internacional que haya producido un daño comporta el  deber</w:t>
        <w:br/>
        <w:t xml:space="preserve">      de repararlo adecuadamente[69] y que esa disposición recoge una  norma</w:t>
        <w:br/>
        <w:t xml:space="preserve">      consuetudinaria que constituye uno de los principios fundamentales del</w:t>
        <w:br/>
        <w:t xml:space="preserve">      derecho  internacional  contemporáneo  sobre  responsabilidad  de   un</w:t>
        <w:br/>
        <w:t xml:space="preserve">      Estado[70].</w:t>
        <w:br/>
        <w:br/>
        <w:t xml:space="preserve">  98. La reparación del daño ocasionado por la infracción de una  obligación</w:t>
        <w:br/>
        <w:t xml:space="preserve">      internacional requiere, siempre que sea posible, la plena  restitución</w:t>
        <w:br/>
        <w:t xml:space="preserve">      (restitutio in integrum), que consiste en el  restablecimiento  de  la</w:t>
        <w:br/>
        <w:t xml:space="preserve">      situación anterior.  De no  ser  esto  factible,  como  ocurre  en  la</w:t>
        <w:br/>
        <w:t xml:space="preserve">      mayoría de los casos de violaciones a derechos  humanos,  el  Tribunal</w:t>
        <w:br/>
        <w:t xml:space="preserve">      determinará medidas para garantizar los derechos conculcados,  reparar</w:t>
        <w:br/>
        <w:t xml:space="preserve">      las consecuencias que las infracciones  produjeron  y  establecer  una</w:t>
        <w:br/>
        <w:t xml:space="preserve">      indemnización que compense los daños ocasionados[71].</w:t>
        <w:br/>
        <w:br/>
        <w:t xml:space="preserve">  99. Este Tribunal ha establecido que las reparaciones deben tener un  nexo</w:t>
        <w:br/>
        <w:t xml:space="preserve">      causal con los hechos del caso, las violaciones declaradas, los  daños</w:t>
        <w:br/>
        <w:t xml:space="preserve">      acreditados, así como con las medidas  solicitadas  para  reparar  los</w:t>
        <w:br/>
        <w:t xml:space="preserve">      daños respectivos. Por  lo  tanto,  la  Corte  deberá  observar  dicha</w:t>
        <w:br/>
        <w:t xml:space="preserve">      concurrencia para pronunciarse debidamente y conforme a derecho[72].</w:t>
        <w:br/>
        <w:br/>
        <w:t xml:space="preserve"> 100. La Corte procederá a analizar las pretensiones de la Comisión y de los</w:t>
        <w:br/>
        <w:t xml:space="preserve">      representantes, así como los argumentos del Estado, con el  objeto  de</w:t>
        <w:br/>
        <w:t xml:space="preserve">      disponer las medidas dirigidas a reparar los daños ocasionados  a  las</w:t>
        <w:br/>
        <w:t xml:space="preserve">      víctimas, sin perjuicio de las  reparaciones  que  pueda  disponer  el</w:t>
        <w:br/>
        <w:t xml:space="preserve">      derecho interno al  respecto.  En  relación  con  los  argumentos  del</w:t>
        <w:br/>
        <w:t xml:space="preserve">      Estado, el Tribunal observa que Argentina se pronunció específicamente</w:t>
        <w:br/>
        <w:t xml:space="preserve">      sobre la solicitud de los representantes de  adecuar  el  ordenamiento</w:t>
        <w:br/>
        <w:t xml:space="preserve">      jurídico interno (infra párr. 112). Respecto de las demás  medidas  de</w:t>
        <w:br/>
        <w:t xml:space="preserve">      reparación, el Estado expresó que “se someterá a  lo  que  [la]  Corte</w:t>
        <w:br/>
        <w:t xml:space="preserve">      decida”.</w:t>
        <w:br/>
        <w:br/>
        <w:t xml:space="preserve">      A. Parte Lesionada</w:t>
        <w:br/>
        <w:br/>
        <w:t xml:space="preserve"> 101. El Tribunal reitera que se considera parte lesionada, en los  términos</w:t>
        <w:br/>
        <w:t xml:space="preserve">      del artículo  63.1  de  la  Convención  Americana,  a  quien  ha  sido</w:t>
        <w:br/>
        <w:t xml:space="preserve">      declarado víctima de la violación de algún derecho  consagrado  en  la</w:t>
        <w:br/>
        <w:t xml:space="preserve">      misma[73]. Las partes lesionadas en el presente caso son  los  señores</w:t>
        <w:br/>
        <w:t xml:space="preserve">      Jorge Fontevecchia y Héctor D´Amico, en su carácter de víctimas de  la</w:t>
        <w:br/>
        <w:t xml:space="preserve">      violación a su derecho a la libertad de  pensamiento  y  de  expresión</w:t>
        <w:br/>
        <w:t xml:space="preserve">      (supra párr. 75). En atención  a  ello,  serán  beneficiarios  de  las</w:t>
        <w:br/>
        <w:t xml:space="preserve">      reparaciones que el Tribunal disponga en el presente apartado.</w:t>
        <w:br/>
        <w:br/>
        <w:t xml:space="preserve">      B. Medidas de restitución, satisfacción y garantías de no repetición</w:t>
        <w:br/>
        <w:br/>
        <w:br/>
        <w:t xml:space="preserve"> 102. La jurisprudencia internacional  y  en  particular  de  la  Corte,  ha</w:t>
        <w:br/>
        <w:t xml:space="preserve">      establecido reiteradamente que la  sentencia  constituye  per  se  una</w:t>
        <w:br/>
        <w:t xml:space="preserve">      forma de reparación[74]. No obstante, considerando las  circunstancias</w:t>
        <w:br/>
        <w:t xml:space="preserve">      del presente caso y las afectaciones a las víctimas  derivadas  de  la</w:t>
        <w:br/>
        <w:t xml:space="preserve">      violación del artículo 13 de la Convención Americana declarada  en  su</w:t>
        <w:br/>
        <w:t xml:space="preserve">      perjuicio,  la  Corte  estima  pertinente  determinar  las  siguientes</w:t>
        <w:br/>
        <w:t xml:space="preserve">      medidas de reparación.</w:t>
        <w:br/>
        <w:br/>
        <w:br/>
        <w:t xml:space="preserve">      1. Medida de restitución</w:t>
        <w:br/>
        <w:br/>
        <w:br/>
        <w:t xml:space="preserve">      1.1. Dejar sin efecto la sentencia civil</w:t>
        <w:br/>
        <w:br/>
        <w:t xml:space="preserve"> 103. La Comisión solicitó a la Corte que ordene al Estado dejar sin  efecto</w:t>
        <w:br/>
        <w:t xml:space="preserve">      la condena civil impuesta a los señores Fontevecchia y D’Amico y todas</w:t>
        <w:br/>
        <w:t xml:space="preserve">      las consecuencias que de ellas se deriven, incluyendo el reintegro  de</w:t>
        <w:br/>
        <w:t xml:space="preserve">      las cantidades pagadas en la ejecución de la misma.</w:t>
        <w:br/>
        <w:br/>
        <w:t xml:space="preserve"> 104. Inicialmente los representantes solicitaron al Tribunal que se  ordene</w:t>
        <w:br/>
        <w:t xml:space="preserve">      al Estado   adoptar  las  medidas  necesarias  para  que  el  juez  de</w:t>
        <w:br/>
        <w:t xml:space="preserve">      ejecución adjunte al  expediente  judicial  la  presente  Sentencia  y</w:t>
        <w:br/>
        <w:t xml:space="preserve">      establezca que la condena dictada fue declarada incompatible  con  los</w:t>
        <w:br/>
        <w:t xml:space="preserve">      tratados internacionales de derechos humanos. En sus alegatos finales,</w:t>
        <w:br/>
        <w:t xml:space="preserve">      los representantes reformularon ese pedido solicitando al Tribunal que</w:t>
        <w:br/>
        <w:t xml:space="preserve">      condene al Estado  a  adoptar  las  medidas  necesarias  para  que  la</w:t>
        <w:br/>
        <w:t xml:space="preserve">      sentencia dictada por el poder judicial argentino en el presente  caso</w:t>
        <w:br/>
        <w:t xml:space="preserve">      pierda fuerza vinculante interna y toda aptitud  para  ser  fuente  de</w:t>
        <w:br/>
        <w:t xml:space="preserve">      consecuencias   legales   de   cualquier   tipo.    Finalmente,    los</w:t>
        <w:br/>
        <w:t xml:space="preserve">      representantes informaron que, si  bien  podían  intentar  un  planteo</w:t>
        <w:br/>
        <w:t xml:space="preserve">      judicial para el cumplimiento de esta medida, no existe  una  ley  que</w:t>
        <w:br/>
        <w:t xml:space="preserve">      establezca los procedimientos que deben llevarse a cabo  para  cumplir</w:t>
        <w:br/>
        <w:t xml:space="preserve">      con las decisiones de organismos internacionales de derechos  humanos,</w:t>
        <w:br/>
        <w:t xml:space="preserve">      ni se ha generado aún jurisprudencia clara al respecto.</w:t>
        <w:br/>
        <w:br/>
        <w:t xml:space="preserve"> 105. Esta Corte ha determinado que la sentencia emitida el 25 de septiembre</w:t>
        <w:br/>
        <w:t xml:space="preserve">      de 2001 por la Corte Suprema de Justicia de la Nación que confirmó  la</w:t>
        <w:br/>
        <w:t xml:space="preserve">      condena impuesta por un tribunal de alzada,  violó  el  derecho  a  la</w:t>
        <w:br/>
        <w:t xml:space="preserve">      libertad de expresión de  los  señores  Jorge  Fontevecchia  y  Héctor</w:t>
        <w:br/>
        <w:t xml:space="preserve">      D´Amico (supra párrs. 54 a 75). Por lo tanto, el Tribunal dispone,  de</w:t>
        <w:br/>
        <w:t xml:space="preserve">      conformidad con su jurisprudencia[75], que el Estado  debe  dejar  sin</w:t>
        <w:br/>
        <w:t xml:space="preserve">      efecto dichas sentencias en todos  sus  extremos,  incluyendo,  en  su</w:t>
        <w:br/>
        <w:t xml:space="preserve">      caso, los alcances que estas tengan respecto de terceros; a saber:  a)</w:t>
        <w:br/>
        <w:t xml:space="preserve">      la  atribución  de  responsabilidad  civil  de   los   señores   Jorge</w:t>
        <w:br/>
        <w:t xml:space="preserve">      Fontevecchia  y  Héctor  D’Amico;  b)  la  condena  al  pago  de   una</w:t>
        <w:br/>
        <w:t xml:space="preserve">      indemnización, de intereses y costas y de la tasa de  justicia;  tales</w:t>
        <w:br/>
        <w:t xml:space="preserve">      montos deberán ser reintegrados con los  intereses  y  actualizaciones</w:t>
        <w:br/>
        <w:t xml:space="preserve">      que correspondan  de  acuerdo  al  derecho  interno,  y  c)  así  como</w:t>
        <w:br/>
        <w:t xml:space="preserve">      cualquier otro efecto que tengan o hayan tenido aquellas decisiones. A</w:t>
        <w:br/>
        <w:t xml:space="preserve">      efectos de cumplir la presente  reparación,  el  Estado  debe  adoptar</w:t>
        <w:br/>
        <w:t xml:space="preserve">      todas las medidas judiciales,  administrativas  y  de  cualquier  otra</w:t>
        <w:br/>
        <w:t xml:space="preserve">      índole que sean necesarias, y cuenta para ello con el plazo de un  año</w:t>
        <w:br/>
        <w:t xml:space="preserve">      a partir de la notificación de la presente Sentencia.</w:t>
        <w:br/>
        <w:br/>
        <w:t xml:space="preserve">      2. Medida de satisfacción</w:t>
        <w:br/>
        <w:br/>
        <w:br/>
        <w:t xml:space="preserve">      2.1 Publicación y divulgación de la presente Sentencia</w:t>
        <w:br/>
        <w:br/>
        <w:t xml:space="preserve"> 106. La Comisión Interamericana solicitó a la Corte que  ordene  al  Estado</w:t>
        <w:br/>
        <w:t xml:space="preserve">      que divulgue el Informe de Fondo No. 82/10 en el poder judicial.</w:t>
        <w:br/>
        <w:br/>
        <w:t xml:space="preserve"> 107. Los representantes solicitaron al Tribunal que ordene  la  publicación</w:t>
        <w:br/>
        <w:t xml:space="preserve">      de la presente Sentencia en un  diario  de  alcance  nacional,  en  el</w:t>
        <w:br/>
        <w:t xml:space="preserve">      Boletín Oficial, en el sitio web del Centro de Información Judicial de</w:t>
        <w:br/>
        <w:t xml:space="preserve">      la Corte Suprema de Justicia de la Nación de manera visible y,  en  lo</w:t>
        <w:br/>
        <w:t xml:space="preserve">      posible, permanente, así como en los boletines de  jurisprudencia  que</w:t>
        <w:br/>
        <w:t xml:space="preserve">      se distribuyen en el poder judicial.</w:t>
        <w:br/>
        <w:br/>
        <w:t xml:space="preserve"> 108. La Corte estima, como lo ha  dispuesto  en  otros  casos[76],  que  el</w:t>
        <w:br/>
        <w:t xml:space="preserve">      Estado deberá publicar, en el plazo de seis meses, contado a partir de</w:t>
        <w:br/>
        <w:t xml:space="preserve">      la notificación de la presente Sentencia:</w:t>
        <w:br/>
        <w:br/>
        <w:t xml:space="preserve">   a) el resumen oficial de la presente Sentencia elaborado  por  la  Corte,</w:t>
        <w:br/>
        <w:t xml:space="preserve">      por una sola vez, en el Diario Oficial;</w:t>
        <w:br/>
        <w:t xml:space="preserve">   b) el resumen oficial de la presente Sentencia elaborado  por  la  Corte,</w:t>
        <w:br/>
        <w:t xml:space="preserve">      por una sola vez, en un diario de amplia circulación nacional, y</w:t>
        <w:br/>
        <w:t xml:space="preserve">   c) la presente Sentencia en su integridad, disponible por un  período  de</w:t>
        <w:br/>
        <w:t xml:space="preserve">      un año, en la página del Centro de Información Judicial  de  la  Corte</w:t>
        <w:br/>
        <w:t xml:space="preserve">      Suprema de Justicia de la Nación.</w:t>
        <w:br/>
        <w:br/>
        <w:t xml:space="preserve">      3. Otras medidas de reparación solicitadas</w:t>
        <w:br/>
        <w:br/>
        <w:br/>
        <w:t xml:space="preserve">      3.1. Pedido público de disculpa y  reconocimiento  de  responsabilidad</w:t>
        <w:br/>
        <w:t xml:space="preserve">      internacional</w:t>
        <w:br/>
        <w:br/>
        <w:t xml:space="preserve"> 109. Los representantes  solicitaron  a  la  Corte  que  ordene  al  Estado</w:t>
        <w:br/>
        <w:t xml:space="preserve">      reconocer públicamente su responsabilidad internacional por los hechos</w:t>
        <w:br/>
        <w:t xml:space="preserve">      en perjuicio de las víctimas y otorgue una disculpa  pública  por  las</w:t>
        <w:br/>
        <w:t xml:space="preserve">      violaciones a los derechos humanos  incurridas.  Con  esta  medida  se</w:t>
        <w:br/>
        <w:t xml:space="preserve">      pretende restablecer la dignidad y el respeto de las  víctimas  frente</w:t>
        <w:br/>
        <w:t xml:space="preserve">      al agravio de haber sido injustamente  condenados  y  sometidos  a  un</w:t>
        <w:br/>
        <w:t xml:space="preserve">      proceso nacional e internacional que se prolongó  aproximadamente  por</w:t>
        <w:br/>
        <w:t xml:space="preserve">      catorce años.</w:t>
        <w:br/>
        <w:br/>
        <w:t xml:space="preserve"> 110. La Corte Interamericana  considera  que  la  emisión  de  la  presente</w:t>
        <w:br/>
        <w:t xml:space="preserve">      Sentencia, la medida de dejar sin efecto las  sentencias  internas  en</w:t>
        <w:br/>
        <w:t xml:space="preserve">      todos sus extremos, así como la difusión de  este  Fallo  en  diversos</w:t>
        <w:br/>
        <w:t xml:space="preserve">      medios, tanto en uno privado de amplia circulación social, como en dos</w:t>
        <w:br/>
        <w:t xml:space="preserve">      oficiales, resultan medidas de reparación suficientes y adecuadas para</w:t>
        <w:br/>
        <w:t xml:space="preserve">      remediar las violaciones ocasionadas a las víctimas y cumplir  con  la</w:t>
        <w:br/>
        <w:t xml:space="preserve">      finalidad indicada por los representantes.</w:t>
        <w:br/>
        <w:br/>
        <w:t xml:space="preserve">      3.2. Adecuación del ordenamiento jurídico interno</w:t>
        <w:br/>
        <w:br/>
        <w:br/>
        <w:t xml:space="preserve"> 111. Los representantes solicitaron a la Corte,  para  que  no  se  repitan</w:t>
        <w:br/>
        <w:t xml:space="preserve">      hechos como los del  presente  caso,  que  ordene  al  Estado  adoptar</w:t>
        <w:br/>
        <w:t xml:space="preserve">      aquellas medidas necesarias para adecuar el sistema normativo  interno</w:t>
        <w:br/>
        <w:t xml:space="preserve">      a los estándares establecidos por el derecho internacional en  materia</w:t>
        <w:br/>
        <w:t xml:space="preserve">      de  libertad  de  expresión.  Asimismo,  señalaron  que  las   mejoras</w:t>
        <w:br/>
        <w:t xml:space="preserve">      informadas por el Estado no revierten las  vulneraciones  alegadas  ni</w:t>
        <w:br/>
        <w:t xml:space="preserve">      demuestran que no puedan repetirse hechos  similares.  Recordando  los</w:t>
        <w:br/>
        <w:t xml:space="preserve">      principales problemas que a su criterio presenta la legislación  civil</w:t>
        <w:br/>
        <w:t xml:space="preserve">      argentina en este aspecto (supra párrs. 77 a  81)  los  representantes</w:t>
        <w:br/>
        <w:t xml:space="preserve">      solicitaron a la Corte que  declare  incompatible  con  la  Convención</w:t>
        <w:br/>
        <w:t xml:space="preserve">      Americana las normas que establecen:  a)  la  protección  de  la  vida</w:t>
        <w:br/>
        <w:t xml:space="preserve">      privada de las personas (artículo 1071 bis del Código  Civil);  b)  la</w:t>
        <w:br/>
        <w:t xml:space="preserve">      protección del daño moral (artículo 1078 del Código Civil), y  c)  los</w:t>
        <w:br/>
        <w:t xml:space="preserve">      parámetros a  los  fines  de  asignar  las  compensaciones  por  daños</w:t>
        <w:br/>
        <w:t xml:space="preserve">      (principalmente regulados en los artículos  1068  y  1069  del  Código</w:t>
        <w:br/>
        <w:t xml:space="preserve">      Civil). Sin perjuicio de lo anterior, afirmaron que no consideran  que</w:t>
        <w:br/>
        <w:t xml:space="preserve">      cada una de las normas antes mencionadas sean en sí mismas  contrarias</w:t>
        <w:br/>
        <w:t xml:space="preserve">      a la Convención, sino que, tomadas en conjunto, y ante la ausencia  de</w:t>
        <w:br/>
        <w:t xml:space="preserve">      otras normas que limiten  el  margen  de  discrecionalidad  que  queda</w:t>
        <w:br/>
        <w:t xml:space="preserve">      librado  al  juez  en  cada  caso,  no  cumplen  con  los   estándares</w:t>
        <w:br/>
        <w:t xml:space="preserve">      internacionales relevantes.</w:t>
        <w:br/>
        <w:br/>
        <w:br/>
        <w:t xml:space="preserve"> 112. El Estado manifestó que, como resultado de las reformas  legislativas,</w:t>
        <w:br/>
        <w:t xml:space="preserve">      institucionales y jurisprudenciales que tuvieron lugar en Argentina en</w:t>
        <w:br/>
        <w:t xml:space="preserve">      materia de libertad de expresión, “bien puede considerarse que hoy  en</w:t>
        <w:br/>
        <w:t xml:space="preserve">      día el régimen jurídico de la responsabilidad  civil  en  relación  al</w:t>
        <w:br/>
        <w:t xml:space="preserve">      derecho a la libertad de  expresión  se  encuentra  regulado  de  modo</w:t>
        <w:br/>
        <w:t xml:space="preserve">      compatible  con  los  estándares  internacionales  aplicables   a   la</w:t>
        <w:br/>
        <w:t xml:space="preserve">      materia”. Afirmó que el sistema jurídico argentino es mixto, de manera</w:t>
        <w:br/>
        <w:t xml:space="preserve">      que no agota todas sus herramientas jurídicas en el articulado de  los</w:t>
        <w:br/>
        <w:t xml:space="preserve">      códigos para definir y  regular  derechos.  Añadió  que  es  necesario</w:t>
        <w:br/>
        <w:t xml:space="preserve">      contar con un sistema flexible que  pueda  tomar  en  cuenta  factores</w:t>
        <w:br/>
        <w:t xml:space="preserve">      diversos y cambiantes al  momento  de  resolver  una  controversia  de</w:t>
        <w:br/>
        <w:t xml:space="preserve">      derechos. Finalmente, el Estado destacó que la Comisión, en su Informe</w:t>
        <w:br/>
        <w:t xml:space="preserve">      de Fondo del presente caso, no indicó  la  necesidad  de  una  reforma</w:t>
        <w:br/>
        <w:t xml:space="preserve">      legislativa.</w:t>
        <w:br/>
        <w:br/>
        <w:t xml:space="preserve"> 113. La Corte concluyó que la condena civil contra los señores Fontevecchia</w:t>
        <w:br/>
        <w:t xml:space="preserve">      y D´Amico constituyó  un  hecho  violatorio  del  artículo  13  de  la</w:t>
        <w:br/>
        <w:t xml:space="preserve">      Convención Americana (supra párr. 75) pero no declaró la violación del</w:t>
        <w:br/>
        <w:t xml:space="preserve">      artículo 2 de dicho tratado respecto de la  legislación  civil  (supra</w:t>
        <w:br/>
        <w:t xml:space="preserve">      párr. 96). En consecuencia, el Tribunal considera que  no  corresponde</w:t>
        <w:br/>
        <w:t xml:space="preserve">      ordenar esta medida de reparación solicitada por los representantes  y</w:t>
        <w:br/>
        <w:t xml:space="preserve">      estima suficiente lo indicado sobre  el  control  de  convencionalidad</w:t>
        <w:br/>
        <w:t xml:space="preserve">      mencionado anteriormente (supra párrs. 93 y 94).</w:t>
        <w:br/>
        <w:br/>
        <w:t xml:space="preserve">      C. Indemnización compensatoria</w:t>
        <w:br/>
        <w:br/>
        <w:t xml:space="preserve">      1. Daño material</w:t>
        <w:br/>
        <w:br/>
        <w:t xml:space="preserve"> 114. La Corte ha desarrollado en su  jurisprudencia  el  concepto  de  daño</w:t>
        <w:br/>
        <w:t xml:space="preserve">      material y los supuestos en que corresponde indemnizarlo. Al respecto,</w:t>
        <w:br/>
        <w:t xml:space="preserve">      ha establecido que el daño material supone la pérdida o detrimento  de</w:t>
        <w:br/>
        <w:t xml:space="preserve">      los ingresos de las víctimas, los gastos efectuados con motivo de  los</w:t>
        <w:br/>
        <w:t xml:space="preserve">      hechos y las consecuencias de carácter pecuniario que tengan  un  nexo</w:t>
        <w:br/>
        <w:t xml:space="preserve">      causal  con  los  hechos  del  caso[77].  En  el  presente  caso,  los</w:t>
        <w:br/>
        <w:t xml:space="preserve">      representantes solicitaron en concepto de daño material el pago de los</w:t>
        <w:br/>
        <w:t xml:space="preserve">      gastos incurridos en el trámite del proceso  judicial  interno  y  del</w:t>
        <w:br/>
        <w:t xml:space="preserve">      lucro cesante.</w:t>
        <w:br/>
        <w:br/>
        <w:t xml:space="preserve">      1.1. Gastos incurridos en el proceso judicial interno</w:t>
        <w:br/>
        <w:br/>
        <w:t xml:space="preserve"> 115. La Comisión consideró  que  el  Estado  debe  otorgar  una  reparación</w:t>
        <w:br/>
        <w:t xml:space="preserve">      integral a las presuntas víctimas incluyendo el aspecto material.</w:t>
        <w:br/>
        <w:br/>
        <w:t xml:space="preserve"> 116. Los representantes indicaron que, en  partes  diferentes  y  en  modos</w:t>
        <w:br/>
        <w:t xml:space="preserve">      disímiles, las víctimas del presente caso debieron abonar en virtud de</w:t>
        <w:br/>
        <w:t xml:space="preserve">      “una sentencia absolutamente ilegítima y  violatoria  del  derecho  la</w:t>
        <w:br/>
        <w:t xml:space="preserve">      libertad de expresión el  monto  total  de  $  244.323,25  (doscientos</w:t>
        <w:br/>
        <w:t xml:space="preserve">      cuarenta y cuatro mil  trescientos  veintitrés  pesos  argentinos  con</w:t>
        <w:br/>
        <w:t xml:space="preserve">      veinticinco centavos)”. Este monto “suma  la  condena  original  de  $</w:t>
        <w:br/>
        <w:t xml:space="preserve">      60.000,00 [sesenta mil pesos], los montos ejecutados  en  concepto  de</w:t>
        <w:br/>
        <w:t xml:space="preserve">      intereses y costas [por la suma de] $  138.574,75  [ciento  treinta  y</w:t>
        <w:br/>
        <w:t xml:space="preserve">      ocho mil quinientos  setenta  y  cuatro  pesos  con  setenta  y  cinco</w:t>
        <w:br/>
        <w:t xml:space="preserve">      centavos] y el reintegro de la tasa de justicia [por la cantidad de] $</w:t>
        <w:br/>
        <w:t xml:space="preserve">      105.808,50 [ciento cinco mil  ochocientos  ocho  pesos  con  cincuenta</w:t>
        <w:br/>
        <w:t xml:space="preserve">      centavos]”. Esta reparación debe  considerar  el  monto  efectivamente</w:t>
        <w:br/>
        <w:t xml:space="preserve">      abonado, desde cada pago, expresado en  valores  históricos,  más  los</w:t>
        <w:br/>
        <w:t xml:space="preserve">      intereses hasta la fecha  de  su  cancelación,  y  debe  incluirse  un</w:t>
        <w:br/>
        <w:t xml:space="preserve">      sistema de actualización inflacionaria o  intereses  compensatorios  a</w:t>
        <w:br/>
        <w:t xml:space="preserve">      modo de mantener el valor de la acreencia.</w:t>
        <w:br/>
        <w:br/>
        <w:t xml:space="preserve"> 117. Tal como se ha expresado en esta Sentencia, la Corte ha ordenado dejar</w:t>
        <w:br/>
        <w:t xml:space="preserve">      sin efecto las decisiones que violaron el derecho  a  la  libertad  de</w:t>
        <w:br/>
        <w:t xml:space="preserve">      expresión de los señores Fontevecchia y D´Amico en todos sus extremos,</w:t>
        <w:br/>
        <w:t xml:space="preserve">      lo cual incluye el reintegro de las sumas  efectivamente  pagadas  por</w:t>
        <w:br/>
        <w:t xml:space="preserve">      cada una de las víctimas o, en su caso, por Editorial Perfil, con  los</w:t>
        <w:br/>
        <w:t xml:space="preserve">      intereses y actualizaciones que correspondan  de  acuerdo  al  derecho</w:t>
        <w:br/>
        <w:t xml:space="preserve">      interno (supra párr. 105).</w:t>
        <w:br/>
        <w:br/>
        <w:t xml:space="preserve">      1.2. Pérdida de ingresos</w:t>
        <w:br/>
        <w:br/>
        <w:t xml:space="preserve"> 118. Los  representantes  solicitaron  la  reparación  del  lucro  cesante,</w:t>
        <w:br/>
        <w:t xml:space="preserve">      especificando que en el caso del  señor  Fontevecchia  la  pérdida  de</w:t>
        <w:br/>
        <w:t xml:space="preserve">      ingresos económicos se produjo por dos razones: a)  sus  posibilidades</w:t>
        <w:br/>
        <w:t xml:space="preserve">      de desarrollo se  vieron  mermadas  porque  la  condena  disminuyó  su</w:t>
        <w:br/>
        <w:t xml:space="preserve">      capacidad para iniciar nuevos emprendimientos económicos, dado que  es</w:t>
        <w:br/>
        <w:t xml:space="preserve">      un reconocido empresario del mundo  editorial-periodístico,  y  b)  al</w:t>
        <w:br/>
        <w:t xml:space="preserve">      ponerse en juego su reputación profesional, también se vio  disminuida</w:t>
        <w:br/>
        <w:t xml:space="preserve">      la posibilidad de conseguir nuevos trabajos. Según  indicaron,  en  el</w:t>
        <w:br/>
        <w:t xml:space="preserve">      caso  del  señor  D´Amico,  la  afectación   se   relacionó   con   su</w:t>
        <w:br/>
        <w:t xml:space="preserve">      reconocimiento como profesional, ya que aún cuando era el director  de</w:t>
        <w:br/>
        <w:t xml:space="preserve">      la  revista,  también  era  conocido  como  un  periodista  de  amplia</w:t>
        <w:br/>
        <w:t xml:space="preserve">      trayectoria y debió enfrentar las consecuencias de  contar  entre  sus</w:t>
        <w:br/>
        <w:t xml:space="preserve">      antecedentes con una condena por haber violado la  privacidad  de  una</w:t>
        <w:br/>
        <w:t xml:space="preserve">      persona. Con base en lo anterior, solicitaron la suma de US$ 15.000,00</w:t>
        <w:br/>
        <w:t xml:space="preserve">      (quince mil dólares de los Estados Unidos de América) para cada una de</w:t>
        <w:br/>
        <w:t xml:space="preserve">      las víctimas en concepto de lucro cesante.</w:t>
        <w:br/>
        <w:br/>
        <w:t xml:space="preserve"> 119. La Corte observa que los representantes han hecho un alegato  genérico</w:t>
        <w:br/>
        <w:t xml:space="preserve">      sobre una supuesta disminución de  las  posibilidades  de  desarrollar</w:t>
        <w:br/>
        <w:t xml:space="preserve">      nuevos emprendimientos económicos, de conseguir nuevos trabajos  o  de</w:t>
        <w:br/>
        <w:t xml:space="preserve">      la existencia de consecuencias que no determinan. Sin embargo, no  han</w:t>
        <w:br/>
        <w:t xml:space="preserve">      brindado precisiones en sus fundamentos ni  prueba  que  sostenga  sus</w:t>
        <w:br/>
        <w:t xml:space="preserve">      aseveraciones.  Por  lo  anterior,  el  Tribunal  considera   que   no</w:t>
        <w:br/>
        <w:t xml:space="preserve">      corresponde ordenar una indemnización al respecto.</w:t>
        <w:br/>
        <w:br/>
        <w:t xml:space="preserve">      2. Daño inmaterial</w:t>
        <w:br/>
        <w:br/>
        <w:t xml:space="preserve"> 120. La Corte ha desarrollado en su  jurisprudencia  el  concepto  de  daño</w:t>
        <w:br/>
        <w:t xml:space="preserve">      inmaterial  y  los  supuestos  en  que  corresponde  indemnizarlo.  Al</w:t>
        <w:br/>
        <w:t xml:space="preserve">      respecto, ha establecido que el daño inmaterial puede comprender tanto</w:t>
        <w:br/>
        <w:t xml:space="preserve">      los sufrimientos y las aflicciones causados a las víctimas directas  y</w:t>
        <w:br/>
        <w:t xml:space="preserve">      a sus allegados, como el menoscabo de valores muy significativos  para</w:t>
        <w:br/>
        <w:t xml:space="preserve">      las personas, así como las alteraciones, de carácter no pecuniario, en</w:t>
        <w:br/>
        <w:t xml:space="preserve">      las condiciones de existencia de la víctima o de su familia[78].</w:t>
        <w:br/>
        <w:br/>
        <w:t xml:space="preserve"> 121. La Comisión solicitó al Tribunal que otorgue una reparación integral a</w:t>
        <w:br/>
        <w:t xml:space="preserve">      las víctimas por la violación de su derecho a la libertad de expresión</w:t>
        <w:br/>
        <w:t xml:space="preserve">      incluyendo el aspecto moral.</w:t>
        <w:br/>
        <w:br/>
        <w:t xml:space="preserve"> 122. Los representantes indicaron que las condenas civiles pusieron en duda</w:t>
        <w:br/>
        <w:t xml:space="preserve">      la seriedad y la labor como periodistas de las víctimas, así  como  su</w:t>
        <w:br/>
        <w:t xml:space="preserve">      honestidad y su responsabilidad, ubicándolos frente  al  resto  de  la</w:t>
        <w:br/>
        <w:t xml:space="preserve">      sociedad entre aquellos periodistas que, lejos de brindar  información</w:t>
        <w:br/>
        <w:t xml:space="preserve">      que aporte al debate y a la toma consciente de  decisiones  políticas,</w:t>
        <w:br/>
        <w:t xml:space="preserve">      se inmiscuyen arbitrariamente en la vida de las  personas.  Según  los</w:t>
        <w:br/>
        <w:t xml:space="preserve">      representantes, es indudable que la  condena  civil,  inevitablemente,</w:t>
        <w:br/>
        <w:t xml:space="preserve">      afectó el estado emocional de  las  víctimas.  El  sometimiento  a  un</w:t>
        <w:br/>
        <w:t xml:space="preserve">      juicio civil, el cual puede causar graves daños en  el  patrimonio  de</w:t>
        <w:br/>
        <w:t xml:space="preserve">      una persona, también genera preocupaciones y sufrimientos. En el  caso</w:t>
        <w:br/>
        <w:t xml:space="preserve">      particular del señor D´Amico, además del propio efecto inhibitorio  de</w:t>
        <w:br/>
        <w:t xml:space="preserve">      la indemnización, se debe contemplar el impacto emocional causado  por</w:t>
        <w:br/>
        <w:t xml:space="preserve">      el descuento mensual, por “veintiún meses”, en su  recibo  de  sueldo,</w:t>
        <w:br/>
        <w:t xml:space="preserve">      que “lo llevó a mantener una vida bajo el estigma  del  embargo”.  Con</w:t>
        <w:br/>
        <w:t xml:space="preserve">      base en lo anterior, solicitaron que el daño inmaterial  sea  reparado</w:t>
        <w:br/>
        <w:t xml:space="preserve">      mediante una indemnización compensatoria, conforme a la equidad.</w:t>
        <w:br/>
        <w:br/>
        <w:t xml:space="preserve"> 123. Al respecto, la Corte Interamericana reitera  que  la  emisión  de  la</w:t>
        <w:br/>
        <w:t xml:space="preserve">      presente Sentencia, la medida  de  dejar  sin  efecto  las  decisiones</w:t>
        <w:br/>
        <w:t xml:space="preserve">      internas en todos sus extremos, así como la difusión de este Fallo  en</w:t>
        <w:br/>
        <w:t xml:space="preserve">      diversos medios, tanto en uno privado  de  amplia  circulación  social</w:t>
        <w:br/>
        <w:t xml:space="preserve">      como en dos oficiales, los cuales incluyen el poder judicial, resultan</w:t>
        <w:br/>
        <w:t xml:space="preserve">      medidas de  reparación  suficientes  y  adecuadas  para  remediar  las</w:t>
        <w:br/>
        <w:t xml:space="preserve">      violaciones ocasionadas a las víctimas.</w:t>
        <w:br/>
        <w:br/>
        <w:t xml:space="preserve">      D. Costas y gastos</w:t>
        <w:br/>
        <w:br/>
        <w:t xml:space="preserve"> 124. Como ya lo ha señalado  la  Corte  en  oportunidades  anteriores,  las</w:t>
        <w:br/>
        <w:t xml:space="preserve">      costas y gastos están comprendidos dentro del concepto  de  reparación</w:t>
        <w:br/>
        <w:t xml:space="preserve">      establecido en el artículo 63.1 de la Convención Americana[79].</w:t>
        <w:br/>
        <w:br/>
        <w:t xml:space="preserve"> 125. La Comisión, si bien no se pronunció sobre el pago de costas y  gastos</w:t>
        <w:br/>
        <w:t xml:space="preserve">      específicamente, solicitó  a  la  Corte  que  otorgue  una  reparación</w:t>
        <w:br/>
        <w:t xml:space="preserve">      integral a las víctimas incluyendo el aspecto material.</w:t>
        <w:br/>
        <w:br/>
        <w:t xml:space="preserve"> 126. Los representantes manifestaron que las víctimas fueron asistidas  por</w:t>
        <w:br/>
        <w:t xml:space="preserve">      abogados particulares y debieron abonar los costos de los abogados  de</w:t>
        <w:br/>
        <w:t xml:space="preserve">      la contraparte así como los gastos del juicio interno en general.  Por</w:t>
        <w:br/>
        <w:t xml:space="preserve">      ello, solicitaron que se regule una indemnización  que  contemple,  en</w:t>
        <w:br/>
        <w:t xml:space="preserve">      términos de equidad, los costos incurridos en sede interna.  Asimismo,</w:t>
        <w:br/>
        <w:t xml:space="preserve">      solicitaron el reintegro de los gastos  realizados  por  las  víctimas</w:t>
        <w:br/>
        <w:t xml:space="preserve">      relacionados con su participación en la audiencia pública celebrada en</w:t>
        <w:br/>
        <w:t xml:space="preserve">      el presente caso. Adicionalmente, indicaron que  las  víctimas  fueron</w:t>
        <w:br/>
        <w:t xml:space="preserve">      representadas ante el Sistema Interamericano por el Centro de Estudios</w:t>
        <w:br/>
        <w:t xml:space="preserve">      Legales y Sociales, organización que  debió  incurrir  en  erogaciones</w:t>
        <w:br/>
        <w:t xml:space="preserve">      ordinarias de tramitación del caso por un monto de US$  2.500,00  (dos</w:t>
        <w:br/>
        <w:t xml:space="preserve">      mil quinientos dólares de los Estados Unidos de América) para  cubrir,</w:t>
        <w:br/>
        <w:t xml:space="preserve">      entre   otros,   gastos   de   teléfono,   fax,   correspondencia    y</w:t>
        <w:br/>
        <w:t xml:space="preserve">      suministros. Finalmente, solicitaron  el  reintegro  de  US$  5.270,80</w:t>
        <w:br/>
        <w:t xml:space="preserve">      (cinco mil doscientos setenta dólares de los Estados Unidos de América</w:t>
        <w:br/>
        <w:t xml:space="preserve">      con  ochenta  centavos),   por   los   gastos   realizados   por   los</w:t>
        <w:br/>
        <w:t xml:space="preserve">      representantes para asistir a la audiencia pública,  respecto  de  los</w:t>
        <w:br/>
        <w:t xml:space="preserve">      cuales adjuntaron documentación de respaldo.</w:t>
        <w:br/>
        <w:br/>
        <w:t xml:space="preserve"> 127. El Tribunal ha señalado que “las pretensiones de las  víctimas  o  sus</w:t>
        <w:br/>
        <w:t xml:space="preserve">      representantes en materia de costas y gastos, y las  pruebas  que  las</w:t>
        <w:br/>
        <w:t xml:space="preserve">      sustentan, deben presentarse a la Corte en el primer momento  procesal</w:t>
        <w:br/>
        <w:t xml:space="preserve">      que  se  les  concede,  esto  es,  en  el  escrito  de  solicitudes  y</w:t>
        <w:br/>
        <w:t xml:space="preserve">      argumentos, sin perjuicio de que tales pretensiones se  actualicen  en</w:t>
        <w:br/>
        <w:t xml:space="preserve">      un momento posterior, conforme a las nuevas costas y gastos en que  se</w:t>
        <w:br/>
        <w:t xml:space="preserve">      haya incurrido con ocasión del procedimiento ante esta Corte”[80].  En</w:t>
        <w:br/>
        <w:t xml:space="preserve">      cuanto al reembolso de las costas y gastos,  corresponde  al  Tribunal</w:t>
        <w:br/>
        <w:t xml:space="preserve">      apreciar prudentemente  su  alcance,  el  cual  comprende  los  gastos</w:t>
        <w:br/>
        <w:t xml:space="preserve">      generados ante las autoridades de la jurisdicción  interna,  así  como</w:t>
        <w:br/>
        <w:t xml:space="preserve">      los generados en el curso del proceso ante el Sistema  Interamericano,</w:t>
        <w:br/>
        <w:t xml:space="preserve">      teniendo  en  cuenta  las  circunstancias  del  caso  concreto  y   la</w:t>
        <w:br/>
        <w:t xml:space="preserve">      naturaleza de la  jurisdicción  internacional  de  protección  de  los</w:t>
        <w:br/>
        <w:t xml:space="preserve">      derechos humanos. Esta apreciación puede ser realizada con base en  el</w:t>
        <w:br/>
        <w:t xml:space="preserve">      principio de equidad y tomando en cuenta los gastos señalados por  las</w:t>
        <w:br/>
        <w:t xml:space="preserve">      partes, siempre que su quantum sea razonable[81].</w:t>
        <w:br/>
        <w:br/>
        <w:t xml:space="preserve"> 128. El Tribunal observa que los representantes no remitieron prueba alguna</w:t>
        <w:br/>
        <w:t xml:space="preserve">      que acreditara el  monto  que  las  víctimas  habrían  abonado  a  sus</w:t>
        <w:br/>
        <w:t xml:space="preserve">      abogados en el trámite del proceso  interno  ni  en  relación  con  la</w:t>
        <w:br/>
        <w:t xml:space="preserve">      participación de aquellas en la audiencia pública ante esta Corte. Sin</w:t>
        <w:br/>
        <w:t xml:space="preserve">      embargo,  el  Tribunal  puede  inferir  que  las  presuntas   víctimas</w:t>
        <w:br/>
        <w:t xml:space="preserve">      incurrieron en dichos gastos y, por ello, decide  fijar,  en  equidad,</w:t>
        <w:br/>
        <w:t xml:space="preserve">      para cada una de ellas la suma de US$ 5.000,00 (cinco mil  dólares  de</w:t>
        <w:br/>
        <w:t xml:space="preserve">      los Estados Unidos de América) por concepto  de  gastos  relativos  al</w:t>
        <w:br/>
        <w:t xml:space="preserve">      proceso interno y US$ 2.000,00 (dos mil dólares de los Estados  Unidos</w:t>
        <w:br/>
        <w:t xml:space="preserve">      de América) por los gastos relacionados con  su  participación  en  la</w:t>
        <w:br/>
        <w:t xml:space="preserve">      audiencia pública ante esta Corte.</w:t>
        <w:br/>
        <w:br/>
        <w:t xml:space="preserve"> 129. En cuanto a la solicitud de reintegro de los gastos indicados  por  el</w:t>
        <w:br/>
        <w:t xml:space="preserve">      Centro de Estudios Legales y Sociales en su condición de representante</w:t>
        <w:br/>
        <w:t xml:space="preserve">      en la tramitación ante el Sistema Interamericano de Derechos  Humanos,</w:t>
        <w:br/>
        <w:t xml:space="preserve">      el Tribunal dispone que el Estado debe pagar por concepto de costas  y</w:t>
        <w:br/>
        <w:t xml:space="preserve">      gastos la suma de US$ 7.770,00 (siete mil setecientos setenta  dólares</w:t>
        <w:br/>
        <w:t xml:space="preserve">      de los Estados Unidos de América).</w:t>
        <w:br/>
        <w:br/>
        <w:t xml:space="preserve"> 130. Finalmente, la Corte determina  que  el  Estado  deberá  entregar  las</w:t>
        <w:br/>
        <w:t xml:space="preserve">      cantidades indicadas en los párrafos precedentes a las víctimas (supra</w:t>
        <w:br/>
        <w:t xml:space="preserve">      párr. 128) y a  sus  representantes  (supra  párr.  129).  Igualmente,</w:t>
        <w:br/>
        <w:t xml:space="preserve">      señala que en el procedimiento de supervisión del cumplimiento  de  la</w:t>
        <w:br/>
        <w:t xml:space="preserve">      presente Sentencia, el Tribunal podrá  disponer  el  reembolso  a  las</w:t>
        <w:br/>
        <w:t xml:space="preserve">      víctimas o a sus representantes, por parte del Estado, de  los  gastos</w:t>
        <w:br/>
        <w:t xml:space="preserve">      razonables en que incurran en dicha etapa procesal.</w:t>
        <w:br/>
        <w:br/>
        <w:t xml:space="preserve">        E. Modalidad de cumplimiento de los pagos ordenados</w:t>
        <w:br/>
        <w:br/>
        <w:t xml:space="preserve"> 131. El Estado deberá efectuar el pago por concepto de costas y gastos  así</w:t>
        <w:br/>
        <w:t xml:space="preserve">      como el reintegro de las  sumas  abonadas  como  consecuencia  de  las</w:t>
        <w:br/>
        <w:t xml:space="preserve">      sentencias internas de conformidad con lo indicado (supra párrs.  128,</w:t>
        <w:br/>
        <w:t xml:space="preserve">      129 y 105), dentro del  plazo  de  un  año  contado  a  partir  de  la</w:t>
        <w:br/>
        <w:t xml:space="preserve">      notificación de la presente Sentencia, en los términos de los párrafos</w:t>
        <w:br/>
        <w:t xml:space="preserve">      siguientes.</w:t>
        <w:br/>
        <w:br/>
        <w:t xml:space="preserve"> 132. En caso  que  los  beneficiarios  fallezcan  antes  de  que  les  sean</w:t>
        <w:br/>
        <w:t xml:space="preserve">      entregadas las  sumas  dinerarias  respectivas,  éstas  se  entregarán</w:t>
        <w:br/>
        <w:t xml:space="preserve">      directamente a  sus  derechohabientes,  conforme  al  derecho  interno</w:t>
        <w:br/>
        <w:t xml:space="preserve">      aplicable.</w:t>
        <w:br/>
        <w:br/>
        <w:t xml:space="preserve"> 133. El Estado debe cumplir sus obligaciones monetarias mediante el pago en</w:t>
        <w:br/>
        <w:t xml:space="preserve">      dólares de los Estados Unidos de América o en una cantidad equivalente</w:t>
        <w:br/>
        <w:t xml:space="preserve">      en moneda argentina, utilizando para el cálculo respectivo el tipo  de</w:t>
        <w:br/>
        <w:t xml:space="preserve">      cambio que esté vigente en la bolsa de Nueva York, Estados  Unidos  de</w:t>
        <w:br/>
        <w:t xml:space="preserve">      América, el día anterior al pago.</w:t>
        <w:br/>
        <w:br/>
        <w:t xml:space="preserve"> 134. Si por causas atribuibles a los beneficiarios no fuese posible el pago</w:t>
        <w:br/>
        <w:t xml:space="preserve">      de las cantidades determinadas dentro del plazo  indicado,  el  Estado</w:t>
        <w:br/>
        <w:t xml:space="preserve">      consignará dichos montos a su favor en una  cuenta  o  certificado  de</w:t>
        <w:br/>
        <w:t xml:space="preserve">      depósito en una institución financiera argentina solvente, en  dólares</w:t>
        <w:br/>
        <w:t xml:space="preserve">      de los Estados Unidos de América y en las condiciones financieras  más</w:t>
        <w:br/>
        <w:t xml:space="preserve">      favorables que permitan la  legislación  y  la  práctica  bancaria  de</w:t>
        <w:br/>
        <w:t xml:space="preserve">      Argentina. Si al cabo de 10 años dichas sumas no han sido  reclamadas,</w:t>
        <w:br/>
        <w:t xml:space="preserve">      serán devueltas al Estado con los intereses devengados.</w:t>
        <w:br/>
        <w:br/>
        <w:t xml:space="preserve"> 135.  Las  cantidades  asignadas  en  la  presente  Sentencia  deberán  ser</w:t>
        <w:br/>
        <w:t xml:space="preserve">      entregadas a las personas indicadas en forma íntegra,  conforme  a  lo</w:t>
        <w:br/>
        <w:t xml:space="preserve">      establecido en este Fallo, sin  reducciones  derivadas  de  eventuales</w:t>
        <w:br/>
        <w:t xml:space="preserve">      cargas fiscales.</w:t>
        <w:br/>
        <w:br/>
        <w:t xml:space="preserve"> 136. En caso que el Estado incurriera en  mora,  deberá  pagar  un  interés</w:t>
        <w:br/>
        <w:t xml:space="preserve">      sobre  la  cantidad  adeudada  correspondiente  al  interés   bancario</w:t>
        <w:br/>
        <w:t xml:space="preserve">      moratorio en Argentina.</w:t>
        <w:br/>
        <w:br/>
        <w:br/>
        <w:t xml:space="preserve">                                    VIII</w:t>
        <w:br/>
        <w:t xml:space="preserve">                             PUNTOS RESOLUTIVOS</w:t>
        <w:br/>
        <w:br/>
        <w:br/>
        <w:t>137.  Por tanto,</w:t>
        <w:br/>
        <w:br/>
        <w:br/>
        <w:t>LA CORTE</w:t>
        <w:br/>
        <w:br/>
        <w:br/>
        <w:t>DECLARA,</w:t>
        <w:br/>
        <w:br/>
        <w:br/>
        <w:t>por unanimidad, que:</w:t>
        <w:br/>
        <w:br/>
        <w:t>1.    El Estado violó el derecho a la libertad de  expresión  reconocido  en</w:t>
        <w:br/>
        <w:t>el artículo 13  de  la  Convención  Americana  sobre  Derechos  Humanos,  en</w:t>
        <w:br/>
        <w:t>relación con el artículo 1.1 de la misma, en perjuicio de los señores  Jorge</w:t>
        <w:br/>
        <w:t>Fontevecchia y Hector D’Amico, en los términos de los párrafos 42  a  75  de</w:t>
        <w:br/>
        <w:t>la presente Sentencia.</w:t>
        <w:br/>
        <w:br/>
        <w:t>2.    El Estado no incumplió la obligación general de adoptar  disposiciones</w:t>
        <w:br/>
        <w:t>de derecho interno, reconocida en el artículo 2 de la  Convención  Americana</w:t>
        <w:br/>
        <w:t>sobre Derechos Humanos, en perjuicio de los  señores  Jorge  Fontevecchia  y</w:t>
        <w:br/>
        <w:t>Hector D’Amico , en los términos de los párrafos 84  a  96  de  la  presente</w:t>
        <w:br/>
        <w:t>Sentencia.</w:t>
        <w:br/>
        <w:br/>
        <w:br/>
        <w:t>Y DISPONE</w:t>
        <w:br/>
        <w:br/>
        <w:br/>
        <w:t>por unanimidad, que:</w:t>
        <w:br/>
        <w:br/>
        <w:t>1.    Esta Sentencia constituye per se una forma de reparación.</w:t>
        <w:br/>
        <w:br/>
        <w:t>2.    El Estado debe dejar sin  efecto  la  condena  civil  impuesta  a  los</w:t>
        <w:br/>
        <w:t>señores  Jorge  Fontevecchia  y  Hector   D’Amico   así   como   todas   sus</w:t>
        <w:br/>
        <w:t>consecuencias, en el plazo de un año contado a partir de la notificación  de</w:t>
        <w:br/>
        <w:t>la presente Sentencia, en los términos del párrafo 105 de la misma.</w:t>
        <w:br/>
        <w:br/>
        <w:t>3.    El Estado debe realizar las publicaciones dispuestas  en  la  presente</w:t>
        <w:br/>
        <w:t>Sentencia, de conformidad con lo establecido en el párrafo 108 de la misma.</w:t>
        <w:br/>
        <w:br/>
        <w:t>4.    El Estado debe entregar los montos referidos en los párrafos 105,  128</w:t>
        <w:br/>
        <w:t>y 129 de la presente Sentencia, dentro del plazo de un año contado a  partir</w:t>
        <w:br/>
        <w:t>de su notificación  y  conforme  a  las  modalidades  especificadas  en  los</w:t>
        <w:br/>
        <w:t>párrafos 131 a 136 de este Fallo.</w:t>
        <w:br/>
        <w:br/>
        <w:t>5.    La Corte supervisará el cumplimiento íntegro  de  esta  Sentencia,  en</w:t>
        <w:br/>
        <w:t>ejercicio de sus atribuciones y en cumplimiento de sus  deberes  conforme  a</w:t>
        <w:br/>
        <w:t>la Convención Americana, y dará por concluido el presente caso una  vez  que</w:t>
        <w:br/>
        <w:t>el Estado haya dado cabal cumplimiento  a  lo  dispuesto  en  la  misma.  El</w:t>
        <w:br/>
        <w:t>Estado  deberá,  dentro  del  plazo  de  un  año  contado  a  partir  de  la</w:t>
        <w:br/>
        <w:t>notificación de esta Sentencia, rendir a  la  Corte  un  informe  sobre  las</w:t>
        <w:br/>
        <w:t>medidas adoptadas para cumplir con la misma.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Redactada en español y en inglés, haciendo fe el texto en  español,  en  San</w:t>
        <w:br/>
        <w:t>José, Costa Rica, el día 29 de noviembre de 2011.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Ventura Robles                        Margarette May Macaulay</w:t>
        <w:br/>
        <w:br/>
        <w:br/>
        <w:br/>
        <w:br/>
        <w:t>Rhadys Abreu Blondet                                    Alberto Pérez Pérez</w:t>
        <w:br/>
        <w:br/>
        <w:br/>
        <w:br/>
        <w:br/>
        <w:t xml:space="preserve">                            Eduardo Vio Grossi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Secretario</w:t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t>(      El  Vicepresidente  de  la  Corte,  Juez  Leonardo  A.   Franco,   de</w:t>
        <w:br/>
        <w:t>nacionalidad argentina, no participó en el presente caso de conformidad  con</w:t>
        <w:br/>
        <w:t>el artículo 19.1 del Reglamento de la Corte, de acuerdo al  cual  “[e]n  los</w:t>
        <w:br/>
        <w:t>casos a que hace referencia el artículo 44 de la Convención, los  Jueces  no</w:t>
        <w:br/>
        <w:t>podrán participar en su conocimiento y deliberación, cuando sean  nacionales</w:t>
        <w:br/>
        <w:t>del Estado demandado”.</w:t>
        <w:br/>
        <w:br/>
        <w:t>[1]   Reglamento aprobado por la Corte en  su  LXXXV  Período  Ordinario  de</w:t>
        <w:br/>
        <w:t>Sesiones  celebrado  del  16  al  28  de  noviembre  de  2009  el  cual,  de</w:t>
        <w:br/>
        <w:t>conformidad con su artículo 78, entró en vigor el 1 de enero de 2010.</w:t>
        <w:br/>
        <w:t>[2]   El 11 de enero de 2006 se informó a la  Comisión  Interamericana  que,</w:t>
        <w:br/>
        <w:t>en adelante, los peticionarios serían los señores Fontevecchia y  D’Amico  y</w:t>
        <w:br/>
        <w:t>el Centro de Estudios Legales y Sociales (CELS). El 10 de agosto de 2011  el</w:t>
        <w:br/>
        <w:t>señor Damián Loretti renunció a la representación ejercida  en  el  presente</w:t>
        <w:br/>
        <w:t>caso.</w:t>
        <w:br/>
        <w:br/>
        <w:t>[3]   En su Informe de Admisibilidad No. 51/05 de 12 de octubre de 2005,  la</w:t>
        <w:br/>
        <w:t>Comisión  Interamericana  declaró  admisible  la  petición  respecto  de  la</w:t>
        <w:br/>
        <w:t>presunta violación del artículo 13 de la Convención Americana,  en  relación</w:t>
        <w:br/>
        <w:t>con los artículos 1.1 y 2 del mismo instrumento.</w:t>
        <w:br/>
        <w:br/>
        <w:t>[4]   En noviembre de 2006 fue declarada  judicialmente  la  paternidad  del</w:t>
        <w:br/>
        <w:t>señor Menem respecto de Carlos Nair Meza y, en junio  de  2007,  el  primero</w:t>
        <w:br/>
        <w:t>reconoció públicamente su paternidad. Cfr. Informe de Fondo No. 82/10 de  la</w:t>
        <w:br/>
        <w:t>Comisión Interamericana de 13 de julio de 2010 (expediente  de  fondo,  tomo</w:t>
        <w:br/>
        <w:t>I, folio 15).</w:t>
        <w:br/>
        <w:t>[5]   Cfr.  Caso  Fontevecchia  y  D’Amico  Vs.  Argentina.  Convocatoria  a</w:t>
        <w:br/>
        <w:t>Audiencia Pública. Resolución del Presidente de la Corte  Interamericana  de</w:t>
        <w:br/>
        <w:t>Derechos Humanos de 27 de julio de 2011.</w:t>
        <w:br/>
        <w:t>[6]   A esta audiencia comparecieron: a)  por  la  Comisión  Interamericana:</w:t>
        <w:br/>
        <w:t>Catalina Botero, Delegada, y  Michael  Camilleri  y  Karla  Quintana  Osuna,</w:t>
        <w:br/>
        <w:t>asesores legales; b) por los representantes: Eduardo Bertoni, María  Lourdes</w:t>
        <w:br/>
        <w:t>Bascary y Gabriela Kletzel, las dos últimas abogadas del CELS, y c)  por  el</w:t>
        <w:br/>
        <w:t>Estado: Gustavo Roque Stefanelli, Consejero  de  la  Embajada  Argentina  en</w:t>
        <w:br/>
        <w:t>Colombia, Mariano Zaragoza Ferrer, Ministro  de  la  Embajada  Argentina  en</w:t>
        <w:br/>
        <w:t>Colombia,  y  Marina  Abasto,  funcionaria  de  la  Embajada  Argentina   en</w:t>
        <w:br/>
        <w:t>Colombia.</w:t>
        <w:br/>
        <w:br/>
        <w:t>[7]   El escrito fue  recibido  en  la  Secretaría  del  Tribunal  el  9  de</w:t>
        <w:br/>
        <w:t>septiembre de 2011. Está  elaborado  con  la  asesoría  legal  de  la  firma</w:t>
        <w:br/>
        <w:t>Debevoise and Plimpton LLP y aparece firmado por Jeremy Feigelson. Por  otra</w:t>
        <w:br/>
        <w:t>parte, el Tribunal recibió en esa misma  fecha  un  escrito  en  calidad  de</w:t>
        <w:br/>
        <w:t>amicus curiae de la organización Article 19. Sin  embargo,  dicho  documento</w:t>
        <w:br/>
        <w:t>no fue presentado en el idioma de trabajo  del  Tribunal  para  el  presente</w:t>
        <w:br/>
        <w:t>caso. La versión en español fue recibida el 22  de  noviembre  de  2011,  es</w:t>
        <w:br/>
        <w:t>decir, fuera del plazo reglamentario. De conformidad con el artículo 44  del</w:t>
        <w:br/>
        <w:t>Reglamento, dicho escrito no fue considerado por la Corte ni  transmitido  a</w:t>
        <w:br/>
        <w:t>las partes.</w:t>
        <w:br/>
        <w:br/>
        <w:t>[8]   Cfr. Caso  de  la  “Panel  Blanca”  (Paniagua  Morales  y  otros)  Vs.</w:t>
        <w:br/>
        <w:t>Guatemala. Fondo. Sentencia de 8 de marzo de 1998. Serie  C  No.  37,  párr.</w:t>
        <w:br/>
        <w:t>76, y Caso Barbani Duarte y otros Vs. Uruguay. Fondo Reparaciones y  Costas.</w:t>
        <w:br/>
        <w:t>Sentencia de 13 de octubre de 2011. Serie C. No. 234, párr. 16.</w:t>
        <w:br/>
        <w:t>[9]   El Estado no ofreció prueba documental ni de otro tipo.</w:t>
        <w:br/>
        <w:br/>
        <w:t>[10]  El 1 de agosto de 2011, luego de la notificación de la  Resolución  de</w:t>
        <w:br/>
        <w:t>Convocatoria, supra nota 5, el Estado, inter alia, impugnó al señor  Roberto</w:t>
        <w:br/>
        <w:t>Saba. Dicha  objeción  fue  desestimada  por  el  Presidente  del  Tribunal,</w:t>
        <w:br/>
        <w:t>decisión que fue comunicada a las partes el 5 de agosto de 2011  (expediente</w:t>
        <w:br/>
        <w:t>de fondo, tomo I, folios 444 a 447).</w:t>
        <w:br/>
        <w:br/>
        <w:t>[11]  Cfr. Caso Velásquez Rodríguez. Fondo. Sentencia  de  29  de  julio  de</w:t>
        <w:br/>
        <w:t>1988. Serie C No. 1, párr. 140, y Caso Barbani Duarte y otros  Vs.  Uruguay,</w:t>
        <w:br/>
        <w:t>supra nota 8, párr. 21.</w:t>
        <w:br/>
        <w:t>[12]  Cfr. Caso Velásquez Rodríguez Vs Honduras, supra nota 11,  párr.  146,</w:t>
        <w:br/>
        <w:t>y Caso López Mendoza Vs. Venezuela. Fondo, Reparaciones y Costas.  Sentencia</w:t>
        <w:br/>
        <w:t>de 1 de septiembre de 2011. Serie C No. 233, párr. 19.</w:t>
        <w:br/>
        <w:br/>
        <w:t>[13]   Cfr.  Caso  Loayza  Tamayo  Vs.  Perú.  Fondo.  Sentencia  de  17  de</w:t>
        <w:br/>
        <w:t>septiembre de 1997. Serie C No. 33, párr.  43,  y  Caso  López  Mendoza  Vs.</w:t>
        <w:br/>
        <w:t>Venezuela, supra nota 12, párr. 24.</w:t>
        <w:br/>
        <w:br/>
        <w:t>[14]  El artículo 13 de la Convención, en lo pertinente, establece:</w:t>
        <w:br/>
        <w:br/>
        <w:t>1. Toda persona tiene derecho a la libertad de pensamiento y  de  expresión.</w:t>
        <w:br/>
        <w:t>Este  derecho  comprende  la  libertad  de  buscar,   recibir   y   difundir</w:t>
        <w:br/>
        <w:t>informaciones e ideas de toda índole, sin  consideración  de  fronteras,  ya</w:t>
        <w:br/>
        <w:t>sea oralmente, por escrito o en forma impresa o artística, o  por  cualquier</w:t>
        <w:br/>
        <w:t>otro procedimiento de su elección.</w:t>
        <w:br/>
        <w:t>2. El ejercicio del derecho previsto en el inciso precedente no puede  estar</w:t>
        <w:br/>
        <w:t>sujeto a previa censura sino a responsabilidades ulteriores, las  que  deben</w:t>
        <w:br/>
        <w:t>estar expresamente fijadas por la ley y ser necesarias para asegurar: a)  el</w:t>
        <w:br/>
        <w:t>respeto a los derechos o a la reputación de los demás […].</w:t>
        <w:br/>
        <w:br/>
        <w:t>[15]  El artículo 11 de la Convención establece:</w:t>
        <w:br/>
        <w:br/>
        <w:t>1. Toda persona tiene derecho al respeto de su honra y al reconocimiento  de</w:t>
        <w:br/>
        <w:t>su dignidad.</w:t>
        <w:br/>
        <w:t>2. Nadie puede ser objeto de injerencias arbitrarias o abusivas en  su  vida</w:t>
        <w:br/>
        <w:t>privada, en la de su familia, en su domicilio o en  su  correspondencia,  ni</w:t>
        <w:br/>
        <w:t>de ataques ilegales a su honra o reputación.</w:t>
        <w:br/>
        <w:t>3. Toda persona tiene  derecho  a  la  protección  de  la  ley  contra  esas</w:t>
        <w:br/>
        <w:t>injerencias o esos ataques.</w:t>
        <w:br/>
        <w:t>[16]  Cfr. Declaraciones de los señores Jorge Fontevecchia y Héctor  D’Amico</w:t>
        <w:br/>
        <w:t>en la audiencia pública de 24 de agosto de 2011. La  Corte  observa  que  en</w:t>
        <w:br/>
        <w:t>otros documentos las presuntas víctimas  aparecen  como  director  y  editor</w:t>
        <w:br/>
        <w:t>responsable de la revista Noticias.  Sin  embargo,  las  funciones  quedaron</w:t>
        <w:br/>
        <w:t>establecidas de acuerdo a lo indicado  por  las  presuntas  víctimas  en  la</w:t>
        <w:br/>
        <w:t>audiencia pública ante este Tribunal.</w:t>
        <w:br/>
        <w:br/>
        <w:t>[17]  La primera de ellas, edición No. 983 de 29 de octubre de 1995, no  fue</w:t>
        <w:br/>
        <w:t>considerada violatoria del derecho a la intimidad del señor  Menem  por  los</w:t>
        <w:br/>
        <w:t>tribunales internos Por ello, no resulta  relevante  a  los  efectos  de  la</w:t>
        <w:br/>
        <w:t>resolución de la presente controversia Cfr. Sentencia  de  11  de  marzo  de</w:t>
        <w:br/>
        <w:t>1998 de la Sala H de la Cámara Nacional de Apelaciones en  lo  Civil  de  la</w:t>
        <w:br/>
        <w:t>Capital Federal (expediente de anexos al Informe No. 82/10, anexo  10,  tomo</w:t>
        <w:br/>
        <w:t>I, folios 387 y 388).</w:t>
        <w:br/>
        <w:br/>
        <w:t>[18]  Cfr. Revista Noticias, edición No. 984  de  5  de  noviembre  de  1995</w:t>
        <w:br/>
        <w:t>(expediente de anexos al Informe No. 82/10, anexo 3,  tomo  I,  folios  137,</w:t>
        <w:br/>
        <w:t>206 y 207). Allí se lee: [la salud de la ex esposa del señor  Menem  estaría</w:t>
        <w:br/>
        <w:t>ligada] al conocimiento de ciertos detalles de la relación de  Carlos  Menem</w:t>
        <w:br/>
        <w:t>(65) con la diputada provincial formoseña Martha Meza (43), madre de  Carlos</w:t>
        <w:br/>
        <w:t>Nair (14, presunto hijo natural del Presidente, al que éste  ve  y  obsequia</w:t>
        <w:br/>
        <w:t>regularmente).  Meza  afirma  que  el  adolescente  sería  producto  de   su</w:t>
        <w:br/>
        <w:t>circunstancial unión con Menem durante los años de su  confinamiento  en  la</w:t>
        <w:br/>
        <w:t>localidad de Las Lomitas, especie jamás desmentida  por  el  mandatario.  En</w:t>
        <w:br/>
        <w:t>una denuncia por robo efectuada  por  Meza,  a  fines  de  1994,  ésta  hace</w:t>
        <w:br/>
        <w:t>referencia a una serie de joyas por valor de  US$  230.000  ‘que  le  fueron</w:t>
        <w:br/>
        <w:t>regaladas por el Presidente de la Nación’, según  consta  en  el  expediente</w:t>
        <w:br/>
        <w:t>que investiga la sustracción[. E]l miércoles 31 [de mayo  de  1995],  a  las</w:t>
        <w:br/>
        <w:t>cinco de la tarde, Menem recibió en la Casa Rosada a Martha Meza junto a  su</w:t>
        <w:br/>
        <w:t>hijo Carlos Nair [Meza].  Algunos temen, incluso, que el  Presidente  llegue</w:t>
        <w:br/>
        <w:t>a concretar su manifiesta voluntad de reconocer su paternidad  sobre  Carlos</w:t>
        <w:br/>
        <w:t>Nair, concluido el trámite de divorcio.</w:t>
        <w:br/>
        <w:br/>
        <w:t>[19]  Cfr. Revista Noticias, edición No. 984, supra nota 18, folio  207.  En</w:t>
        <w:br/>
        <w:t>ella se lee: [e]ste último ‘Día de la Lealtad’, Carlos Menem envió una  moto</w:t>
        <w:br/>
        <w:t>Honda 100 a Formosa. [Carlos Nair Meza] recibió el  regalo  presidencial  el</w:t>
        <w:br/>
        <w:t>día de su cumpleaños número 14[.] El  adolescente  es  reconocido  como  ‘el</w:t>
        <w:br/>
        <w:t>hijo de Menem’, debido al uso del caso que su madre, la legisladora  del  PJ</w:t>
        <w:br/>
        <w:t>Martha Meza, hace permanentemente desde que ocupó su  banca  en  1987.  [E]n</w:t>
        <w:br/>
        <w:t>noviembre del 94 se manifestó víctima de un robo: ‘[m]e sacaron un Rolex  de</w:t>
        <w:br/>
        <w:t>oro con incrustaciones de diamante, regalo del Presidente de la Nación,  140</w:t>
        <w:br/>
        <w:t>mil pesos y otras joyas’, denunció. Las ‘otras joyas’ son  ‘veinte  anillos,</w:t>
        <w:br/>
        <w:t>cuatro pulseras, cuatro pares de  aros,  una  gargantilla  gruesa  y  varias</w:t>
        <w:br/>
        <w:t>cadenas, todo de oro, por un  total  de  $  230.000’,  según  consta  en  el</w:t>
        <w:br/>
        <w:t>expediente judicial. [El chofer de la  señora  Meza]  recuerda  que  cobraba</w:t>
        <w:br/>
        <w:t>para  Meza  unos  $  50.000   de   sueldos   legislativos   para   empleados</w:t>
        <w:br/>
        <w:t>inexistentes, y que ‘una vez por mes traía a Carlos  Nair  a  Buenos  Aires,</w:t>
        <w:br/>
        <w:t>para que lo viera Menem’,  a  quien  el  chico  llama  ‘papá’  y  con  quien</w:t>
        <w:br/>
        <w:t>comparte su pasión por el vértigo y la velocidad. [La señora  Meza]  gana  $</w:t>
        <w:br/>
        <w:t>3.808 por mes y está terminando una mansión de $ 350.000 gracias, en  parte,</w:t>
        <w:br/>
        <w:t>a la suma que mensualmente le pasaría el Presidente. A mediados de 1994,  la</w:t>
        <w:br/>
        <w:t>mujer habría convenido con [dos allegados al señor Menem] una  remesa  de  $</w:t>
        <w:br/>
        <w:t>20.000, que religiosamente recoge en Buenos  Aires  un  enviado  suyo[.  E]l</w:t>
        <w:br/>
        <w:t>trato se habría cerrado luego de que Meza, con su  hijo,  pidiera  asilo  en</w:t>
        <w:br/>
        <w:t>Paraguay, por amenazas. Desde allí denunció que querían secuestrar a  Carlos</w:t>
        <w:br/>
        <w:t>Nair y, según su ex chofer, ella habría sido  quien  amenazó  al  Presidente</w:t>
        <w:br/>
        <w:t>con iniciar acciones de filiación ante la OEA, si no recibía $ 50.000.000.</w:t>
        <w:br/>
        <w:br/>
        <w:t>[20]  Cfr. Revista Noticias, edición No. 985 de  12  de  noviembre  de  1995</w:t>
        <w:br/>
        <w:t>(expediente de anexos al Informe No. 82/10, anexo 3, tomo I,  folios  227  y</w:t>
        <w:br/>
        <w:t>243). Allí se lee: [e]sta vez, el disparador  fue  el  conocimiento  que  la</w:t>
        <w:br/>
        <w:t>señora Zulema Yoma tuvo de los contactos recientes entre su ex esposo  y  el</w:t>
        <w:br/>
        <w:t>adolescente Carlos Nair (14),  nacido  en  la  localidad  formoseña  de  Las</w:t>
        <w:br/>
        <w:t>Lomitas y sobre quien pesa la  versión  de  ser  hijo  extramatrimonial  del</w:t>
        <w:br/>
        <w:t>Presidente. [En mayo de 1995]: Menem recibió en  la  Casa  Rosada  a  Martha</w:t>
        <w:br/>
        <w:t>Meza junto a su hijo Carlos Nair.</w:t>
        <w:br/>
        <w:br/>
        <w:t>[21]  Cfr. Revista Noticias, edición No. 985, supra nota 20,  folios  245  a</w:t>
        <w:br/>
        <w:t>247. Allí se lee: [‘s]i no le da de comer a su hijo, cómo le  va  a  dar  de</w:t>
        <w:br/>
        <w:t>comer al país’. Un afiche con esta leyenda recorrió el territorio  formoseño</w:t>
        <w:br/>
        <w:t>de la mano de la diputada provincial Martha Elizabeth Meza […].  [La  señora</w:t>
        <w:br/>
        <w:t>Meza] no encontró mejor modo de presentar en sociedad la supuesta  filiación</w:t>
        <w:br/>
        <w:t>de su hijo, Carlos Nair (14). […] Según cuenta Gabriela Cerruti  […]  en  su</w:t>
        <w:br/>
        <w:t>libro El Jefe, Carlos y Martha vivieron un ‘apasionado romance  que  culminó</w:t>
        <w:br/>
        <w:t>con la maestra embarazada y  dispuesta  a  tener  su  hijo.  Carlos  intentó</w:t>
        <w:br/>
        <w:t>convencerla  de  lo  difícil  de  la  situación,  pero  finalmente   terminó</w:t>
        <w:br/>
        <w:t>aceptando con la condición de que Zulema (Yoma, 52) no  se  enterara’.  [E]n</w:t>
        <w:br/>
        <w:t>noviembre [de 1981] nacía Carlos Nair, cuyo nombre significa, en árabe,  ‘el</w:t>
        <w:br/>
        <w:t>sin padre’. [Una maestra] afirmó que [el niño] ‘era muy  reservado  respecto</w:t>
        <w:br/>
        <w:t>a decir quién era su padre. Recién en los últimos meses  dijo  que  su  papá</w:t>
        <w:br/>
        <w:t>era Menem y trajo algunas fotos al colegio donde estaba con su papá,  cuando</w:t>
        <w:br/>
        <w:t>era chiquito’. […] A los seis años recibió desde Buenos  Aires  una  pequeña</w:t>
        <w:br/>
        <w:t>moto de regalo y, ya más grande, una computadora. El último 17  de  octubre,</w:t>
        <w:br/>
        <w:t>el obsequio fue una Honda 100. En más de una  oportunidad,  Charly  llamó  a</w:t>
        <w:br/>
        <w:t>Menem para pedirle becas y útiles para sus compañeritos más  humildes,  algo</w:t>
        <w:br/>
        <w:t>a lo  que  siempre  respondió  el  Presidente.  […]  Nair  mantuvo  contacto</w:t>
        <w:br/>
        <w:t>permanente con su padre, a quien visitaba una vez al mes y del cual  recibía</w:t>
        <w:br/>
        <w:t>frecuentes llamados. Habitualmente era el chofer de su madre  […]  quien  lo</w:t>
        <w:br/>
        <w:t>acompañaba en sus viajes a Olivos,  aunque  en  numerosas  oportunidades  lo</w:t>
        <w:br/>
        <w:t>hizo junto a la misma Meza,  especialmente  a  partir  de  la  expulsión  de</w:t>
        <w:br/>
        <w:t>Zulema Yoma de la quinta presidencial. En una de sus primeras visitas  a  la</w:t>
        <w:br/>
        <w:t>residencia  oficial,  [un  allegado  a  Menem]  gestionó   la   sesión   del</w:t>
        <w:br/>
        <w:t>departamento de cuatro ambientes en el barrio del Once que, desde  entonces,</w:t>
        <w:br/>
        <w:t>[la  señora  Meza]  utiliza  durante  sus  estadías  porteñas.  […]  Ascenso</w:t>
        <w:br/>
        <w:t>Económico: […] Menem le regala [a Meza] un departamento de  4  ambientes  en</w:t>
        <w:br/>
        <w:t>el Once (US$ 70.000). […] En ese 1990, Carlos  Menem  invitó  a  su  hijo  a</w:t>
        <w:br/>
        <w:t>pasar las fiestas de fin de año en Anillaco, pero Meza le negó  el  permiso.</w:t>
        <w:br/>
        <w:t>Sin embargo, ese  verano  la  familia  volvió  a  reunirse  en  el  complejo</w:t>
        <w:br/>
        <w:t>presidencial de Chapadmalal, el  mismo  escenario  sirvió  de  refugio  para</w:t>
        <w:br/>
        <w:t>padre e hijo en los años siguientes. En febrero de  1993,  las  obligaciones</w:t>
        <w:br/>
        <w:t>electorales de Menem limitaron el encuentro a un solo  día,  en  el  que  el</w:t>
        <w:br/>
        <w:t>Presidente se regodeó  con  cocinar  para  el  menor  de  sus  hijos,  quien</w:t>
        <w:br/>
        <w:t>permaneció allí el resto de la semana junto  con  el  chofer  de  su  madre.</w:t>
        <w:br/>
        <w:t>[El] entonces abogado de Zulema Yoma en el juicio de divorcio contra  Carlos</w:t>
        <w:br/>
        <w:t>Menem […] presentó un cuestionario [en el marco de ese proceso]  dirigido  a</w:t>
        <w:br/>
        <w:t>establecer la supuesta infidelidad cometida por éste durante el  período  de</w:t>
        <w:br/>
        <w:t>confinamiento en Las Lomitas. [La señora] Meza se negó a contestar, pero  la</w:t>
        <w:br/>
        <w:t>trascendencia pública de esta  demanda  llevó  a  la  diputada  formoseña  a</w:t>
        <w:br/>
        <w:t>exigir la  retractación  de  Yoma  en  sus  afirmaciones  a  los  medios  de</w:t>
        <w:br/>
        <w:t>comunicación,  provocando  un  cruce  de  cartas-documento  y   otro   nuevo</w:t>
        <w:br/>
        <w:t>escándalo en torno a la Presidencia de la  Nación.  [A]  mediados  de  abril</w:t>
        <w:br/>
        <w:t>último, Martha Meza y Carlos Nair figuraban en el registro de guardia de  la</w:t>
        <w:br/>
        <w:t>residencia de Olivos. [E]l siguiente encuentro de Meza,  Carlos  Nair  y  el</w:t>
        <w:br/>
        <w:t>Presidente -a fines de mayo- se concretó en los más seguros despachos de  la</w:t>
        <w:br/>
        <w:t>Casa Rosada. [...] El 14  de  febrero  de  1994  […]  Martha  Meza  denunció</w:t>
        <w:br/>
        <w:t>amenazas contra su  hijo  y  responsabilizó  al  gobierno  nacional  por  su</w:t>
        <w:br/>
        <w:t>seguridad, buscando asilo político  en  el  Paraguay.  La  magnitud  de  los</w:t>
        <w:br/>
        <w:t>personajes en juego llevó al Presidente guaraní, Juan Carlos Wasmosy […],  a</w:t>
        <w:br/>
        <w:t>comunicarse  telefónicamente  con  su  par  argentino,   quien   le   habría</w:t>
        <w:br/>
        <w:t>solicitado la protección de la mujer y  su  hijo.  […]  ‘Meza  y  su  marido</w:t>
        <w:br/>
        <w:t>reclamaron U$S 50.000.000 para instalarse definitivamente en las  playas  de</w:t>
        <w:br/>
        <w:t>Miami. Ella amenazó con acampar junto a su hijo en la Plaza de  Mayo  y  con</w:t>
        <w:br/>
        <w:t>iniciar una acción de filiación ante la OEA’.  [Allegados  al  señor  Menem]</w:t>
        <w:br/>
        <w:t>viajaron  de  urgencia  a  Asunción  para  calmar  las  aguas.  El  [acuerdo</w:t>
        <w:br/>
        <w:t>extrajudicial con  el  señor  Menem]  consistiría  en  una  pensión  mensual</w:t>
        <w:br/>
        <w:t>vitalicia de U$S 20.000 y un fideicomiso a nombre de Carlos  Nair,  por  una</w:t>
        <w:br/>
        <w:t>cifra cercana al millón de dólares; amén de la cobertura política  para  [el</w:t>
        <w:br/>
        <w:t>marido de Martha Meza, el señor] Dorrego –ex interventor local del  PAMI  en</w:t>
        <w:br/>
        <w:t>épocas de Matilde Menéndez […]-  a  quien  la  Auditoría  de  la  delegación</w:t>
        <w:br/>
        <w:t>nacional de la obra social de los  jubilados  investigaba  por  un  supuesto</w:t>
        <w:br/>
        <w:t>desfalco millonario. [U]n sector del Gobierno […] evaluó la  posibilidad  de</w:t>
        <w:br/>
        <w:t>sugerir a Menem una conducta similar  [reconocer  al  hijo,  como  lo  había</w:t>
        <w:br/>
        <w:t>hecho el ex presidente francés Mitterrand], llegando incluso a  pedir  a  la</w:t>
        <w:br/>
        <w:t>SIDE una encuesta que habría confirmado los beneficios  de  esa  alternativa</w:t>
        <w:br/>
        <w:t>[…]. [L]a carrera política de Martha Meza estuvo desde el  comienzo  signada</w:t>
        <w:br/>
        <w:t>por el aura de ser, como ella no se cansa de repetir,  ‘la  madre  del  hijo</w:t>
        <w:br/>
        <w:t>del Presidente’. [E]n noviembre de 1994, Martha Meza denunció un robo  a  la</w:t>
        <w:br/>
        <w:t>caja de seguridad de su domicilio  formoseño.  Según  el  expediente  de  la</w:t>
        <w:br/>
        <w:t>causa que tramita  ante  el  juzgado  de  Rolando  Cejas,  le  habrían  sido</w:t>
        <w:br/>
        <w:t>sustraídos ‘20 anillos, cuatro pulseras, cuatros  pares  de  aros  y  varias</w:t>
        <w:br/>
        <w:t>cadenas, todo de oro’. Además, declaró: ‘[m]e sacaron un Rolex  de  oro  con</w:t>
        <w:br/>
        <w:t>incrustaciones de diamantes, regalo  del  Presidente  de  la  Nación’,  cuyo</w:t>
        <w:br/>
        <w:t>valor rondaría los U$S 40.000. Según la diputada,  el  total  de  lo  robado</w:t>
        <w:br/>
        <w:t>ascendería a los U$S 230.000. […] Versiones judiciales indican  que  […]  la</w:t>
        <w:br/>
        <w:t>preocupación de la diputada estaría centrada en  documentación  que  también</w:t>
        <w:br/>
        <w:t>se habría encontrado guardada en la caja y que podría estar vinculada a  las</w:t>
        <w:br/>
        <w:t>cuotas recibidas para la manutención del menor.</w:t>
        <w:br/>
        <w:t>[22]  Cfr. Demanda por daños y perjuicios interpuesta por  el  representante</w:t>
        <w:br/>
        <w:t>legal del señor Menem (expediente de anexos al Informe No. 82/10,  anexo  4,</w:t>
        <w:br/>
        <w:t>folios 305 y ss.). La suma indicada en pesos  era  entonces  equivalente  en</w:t>
        <w:br/>
        <w:t>dólares estadounidenses.</w:t>
        <w:br/>
        <w:br/>
        <w:t>[23]  Cfr. Sentencia emitida el 10 de julio de 1997 por el Juzgado  Nacional</w:t>
        <w:br/>
        <w:t>de Primera Instancia en lo Civil No. 35 de la  Capital  Federal  (expediente</w:t>
        <w:br/>
        <w:t>de anexos al Informe No. 82/10, anexo 8, folios 342 y ss.).</w:t>
        <w:br/>
        <w:br/>
        <w:t>[24]  Cfr. Sentencia emitida el 11 de marzo de 1998 por  la  Sala  H  de  la</w:t>
        <w:br/>
        <w:t>Cámara Nacional de Apelaciones en lo Civil  de  la  Capital  Federal,  supra</w:t>
        <w:br/>
        <w:t>nota  17,  folios  369  y  ss.  La  suma  indicada  en  pesos  era  entonces</w:t>
        <w:br/>
        <w:t>equivalente en dólares estadounidenses.</w:t>
        <w:br/>
        <w:br/>
        <w:t>[25]  Cfr. Recurso Extraordinario Federal interpuesto el 1 de abril de  1998</w:t>
        <w:br/>
        <w:t>por la apoderada de Editorial  Perfil  S.A.  y  de  las  presuntas  víctimas</w:t>
        <w:br/>
        <w:t>(expediente de anexos al Informe No. 82/10, anexo 11, folios 425 y ss.).</w:t>
        <w:br/>
        <w:br/>
        <w:t>[26]  Cfr. Sentencia emitida el 25  de  septiembre  de  2001  por  la  Corte</w:t>
        <w:br/>
        <w:t>Suprema de Justicia de la Nación,  (expediente  de  anexos  al  Informe  No.</w:t>
        <w:br/>
        <w:t>82/10, anexo 12, folios 523 y ss.). La suma indicada en pesos  era  entonces</w:t>
        <w:br/>
        <w:t>equivalente en dólares estadounidenses.</w:t>
        <w:br/>
        <w:t>[27]  Cfr. Sentencia de la Corte Suprema de Justicia  de  la  Nación,  supra</w:t>
        <w:br/>
        <w:t>nota 26, folios 530 a 533, Considerandos 13 y 16.</w:t>
        <w:br/>
        <w:br/>
        <w:t>[28]  Cfr. Escrito presentado por el  abogado  del  actor  ante  el  juzgado</w:t>
        <w:br/>
        <w:t>civil solicitando la  aprobación  judicial  de  una  nueva  liquidación  por</w:t>
        <w:br/>
        <w:t>reintegro de tasa de justicia (expediente de anexos al  Informe  No.  82/10,</w:t>
        <w:br/>
        <w:t>anexo 1, tomo I, folios 4 y ss.); escrito de solicitud de suspensión  de  la</w:t>
        <w:br/>
        <w:t>sentencia y de levantamiento de embargo presentado el 4  de  marzo  de  2002</w:t>
        <w:br/>
        <w:t>por la apoderada de Editorial Perfil S.A. (expediente de anexos  al  Informe</w:t>
        <w:br/>
        <w:t>No. 82/10, anexo 13, tomo I, folio 567),  y  escrito  mediante  el  cual  el</w:t>
        <w:br/>
        <w:t>abogado de la parte demandada comunica al  juzgado  civil  la  apertura  del</w:t>
        <w:br/>
        <w:t>concurso preventivo, solicita la  suspensión  del  procedimiento  y  que  se</w:t>
        <w:br/>
        <w:t>dejen sin efecto las medidas cautelares (expediente  de  anexos  al  Informe</w:t>
        <w:br/>
        <w:t>No. 82/10, anexo 14, tomo I, folios 569 y ss.).</w:t>
        <w:br/>
        <w:br/>
        <w:t>[29]   Cfr.  Escrito  de  solicitud  de  suspensión  de   sentencia   y   de</w:t>
        <w:br/>
        <w:t>levantamiento del embargo presentado el 4 de marzo de 2002 por la  apoderada</w:t>
        <w:br/>
        <w:t>de Editorial Perfil S.A. supra nota 28; escrito mediante el cual el  abogado</w:t>
        <w:br/>
        <w:t>de la parte demandada comunica al juzgado civil  la  apertura  del  concurso</w:t>
        <w:br/>
        <w:t>preventivo, solicita la suspensión del procedimiento y que dejen sin  efecto</w:t>
        <w:br/>
        <w:t>las medidas cautelares,  supra  nota  28,  y  Declaración  del  señor  Jorge</w:t>
        <w:br/>
        <w:t>Fontevecchia, supra nota 16.</w:t>
        <w:br/>
        <w:br/>
        <w:t>[30]   Cfr.  Declaración  del  señor  Héctor  D’Amico,  supra  nota  16,   y</w:t>
        <w:br/>
        <w:t>Certificación de 23 de abril de 2009 emitida por el Jefe  de  Liquidación  y</w:t>
        <w:br/>
        <w:t>Administración de Personal de  La  Nación  S.A.  (expediente  de  anexos  al</w:t>
        <w:br/>
        <w:t>Informe No. 82/10, anexo 15, folios 576 y ss.).</w:t>
        <w:br/>
        <w:br/>
        <w:t>[31]  Cfr. Cédula de notificación dirigida al señor Héctor  D´Amico  por  el</w:t>
        <w:br/>
        <w:t>Juzgado Nacional de Primera Instancia en lo  Civil  No.  36  (expediente  de</w:t>
        <w:br/>
        <w:t>anexos al Informe No. 82/10, anexo, 16, tomo I, folio 580).</w:t>
        <w:br/>
        <w:t>[32]  Cfr. Oficio emitido el 18 de febrero de 2004 por el  Juzgado  Nacional</w:t>
        <w:br/>
        <w:t>de Primera  Instancia  en  lo  Civil  No.  36  dirigido  al  Presidente  del</w:t>
        <w:br/>
        <w:t>Directorio del Diario La Nación S.A. (expediente de anexos  al  Informe  No.</w:t>
        <w:br/>
        <w:t>82/10, anexo 17, tomo I, folios 582 y 583).</w:t>
        <w:br/>
        <w:br/>
        <w:t>[33]   Cfr.  Declaración  del  señor  Héctor  D’Amico,  supra  nota  16,   y</w:t>
        <w:br/>
        <w:t>Certificación de 23 de abril de 2009,  supra nota 30, folio 576.</w:t>
        <w:br/>
        <w:br/>
        <w:t>[34]  Cfr. Informe de Fondo No. 82/10 de la Comisión  Interamericana,  supra</w:t>
        <w:br/>
        <w:t>nota 4, folio 29.</w:t>
        <w:br/>
        <w:br/>
        <w:t>[35]  Cfr. La Colegiación Obligatoria de Periodistas (Arts. 13 y  29  de  la</w:t>
        <w:br/>
        <w:t>Convención Americana sobre Derechos Humanos). Opinión Consultiva OC-5/85  de</w:t>
        <w:br/>
        <w:t>13 de noviembre de 1985. Serie A No. 5, párr. 30, y Caso Tristán Donoso  Vs.</w:t>
        <w:br/>
        <w:t>Panamá. Excepción Preliminar, Fondo, Reparaciones y Costas. Sentencia de  27</w:t>
        <w:br/>
        <w:t>de enero de 2009. Serie C No. 193, párr. 109.</w:t>
        <w:br/>
        <w:br/>
        <w:t>[36]  Cfr. Caso Herrera Ulloa  Vs.  Costa  Rica.  Excepciones  Preliminares,</w:t>
        <w:br/>
        <w:t>Fondo, Reparaciones y Costas. Sentencia de 2 de julio de 2004. Serie  C  No.</w:t>
        <w:br/>
        <w:t>107, párr. 120, y Caso Tristán Donoso Vs. Panamá, supra nota 35, párr. 110.</w:t>
        <w:br/>
        <w:br/>
        <w:t>[37]  Cfr. Caso Ivcher Bronstein Vs. Perú.  Fondo,  Reparaciones  y  Costas.</w:t>
        <w:br/>
        <w:t>Sentencia de 6 de febrero de 2001.  Serie  C  No.  74,  párr.  149,  y  Caso</w:t>
        <w:br/>
        <w:t>Herrera Ulloa Vs. Costa Rica, supra nota 36, párr. 117.</w:t>
        <w:br/>
        <w:br/>
        <w:t>[38]  Caso Kimel Vs. Argentina. Fondo, Reparaciones y Costas.  Sentencia  de</w:t>
        <w:br/>
        <w:t>2 de mayo de 2008. Serie C No. 177, párr. 57.</w:t>
        <w:br/>
        <w:br/>
        <w:t>[39]        La Colegiación Obligatoria de Periodistas, supra nota 35.  Serie</w:t>
        <w:br/>
        <w:t>A No. 5, párrs. 72 a 74.</w:t>
        <w:br/>
        <w:br/>
        <w:t>[40]  Cfr. en una redacción anterior, Caso Herrera  Ulloa  Vs.  Costa  Rica,</w:t>
        <w:br/>
        <w:t>supra nota 36, párrs. 128 y 129, y Caso Tristán  Donoso  Vs.  Panamá,  supra</w:t>
        <w:br/>
        <w:t>nota 35, párr. 115.</w:t>
        <w:br/>
        <w:br/>
        <w:t>[41]   Cfr.  Caso  de  las  Masacres  de  Ituango  Vs.  Colombia.  Excepción</w:t>
        <w:br/>
        <w:t>Preliminar, Fondo, Reparaciones y Costas. Sentencia de 1 de julio  de  2006.</w:t>
        <w:br/>
        <w:t>Serie C No. 148, párrs. 193 y 194, y Caso Tristán Donoso Vs.  Panamá,  supra</w:t>
        <w:br/>
        <w:t>nota 35, párr. 55.</w:t>
        <w:br/>
        <w:br/>
        <w:t>[42]  En igual  sentido,  Cfr.  TEDH,  Case  of  Von  Hannover  v.  Germany,</w:t>
        <w:br/>
        <w:t>Sentencia de 24 de junio  de  2004,  párr.  57,  y  Resolución  1165  de  la</w:t>
        <w:br/>
        <w:t>Asamblea  Parlamentaria  del  Consejo  de  Europa  sobre  el  derecho  a  la</w:t>
        <w:br/>
        <w:t>privacidad de 26 de junio de 1998, artículo 12.</w:t>
        <w:br/>
        <w:br/>
        <w:t>[43]  Cfr. Caso Kimel Vs. Argentina, supra nota 38, párr. 75.</w:t>
        <w:br/>
        <w:br/>
        <w:t>[44]  Cfr. Caso Kimel Vs. Argentina, supra nota 38, párr. 56.</w:t>
        <w:br/>
        <w:t>[45]  Cfr. mutatis mutandi, Caso Kimel Vs. Argentina, supra nota  38,  párr.</w:t>
        <w:br/>
        <w:t>71, y Caso Tristán Donoso Vs. Panamá, supra nota 35, párr. 118.</w:t>
        <w:br/>
        <w:br/>
        <w:t>[46]  La Colegiación Obligatoria de Periodistas, supra nota 36, párrs. 41  a</w:t>
        <w:br/>
        <w:t>46. En este último párrafo, el Tribunal señaló:  “[e]s  importante  destacar</w:t>
        <w:br/>
        <w:t>que la Corte Europea de Derechos Humanos al interpretar el  artículo  10  de</w:t>
        <w:br/>
        <w:t>la Convención Europea,  concluyó  que  “necesarias”,  sin  ser  sinónimo  de</w:t>
        <w:br/>
        <w:t>“indispensables”, implica la existencia de una “necesidad social  imperiosa"</w:t>
        <w:br/>
        <w:t>y que para que una restricción sea “necesaria” no  es  suficiente  demostrar</w:t>
        <w:br/>
        <w:t>que sea “útil”, “razonable”  u  “oportuna”  […].  Esta  conclusión,  que  es</w:t>
        <w:br/>
        <w:t>igualmente aplicable a la Convención Americana, sugiere que  la  “necesidad”</w:t>
        <w:br/>
        <w:t>y, por ende, la legalidad de las restricciones a la  libertad  de  expresión</w:t>
        <w:br/>
        <w:t>fundadas sobre el  artículo  13.2,  dependerá  de  que  estén  orientadas  a</w:t>
        <w:br/>
        <w:t>satisfacer un interés público imperativo[.]” Asimismo, Cfr.  TEDH,  Case  of</w:t>
        <w:br/>
        <w:t>Editions Plon v. France, Sentencia de 18 de mayo de 2004, párr.  42  y  Case</w:t>
        <w:br/>
        <w:t>of MGN Limited v The United Kingdom, Sentencia  de  18  de  enero  de  2011,</w:t>
        <w:br/>
        <w:t>párr. 139.</w:t>
        <w:br/>
        <w:br/>
        <w:t>[47]  Cfr. Caso Kimel Vs. Argentina, supra nota 38, párrs. 55 y 78.</w:t>
        <w:br/>
        <w:t>[48]  Cfr. Caso Tristán Donoso Vs. Panamá, supra nota 35, párr. 121.</w:t>
        <w:br/>
        <w:t>[49]  Cfr. El Jefe. Vida y obra de  Carlos  Saúl  Menem,  Gabriela  Cerruti,</w:t>
        <w:br/>
        <w:t>Editorial Planeta, Buenos Aires, 1993 (expediente de anexos al  Informe  No.</w:t>
        <w:br/>
        <w:t>82/10, anexo 5, tomo I, folios 334 y 335).</w:t>
        <w:br/>
        <w:br/>
        <w:t>[50]  Cfr. El Mundo, de 2 de marzo de 1994, Menem, acusado de tener un  hijo</w:t>
        <w:br/>
        <w:t>extramatrimonial no reconocido. La madre es  la  diputada  peronista  Martha</w:t>
        <w:br/>
        <w:t>Meza (expediente de anexos al Informe No.  82/10,  anexo  6,  folios  338  y</w:t>
        <w:br/>
        <w:t>339).</w:t>
        <w:br/>
        <w:t>[51]        Cfr. Revista Noticias, ediciones No. 984 y 985, supra  notas  18</w:t>
        <w:br/>
        <w:t>y 20; El Jefe.  Vida  y  obra  de  Carlos  Saúl  Menem,  supra  nota  49,  y</w:t>
        <w:br/>
        <w:t>declaración del señor Héctor D’Amico, supra nota 16.</w:t>
        <w:br/>
        <w:br/>
        <w:t>[52]  Cfr. Caso Ricardo Canese Vs. Paraguay. Fondo, Reparaciones  y  Costas.</w:t>
        <w:br/>
        <w:t>Sentencia de 31 de agosto de 2004. Serie  C  No.  111,  párr.  105,  y  Caso</w:t>
        <w:br/>
        <w:t>Tristán Donoso Vs. Panamá, supra nota 35, párr. 123.</w:t>
        <w:br/>
        <w:br/>
        <w:t>[53]  Cfr. Sentencia de 11 de marzo de 1998  de  la  Sala  H  de  la  Cámara</w:t>
        <w:br/>
        <w:t>Nacional de Apelaciones en lo Civil de la Capital Federal,  supra  nota  17,</w:t>
        <w:br/>
        <w:t>folios 386 y 387.</w:t>
        <w:br/>
        <w:br/>
        <w:t>[54]  Cfr. Caso Tristán Donoso Vs. Panamá, supra nota 35, párr. 55,  y  Caso</w:t>
        <w:br/>
        <w:t>Escher y otros Vs. Brasil. Excepciones Preliminares, Fondo,  Reparaciones  y</w:t>
        <w:br/>
        <w:t>Costas. Sentencia de 6 de julio de 2009. Serie C No. 200, párr. 114.</w:t>
        <w:br/>
        <w:t>[55]  En igual sentido, Cfr.  TEDH,  Schussel  v.  Austria,  Decisión  sobre</w:t>
        <w:br/>
        <w:t>Admisibilidad, 21 de febrero de 2002, párr. 2, y Case  of  Von  Hannover  v.</w:t>
        <w:br/>
        <w:t>Germany, supra nota 42, párr. 50.</w:t>
        <w:br/>
        <w:br/>
        <w:t>[56]  Cfr. TEDH Case of Von Hannover v. Germany, supra nota 42, párr. 59,  y</w:t>
        <w:br/>
        <w:t>Case of MGN Limited v. The United Kingdom, supra nota 46, párr. 143.</w:t>
        <w:br/>
        <w:br/>
        <w:t>[57]  Declaración del señor Héctor D’Amico, supra nota 16.</w:t>
        <w:br/>
        <w:t>[58]  Cfr. Caso Tristán Donoso Vs. Panamá, supra nota 35, párr. 129.</w:t>
        <w:br/>
        <w:br/>
        <w:t>[59]  El artículo 2 de la Convención Americana establece que:</w:t>
        <w:br/>
        <w:br/>
        <w:t>Si el ejercicio de los derechos y libertades mencionados en  el  artículo  1</w:t>
        <w:br/>
        <w:t>no estuviere  ya  garantizado  por  disposiciones  legislativas  o  de  otro</w:t>
        <w:br/>
        <w:t>carácter, los Estados Partes se comprometen a adoptar,  con  arreglo  a  sus</w:t>
        <w:br/>
        <w:t>procedimientos constitucionales y a las disposiciones  de  esta  Convención,</w:t>
        <w:br/>
        <w:t>las medidas legislativas o de  otro  carácter  que  fueren  necesarias  para</w:t>
        <w:br/>
        <w:t>hacer efectivos tales derechos y libertades.</w:t>
        <w:br/>
        <w:t>[60]  Cfr.  Caso  "Cinco  Pensionistas"  Vs.  Perú.  Fondo,  Reparaciones  y</w:t>
        <w:br/>
        <w:t>Costas. Sentencia de 28 de febrero de 2003. Serie C No.  98,  párr.  155,  y</w:t>
        <w:br/>
        <w:t>Caso de la Familia Barrios Vs.  Venezuela,  Fondo,  Reparaciones  y  Costas.</w:t>
        <w:br/>
        <w:t>Sentencia de 24 de noviembre de 2011. Serie C. No. 237, párr. 33.</w:t>
        <w:br/>
        <w:t>[61]  Cfr. Caso Salvador  Chiriboga  Vs.  Ecuador.  Excepción  Preliminar  y</w:t>
        <w:br/>
        <w:t>Fondo. Sentencia de 6 de mayo de 2008. Serie C No. 179, párr. 122.</w:t>
        <w:br/>
        <w:br/>
        <w:t>[62]  Caso Kimel Vs. Argentina supra nota 38, párr. 63.</w:t>
        <w:br/>
        <w:br/>
        <w:t>[63]  Al respecto, el perito  Saba  manifestó  que  el  lenguaje  vago  del</w:t>
        <w:br/>
        <w:t>artículo 1071 bis deja al funcionario judicial una amplitud  de  discreción</w:t>
        <w:br/>
        <w:t>interpretativa que no  es  admisible  en  ninguna  tradición  jurídica  que</w:t>
        <w:br/>
        <w:t>hubiera adoptado el  principio  de  legalidad,  central  en  un  estado  de</w:t>
        <w:br/>
        <w:t>derecho. Dicho artículo se refiere al potencial  daño  ocasionado  como  el</w:t>
        <w:br/>
        <w:t>resultado de expresiones que hubieren  perturbado  “de  cualquier  modo  su</w:t>
        <w:br/>
        <w:t>intimidad” para luego dar al juez una facultad prácticamente sin límites al</w:t>
        <w:br/>
        <w:t>momento de estimar la cuantía de la compensación  por  el  daño  producido,</w:t>
        <w:br/>
        <w:t>estableciendo  que  se  deberá  “pagar   una   indemnización   que   fijará</w:t>
        <w:br/>
        <w:t>equitativamente el juez, de acuerdo con las circunstancias”. Finalmente, la</w:t>
        <w:br/>
        <w:t>norma argentina también ha dejado librada a la discreción del magistrado la</w:t>
        <w:br/>
        <w:t>decisión de,  a  pedido  del  agraviado,  “ordenar  la  publicación  de  la</w:t>
        <w:br/>
        <w:t>sentencia en un diario o periódico del lugar”, lo cual, en  algunos  casos,</w:t>
        <w:br/>
        <w:t>pondría también en cabeza del sujeto una responsabilidad ulterior de costos</w:t>
        <w:br/>
        <w:t>ingentes. Una legislación que establezca un régimen de responsabilidad  por</w:t>
        <w:br/>
        <w:t>daños que se encuentre diseñada de forma tal que deja una amplísimo  margen</w:t>
        <w:br/>
        <w:t>de   discrecionalidad   al   juez   para   tomar   decisiones   y   asignar</w:t>
        <w:br/>
        <w:t>responsabilidades, genera una incertidumbre  tal  que  conduce  a  que  una</w:t>
        <w:br/>
        <w:t>persona prudente se inhiba de ejercer su derecho a la libertad de expresión</w:t>
        <w:br/>
        <w:t>por miedo a los riesgos desconocidos y eventualmente graves que correría si</w:t>
        <w:br/>
        <w:t>fuera hallado responsable de haber ocasionado daños a terceros  (expediente</w:t>
        <w:br/>
        <w:t>de fondo, tomo I, folios 642 y ss.).</w:t>
        <w:br/>
        <w:br/>
        <w:t>[64]  Por su parte, el perito Rivera indicó que  el  artículo  presenta  un</w:t>
        <w:br/>
        <w:t>contenido  excesivamente  vago,  limitándose  a  dar  algunos  ejemplos  de</w:t>
        <w:br/>
        <w:t>violaciones a la intimidad pero sin detallar en concreto qué  conductas  se</w:t>
        <w:br/>
        <w:t>encuentran prohibidas. Tampoco  distingue  entre  funcionarios  públicos  y</w:t>
        <w:br/>
        <w:t>personas privadas, y ni siquiera menciona el interés público como causa  de</w:t>
        <w:br/>
        <w:t>justificación. La consideración como  violación  a  la  intimidad  de  toda</w:t>
        <w:br/>
        <w:t>mortificación de los sentimientos de otro es claramente incompatible con un</w:t>
        <w:br/>
        <w:t>principio fundamental de la libertad de expresión según el cual  el  Estado</w:t>
        <w:br/>
        <w:t>no puede prohibir o castigar una determinada idea u opinión porque  resulta</w:t>
        <w:br/>
        <w:t>ofensiva para ciertas personas. Tampoco establece pauta alguna respecto del</w:t>
        <w:br/>
        <w:t>monto indemnizatorio. Simplemente autoriza a  los  tribunales  a  fijar  el</w:t>
        <w:br/>
        <w:t>monto de forma “equitativa” (expediente de fondo,  tomo  I,  folios  483  y</w:t>
        <w:br/>
        <w:t>ss.).</w:t>
        <w:br/>
        <w:t>[65]  La Colegiación Obligatoria de Periodistas, supra nota 35, párr. 40.</w:t>
        <w:br/>
        <w:br/>
        <w:t>[66]  Cfr. TEDH Case of Tammer v. Estonia, Sentencia  de  6  de  febrero  de</w:t>
        <w:br/>
        <w:t>2001, párr. 37, y Case of Editions Plon v. France, supra nota 46, párr. 26.</w:t>
        <w:br/>
        <w:t>[67]   Cfr.  Caso  Almonacid  Arellano  y  otros  Vs.   Chile.   Excepciones</w:t>
        <w:br/>
        <w:t>Preliminares, Fondo, Reparaciones y Costas. Sentencia de  26  de  septiembre</w:t>
        <w:br/>
        <w:t>de 2006. Serie C No. 154, párr. 124, y Caso Cabrera García y Montiel  Flores</w:t>
        <w:br/>
        <w:t>Vs. México. Excepción Preliminar, Fondo, Reparaciones  y  Costas.  Sentencia</w:t>
        <w:br/>
        <w:t>de 26 de noviembre de 2010. Serie C No. 220, párr. 225.</w:t>
        <w:br/>
        <w:br/>
        <w:t>[68]  El artículo 63.1 de la Convención Americana dispone:</w:t>
        <w:br/>
        <w:br/>
        <w:t>Cuando decida que hubo violación de un  derecho  o 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lesionada.</w:t>
        <w:br/>
        <w:br/>
        <w:t>[69]  Cfr. Caso Velásquez Rodríguez Vs.  Honduras.  Reparaciones  y  Costas.</w:t>
        <w:br/>
        <w:t>Sentencia de 21 de julio de 1989. Serie C No. 7, párr. 25,  y  Caso  Barbani</w:t>
        <w:br/>
        <w:t>Duarte y otros Vs. Uruguay, supra nota 8, párr. 239.</w:t>
        <w:br/>
        <w:br/>
        <w:t>[70]  Cfr. Caso Castillo Páez Vs. Perú. Reparaciones y Costas. Sentencia  de</w:t>
        <w:br/>
        <w:t>27 de noviembre de 1998. Serie C No. 43, párr. 50, y Caso Barbani  Duarte  y</w:t>
        <w:br/>
        <w:t>otros Vs. Uruguay, supra nota 8, párr. 239.</w:t>
        <w:br/>
        <w:br/>
        <w:t>[71]  Cfr. Caso Velásquez Rodríguez Vs.  Honduras.  Reparaciones  y  Costas,</w:t>
        <w:br/>
        <w:t>supra nota 69, párr. 26, y Caso Barbani Duarte y otros  Vs.  Uruguay,  supra</w:t>
        <w:br/>
        <w:t>nota 8, párr. 240.</w:t>
        <w:br/>
        <w:br/>
        <w:t>[72]  Cfr. Caso Ticona Estrada y otros Vs. Bolivia.  Fondo,  Reparaciones  y</w:t>
        <w:br/>
        <w:t>Costas. Sentencia de 27 de noviembre de 2008. Serie C No. 191, párr. 110,  y</w:t>
        <w:br/>
        <w:t>Caso Barbani Duarte y otros Vs. Uruguay, supra nota 8, párr. 241.</w:t>
        <w:br/>
        <w:br/>
        <w:t>[73]   Cfr.   Caso  de  la  Masacre  de  la  Rochela  Vs.  Colombia.  Fondo,</w:t>
        <w:br/>
        <w:t>Reparaciones y Costas. Sentencia de 11 de mayo de 2007.  Serie  C  No.  163,</w:t>
        <w:br/>
        <w:t>párr. 233, y Caso Barbani Duarte y otros Vs. Uruguay, supra  nota  8,  párr.</w:t>
        <w:br/>
        <w:t>242.</w:t>
        <w:br/>
        <w:br/>
        <w:t>[74]  Cfr. Caso El Amparo Vs. Venezuela. Reparaciones  y  Costas.  Sentencia</w:t>
        <w:br/>
        <w:t>de 14 de septiembre de 1996. Serie C  No.  28,  párr.  35,  y  Caso  Barbani</w:t>
        <w:br/>
        <w:t>Duarte y otros Vs. Uruguay, supra nota 8, párr. 243.</w:t>
        <w:br/>
        <w:br/>
        <w:t>[75]  Cfr., inter alia, Caso Herrera Ulloa Vs. Costa Rica,  supra  nota  36,</w:t>
        <w:br/>
        <w:t>párr. 195; Caso Tristán Donoso Vs. Panamá, supra nota 35, párr. 195, y  Caso</w:t>
        <w:br/>
        <w:t>Kimel, supra nota 38, párr. 123.</w:t>
        <w:br/>
        <w:t>[76]  Cfr. Caso Barrios Altos Vs. Perú. Reparaciones y Costas. Sentencia  de</w:t>
        <w:br/>
        <w:t>30 de noviembre de 2001. Serie C No.  87,  Punto  Resolutivo  5.d),  y  Caso</w:t>
        <w:br/>
        <w:t>Barbani Duarte y otros Vs. Uruguay, supra nota 8, párr. 252.</w:t>
        <w:br/>
        <w:t>[77]  Cfr. Caso Bámaca  Velásquez  Vs.  Guatemala.  Reparaciones  y  Costas.</w:t>
        <w:br/>
        <w:t>Sentencia de 22 de febrero de 2002. Serie C No. 91, párr. 43, y  Caso  López</w:t>
        <w:br/>
        <w:t>Mendoza Vs. Venezuela, supra nota 12, párr. 231.</w:t>
        <w:br/>
        <w:t>[78]  Caso de los “Niños de  la  Calle”  (Villagrán  Morales  y  otros)  Vs.</w:t>
        <w:br/>
        <w:t>Guatemala. Reparaciones y Costas. Sentencia de 26 de mayo de 2001.  Serie  C</w:t>
        <w:br/>
        <w:t>No. 77, párr. 84, y Caso Barbani Duarte y otros Vs. Uruguay, supra  nota  8,</w:t>
        <w:br/>
        <w:t>párr. 257.</w:t>
        <w:br/>
        <w:br/>
        <w:t>[79]  Cfr. Caso Garrido y Baigorria Vs  Argentina.  Reparaciones  y  Costas.</w:t>
        <w:br/>
        <w:t>Sentencia de 27 de agosto de 1998. Serie C No. 39, párr. 79, y Caso  Barbani</w:t>
        <w:br/>
        <w:t>Duarte y otros Vs. Uruguay, supra nota 8, párr. 266.</w:t>
        <w:br/>
        <w:t>[80]  Cfr. Caso Chaparro Álvarez y  Lapo  Íñiguez.  Vs.  Ecuador.  Excepción</w:t>
        <w:br/>
        <w:t>Preliminar, Fondo, Reparaciones y Costas. Sentencia de 21  de  noviembre  de</w:t>
        <w:br/>
        <w:t>2007. Serie C No. 170,  párr.  275,  y  Caso  Barbani  Duarte  y  otros  Vs.</w:t>
        <w:br/>
        <w:t>Uruguay, supra nota 8, párr. 270.</w:t>
        <w:br/>
        <w:br/>
        <w:t>[81]  Cfr. Caso Garrido y  Baigorria,  supra  nota  79,  párr.  82,  y  Caso</w:t>
        <w:br/>
        <w:t>Barbani Duarte y otros Vs. Uruguay, supra nota 8, párr. 270.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