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t xml:space="preserve">                  CORTE INTERAMERICANA DE DERECHOS HUMANOS</w:t>
        <w:br/>
        <w:br/>
        <w:t xml:space="preserve">                     Caso ATALA RIFFO Y NIÑAS Vs. CHILE</w:t>
        <w:br/>
        <w:br/>
        <w:t xml:space="preserve">                     SENTENCIA DE 24 DE FEBRERO DE 2012</w:t>
        <w:br/>
        <w:t xml:space="preserve">                       (Fondo, Reparaciones y Costas)</w:t>
        <w:br/>
        <w:br/>
        <w:br/>
        <w:br/>
        <w:t>En el caso Atala Riffo y niñas,</w:t>
        <w:br/>
        <w:br/>
        <w:t>la Corte Interamericana de Derechos Humanos (en adelante “la Corte</w:t>
        <w:br/>
        <w:t>Interamericana”, “la Corte”, o “el Tribunal”), integrada por los siguientes</w:t>
        <w:br/>
        <w:t>jueces[1]:</w:t>
        <w:br/>
        <w:br/>
        <w:t xml:space="preserve">      Diego García-Sayán, Presidente;</w:t>
        <w:br/>
        <w:t xml:space="preserve">      Manuel E. Ventura Robles, Vicepresidente;</w:t>
        <w:br/>
        <w:t xml:space="preserve">      Leonardo A. Franco, Juez;</w:t>
        <w:br/>
        <w:t xml:space="preserve">      Margarette May Macaulay, Jueza;</w:t>
        <w:br/>
        <w:t xml:space="preserve">      Rhadys Abreu Blondet, Jueza;</w:t>
        <w:br/>
        <w:t xml:space="preserve">      Alberto Pérez Pérez, Juez, y</w:t>
        <w:br/>
        <w:br/>
        <w:t>presentes además,</w:t>
        <w:br/>
        <w:br/>
        <w:t xml:space="preserve">      Pablo Saavedra Alessandri, Secretario, y</w:t>
        <w:br/>
        <w:t xml:space="preserve">      Emilia Segares Rodríguez, Secretaria Adjunta;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31, 32, 56, 57, 65 y 67  del  Reglamento  de</w:t>
        <w:br/>
        <w:t>la Corte[2] (en adelante “el Reglamento”), dicta la presente  Sentencia  que</w:t>
        <w:br/>
        <w:t>se estructura en el siguiente orden:</w:t>
        <w:br/>
        <w:br/>
        <w:br/>
        <w:br/>
        <w:br/>
        <w:br/>
        <w:t>I. Introducción de la Causa y OBJETO DE LA CONTROVERSIA 2</w:t>
        <w:br/>
        <w:br/>
        <w:br/>
        <w:t>II. PROCEDIMIENTO ANTE LA CORTE   2</w:t>
        <w:br/>
        <w:br/>
        <w:br/>
        <w:t>III. COMPETENCIA 2</w:t>
        <w:br/>
        <w:br/>
        <w:br/>
        <w:t>IV.  PRUEBA 2</w:t>
        <w:br/>
        <w:br/>
        <w:br/>
        <w:t xml:space="preserve">  A.  Prueba documental, testimonial y pericial    2</w:t>
        <w:br/>
        <w:br/>
        <w:br/>
        <w:t xml:space="preserve">  B.  Admisión de la prueba documental  2</w:t>
        <w:br/>
        <w:br/>
        <w:br/>
        <w:t xml:space="preserve">  C.  Admisión de la prueba testimonial y pericial 2</w:t>
        <w:br/>
        <w:br/>
        <w:br/>
        <w:t>V. DERECHO A LA IGUALDAD Y LA PROHIBICIÓN DE DISCRIMINACIÓN,  DERECHO  A  LA</w:t>
        <w:br/>
        <w:t>VIDA PRIVADA, DERECHO A LA VIDA FAMILIAR, DERECHOS DEL NIÑO, DERECHOS A  LAS</w:t>
        <w:br/>
        <w:t>GARANTÍAS  JUDICIALES  Y  A  LA  PROTECCIÓN  JUDICIAL  EN  RELACIÓN  CON  LA</w:t>
        <w:br/>
        <w:t>OBLIGACIÓN DE RESPETAR Y GARANTIZAR LOS  DERECHOS  RESPECTO  AL  PROCESO  DE</w:t>
        <w:br/>
        <w:t>TUICIÓN     2</w:t>
        <w:br/>
        <w:br/>
        <w:br/>
        <w:t xml:space="preserve">  A.  Hechos probados en relación con el procedimiento de tuición  2</w:t>
        <w:br/>
        <w:br/>
        <w:t xml:space="preserve">   1. Proceso de tuición    2</w:t>
        <w:br/>
        <w:t xml:space="preserve">   2. Tuición provisional concedida al padre 2</w:t>
        <w:br/>
        <w:t xml:space="preserve">   3.      Sentencia de primera instancia otorgando la tuición de las niñas</w:t>
        <w:br/>
        <w:t xml:space="preserve">   a la señora Atala   2</w:t>
        <w:br/>
        <w:t xml:space="preserve">   4.      Apelación ante la Corte de Apelaciones de Temuco y concesión de</w:t>
        <w:br/>
        <w:t xml:space="preserve">   orden de no innovar en favor del padre    2</w:t>
        <w:br/>
        <w:t xml:space="preserve">   5.      Interposición del recurso de queja ante la Corte Suprema de</w:t>
        <w:br/>
        <w:t xml:space="preserve">   Justicia y concesión de la segunda orden de no innovar a favor del padre</w:t>
        <w:br/>
        <w:t xml:space="preserve">   2</w:t>
        <w:br/>
        <w:t xml:space="preserve">   6.      Sentencia de la Corte Suprema de Justicia de Chile      2</w:t>
        <w:br/>
        <w:br/>
        <w:t xml:space="preserve">  B.  Consideraciones previas     2</w:t>
        <w:br/>
        <w:br/>
        <w:t xml:space="preserve">   1.      Consideración previa sobre el objeto del caso ante la Corte</w:t>
        <w:br/>
        <w:t xml:space="preserve">   Interamericana      2</w:t>
        <w:br/>
        <w:t xml:space="preserve">   2.      Consideración previa sobre la participación de las niñas M., V.</w:t>
        <w:br/>
        <w:t xml:space="preserve">   y R.    2</w:t>
        <w:br/>
        <w:br/>
        <w:t xml:space="preserve">  C.  El derecho a la igualdad y la prohibición de discriminación  2</w:t>
        <w:br/>
        <w:br/>
        <w:t xml:space="preserve">   1.      Derecho a la igualdad y a la no discriminación    2</w:t>
        <w:br/>
        <w:t xml:space="preserve">   2.      La orientación sexual como categoría protegida por el artículo</w:t>
        <w:br/>
        <w:t xml:space="preserve">   1.1 de la Convención Americana 2</w:t>
        <w:br/>
        <w:t xml:space="preserve">   3.      Diferencia de trato basada en la orientación sexual     2</w:t>
        <w:br/>
        <w:t xml:space="preserve">   4.      El principio del interés superior del niño y las presunciones de</w:t>
        <w:br/>
        <w:t xml:space="preserve">   riesgo  2</w:t>
        <w:br/>
        <w:t xml:space="preserve">     4.1.   Presunta discriminación social   2</w:t>
        <w:br/>
        <w:t xml:space="preserve">     4.2.   Alegada confusión de roles  2</w:t>
        <w:br/>
        <w:t xml:space="preserve">     4.3.   Alegado privilegio de intereses  2</w:t>
        <w:br/>
        <w:t xml:space="preserve">     4.4.   Alegado derecho a una familia “normal y tradicional”   2</w:t>
        <w:br/>
        <w:t xml:space="preserve">     4.5.   Conclusión 2</w:t>
        <w:br/>
        <w:t xml:space="preserve">   5. Trato discriminatorio en contra de las niñas M., V. y R.     2</w:t>
        <w:br/>
        <w:br/>
        <w:t xml:space="preserve">  D.  Derecho a la vida privada  y derecho a la vida familiar 2</w:t>
        <w:br/>
        <w:br/>
        <w:br/>
        <w:t xml:space="preserve">  E.  Garantías judiciales y protección judicial   2</w:t>
        <w:br/>
        <w:br/>
        <w:t xml:space="preserve">   1. Garantías judiciales y protección judicial en relación con la señora</w:t>
        <w:br/>
        <w:t xml:space="preserve">   Atala   2</w:t>
        <w:br/>
        <w:t xml:space="preserve">   2. Derecho de las niñas M., V. y R. a ser escuchadas y a que se tengan</w:t>
        <w:br/>
        <w:t xml:space="preserve">   en cuenta sus opiniones  2</w:t>
        <w:br/>
        <w:br/>
        <w:t>VI. DERECHO A LA IGUALDAD Y LA PROHIBICIÓN DE DISCRIMINACIÓN, DERECHO  A  LA</w:t>
        <w:br/>
        <w:t>VIDA PRIVADA Y DERECHO  A  LAS  GARANTÍAS  JUDICIALES  EN  RELACIÓN  CON  LA</w:t>
        <w:br/>
        <w:t>OBLIGACIÓN  DE  RESPETAR  Y   GARANTIZAR   RESPECTO   A   LA   INVESTIGACIÓN</w:t>
        <w:br/>
        <w:t>DISCIPLINARIA    2</w:t>
        <w:br/>
        <w:br/>
        <w:br/>
        <w:t xml:space="preserve">  A.  Hechos probados respecto a la investigación  disciplinaria  contra  la</w:t>
        <w:br/>
        <w:t xml:space="preserve">  señora Atala    2</w:t>
        <w:br/>
        <w:br/>
        <w:br/>
        <w:t xml:space="preserve">  B.  El derecho a la igualdad y la prohibición de la discriminación     2</w:t>
        <w:br/>
        <w:br/>
        <w:br/>
        <w:t xml:space="preserve">  C.  Derecho a la vida privada   2</w:t>
        <w:br/>
        <w:br/>
        <w:br/>
        <w:t xml:space="preserve">  D.  Garantías judiciales   2</w:t>
        <w:br/>
        <w:br/>
        <w:br/>
        <w:t>VII. REPARACIONES      2</w:t>
        <w:br/>
        <w:br/>
        <w:br/>
        <w:t xml:space="preserve">  A.  Parte Lesionada  2</w:t>
        <w:br/>
        <w:br/>
        <w:br/>
        <w:t xml:space="preserve">  B.  Obligación  de  investigar  e  imponer  consecuencias  legales  a  los</w:t>
        <w:br/>
        <w:t xml:space="preserve">  funcionarios responsables  2</w:t>
        <w:br/>
        <w:br/>
        <w:br/>
        <w:t xml:space="preserve">  C.  Otras medidas de reparación integral: satisfacción y garantías  de  no</w:t>
        <w:br/>
        <w:t xml:space="preserve">  repetición      2</w:t>
        <w:br/>
        <w:br/>
        <w:t xml:space="preserve">   1. Rehabilitación: asistencia médica y psicológica a las víctimas    2</w:t>
        <w:br/>
        <w:t xml:space="preserve">   2. Satisfacción     2</w:t>
        <w:br/>
        <w:t xml:space="preserve">     a)     Publicación de la Sentencia 2</w:t>
        <w:br/>
        <w:t xml:space="preserve">     b)     Acto público de reconocimiento de responsabilidad internacional</w:t>
        <w:br/>
        <w:t xml:space="preserve">     2</w:t>
        <w:br/>
        <w:t xml:space="preserve">   3. Garantías de no repetición  2</w:t>
        <w:br/>
        <w:t xml:space="preserve">     a)     Capacitación a funcionarios públicos   2</w:t>
        <w:br/>
        <w:t xml:space="preserve">     b)     Adopción de medidas de derecho interno, reformas y adecuación de</w:t>
        <w:br/>
        <w:t xml:space="preserve">     leyes contra la discriminación     2</w:t>
        <w:br/>
        <w:br/>
        <w:t xml:space="preserve">  D.  Indemnización Compensatoria por daño material e inmaterial   2</w:t>
        <w:br/>
        <w:br/>
        <w:t xml:space="preserve">     1.     Daño material    2</w:t>
        <w:br/>
        <w:t xml:space="preserve">     2.     Daño inmaterial  2</w:t>
        <w:br/>
        <w:br/>
        <w:t xml:space="preserve">  E.  Costas y gastos  2</w:t>
        <w:br/>
        <w:br/>
        <w:br/>
        <w:t xml:space="preserve">  F.  Modalidad de cumplimiento de los pagos ordenados  2</w:t>
        <w:br/>
        <w:br/>
        <w:br/>
        <w:t>VIII. PUNTOS RESOLUTIVOS    2</w:t>
        <w:br/>
        <w:br/>
        <w:br/>
        <w:t>Voto parcialmente disidente del juez Alberto Pérez Pérez.</w:t>
        <w:br/>
        <w:br/>
        <w:br/>
        <w:br/>
        <w:t xml:space="preserve">                                      I</w:t>
        <w:br/>
        <w:t xml:space="preserve">            Introducción de la Causa y OBJETO DE LA CONTROVERSIA</w:t>
        <w:br/>
        <w:br/>
        <w:br/>
        <w:t>El 17 de septiembre de 2010 la Comisión Interamericana de  Derechos  Humanos</w:t>
        <w:br/>
        <w:t>(en adelante “la Comisión” o  “la  Comisión  Interamericana”)  presentó,  de</w:t>
        <w:br/>
        <w:t>conformidad con los artículos 51 y 61 de la Convención, una  demanda  contra</w:t>
        <w:br/>
        <w:t>el Estado de Chile (en adelante “el Estado” o “Chile”) en  relación  con  el</w:t>
        <w:br/>
        <w:t>caso  12.502[3].  La  petición  inicial fue  presentada  ante  la   Comisión</w:t>
        <w:br/>
        <w:t>Interamericana el 24 de noviembre de 2004 por la señora  Karen  Atala  Riffo</w:t>
        <w:br/>
        <w:t>(en adelante la “señora Atala”) representada por abogados de  la  Asociación</w:t>
        <w:br/>
        <w:t>Libertades Públicas, la  Clínica  de  Acciones  de  Interés  Público  de  la</w:t>
        <w:br/>
        <w:t>Universidad Diego Portales y la Fundación Ideas[4].</w:t>
        <w:br/>
        <w:br/>
        <w:t>El 23 de julio de 2008 la Comisión aprobó el Informe  de  Admisibilidad  No.</w:t>
        <w:br/>
        <w:t>42/08 y el 18 de diciembre de 2009 emitió el Informe de  Fondo  No.  139/09,</w:t>
        <w:br/>
        <w:t>de conformidad con el artículo 50 de la Convención Americana[5].  El  17  de</w:t>
        <w:br/>
        <w:t>septiembre de 2010 la Comisión Interamericana consideró  que  el  Estado  no</w:t>
        <w:br/>
        <w:t>había dado cumplimiento a las recomendaciones del Informe de Fondo,  por  lo</w:t>
        <w:br/>
        <w:t>que decidió  someter  el  presente  caso  a  la  jurisdicción  de  la  Corte</w:t>
        <w:br/>
        <w:t>Interamericana. La Comisión Interamericana  designó  como  delegados  a  Luz</w:t>
        <w:br/>
        <w:t>Patricia Mejía,  Comisionada,  y  a  su  Secretario  Ejecutivo  Santiago  A.</w:t>
        <w:br/>
        <w:t>Canton, y  como  asesoras  legales  a  las  señoras  Elizabeth  Abi-Mershed,</w:t>
        <w:br/>
        <w:t>Secretaria Ejecutiva Adjunta, Silvia Serrano Guzmán, Rosa  Celorio  y  María</w:t>
        <w:br/>
        <w:t>Claudia Pulido, abogadas de la Secretaría Ejecutiva.</w:t>
        <w:br/>
        <w:br/>
        <w:t>De acuerdo a la Comisión, el presente  caso  se  relaciona  con  la  alegada</w:t>
        <w:br/>
        <w:t>responsabilidad internacional del Estado por el trato discriminatorio  y  la</w:t>
        <w:br/>
        <w:t>interferencia arbitraria en la vida privada y familiar  que  habría  sufrido</w:t>
        <w:br/>
        <w:t>la señora Atala debido a su orientación sexual en el  proceso  judicial  que</w:t>
        <w:br/>
        <w:t>resultó en el retiro del cuidado y custodia de sus hijas  M.,  V.  y  R.  El</w:t>
        <w:br/>
        <w:t>caso también se relaciona con la alegada inobservancia del interés  superior</w:t>
        <w:br/>
        <w:t>de las niñas cuya custodia y cuidado fueron determinados  en  incumplimiento</w:t>
        <w:br/>
        <w:t>de sus derechos y sobre la base de  supuestos  prejuicios  discriminatorios.</w:t>
        <w:br/>
        <w:t>La Comisión solicitó a la Corte que declare la violación  de  los  artículos</w:t>
        <w:br/>
        <w:t>11 (Protección de la Honra y de la Dignidad), 17.1 y 17.4 (Protección  a  la</w:t>
        <w:br/>
        <w:t>Familia), 19 (Derechos del Niño), 24 (Igualdad ante la  Ley),  8  (Garantías</w:t>
        <w:br/>
        <w:t>Judiciales) y 25.1  y  25.2  (Protección  Judicial)  de  la  Convención,  en</w:t>
        <w:br/>
        <w:t>relación con el artículo 1.1 de la misma. Asimismo, la Comisión solicitó  al</w:t>
        <w:br/>
        <w:t>Tribunal que ordenara al Estado la adopción de medidas de reparación.</w:t>
        <w:br/>
        <w:br/>
        <w:t>La demanda fue notificada al Estado y a los representantes el 19 de  octubre</w:t>
        <w:br/>
        <w:t>de 2010.</w:t>
        <w:br/>
        <w:br/>
        <w:t>El 25 de diciembre de 2010 Macarena Sáez,  Helena  Olea  y  Jorge  Contesse,</w:t>
        <w:br/>
        <w:t>indicando que actuaban como representantes de la señora Atala  y  las  niñas</w:t>
        <w:br/>
        <w:t>M., V. y R.[6] (en  adelante  “los  representantes”),  presentaron  ante  la</w:t>
        <w:br/>
        <w:t>Corte su escrito de solicitudes, argumentos y pruebas (en adelante  “escrito</w:t>
        <w:br/>
        <w:t>de solicitudes y argumentos”), conforme al artículo 40 del Reglamento de  la</w:t>
        <w:br/>
        <w:t>Corte[7]. Los representantes indicaron que  coincidían  totalmente  con  los</w:t>
        <w:br/>
        <w:t>hechos presentados en la demanda y solicitaron al Tribunal que declarara  la</w:t>
        <w:br/>
        <w:t>responsabilidad internacional del Estado por la violación de  los  artículos</w:t>
        <w:br/>
        <w:t>11 (Protección de la Honra y de la Dignidad), 17 (Protección a la  Familia),</w:t>
        <w:br/>
        <w:t>19 (Derechos del Niño), 24 (Igualdad ante la Ley), 8 (Garantías  Judiciales)</w:t>
        <w:br/>
        <w:t>y 25 (Protección Judicial) de la Convención Americana, en  relación  con  el</w:t>
        <w:br/>
        <w:t>artículo 1.1 de la misma.  En  consecuencia,  requirieron  a  la  Corte  que</w:t>
        <w:br/>
        <w:t>ordene diversas medidas de reparación.</w:t>
        <w:br/>
        <w:br/>
        <w:t>El 11 de  marzo  de  2011  Chile  presentó  ante  la  Corte  su  escrito  de</w:t>
        <w:br/>
        <w:t>contestación al  escrito  de  demanda  y  de  observaciones  al  escrito  de</w:t>
        <w:br/>
        <w:t>solicitudes y argumentos (en adelante “escrito de contestación”).  En  dicho</w:t>
        <w:br/>
        <w:t>escrito,  el  Estado  controvirtió  la   totalidad   de   las   pretensiones</w:t>
        <w:br/>
        <w:t>presentadas  por  la  Comisión  y   los   representantes,   y   rechazó   su</w:t>
        <w:br/>
        <w:t>responsabilidad internacional por las alegadas violaciones a  la  Convención</w:t>
        <w:br/>
        <w:t>Americana. En relación con las reparaciones solicitadas por  la  Comisión  y</w:t>
        <w:br/>
        <w:t>los representantes, el Estado solicitó a la Corte  que  las  desestimara  en</w:t>
        <w:br/>
        <w:t>todos sus términos. El Estado designó al señor Miguel Ángel González y a  la</w:t>
        <w:br/>
        <w:t>señora Paulina González Vergara como Agentes.</w:t>
        <w:br/>
        <w:br/>
        <w:br/>
        <w:t xml:space="preserve">                                     II</w:t>
        <w:br/>
        <w:t xml:space="preserve">                         PROCEDIMIENTO ANTE LA CORTE</w:t>
        <w:br/>
        <w:br/>
        <w:br/>
        <w:t>Mediante Resolución de 7 de julio de 2011[8],  el  Presidente  de  la  Corte</w:t>
        <w:br/>
        <w:t>ordenó  recibir  diversas  declaraciones  en  el  presente  caso.  Asimismo,</w:t>
        <w:br/>
        <w:t>convocó a las partes a una audiencia pública que fue celebrada los  días  23</w:t>
        <w:br/>
        <w:t>y 24 de agosto de 2011 durante el 92 Período Ordinario  de  Sesiones  de  la</w:t>
        <w:br/>
        <w:t>Corte, llevado a cabo en la ciudad de Bogotá, Colombia[9].</w:t>
        <w:br/>
        <w:br/>
        <w:t>El 18 de agosto, 6 de septiembre y 18 de octubre de 2011 el  señor  Reinaldo</w:t>
        <w:br/>
        <w:t>Bustamante Alarcón remitió  diversas  comunicaciones  en  representación  de</w:t>
        <w:br/>
        <w:t>Jaime López Allendes, padre de las niñas M., V. y  R.  en  relación  con  el</w:t>
        <w:br/>
        <w:t>presente  caso.  En  dichos  escritos,  inter  alia,  se  plantearon   estas</w:t>
        <w:br/>
        <w:t>solicitudes: i) participación de las menores de edad y representación  legal</w:t>
        <w:br/>
        <w:t>por parte del  padre  en  el  proceso  ante  la  Corte  Interamericana;  ii)</w:t>
        <w:br/>
        <w:t>solicitud de incorporación  al  proceso  como  tercero  interviniente;  iii)</w:t>
        <w:br/>
        <w:t>solicitud de nulidad de todo lo actuado ante la Comisión y la Corte,  y  iv)</w:t>
        <w:br/>
        <w:t>coadyuvancia al escrito del Estado.</w:t>
        <w:br/>
        <w:br/>
        <w:br/>
        <w:t>El 30 de noviembre de 2011 fue remitida al  señor  Bustamante  una  nota  de</w:t>
        <w:br/>
        <w:t>Secretaría, siguiendo instrucciones del pleno de la  Corte,  en  la  que  se</w:t>
        <w:br/>
        <w:t>señaló la respuesta a los escritos presentados (supra  párr.  8).  En  dicha</w:t>
        <w:br/>
        <w:t>nota se informó que: i) mediante Resolución de 29 de noviembre de  2011,  el</w:t>
        <w:br/>
        <w:t>Tribunal decidió disponer, como prueba para mejor  resolver,  que  las  tres</w:t>
        <w:br/>
        <w:t>niñas sean informadas sobre su derecho a ser  oídas  ante  la  Corte  (infra</w:t>
        <w:br/>
        <w:t>párrs. 12 y 13); ii) el Tribunal  no  tiene  competencia  para  atender  las</w:t>
        <w:br/>
        <w:t>solicitudes formuladas por  individuos  u  organizaciones  distintos  a  las</w:t>
        <w:br/>
        <w:t>presuntas víctimas que participan en la  tramitación  de  un  caso  ante  la</w:t>
        <w:br/>
        <w:t>Corte; iii) la Corte no encuentra irregularidades en  la  forma  en  que  se</w:t>
        <w:br/>
        <w:t>realizó la notificación en el presente caso, y iv) debido  a  que  el  señor</w:t>
        <w:br/>
        <w:t>López no es  parte  dentro  del  presente  caso  y  no  se  ha  aceptado  su</w:t>
        <w:br/>
        <w:t>participación como tercero interviniente, éste no  se  encuentra  legitimado</w:t>
        <w:br/>
        <w:t>para presentar argumentos de fondo o evidencia[10].</w:t>
        <w:br/>
        <w:br/>
        <w:t>Por otra parte, el Tribunal recibió escritos en calidad de amici curiai  de:</w:t>
        <w:br/>
        <w:t>1) la Asociación Nacional de Magistrados del Poder  Judicial  de  Chile[11];</w:t>
        <w:br/>
        <w:t>2) la organización Ombudsgay[12]; 3) José Pedro  Silva  Prado,  Profesor  de</w:t>
        <w:br/>
        <w:t>Derecho Procesal y Presidente del Instituto Chileno de Derecho Procesal;  4)</w:t>
        <w:br/>
        <w:t>José Ignacio Martínez Estay, Catedrático Jean Monnet de Derecho  Público  de</w:t>
        <w:br/>
        <w:t>la Unión Europea de la Universidad de los Andes,  Chile;  5)  el  Núcleo  de</w:t>
        <w:br/>
        <w:t>Derechos Humanos del Departamento de Derecho de  la  Pontificia  Universidad</w:t>
        <w:br/>
        <w:t>Católica de Río de Janeiro[13]; 6) Diego Freedman, profesor de  la  Facultad</w:t>
        <w:br/>
        <w:t>de Derecho de  la  Universidad  de  Buenos  Aires;  7)  María  Inés  Franck,</w:t>
        <w:br/>
        <w:t>Presidenta  de  la  Asociación  Civil  Nueva  Política,  y   Jorge   Nicolás</w:t>
        <w:br/>
        <w:t>Lafferriere, Director del Centro de Bioética,  Persona  y  Familia;  8)  del</w:t>
        <w:br/>
        <w:t>Seminario de  Investigación  en  el  Derecho  de  Familia  y  las  Personas,</w:t>
        <w:br/>
        <w:t>Facultad de Derecho Pontificia Universidad  Católica  de  Argentina[14];  9)</w:t>
        <w:br/>
        <w:t>Luis Armando González Placencia,  Presidente  de  la  Comisión  de  Derechos</w:t>
        <w:br/>
        <w:t>Humanos del Distrito Federal, y José Luis Caballero  Ochoa,  Coordinador  de</w:t>
        <w:br/>
        <w:t>la Maestría en  Derechos  Humanos  de  la  Universidad  Iberoamericana;  10)</w:t>
        <w:br/>
        <w:t>Úrsula C. Basset, profesora e investigadora  de  la  Universidad  de  Buenos</w:t>
        <w:br/>
        <w:t>Aires[15]; 11) Judith Butler, Catedrática Maxine Elliot  de  la  Universidad</w:t>
        <w:br/>
        <w:t>de California, Berkeley; 12) Alejandro Romero Seguel  y  Maite  Aguirrezabal</w:t>
        <w:br/>
        <w:t>Grünstein, Profesores de Derecho Procesal en la Universidad  de  los  Andes,</w:t>
        <w:br/>
        <w:t>Chile; 13) Carlos Álvarez Cozzi, Catedrático de  Derecho  Privado,  Facultad</w:t>
        <w:br/>
        <w:t>de Ciencias Económicas y de Administración y  Profesor  Adjunto  de  Derecho</w:t>
        <w:br/>
        <w:t>Internacional Privado de la Facultad de Derecho  de  la  Universidad  de  la</w:t>
        <w:br/>
        <w:t>República de Uruguay; 14) James J. Silk, Director de la Clínica Jurídica  de</w:t>
        <w:br/>
        <w:t>Derechos Humanos Allard K. Lowenstein  de  la  Facultad  de  Derecho  de  la</w:t>
        <w:br/>
        <w:t>Universidad de Yale; 15) María Sara Rodríguez Pinto,  Profesora  de  Derecho</w:t>
        <w:br/>
        <w:t>Civil en la Facultad de Derecho de la Universidad de los  Andes,  Chile; 16)</w:t>
        <w:br/>
        <w:t>Natalia  Gherardi,  Directora  Ejecutiva  del  Equipo   Latinoamericano   de</w:t>
        <w:br/>
        <w:t>Justicia y Género, y Josefina Durán,  Directora  del  Área  de  Justicia  de</w:t>
        <w:br/>
        <w:t>dicha organización; 17) Laura Clérico,  Liliana  Ronconi,  Gustavo  Beade  y</w:t>
        <w:br/>
        <w:t>Martín Aldao, docentes e investigadores de la  Facultad  de  Derecho  de  la</w:t>
        <w:br/>
        <w:t>Universidad de Buenos Aires; 18) Carlo Casini, Antonio  Gioacchino  Spagnolo</w:t>
        <w:br/>
        <w:t>y Joseph Meaney[16]; 19) del rector y algunos  miembros  de  la  Universidad</w:t>
        <w:br/>
        <w:t>Católica Santo Toribio de Mogrovejo[17]; 20) María del Pilar Vázquez  Calva,</w:t>
        <w:br/>
        <w:t>Coordinadora de Enlace Gubernamental de Vida y Familia A.C.; 21) Suzanne  B.</w:t>
        <w:br/>
        <w:t>Goldberg y Michael Kavey, Abogados de la “Sexuality &amp; Gender Law Clinic”  de</w:t>
        <w:br/>
        <w:t>la Universidad de Columbia y Adriana T. Luciano,  Abogada  de  Paul,  Weiss,</w:t>
        <w:br/>
        <w:t>Rifkind, Wharton &amp; Garrisson LLP; 22) Elba Nuñez  Ibáñez,  Gabriela  Filoni,</w:t>
        <w:br/>
        <w:t>Jeannette Llaja y Gastón Chillier[18]; 23) Brent McBurney y Bruce  Abramson,</w:t>
        <w:br/>
        <w:t>Abogados de “Advocates  International”;  24)  Gail  English,  Presidente  de</w:t>
        <w:br/>
        <w:t>“Lawyers Christian Fellowship”, y  de  Shirley  Richards;  25)  de  Colombia</w:t>
        <w:br/>
        <w:t>Diversa y del Centro de Derechos Humanos y  Litigio  Internacional[19];  26)</w:t>
        <w:br/>
        <w:t>Piero A. Tozzi y Brian W. Raum de “Alliance Defense Fund”; 27) Jorge  Rafael</w:t>
        <w:br/>
        <w:t>Scala, Profesor en la Maestría en Desarrollo Humano de la Universidad  Libre</w:t>
        <w:br/>
        <w:t>Internacional de  las  Américas  y  Profesor  Honorario  de  la  Universidad</w:t>
        <w:br/>
        <w:t>Ricardo Palma; 28) del Centro para la Justicia Global, los Derechos  Humanos</w:t>
        <w:br/>
        <w:t>y el Estado de Derecho de la Facultad de Derecho de  Regent  University[20];</w:t>
        <w:br/>
        <w:t>29) Álvaro Francisco Amaya  Villareal,  Bárbara  Mora  Martínez  y  Carolina</w:t>
        <w:br/>
        <w:t>Restrepo Herrera; 30) Lisa  Davis,  Jessica  Stern,  Dorothy  L.  Fernández,</w:t>
        <w:br/>
        <w:t>Megan C. Kieffer,  Rachel  M.  Wertheimer,  Erin  I  Herlihy,  y  Justin  D.</w:t>
        <w:br/>
        <w:t>Hoogs[21]; 31) Andrea Minichiello Williams y Ruth Ross, y Mark Mudri[22],  y</w:t>
        <w:br/>
        <w:t>32) del Área de Derechos Sexuales y Reproductivos del Programa de Derecho  a</w:t>
        <w:br/>
        <w:t>la Salud de la División de Estudios Jurídicos del Centro de Investigación  y</w:t>
        <w:br/>
        <w:t xml:space="preserve">Docencia Económicas[23].  </w:t>
        <w:br/>
        <w:br/>
        <w:t>El 24 de septiembre de 2011 los representantes y el  Estado  remitieron  sus</w:t>
        <w:br/>
        <w:t>alegatos  finales  escritos  y  la  Comisión  Interamericana  presentó   sus</w:t>
        <w:br/>
        <w:t>observaciones  finales  escritas  al  presente  caso.  Asimismo,  en   dicha</w:t>
        <w:br/>
        <w:t>oportunidad las partes dieron  respuesta  a  preguntas  formuladas  por  los</w:t>
        <w:br/>
        <w:t>jueces, así como a solicitudes de prueba para mejor resolver realizadas  por</w:t>
        <w:br/>
        <w:t>la Corte. Tales escritos fueron transmitidos a las partes, a quienes se  dio</w:t>
        <w:br/>
        <w:t>oportunidad  para  que   presentaran   las   observaciones   que   estimaran</w:t>
        <w:br/>
        <w:t>pertinentes.</w:t>
        <w:br/>
        <w:br/>
        <w:br/>
        <w:t>El 29 de noviembre de 2011 la Corte emitió una Resolución en la que  ordenó,</w:t>
        <w:br/>
        <w:t>como prueba para mejor resolver, que las tres  niñas  M.,  V.  y  R.  fueran</w:t>
        <w:br/>
        <w:t>informadas sobre su derecho a ser oídas ante la Corte  y  las  consecuencias</w:t>
        <w:br/>
        <w:t>que el ejercicio de dicho derecho implicaba, con  el  objetivo  de  que  las</w:t>
        <w:br/>
        <w:t>tres niñas manifestaran lo que desearan al respecto[24].</w:t>
        <w:br/>
        <w:br/>
        <w:t>El 8 de febrero de 2012 la Secretaría de la  Corte  Interamericana  llevó  a</w:t>
        <w:br/>
        <w:t>cabo en Santiago de Chile una diligencia  en  la  que  las  niñas  M.  y  R.</w:t>
        <w:br/>
        <w:t>participaron. Por motivos de fuerza mayor, la niña V. no estuvo presente  en</w:t>
        <w:br/>
        <w:t>dicha diligencia.  En  dicha  diligencia  las  niñas  manifestaron  diversas</w:t>
        <w:br/>
        <w:t>observaciones en relación  con  el  caso,  las  cuales  poseen  un  carácter</w:t>
        <w:br/>
        <w:t>reservado (infra párrs. 67 a 71).</w:t>
        <w:br/>
        <w:br/>
        <w:br/>
        <w:t>El 16 de febrero  de  2012  se  transmitió  a  las  partes  el  acta  de  la</w:t>
        <w:br/>
        <w:t>diligencia anteriormente descrita[25].</w:t>
        <w:br/>
        <w:br/>
        <w:br/>
        <w:t xml:space="preserve">                                     III</w:t>
        <w:br/>
        <w:t xml:space="preserve">                                 COMPETENCIA</w:t>
        <w:br/>
        <w:br/>
        <w:br/>
        <w:t>La Corte Interamericana es competente, en los términos del artículo 62.3  de</w:t>
        <w:br/>
        <w:t>la Convención para conocer el presente  caso,  en  razón  de  que  Chile  es</w:t>
        <w:br/>
        <w:t>Estado Parte de la Convención Americana desde el 21  de  agosto  de  1990  y</w:t>
        <w:br/>
        <w:t>reconoció la competencia contenciosa de la Corte en esa misma fecha.</w:t>
        <w:br/>
        <w:br/>
        <w:br/>
        <w:t xml:space="preserve">                                     IV</w:t>
        <w:br/>
        <w:t xml:space="preserve">                                   PRUEBA</w:t>
        <w:br/>
        <w:br/>
        <w:br/>
        <w:t>Con base en lo establecido en los artículos 46, 49 y 50 del Reglamento,  así</w:t>
        <w:br/>
        <w:t>como en su jurisprudencia relativa a la  prueba  y  su  apreciación[26],  la</w:t>
        <w:br/>
        <w:t>Corte examinará y valorará los elementos probatorios documentales  remitidos</w:t>
        <w:br/>
        <w:t>por  las  partes  en  diversas  oportunidades  procesales,  así   como   las</w:t>
        <w:br/>
        <w:t>declaraciones de la presunta  víctima,  los  testimonios  y  los  dictámenes</w:t>
        <w:br/>
        <w:t>periciales rendidos mediante declaración jurada ante fedatario público y  en</w:t>
        <w:br/>
        <w:t>la audiencia pública  ante  la  Corte,  así  como  las  pruebas  para  mejor</w:t>
        <w:br/>
        <w:t>resolver solicitadas por el Tribunal. Para ello, el Tribunal  se  atendrá  a</w:t>
        <w:br/>
        <w:t>los  principios  de  la   sana   crítica,   dentro   del   marco   normativo</w:t>
        <w:br/>
        <w:t>correspondiente[27].</w:t>
        <w:br/>
        <w:br/>
        <w:br/>
        <w:t xml:space="preserve">      A.    Prueba documental, testimonial y pericial</w:t>
        <w:br/>
        <w:br/>
        <w:br/>
        <w:t>El Tribunal  recibió  las  declaraciones  rendidas  ante  fedatario  público</w:t>
        <w:br/>
        <w:t>(affidávit) por siete peritos y seis testigos:</w:t>
        <w:br/>
        <w:br/>
        <w:t xml:space="preserve">      a)    Stefano Fabeni, perito propuesto por la Comisión,  Director  del</w:t>
        <w:br/>
        <w:t xml:space="preserve">      programa acerca de la comunidad LGTBI  (Lesbianas,  gays,  bisexuales,</w:t>
        <w:br/>
        <w:t xml:space="preserve">      transexuales e intersexuales) de la Organización Global Rights,  quien</w:t>
        <w:br/>
        <w:t xml:space="preserve">      rindió dictamen sobre: i) las medidas legislativas y  de  otra  índole</w:t>
        <w:br/>
        <w:t xml:space="preserve">      que debe adoptar un Estado para prevenir  las  manifestaciones  de  la</w:t>
        <w:br/>
        <w:t xml:space="preserve">      discriminación con base en la orientación sexual en el  ejercicio  del</w:t>
        <w:br/>
        <w:t xml:space="preserve">      poder público, y particularmente, en el  poder  judicial,  y  ii)  los</w:t>
        <w:br/>
        <w:t xml:space="preserve">      distintos elementos que deben tomarse en cuenta al momento de  diseñar</w:t>
        <w:br/>
        <w:t xml:space="preserve">      y aplicar políticas efectivas para erradicar  y  prevenir  el  uso  de</w:t>
        <w:br/>
        <w:t xml:space="preserve">      prejuicios discriminatorios basados en la orientación sexual en  dicho</w:t>
        <w:br/>
        <w:t xml:space="preserve">      ámbito;</w:t>
        <w:br/>
        <w:br/>
        <w:br/>
        <w:t xml:space="preserve">      b)    Leonor Etcheberry,  perito  propuesta  por  los  representantes,</w:t>
        <w:br/>
        <w:t xml:space="preserve">      Abogada y profesora de derecho de  familia  de  la  Universidad  Diego</w:t>
        <w:br/>
        <w:t xml:space="preserve">      Portales en Chile, quien rindió dictamen sobre: “la forma  en  que  se</w:t>
        <w:br/>
        <w:t xml:space="preserve">      revisan y fallan las causas de tuición en  el  derecho  chileno  y  su</w:t>
        <w:br/>
        <w:t xml:space="preserve">      relación con la forma en que se llevó a cabo  el  proceso  […]  de  la</w:t>
        <w:br/>
        <w:t xml:space="preserve">      Jueza Atala Riffo”;</w:t>
        <w:br/>
        <w:br/>
        <w:br/>
        <w:t xml:space="preserve">      c)     Fabiola  Lathrop,  perito  propuesta  por  los  representantes,</w:t>
        <w:br/>
        <w:t xml:space="preserve">      Abogada y profesora de derecho de familia de la Universidad de  Chile,</w:t>
        <w:br/>
        <w:t xml:space="preserve">      quien rindió dictamen sobre: los  conceptos  relativos  a  tuición  en</w:t>
        <w:br/>
        <w:t xml:space="preserve">      Chile y en el derecho comparado, con énfasis en la discriminación  por</w:t>
        <w:br/>
        <w:t xml:space="preserve">      orientación sexual;</w:t>
        <w:br/>
        <w:br/>
        <w:br/>
        <w:t xml:space="preserve">      d)     Miguel  Cillero,  perito  propuesto  por  los   representantes,</w:t>
        <w:br/>
        <w:t xml:space="preserve">      profesor de derecho de la Universidad Diego Portales en  Chile,  quien</w:t>
        <w:br/>
        <w:t xml:space="preserve">      rindió dictamen  sobre:  el  tratamiento  del  principio  del  interés</w:t>
        <w:br/>
        <w:t xml:space="preserve">      superior del niño en el derecho internacional;</w:t>
        <w:br/>
        <w:br/>
        <w:br/>
        <w:t xml:space="preserve">      e)    Mónica Pinto, perito propuesta por los representantes, profesora</w:t>
        <w:br/>
        <w:t xml:space="preserve">      de derechos y decana de la facultad de derecho de  la  Universidad  de</w:t>
        <w:br/>
        <w:t xml:space="preserve">      Buenos Aires, quien rindió dictamen sobre: el desarrollo  del  derecho</w:t>
        <w:br/>
        <w:t xml:space="preserve">      internacional de los derechos humanos en materia de no  discriminación</w:t>
        <w:br/>
        <w:t xml:space="preserve">      y del tratamiento de la orientación sexual como categoría sospechosa;</w:t>
        <w:br/>
        <w:br/>
        <w:br/>
        <w:t xml:space="preserve">      f)     María  Alicia  Espinoza  Abarzúa,  perito  propuesta  por   los</w:t>
        <w:br/>
        <w:t xml:space="preserve">      representantes,  psiquiatra  infanto-juvenil,  quien  rindió  dictamen</w:t>
        <w:br/>
        <w:t xml:space="preserve">      sobre: el presunto daño psicológico causado y la alegada necesidad  de</w:t>
        <w:br/>
        <w:t xml:space="preserve">      terapia de las hijas de la señora Atala Riffo;</w:t>
        <w:br/>
        <w:br/>
        <w:br/>
        <w:t xml:space="preserve">      g)      Claudia   Figueroa   Morales,   perito   propuesta   por   los</w:t>
        <w:br/>
        <w:t xml:space="preserve">      representantes, psiquiatra de adultos, quien rindió dictamen sobre: i)</w:t>
        <w:br/>
        <w:t xml:space="preserve">      el estado de salud mental y el presunto impacto en el proyecto de vida</w:t>
        <w:br/>
        <w:t xml:space="preserve">      de la señora Atala Riffo a raíz del proceso de  custodia,  y  ii)  las</w:t>
        <w:br/>
        <w:t xml:space="preserve">      alegadas necesidades de apoyo  psiquiátrico  que  requiere  la  señora</w:t>
        <w:br/>
        <w:t xml:space="preserve">      Atala Riffo en el futuro;</w:t>
        <w:br/>
        <w:br/>
        <w:br/>
        <w:t xml:space="preserve">      h)    Juan Pablo Olmedo, testigo  propuesto  por  los  representantes,</w:t>
        <w:br/>
        <w:t xml:space="preserve">      quien declaró sobre: la alegada intervención en la vida privada de  la</w:t>
        <w:br/>
        <w:t xml:space="preserve">      señora Atala durante el proceso de tuición en el que él fue abogado;</w:t>
        <w:br/>
        <w:br/>
        <w:br/>
        <w:t xml:space="preserve">      i)    Sergio Vera Atala, testigo  propuesto  por  los  representantes,</w:t>
        <w:br/>
        <w:t xml:space="preserve">      quien declaró sobre: el alegado impacto en su vida familiar, la de  su</w:t>
        <w:br/>
        <w:t xml:space="preserve">      madre, la señora Atala Riffo y sus hermanas como resultado del proceso</w:t>
        <w:br/>
        <w:t xml:space="preserve">      judicial en Chile;</w:t>
        <w:br/>
        <w:br/>
        <w:br/>
        <w:t xml:space="preserve">      j)     María  del  Carmen  Riffo  Véjar,  testigo  propuesta  por  los</w:t>
        <w:br/>
        <w:t xml:space="preserve">      representantes, quien declaró sobre: el presunto impacto que  tuvo  el</w:t>
        <w:br/>
        <w:t xml:space="preserve">      fallo de la Corte Suprema de Chile en su vida familiar, en  el  de  su</w:t>
        <w:br/>
        <w:t xml:space="preserve">      hija la señora Atala Riffo, y sus nietas;</w:t>
        <w:br/>
        <w:br/>
        <w:br/>
        <w:t xml:space="preserve">      k)    Judith Riffo Véjar, testigo propuesta  por  los  representantes,</w:t>
        <w:br/>
        <w:t xml:space="preserve">      quien declaró sobre: el impacto que tuvo el fallo de la Corte  Suprema</w:t>
        <w:br/>
        <w:t xml:space="preserve">      de Chile en su vida familiar, en el de su  sobrina,  la  señora  Atala</w:t>
        <w:br/>
        <w:t xml:space="preserve">      Riffo y sus sobrinas nietas;</w:t>
        <w:br/>
        <w:br/>
        <w:br/>
        <w:t xml:space="preserve">      l)    Elías Atala Riffo, testigo  propuesto  por  los  representantes,</w:t>
        <w:br/>
        <w:t xml:space="preserve">      quien declaró sobre: el presunto impacto que tuvo el fallo de la Corte</w:t>
        <w:br/>
        <w:t xml:space="preserve">      Suprema de Chile en su vida familiar, en el de su hermana,  la  señora</w:t>
        <w:br/>
        <w:t xml:space="preserve">      Atala Riffo y sus sobrinas, y</w:t>
        <w:br/>
        <w:br/>
        <w:br/>
        <w:t xml:space="preserve">      m)    Emma De Ramón, testigo propuesta por los  representantes,  quien</w:t>
        <w:br/>
        <w:t xml:space="preserve">      declaró sobre: el proceso vivido por la familia  de  la  señora  Atala</w:t>
        <w:br/>
        <w:t xml:space="preserve">      durante el juicio de tuición y luego  de  la  sentencia  de  la  Corte</w:t>
        <w:br/>
        <w:t xml:space="preserve">      Suprema de Chile.</w:t>
        <w:br/>
        <w:br/>
        <w:t>En cuanto a la prueba rendida en audiencia pública,  la  Corte  escuchó  las</w:t>
        <w:br/>
        <w:t>declaraciones de la presunta víctima y cinco peritos:</w:t>
        <w:br/>
        <w:br/>
        <w:t xml:space="preserve">    .  a)     Karen  Atala  Riffo,  presunta  víctima  propuesta   por   los</w:t>
        <w:br/>
        <w:t xml:space="preserve">      representantes, quien declaró sobre: i) la  alegada  violación  a  sus</w:t>
        <w:br/>
        <w:t xml:space="preserve">      derechos desde el comienzo del juicio de tuición de sus hijas,  y  ii)</w:t>
        <w:br/>
        <w:t xml:space="preserve">      el presunto impacto de la decisión de la Corte Suprema de Chile en  su</w:t>
        <w:br/>
        <w:t xml:space="preserve">      proyecto de vida personal y familiar;</w:t>
        <w:br/>
        <w:t xml:space="preserve">    .</w:t>
        <w:br/>
        <w:t xml:space="preserve">      b)    Juan Carlos Marín,  perito  propuesto  por  los  representantes,</w:t>
        <w:br/>
        <w:t xml:space="preserve">      Abogado  chileno  y  profesor  de  derecho  civil  en   el   Instituto</w:t>
        <w:br/>
        <w:t xml:space="preserve">      Tecnológico Autónomo de México, quien rindió dictamen  sobre:  el  uso</w:t>
        <w:br/>
        <w:t xml:space="preserve">      del recurso de queja en Chile y el uso excepcional del mismo;</w:t>
        <w:br/>
        <w:br/>
        <w:br/>
        <w:t xml:space="preserve">      c)      Robert   Warren   Wintemute,   perito   propuesto   por    los</w:t>
        <w:br/>
        <w:t xml:space="preserve">      representantes,  Profesor  de  Derechos  Humanos  del  King’s  College</w:t>
        <w:br/>
        <w:t xml:space="preserve">      London,  quien  rindió  dictamen  sobre:   el   estado   del   derecho</w:t>
        <w:br/>
        <w:t xml:space="preserve">      internacional en cuanto a la discriminación  por  orientación  sexual,</w:t>
        <w:br/>
        <w:t xml:space="preserve">      con énfasis en el Sistema Europeo de Derechos Humanos;</w:t>
        <w:br/>
        <w:br/>
        <w:br/>
        <w:t xml:space="preserve">      d)    Rodrigo Uprimny, perito propuesto por la Comisión, experto en el</w:t>
        <w:br/>
        <w:t xml:space="preserve">      derecho a la igualdad  y  no  discriminación,  quien  rindió  dictamen</w:t>
        <w:br/>
        <w:t xml:space="preserve">      sobre: i)  los  estándares  internacionales  de  derechos  humanos  en</w:t>
        <w:br/>
        <w:t xml:space="preserve">      materia de orientación sexual y su relación  con  los  derechos  a  la</w:t>
        <w:br/>
        <w:t xml:space="preserve">      igualdad, no discriminación y vida privada, y ii) el  tratamiento  que</w:t>
        <w:br/>
        <w:t xml:space="preserve">      el derecho internacional ha dado  a  la  orientación  sexual  como  un</w:t>
        <w:br/>
        <w:t xml:space="preserve">      criterio prohibido de distinción, así  como  un  aspecto  de  la  vida</w:t>
        <w:br/>
        <w:t xml:space="preserve">      privada de las personas y la jurisprudencia relevante  en  el  sistema</w:t>
        <w:br/>
        <w:t xml:space="preserve">      universal, en otros sistemas regionales de derechos humanos  y  en  el</w:t>
        <w:br/>
        <w:t xml:space="preserve">      derecho comparado;</w:t>
        <w:br/>
        <w:br/>
        <w:br/>
        <w:t xml:space="preserve">      e)    Allison Jernow, perito propuesta por la Comisión, Abogada de  la</w:t>
        <w:br/>
        <w:t xml:space="preserve">      Comisión Internacional de Juristas  y  encargada  del  proyecto  sobre</w:t>
        <w:br/>
        <w:t xml:space="preserve">      orientación sexual e identidad de género, quien rindió dictamen sobre:</w:t>
        <w:br/>
        <w:t xml:space="preserve">      i) el uso de la orientación sexual como un factor  en  las  decisiones</w:t>
        <w:br/>
        <w:t xml:space="preserve">      judiciales de custodia, a la luz de los estándares internacionales  de</w:t>
        <w:br/>
        <w:t xml:space="preserve">      derechos humanos en materia de  igualdad,  no  discriminación  y  vida</w:t>
        <w:br/>
        <w:t xml:space="preserve">      privada y familiar, y ii) la relación entre los estándares del derecho</w:t>
        <w:br/>
        <w:t xml:space="preserve">      internacional de los derechos humanos y los temas de  custodia  en  el</w:t>
        <w:br/>
        <w:t xml:space="preserve">      presente caso, y</w:t>
        <w:br/>
        <w:br/>
        <w:br/>
        <w:t xml:space="preserve">      f)     Emilio  García  Méndez,  perito  propuesto  por  la   Comisión,</w:t>
        <w:br/>
        <w:t xml:space="preserve">      consultor internacional respecto a los derechos de  los  niños  y  las</w:t>
        <w:br/>
        <w:t xml:space="preserve">      niñas, quien rindió dictamen sobre: i) los estándares  internacionales</w:t>
        <w:br/>
        <w:t xml:space="preserve">      sobre derechos humanos de  los  niños  y  niñas  aplicables  en  casos</w:t>
        <w:br/>
        <w:t xml:space="preserve">      relacionados con su custodia y cuidado; ii) la forma en que el interés</w:t>
        <w:br/>
        <w:t xml:space="preserve">      superior de los niños  y  niñas  y  el  derecho  a  participar  y  ser</w:t>
        <w:br/>
        <w:t xml:space="preserve">      escuchados en los asuntos que les conciernen, deben  verse  reflejados</w:t>
        <w:br/>
        <w:t xml:space="preserve">      en la actuación de  las  autoridades  judiciales  que  deciden  dichos</w:t>
        <w:br/>
        <w:t xml:space="preserve">      casos, y iii) las consecuencias nocivas en el interés superior de  los</w:t>
        <w:br/>
        <w:t xml:space="preserve">      niños y niñas cuando se aplican prejuicios discriminatorios  en  tales</w:t>
        <w:br/>
        <w:t xml:space="preserve">      decisiones.</w:t>
        <w:br/>
        <w:br/>
        <w:br/>
        <w:t xml:space="preserve">      B.    Admisión de la prueba documental</w:t>
        <w:br/>
        <w:br/>
        <w:br/>
        <w:t>En el presente  caso,  como  en  otros[28],  el  Tribunal  admite  el  valor</w:t>
        <w:br/>
        <w:t>probatorio de aquellos documentos remitidos por  las  partes  en  la  debida</w:t>
        <w:br/>
        <w:t>oportunidad procesal, que no fueron controvertidos  ni  objetados,  ni  cuya</w:t>
        <w:br/>
        <w:t>autenticidad fue puesta en duda, exclusivamente en la  medida  en  que  sean</w:t>
        <w:br/>
        <w:t>pertinentes y útiles para la determinación de los hechos  y  sus  eventuales</w:t>
        <w:br/>
        <w:t>consecuencias jurídicas.</w:t>
        <w:br/>
        <w:br/>
        <w:t>En cuanto a las notas de prensa, este Tribunal  ha  considerado  que  podrán</w:t>
        <w:br/>
        <w:t>ser apreciadas cuando recojan hechos públicos y notorios o declaraciones  de</w:t>
        <w:br/>
        <w:t>funcionarios del Estado, o cuando corroboren aspectos  relacionados  con  el</w:t>
        <w:br/>
        <w:t>caso[29]. Por tanto, el Tribunal decide admitir las notas de prensa  que  se</w:t>
        <w:br/>
        <w:t>encuentren completas o que, por lo menos, permitan  constatar  su  fuente  y</w:t>
        <w:br/>
        <w:t>fecha de publicación, y los valorará  tomando  en  cuenta  el  conjunto  del</w:t>
        <w:br/>
        <w:t>acervo probatorio, las observaciones de las partes y las reglas de  la  sana</w:t>
        <w:br/>
        <w:t>crítica.</w:t>
        <w:br/>
        <w:br/>
        <w:br/>
        <w:t>Con respecto a algunos documentos señalados por  las  partes  por  medio  de</w:t>
        <w:br/>
        <w:t>enlace  electrónicos,  el  Tribunal  ha  establecido  que   si   una   parte</w:t>
        <w:br/>
        <w:t>proporciona al menos el enlace electrónico directo del  documento  que  cita</w:t>
        <w:br/>
        <w:t>como prueba y es posible acceder a éste, no  se  ve  afectada  la  seguridad</w:t>
        <w:br/>
        <w:t>jurídica ni el equilibrio procesal,  porque  es  inmediatamente  localizable</w:t>
        <w:br/>
        <w:t>por el Tribunal y por las otras partes[30]. En este caso, no hubo  oposición</w:t>
        <w:br/>
        <w:t>u observaciones de las otras partes sobre el  contenido  y  autenticidad  de</w:t>
        <w:br/>
        <w:t>tales documentos.</w:t>
        <w:br/>
        <w:br/>
        <w:t>De otra parte, junto con sus alegatos finales escritos los representantes  y</w:t>
        <w:br/>
        <w:t>el Estado remitieron diversos documentos  como  prueba,  los  cuales  fueron</w:t>
        <w:br/>
        <w:t>solicitados por el Tribunal con fundamento en lo dispuesto  en  el  artículo</w:t>
        <w:br/>
        <w:t>58.b del Reglamento de la Corte y se otorgó una  oportunidad  a  las  partes</w:t>
        <w:br/>
        <w:t>para  presentar  las  observaciones  que  estimaran  pertinentes.  La  Corte</w:t>
        <w:br/>
        <w:t>incorpora dichos documentos como prueba, los cuales serán  valorados  en  lo</w:t>
        <w:br/>
        <w:t>pertinente teniendo  en  cuenta  el  conjunto  del  acervo  probatorio,  las</w:t>
        <w:br/>
        <w:t>observaciones de las partes y las reglas de la sana crítica.</w:t>
        <w:br/>
        <w:br/>
        <w:br/>
        <w:t>Con  posterioridad  a  la  celebración  de  la  audiencia  pública,   fueron</w:t>
        <w:br/>
        <w:t>remitidas  las  versiones  escritas  de  los  peritajes  presentados  en  la</w:t>
        <w:br/>
        <w:t>audiencia pública del presente caso por Juan  Carlos  Marín,  Robert  Warren</w:t>
        <w:br/>
        <w:t>Wintemute y Allison Jernow. Dichas declaraciones fueron transmitidas  a  las</w:t>
        <w:br/>
        <w:t>demás partes. El Tribunal admite dichos documentos en lo que se  refiera  al</w:t>
        <w:br/>
        <w:t>objeto oportunamente definido por el Presidente  del  Tribunal  para  dichas</w:t>
        <w:br/>
        <w:t>declaraciones periciales (supra párr. 18), porque los estima útiles para  la</w:t>
        <w:br/>
        <w:t>presente causa y no fueron objetados, ni su autenticidad o veracidad  puesta</w:t>
        <w:br/>
        <w:t>en duda.</w:t>
        <w:br/>
        <w:br/>
        <w:br/>
        <w:t xml:space="preserve">      C.    Admisión de la prueba testimonial y pericial</w:t>
        <w:br/>
        <w:br/>
        <w:br/>
        <w:t>En cuanto a las declaraciones rendidas ante  fedatario  público  y  aquellas</w:t>
        <w:br/>
        <w:t>presentadas en audiencia pública, la Corte las admite y  estima  pertinentes</w:t>
        <w:br/>
        <w:t>en lo que se ajusten al objeto definido por el Presidente  del  Tribunal  en</w:t>
        <w:br/>
        <w:t>la  Resolución  que  ordenó  recibirlas  (supra  párrs.  17  y  18).   Estas</w:t>
        <w:br/>
        <w:t>declaraciones serán valoradas en el capítulo que  corresponda,  en  conjunto</w:t>
        <w:br/>
        <w:t>con los demás elementos del  acervo  probatorio  y  tomando  en  cuenta  las</w:t>
        <w:br/>
        <w:t>observaciones formuladas por las partes[31].</w:t>
        <w:br/>
        <w:br/>
        <w:t>Conforme a la  jurisprudencia  de  esta  Corte,  las  declaraciones  de  las</w:t>
        <w:br/>
        <w:t>presuntas víctimas no pueden ser  valoradas  aisladamente  sino  dentro  del</w:t>
        <w:br/>
        <w:t>conjunto de las pruebas del proceso, ya que son útiles en la medida  en  que</w:t>
        <w:br/>
        <w:t>pueden proporcionar mayor información sobre las alegadas violaciones  y  sus</w:t>
        <w:br/>
        <w:t>consecuencias[32].  Con  base  en  lo  anterior,  el  Tribunal   admite   la</w:t>
        <w:br/>
        <w:t>declaración  de  la  presunta  víctima  Karen  Atala,  cuya  valoración   se</w:t>
        <w:br/>
        <w:t>realizará con base en el criterio mencionado.</w:t>
        <w:br/>
        <w:br/>
        <w:br/>
        <w:t>Por otra parte, respecto  a  los  peritos,  el  Estado  desarrolló  diversas</w:t>
        <w:br/>
        <w:t>observaciones que se basan, en  general,  en:  a)  su  discrepancia  con  el</w:t>
        <w:br/>
        <w:t>contenido de algunos  de  los  dictámenes,  contradiciendo  o  brindando  su</w:t>
        <w:br/>
        <w:t>opinión sobre los mismos; b)  el  alcance  de  las  manifestaciones  de  los</w:t>
        <w:br/>
        <w:t>peritos en relación con el objeto del dictamen, que en ocasiones  el  Estado</w:t>
        <w:br/>
        <w:t>asocia  con  observaciones  sesgadas  o  meramente  personales;  c)  algunos</w:t>
        <w:br/>
        <w:t>elementos que tuvieron para realizarlos, y d) la metodología utilizada  para</w:t>
        <w:br/>
        <w:t>realizar algunos de los dictámenes.</w:t>
        <w:br/>
        <w:br/>
        <w:br/>
        <w:t>El Tribunal considera pertinente señalar que, a diferencia de los  testigos,</w:t>
        <w:br/>
        <w:t>quienes deben evitar dar  opiniones  personales,  los  peritos  proporcionan</w:t>
        <w:br/>
        <w:t>opiniones técnicas o personales en cuanto  se  relacionen  con  su  especial</w:t>
        <w:br/>
        <w:t>saber o experiencia. Además, los peritos se pueden referir  tanto  a  puntos</w:t>
        <w:br/>
        <w:t>específicos de la litis como a cualquier otro punto relevante  del  litigio,</w:t>
        <w:br/>
        <w:t>siempre y cuando se circunscriban al objeto para el cual  fueron  convocados</w:t>
        <w:br/>
        <w:t>y sus conclusiones estén suficientemente fundadas[33]. En  ese  sentido,  en</w:t>
        <w:br/>
        <w:t>cuanto a las observaciones sobre el contenido de los peritajes, el  Tribunal</w:t>
        <w:br/>
        <w:t>entiende que las mismas no impugnan su admisibilidad,  sino  que  apuntan  a</w:t>
        <w:br/>
        <w:t>cuestionar  el  valor  probatorio  de  los  dictámenes,  por  lo  que  serán</w:t>
        <w:br/>
        <w:t>consideradas en lo  pertinente  en  los  capítulos  correspondientes  de  la</w:t>
        <w:br/>
        <w:t>presente Sentencia.</w:t>
        <w:br/>
        <w:br/>
        <w:br/>
        <w:t>En particular, respecto de las observaciones del  Estado  sobre  la  alegada</w:t>
        <w:br/>
        <w:t>“falta de objetividad y las  consideraciones  personales”  efectuadas  fuera</w:t>
        <w:br/>
        <w:t>del objeto para el cual  fue  convocada  la  perito  Espinoza,  el  Tribunal</w:t>
        <w:br/>
        <w:t>considerará la observación del Estado y reitera  que  sólo  admite  aquellas</w:t>
        <w:br/>
        <w:t>manifestaciones que se  ajustan  al  objeto  oportunamente  definido  (supra</w:t>
        <w:br/>
        <w:t>párr. 17). Sobre la metodología del dictamen  de  la  señora  Espinoza,  sin</w:t>
        <w:br/>
        <w:t>perjuicio de tomar en cuenta lo  manifestado  por  el  Estado,  el  Tribunal</w:t>
        <w:br/>
        <w:t>observa que en dicho dictamen consta una explicación sobre el  procedimiento</w:t>
        <w:br/>
        <w:t>empleado. La perito Espinoza señaló que basó su  informe  en  sus  reuniones</w:t>
        <w:br/>
        <w:t>con las niñas López Atala y su madre, así  como  diversos  antecedentes.  La</w:t>
        <w:br/>
        <w:t>Corte considera que las objeciones al método utilizado  por  la  perito,  el</w:t>
        <w:br/>
        <w:t>cual se infiere de lo señalado en su informe, no afectan su admisibilidad.</w:t>
        <w:br/>
        <w:br/>
        <w:br/>
        <w:br/>
        <w:t xml:space="preserve">                                      V</w:t>
        <w:br/>
        <w:t xml:space="preserve">   DERECHO A LA IGUALDAD Y LA PROHIBICIÓN DE DISCRIMINACIÓN, DERECHO A LA</w:t>
        <w:br/>
        <w:t xml:space="preserve">    VIDA PRIVADA, DERECHO A LA VIDA FAMILIAR, DERECHOS DEL NIÑO, DERECHOS</w:t>
        <w:br/>
        <w:t xml:space="preserve">    A LAS GARANTÍAS JUDICIALES Y A LA PROTECCIÓN JUDICIAL EN RELACIÓN CON</w:t>
        <w:br/>
        <w:t xml:space="preserve">       LA OBLIGACIÓN DE RESPETAR Y GARANTIZAR LOS DERECHOS RESPECTO AL</w:t>
        <w:br/>
        <w:t xml:space="preserve">                             PROCESO DE TUICIÓN</w:t>
        <w:br/>
        <w:br/>
        <w:br/>
        <w:t>De manera preliminar, la Corte considera necesario resaltar  que  el  objeto</w:t>
        <w:br/>
        <w:t>del presente caso no es dirimir si la madre o el padre  de  las  tres  niñas</w:t>
        <w:br/>
        <w:t>ofrecían un mejor hogar para las mismas  (infra  párrs.  64  a  66).  En  el</w:t>
        <w:br/>
        <w:t>presente caso  la  controversia  entre  las  partes  se  relaciona  con  dos</w:t>
        <w:br/>
        <w:t>aspectos: i) el juicio de tuición iniciado por el padre de las niñas, y  ii)</w:t>
        <w:br/>
        <w:t>un proceso disciplinario llevado a cabo en contra de  la  señora  Atala.  El</w:t>
        <w:br/>
        <w:t>presente capítulo se  concentra  en  los  debates  en  torno  al  juicio  de</w:t>
        <w:br/>
        <w:t>tuición. En un capítulo posterior se analizará el proceso disciplinario.</w:t>
        <w:br/>
        <w:br/>
        <w:br/>
        <w:t xml:space="preserve">        Hechos probados en relación con el procedimiento de tuición</w:t>
        <w:br/>
        <w:br/>
        <w:br/>
        <w:t>La señora Atala contrajo matrimonio con Ricardo Jaime López Allendes  el  29</w:t>
        <w:br/>
        <w:t>de marzo de 1993[34]. Las niñas M., V. y R.,  nacieron  en  los  años  1994,</w:t>
        <w:br/>
        <w:t>1998 y 1999, respectivamente[35]. La  señora  Atala  tiene  un  hijo  mayor,</w:t>
        <w:br/>
        <w:t>Sergio Vera Atala, nacido en un matrimonio anterior. En  marzo  de  2002  la</w:t>
        <w:br/>
        <w:t>señora Atala y el señor López Allendes decidieron  finalizar  su  matrimonio</w:t>
        <w:br/>
        <w:t>por medio de una separación de hecho. Como  parte  de  dicha  separación  de</w:t>
        <w:br/>
        <w:t>hecho, establecieron por mutuo acuerdo que la  señora  Atala  mantendría  la</w:t>
        <w:br/>
        <w:t>tuición y cuidado de las tres niñas en  la  ciudad  de  Villarrica,  con  un</w:t>
        <w:br/>
        <w:t>régimen de visita semanal a la casa de su padre en Temuco[36]. En  noviembre</w:t>
        <w:br/>
        <w:t>de 2002 la señora Emma de Ramón, compañera sentimental de la  señora  Atala,</w:t>
        <w:br/>
        <w:t>comenzó a convivir en la misma casa con ella,  sus  tres  hijas  y  el  hijo</w:t>
        <w:br/>
        <w:t>mayor[37].</w:t>
        <w:br/>
        <w:br/>
        <w:br/>
        <w:t>1.    Proceso de tuición[38]</w:t>
        <w:br/>
        <w:br/>
        <w:br/>
        <w:t>El 14 de enero de 2003 el padre de las tres niñas interpuso una  demanda  de</w:t>
        <w:br/>
        <w:t>tuición o custodia ante el Juzgado de Menores de  Villarrica  al  considerar</w:t>
        <w:br/>
        <w:t>que el “desarrollo físico y  emocional  [de  las  niñas  estaría]  en  serio</w:t>
        <w:br/>
        <w:t>peligro” de continuar bajo el cuidado de  su  madre.  En  dicha  demanda  el</w:t>
        <w:br/>
        <w:t>señor López alegó que la señora Atala “no se  enc[ontraba]  capacitada  para</w:t>
        <w:br/>
        <w:t>velar y cuidar de [las tres niñas, dado que] su nueva opción de vida  sexual</w:t>
        <w:br/>
        <w:t>sumada a una convivencia lésbica con otra mujer, est[aban]  produciendo  […]</w:t>
        <w:br/>
        <w:t>consecuencias dañinas al desarrollo de estas  menores  [de  edad],  pues  la</w:t>
        <w:br/>
        <w:t>madre no ha[bía] demostrado interés alguno  por  velar  y  proteger  […]  el</w:t>
        <w:br/>
        <w:t>desarrollo integral de estas pequeñ[a]s”. Además, el señor  López  argumentó</w:t>
        <w:br/>
        <w:t>que “[l]a inducción a darle normalidad dentro del orden jurídico  a  parejas</w:t>
        <w:br/>
        <w:t>del mismo sexo [conllevaba a] desnaturalizar el sentido  de  pareja  humana,</w:t>
        <w:br/>
        <w:t>hombre mujer, y por lo tanto altera[ba] el sentido natural  de  la  familia,</w:t>
        <w:br/>
        <w:t>[…] pues afecta[ba] los valores fundamentales de  la  familia,  como  núcleo</w:t>
        <w:br/>
        <w:t>central de la sociedad”, por lo que “la opción sexual ejercida por la  madre</w:t>
        <w:br/>
        <w:t>altera[ría] la convivencia sana, justa y normal  a  que  t[endrían]  derecho</w:t>
        <w:br/>
        <w:t>[las niñas M., V. y R.]”. Por último, el señor López  arguyó  que  “habr[ía]</w:t>
        <w:br/>
        <w:t>que sumar todas las consecuencias que en  el  plano  biológico  implica[ría]</w:t>
        <w:br/>
        <w:t>para las menores [de edad] vivir junto  a  una  pareja  lésbica[,  pues  e]n</w:t>
        <w:br/>
        <w:t>efecto sólo en el plano de enfermedades, éstas por  sus  prácticas  sexuales</w:t>
        <w:br/>
        <w:t>est[aría]n expuestas en forma permanente al surgimiento  de  herpes  [y  al]</w:t>
        <w:br/>
        <w:t>sida”[39].</w:t>
        <w:br/>
        <w:br/>
        <w:t>El 28 de enero de 2003  la  señora  Atala  presentó  la  contestación  a  la</w:t>
        <w:br/>
        <w:t>demanda de custodia interpuesta por el señor López.  En  dicha  contestación</w:t>
        <w:br/>
        <w:t>la señora Atala manifestó “la tristeza que [causó] en [ella] la  lectura  de</w:t>
        <w:br/>
        <w:t>las imputaciones que se h[icieron] en  el  libelo  y  la  forma  en  que  se</w:t>
        <w:br/>
        <w:t>describ[ió] y juzg[ó] la que fuera [su] relación familiar y la que [era  su]</w:t>
        <w:br/>
        <w:t>vida privada”. La señora Atala indicó que los  alegatos  presentados  en  la</w:t>
        <w:br/>
        <w:t>demanda de tuición la “conmovieron por  su  agresividad,  el  prejuicio,  la</w:t>
        <w:br/>
        <w:t>discriminación, el desconocimiento del derecho a  la  identidad  homosexual,</w:t>
        <w:br/>
        <w:t>por la distorsión en  los  hechos  que  expon[ía]  y,  por  último,  por  su</w:t>
        <w:br/>
        <w:t>desprecio al  superior  interés  de  [sus]  hijas”,  y  aseveró  que  “la[s]</w:t>
        <w:br/>
        <w:t>alegaciones que se h[icieron] de [su] identidad sexual nada tienen  que  ver</w:t>
        <w:br/>
        <w:t>con [su] función y rol como madre, y en consecuencia, debieran quedar  fuera</w:t>
        <w:br/>
        <w:t>de la litis ya que situaciones de conyugalidad o de  opción  sexual  no  son</w:t>
        <w:br/>
        <w:t>extensivas a relaciones de parentalidad, materia del proceso de  autos”.  La</w:t>
        <w:br/>
        <w:t>señora Atala finalmente alegó que ni el Código Civil chileno ni  la  ley  de</w:t>
        <w:br/>
        <w:t>menores de edad contemplaban como causal  de  “inhabilitación  parental”  el</w:t>
        <w:br/>
        <w:t>tener una “opción sexual distinta” [40].</w:t>
        <w:br/>
        <w:br/>
        <w:t>El 28 de enero de 2003 el Juzgado de Menores de  Villarrica  ordenó  recibir</w:t>
        <w:br/>
        <w:t>“la causa a prueba para termino legal”,  por  lo  cual  decidió  fijar  como</w:t>
        <w:br/>
        <w:t>“hechos  sustanciales,  pertinentes  y  controvertidos”:  i)  “habilidad   e</w:t>
        <w:br/>
        <w:t>inhabilidad de las partes para tener la tuición de las menores” de  edad,  y</w:t>
        <w:br/>
        <w:t>ii) “medio ambiente que pueden ofrecer las partes a las  menores”  de  edad.</w:t>
        <w:br/>
        <w:t>Además, el Juzgado decidió fijar  audiencia  y  solicitar,  inter  alia,  la</w:t>
        <w:br/>
        <w:t>siguiente prueba: i) “informe psicológico de ambas partes y de las  menores”</w:t>
        <w:br/>
        <w:t>de edad; ii) “informe  psiquiátrico  de  ambas  partes”;  iii)  oír  “a  las</w:t>
        <w:br/>
        <w:t>menores  de  autos  en  audiencia  privada”;  iv)  “informe   socioeconómico</w:t>
        <w:br/>
        <w:t>integral de la demandada y menores” de edad, y v) solicitar a  la  “facultad</w:t>
        <w:br/>
        <w:t>de psicología de  la  Universidad  de  Chile  [que  informara]  si  ha[bían]</w:t>
        <w:br/>
        <w:t>estudios a nivel nacional e internacional en psicología que  revel[ara]n  si</w:t>
        <w:br/>
        <w:t>existen diferencias entre los hijos criados por parejas  heterosexuales  y/o</w:t>
        <w:br/>
        <w:t>homosexuales y las consecuencias que pudieren acarrear  a  los  menores  [de</w:t>
        <w:br/>
        <w:t>edad] dichas circunstancias”[41].</w:t>
        <w:br/>
        <w:br/>
        <w:br/>
        <w:t>Una serie de medios  de  comunicación  ofrecieron  cobertura  al  juicio  de</w:t>
        <w:br/>
        <w:t>tuición  incluyendo  diarios  de  circulación  nacional  como  “Las  Últimas</w:t>
        <w:br/>
        <w:t>Noticias” y “La  Cuarta”[42].  A  partir  de  estas  noticias,  entre  otras</w:t>
        <w:br/>
        <w:t>razones relacionadas con el presunto uso indebido de recursos  del  tribunal</w:t>
        <w:br/>
        <w:t>penal de Villarrica en el que la  señora  Atala  tenía  el  cargo  de  jueza</w:t>
        <w:br/>
        <w:t>(infra párr. 211), el  19  de  marzo  de  2003  el  Pleno  de  la  Corte  de</w:t>
        <w:br/>
        <w:t>Apelaciones de Temuco designó al Ministro Lenin  Lillo[43],  a  fin  de  que</w:t>
        <w:br/>
        <w:t>efectuara una visita extraordinaria a dicho tribunal penal.</w:t>
        <w:br/>
        <w:br/>
        <w:br/>
        <w:t>El 11 de marzo de 2003 el apoderado  de  la  señora  Atala  presentó  prueba</w:t>
        <w:br/>
        <w:t>documental, solicitó que se recibieran  seis  testimonios  y  se  decretaran</w:t>
        <w:br/>
        <w:t>otras diligencias probatorias, lo cual  fue  aceptado  por  el  Juzgado[44].</w:t>
        <w:br/>
        <w:t>Además, el apoderado solicitó que se practicaran  diversas  diligencias[45].</w:t>
        <w:br/>
        <w:t>Por su parte, la apoderada del  señor  López  solicitó  que  se  llamaran  a</w:t>
        <w:br/>
        <w:t>rendir  veintidós  testimonios,  lo  cual  también  fue  aprobado   por   el</w:t>
        <w:br/>
        <w:t>Juzgado[46]. El 3 de abril de 2003  el  Juzgado  de  Menores  de  Villarrica</w:t>
        <w:br/>
        <w:t>recibió los testimonios de seis familiares del demandante y tres  familiares</w:t>
        <w:br/>
        <w:t>de la demandada[47].</w:t>
        <w:br/>
        <w:br/>
        <w:br/>
        <w:t>El 8 de abril de 2003  el  Juzgado  de  Menores  de  Villarrica  escuchó  en</w:t>
        <w:br/>
        <w:t>audiencia privada a las niñas M., V. y R.,  y  “se  guardó  registro  de  la</w:t>
        <w:br/>
        <w:t>audiencia privada en sobre cerrado en la caja de fondos  del  Tribunal”.  El</w:t>
        <w:br/>
        <w:t>Juzgado también escuchó en audiencia privada al  hijo  mayor  de  la  señora</w:t>
        <w:br/>
        <w:t>Atala[48].</w:t>
        <w:br/>
        <w:br/>
        <w:br/>
        <w:t>El 10 de abril de 2003 se llevó a cabo la audiencia  para  presentar  prueba</w:t>
        <w:br/>
        <w:t>testimonial[49]. El 14 de abril de 2003 el Juzgado de Menores de  Villarrica</w:t>
        <w:br/>
        <w:t>recibió cuatro testimonios de personas propuestas por la  parte  demandante,</w:t>
        <w:br/>
        <w:t>especialmente de una psicóloga  y una asistente social[50].  En  particular,</w:t>
        <w:br/>
        <w:t>la asistente social señaló, al preguntársele si “los menores  que  se  crían</w:t>
        <w:br/>
        <w:t>bajo parejas homosexuales sufren  consecuencias  adversas”,  que  “s[í]  hay</w:t>
        <w:br/>
        <w:t>consecuencias sociales, como modelos paternales y  maternales  confusos  que</w:t>
        <w:br/>
        <w:t>afectan la conformación de la identidad sexual”. Además,  agregó  que  “otra</w:t>
        <w:br/>
        <w:t>de las consecuencias que hace, es que en Chile según estudio  […]  sobre  la</w:t>
        <w:br/>
        <w:t>tolerancia y la discriminación [del] año 1997, se llegó a la conclusión  que</w:t>
        <w:br/>
        <w:t>los chilenos poseen un alto rechazo hacia las  minorías  homosexuales[,]  un</w:t>
        <w:br/>
        <w:t>60.2% fue la carga valórica de este rechazo. [Con] base [en] lo anterior,  y</w:t>
        <w:br/>
        <w:t>en conocimiento de esta  alta  discriminación[,]  se  estaría  exponiendo  a</w:t>
        <w:br/>
        <w:t>estas menores [de edad] a situaciones de discriminación social que ellas  no</w:t>
        <w:br/>
        <w:t>se han buscado”[51].</w:t>
        <w:br/>
        <w:br/>
        <w:br/>
        <w:t>Además de los familiares y amigos cercanos  que  declararon  en  el  proceso</w:t>
        <w:br/>
        <w:t>(supra párr.  35),  también  rindieron  declaración  tres  trabajadoras  del</w:t>
        <w:br/>
        <w:t>hogar, quienes  se  expresaron  señalando,  inter  alia,  que  el  padre  se</w:t>
        <w:br/>
        <w:t>preocupaba mucho más por sus hijas que la señora  Atala[52].  Una  de  ellas</w:t>
        <w:br/>
        <w:t>describió, además, algunos comportamientos de las niñas[53].</w:t>
        <w:br/>
        <w:br/>
        <w:br/>
        <w:t>2.    Tuición provisional concedida al padre</w:t>
        <w:br/>
        <w:br/>
        <w:br/>
        <w:br/>
        <w:t>En el marco del proceso de tuición, la apoderada  del  padre  de  las  niñas</w:t>
        <w:br/>
        <w:t>presentó una demanda de tuición provisoria el 10 de marzo de  2003,  con  el</w:t>
        <w:br/>
        <w:t>fin de obtener la custodia de sus hijas antes de la conclusión del  proceso.</w:t>
        <w:br/>
        <w:t>Al  respecto,  la  apoderada  del  señor   López   argumentó   la   presunta</w:t>
        <w:br/>
        <w:t>“incapacidad que la opción sexual asumida por  la  madre  y  demandada,  [la</w:t>
        <w:br/>
        <w:t>señora] Atala Riffo, y que se tradujo en su reconocimiento  expreso  de  ser</w:t>
        <w:br/>
        <w:t>lesbiana,  provoca[ba]  y  provocar[ía]  en  el  desarrollo  integral  tanto</w:t>
        <w:br/>
        <w:t>psíquico como socio-ambiental de estas tres pequeñas, sin perjuicio  de  las</w:t>
        <w:br/>
        <w:t>conductas poco maternales y violentas que ésta ha  demostrado  a  través  de</w:t>
        <w:br/>
        <w:t>los años no sólo con su familia, sino con su entorno social”. Además,  alegó</w:t>
        <w:br/>
        <w:t>que “la necesidad que tiene la demandada de ser feliz  y  de  realizarse  en</w:t>
        <w:br/>
        <w:t>todas las esferas de su vida […] no es homo[lo]gable con el ser padres,  que</w:t>
        <w:br/>
        <w:t>incluye una capacidad funcional de maternización  […],  que  al  parecer  la</w:t>
        <w:br/>
        <w:t>demandada ha obviado egoístamente”. Por otra parte, la apoderada  del  padre</w:t>
        <w:br/>
        <w:t>de las niñas arguyó el  derecho  de  las  niñas  de  vivir  en  una  familia</w:t>
        <w:br/>
        <w:t>conformada por un padre y una madre de sexo distinto[54].</w:t>
        <w:br/>
        <w:br/>
        <w:br/>
        <w:t>El 13 de marzo de 2003 la señora  Atala  respondió  a  la  solicitud  de  la</w:t>
        <w:br/>
        <w:t>demanda de tuición provisoria, en el cual solicitó que se  rechazaran  todas</w:t>
        <w:br/>
        <w:t>las pretensiones. En particular, el apoderado de la señora  Atala  argumentó</w:t>
        <w:br/>
        <w:t>que:</w:t>
        <w:br/>
        <w:br/>
        <w:br/>
        <w:t xml:space="preserve">      [L]a representante legal del demandante aspira[ba] a dejar sin  efecto</w:t>
        <w:br/>
        <w:t xml:space="preserve">      el estatus quo logrado a [esa] fecha, situación a la  que  ella  misma</w:t>
        <w:br/>
        <w:t xml:space="preserve">      ha[bía] contribuido con su asistencia,  participación  y  contribución</w:t>
        <w:br/>
        <w:t xml:space="preserve">      personal como profesional en los  comparendos  realizados,  habiéndose</w:t>
        <w:br/>
        <w:t xml:space="preserve">      logrado un régimen transitorio que refleja en mejor medida el  interés</w:t>
        <w:br/>
        <w:t xml:space="preserve">      superior de las menores de edad […]. El hecho de que [la señora Atala]</w:t>
        <w:br/>
        <w:t xml:space="preserve">      es lesbiana y asuma su condición de tal no afecta su aptitud  maternal</w:t>
        <w:br/>
        <w:t xml:space="preserve">      y su capacidad para generar un entorno  de  amor,  afecto,  respeto  y</w:t>
        <w:br/>
        <w:t xml:space="preserve">      tolerancia para los efectos de la educación y desarrollo de las  niñas</w:t>
        <w:br/>
        <w:t xml:space="preserve">      como seres humanos y futuras ciudadanas de nuestra nación[55].</w:t>
        <w:br/>
        <w:br/>
        <w:br/>
        <w:t>El 2 de mayo de 2003  el  Juzgado  de  Menores  de  Villarrica  concedió  la</w:t>
        <w:br/>
        <w:t>tuición provisional al padre y  reguló  las  visitas  de  la  madre,  aunque</w:t>
        <w:br/>
        <w:t>reconoció que no existían elementos que  permitieran  presumir  causales  de</w:t>
        <w:br/>
        <w:t>inhabilidad  legal  de  la  madre.  En  particular,  el  Juzgado  motivó  la</w:t>
        <w:br/>
        <w:t>decisión, inter  alia,  con  los  siguientes  argumentos:  i)  “que  […]  la</w:t>
        <w:br/>
        <w:t>demandada haciendo explícita su opción sexual, convive  en  el  mismo  hogar</w:t>
        <w:br/>
        <w:t>que alberga  a  sus  hijas,  con  su  pareja,  […]  alterando  con  ella  la</w:t>
        <w:br/>
        <w:t>normalidad de la rutina familiar, privilegiando sus  intereses  y  bienestar</w:t>
        <w:br/>
        <w:t>personal,  por  sobre  el  bienestar  emocional  y   adecuado   proceso   de</w:t>
        <w:br/>
        <w:t>socialización de sus hijas”, y ii) “que  la  demandada  ha  privilegiado  su</w:t>
        <w:br/>
        <w:t>bienestar e interés personal por sobre el cumplimiento de  su  rol  materno,</w:t>
        <w:br/>
        <w:t>en condiciones, que pueden afectar el desarrollo posterior  de  las  menores</w:t>
        <w:br/>
        <w:t>de autos, y de lo  cual  no  cabe  sino  concluir,  que  el  actor  presenta</w:t>
        <w:br/>
        <w:t>argumentos más  favorables  en  pro  del  interés  superior  de  las  niñas,</w:t>
        <w:br/>
        <w:t>argumentos,  que  en  el  contexto  de   una   sociedad   heterosexuada,   y</w:t>
        <w:br/>
        <w:t>tradicional, cobra[n] gran importancia”[56].</w:t>
        <w:br/>
        <w:br/>
        <w:t>El 8 de mayo de 2003, en cumplimiento de lo  dispuesto  por  el  Juzgado  de</w:t>
        <w:br/>
        <w:t>Menores de Villarrica, la señora Atala entregó a sus tres hijas al padre  de</w:t>
        <w:br/>
        <w:t>las mismas[57]. En respuesta a dicha decisión, el 13  de  mayo  de  2003  la</w:t>
        <w:br/>
        <w:t>señora Atala solicitó la inhibición del Juez Titular de  Letras  de  Menores</w:t>
        <w:br/>
        <w:t>de Villarrica  de  seguir  conociendo  el  proceso  de  tuición,  por  haber</w:t>
        <w:br/>
        <w:t>incurrido en la causal de implicancia contenida en  el  Código  Orgánico  de</w:t>
        <w:br/>
        <w:t>Tribunales[58]. La representación de la  señora  Atala  sostuvo  que  en  la</w:t>
        <w:br/>
        <w:t>resolución del 2 de mayo de 2003 el Juez dio “forma y contenido  con  fuerza</w:t>
        <w:br/>
        <w:t>de resolución judicial a un determinado modelo de sociedad, visión que a  no</w:t>
        <w:br/>
        <w:t>dudarlo es materia  de  fondo  de  la  cuestión  planteada,  y  que  resulta</w:t>
        <w:br/>
        <w:t>discriminador por fundarse en estereotipos y supuestos patriarcales  que  no</w:t>
        <w:br/>
        <w:t>acogen y valoran la diversidad y pluralismo en el seno social”[59].</w:t>
        <w:br/>
        <w:br/>
        <w:br/>
        <w:t>El 14 de mayo de 2003 el Juez Titular de Letras  de  Menores  de  Villarrica</w:t>
        <w:br/>
        <w:t>declaró “bastante la causal”  de  implicancia,  sin  pronunciarse  sobre  su</w:t>
        <w:br/>
        <w:t>fondo, y se abstuvo de intervenir en el proceso de tuición.  Además,  ordenó</w:t>
        <w:br/>
        <w:t>cumplir con lo dispuesto en el artículo  120  del  Código  de  Procesamiento</w:t>
        <w:br/>
        <w:t>Civil “mientras se res[olviera el] incidente”[60].</w:t>
        <w:br/>
        <w:br/>
        <w:br/>
        <w:br/>
        <w:t>3.    Sentencia de primera instancia otorgando la tuición de las niñas a  la</w:t>
        <w:br/>
        <w:t xml:space="preserve">      señora Atala</w:t>
        <w:br/>
        <w:br/>
        <w:br/>
        <w:br/>
        <w:t>Dada la inhabilitación  del  Juez  Titular,  correspondió  dictar  sentencia</w:t>
        <w:br/>
        <w:t>sobre el fondo del asunto a la Jueza Subrogante del Juzgado  de  Menores  de</w:t>
        <w:br/>
        <w:t>Villarrica el 29 de octubre de  2003[61].  En  dicha  Sentencia  el  Juzgado</w:t>
        <w:br/>
        <w:t>rechazó la demanda de tuición  considerando  que,  con  base  en  la  prueba</w:t>
        <w:br/>
        <w:t>existente, había  quedado  establecido  que  la  orientación  sexual  de  la</w:t>
        <w:br/>
        <w:t>demandada no representaba un impedimento  para  desarrollar  una  maternidad</w:t>
        <w:br/>
        <w:t>responsable,  que  no  presentaba  ninguna  patología  psiquiátrica  que  le</w:t>
        <w:br/>
        <w:t>impidiera ejercer su “rol de  madre”  y  que  no  existían  indicadores  que</w:t>
        <w:br/>
        <w:t>permitieran presumir la existencia de causales de inhabilidad  materna  para</w:t>
        <w:br/>
        <w:t>asumir el cuidado personal de las menores de edad. Igualmente,  se  concluyó</w:t>
        <w:br/>
        <w:t>que “tampoco se ha[bía] acreditado la existencia  de  hechos  concretos  que</w:t>
        <w:br/>
        <w:t>perjudi[caran] el bienestar de las menores derivados de la presencia  de  la</w:t>
        <w:br/>
        <w:t>pareja de la madre en el  hogar”.  Asimismo,  consideró  que  había  quedado</w:t>
        <w:br/>
        <w:t>establecido que la homosexualidad no estaba considerada  como  una  conducta</w:t>
        <w:br/>
        <w:t>patológica, y que  la  demandada  no  presentaba  “ninguna  contraindicación</w:t>
        <w:br/>
        <w:t>desde el punto de vista psicológico para  el  ejercicio  del  rol  materno”.</w:t>
        <w:br/>
        <w:br/>
        <w:br/>
        <w:t>En su evaluación sobre la presunta inhabilidad de la señora Atala  para  ser</w:t>
        <w:br/>
        <w:t>madre, por haberse declarado lesbiana y convivir con una  pareja  del  mismo</w:t>
        <w:br/>
        <w:t>sexo, se tuvieron en cuenta una  gama  de  informes  de  entidades  como  la</w:t>
        <w:br/>
        <w:t>Organización Panamericana de la Salud, el Departamento de Psicología  de  la</w:t>
        <w:br/>
        <w:t>Universidad  de  Chile  y  la  Facultad  de  Educación  de   la   Pontificia</w:t>
        <w:br/>
        <w:t>Universidad  Católica  de  Chile,  los  cuales   señalaron   que:   i)   “la</w:t>
        <w:br/>
        <w:t>homosexualidad es un conducta normal  y  que  no  es  una  manifestación  de</w:t>
        <w:br/>
        <w:t>ninguna patología”, y ii) “la capacidad de  amar  a  los  hijos,  cuidarlos,</w:t>
        <w:br/>
        <w:t>protegerlos, respetar sus derechos y favorecer sus opciones de vida  […]  no</w:t>
        <w:br/>
        <w:t>tiene relación con la identidad ni opciones  sexuales  de  los  padres”[62].</w:t>
        <w:br/>
        <w:t>Por otra parte, se valoraron informes psicológicos de las menores de edad  e</w:t>
        <w:br/>
        <w:t>informes  psicológicos  de  la  demandada  y  del  demandante,  los   cuales</w:t>
        <w:br/>
        <w:t>concluyeron que “la presencia de la pareja de la madre en  la  casa  en  que</w:t>
        <w:br/>
        <w:t>vivieron las menores [de edad] con su madre no configura[ba] una  causal  de</w:t>
        <w:br/>
        <w:t>inhabilidad personal para ejercer el cuidado personal de sus hijas  [y  que]</w:t>
        <w:br/>
        <w:t>tampoco  se  ha[bía]  acreditado  la  existencia  de  hechos  concretos  que</w:t>
        <w:br/>
        <w:t>perjudi[caran] el bienestar  de  las  menores  [de  edad]  derivados  de  la</w:t>
        <w:br/>
        <w:t>presencia de la pareja de la madre en el hogar”.</w:t>
        <w:br/>
        <w:br/>
        <w:t>Sobre la calidad del cuidado de la señora Atala con sus hijas, se tuvo  bajo</w:t>
        <w:br/>
        <w:t>consideración  un  informe  emitido  por  una  enfermera  del  Hospital   de</w:t>
        <w:br/>
        <w:t>Villarrica e informes educacionales, sobre los cuales el Juzgado indicó  que</w:t>
        <w:br/>
        <w:t>dicha prueba  “constituye  manifestaciones  objetivas  de  una  preocupación</w:t>
        <w:br/>
        <w:t>constante de la madre de las menores de autos por su salud y educación y  en</w:t>
        <w:br/>
        <w:t>consecuencia se t[uvo] por establecido que la demandada ha[bía]  velado  por</w:t>
        <w:br/>
        <w:t>la crianza, cuidado personal y educación de sus hijas”.  El  Juzgado  indicó</w:t>
        <w:br/>
        <w:t>que pese a que en la demanda se señaló que las niñas habían sido  objeto  de</w:t>
        <w:br/>
        <w:t>malos tratos por la señora Atala,  “no  se  descr[ibieron]  cuáles  son  los</w:t>
        <w:br/>
        <w:t>hechos concretos que lo constitu[ía]n y si se trata[ba] de  maltrato  físico</w:t>
        <w:br/>
        <w:t>o psicológico. [Además,  declaró  que]  el  tribunal  ha[bía]  adquirido  la</w:t>
        <w:br/>
        <w:t>convicción que no exist[ió] ningún antecedente  que  permiti[era]  acreditar</w:t>
        <w:br/>
        <w:t>algún tipo de maltrato por parte de la madre hacia las menores” de edad.</w:t>
        <w:br/>
        <w:br/>
        <w:br/>
        <w:t>Sobre el argumento del  demandante  referente  al  riesgo  de  las  niñas  a</w:t>
        <w:br/>
        <w:t>contraer  enfermedades  de  transmisión   sexual,   el   Juzgado   consideró</w:t>
        <w:br/>
        <w:t>certificados médicos de la señora Atala y su  pareja,  mediante  los  cuales</w:t>
        <w:br/>
        <w:t>confirmó que no había evidencia de la  existencia  de  dichas  enfermedades.</w:t>
        <w:br/>
        <w:t>Sobre el peligro moral que presuntamente enfrentaban las  menores  de  edad,</w:t>
        <w:br/>
        <w:t>se citó un informe social de la demandada demostrando un  ambiente  familiar</w:t>
        <w:br/>
        <w:t>armónico,  “con  normas  y  límites  claros  y  una  rutina   familiar   que</w:t>
        <w:br/>
        <w:t>funciona[ba] apropiadamente con la supervisión  de  la  madre,  a  quien  el</w:t>
        <w:br/>
        <w:t>contexto de una relación de  pareja  satisfactoria,  se  le  aprecia[ba]  en</w:t>
        <w:br/>
        <w:t>armonía con su entorno y preocupada y  cercana  a  sus  hijas”.  Además,  se</w:t>
        <w:br/>
        <w:t>mencionó la conclusión del informe del  Departamento  de  Psicología  de  la</w:t>
        <w:br/>
        <w:t>Universidad de Chile aduciendo que “la orientación sexual  de  la  madre  no</w:t>
        <w:br/>
        <w:t>constituye un peligro para la moralidad de las menores  [de  edad],  porque,</w:t>
        <w:br/>
        <w:t>según ya se señaló, siendo una condición o forma  normal  de  la  sexualidad</w:t>
        <w:br/>
        <w:t>humana, no es susceptible de un juicio ético o moral, sino  que  sólo  puede</w:t>
        <w:br/>
        <w:t>ser considerada como una condición física de  una  persona,  no  susceptible</w:t>
        <w:br/>
        <w:t>por si sola de un juicio de valor”.</w:t>
        <w:br/>
        <w:br/>
        <w:t>En relación con la potencial discriminación que podrían sufrir las  niñas  y</w:t>
        <w:br/>
        <w:t>que fue expresado por los parientes y testigos de la  parte  demandante,  el</w:t>
        <w:br/>
        <w:t>Juzgado concluyó “que las menores [de  edad]  no  ha[bían]  sido  objeto  de</w:t>
        <w:br/>
        <w:t>ninguna discriminación a [esa] fecha y lo que los testigos  y  parientes  de</w:t>
        <w:br/>
        <w:t>la  parte  demandante  manifiesta[ron  era]   un   temor   a   una   posible</w:t>
        <w:br/>
        <w:t>discriminación  futura”.  Por  tanto,  el  Juzgado  considero  “que  [dicho]</w:t>
        <w:br/>
        <w:t>tribunal deb[ía] fundar su resolución en hechos ciertos  y  probados  en  la</w:t>
        <w:br/>
        <w:t>causa y no en meras suposiciones o temores”.</w:t>
        <w:br/>
        <w:br/>
        <w:br/>
        <w:t>Finalmente, el Juzgado en la sentencia de primera  instancia  indicó  “[q]ue</w:t>
        <w:br/>
        <w:t>consta en las actas guardadas en caja fuerte del tribunal  que  las  menores</w:t>
        <w:br/>
        <w:t>[de edad] fueron oídas por este [Juzgado]. En estas audiencias  se  constató</w:t>
        <w:br/>
        <w:t>que la voluntad de las tres menores [de edad] es que sus  padres  vuelvan  a</w:t>
        <w:br/>
        <w:t>vivir juntos, y en la última de las audiencias  realizada  con  fecha  8  de</w:t>
        <w:br/>
        <w:t>octubre de 2003, [R.] y [V.] expresaron su deseo de volver a  vivir  con  su</w:t>
        <w:br/>
        <w:t>madre y en el caso de [M.] sólo se  detectó  una  leve  preferencia  por  la</w:t>
        <w:br/>
        <w:t>figura materna”. Al  respecto,  el  Juzgado  señaló  que  las  declaraciones</w:t>
        <w:br/>
        <w:t>rendidas  en  audiencia  por  las  menores  de  edad  fue   un   antecedente</w:t>
        <w:br/>
        <w:t>considerado, pero no condicionaba su decisión en razón de su  corta  edad  y</w:t>
        <w:br/>
        <w:t>la posibilidad de que estas opiniones se vieran  afectadas  “artificialmente</w:t>
        <w:br/>
        <w:t>por factores externos que las influencien,  distorsionen  o  inhabiliten  al</w:t>
        <w:br/>
        <w:t>fin propuesto”[63].</w:t>
        <w:br/>
        <w:br/>
        <w:br/>
        <w:br/>
        <w:t>4.    Apelación ante la Corte de Apelaciones de Temuco y concesión de  orden</w:t>
        <w:br/>
        <w:t xml:space="preserve">      de no innovar en favor del padre</w:t>
        <w:br/>
        <w:br/>
        <w:br/>
        <w:br/>
        <w:t>De conformidad con la Sentencia  dictada  el  29  de  octubre  de  2003,  el</w:t>
        <w:br/>
        <w:t>Tribunal de Menores de Villarrica ordenó la entrega de las niñas a la  madre</w:t>
        <w:br/>
        <w:t>el 18 de diciembre de 2003[64]. Sin embargo, el 11 de noviembre de  2003  el</w:t>
        <w:br/>
        <w:t>padre de las niñas interpuso un recurso  de  apelación  de  la  Sentencia  y</w:t>
        <w:br/>
        <w:t>posteriormente una solicitud provisional de no innovar, argumentando que  el</w:t>
        <w:br/>
        <w:t>cumplimiento de la Sentencia implicaría un cambio  radical  y  violento  del</w:t>
        <w:br/>
        <w:t>status quo actual de las menores de edad[65].</w:t>
        <w:br/>
        <w:br/>
        <w:t>El 24 de noviembre de 2003 la Corte de Apelaciones  de  Temuco  concedió  la</w:t>
        <w:br/>
        <w:t>orden de no innovar manteniendo el padre la custodia[66]. Sobre  esta  orden</w:t>
        <w:br/>
        <w:t>de no innovar, la señora Atala presentó una queja disciplinaria  contra  dos</w:t>
        <w:br/>
        <w:t>integrantes  de  dicha  Corte,  alegando  causales  de   recusación   y   de</w:t>
        <w:br/>
        <w:t>inhabilitación[67]. La Corte Suprema de Justicia de Chile falló  sobre  este</w:t>
        <w:br/>
        <w:t>recurso de queja el 2 de julio  de  2004,  declarando  por  mayoría  que  no</w:t>
        <w:br/>
        <w:t>existió falta o abuso de los  Ministros  demandados.  Sin  perjuicio  de  lo</w:t>
        <w:br/>
        <w:t>anterior, algunos de los Ministros de la  Corte  “estuvieron  por  hacer  un</w:t>
        <w:br/>
        <w:t>severo llamado de atención a los  recurridos  por  la  omisión  que  se  les</w:t>
        <w:br/>
        <w:t>reprocha por la quejosa”[68].</w:t>
        <w:br/>
        <w:br/>
        <w:br/>
        <w:t>El 30 de marzo de 2004 la Corte  de  Apelaciones  de  Temuco,  sin  los  dos</w:t>
        <w:br/>
        <w:t>Ministros que se habían apartado del proceso (supra párr. 51),  confirmó  la</w:t>
        <w:br/>
        <w:t>Sentencia apelada por el padre de las niñas,  por  lo  que  ratificaron  las</w:t>
        <w:br/>
        <w:t>consideraciones realizadas por la primera instancia y dejaron sin efecto  la</w:t>
        <w:br/>
        <w:t>orden de no innovar concedida el 24 de noviembre de 2003[69].  La  Corte  de</w:t>
        <w:br/>
        <w:t>Apelaciones no expuso fundamentos nuevos y acogió  plenamente  la  sentencia</w:t>
        <w:br/>
        <w:t>de primera instancia.</w:t>
        <w:br/>
        <w:br/>
        <w:br/>
        <w:br/>
        <w:t>5.    Interposición del recurso de queja ante la Corte Suprema  de  Justicia</w:t>
        <w:br/>
        <w:t xml:space="preserve">      y concesión de la segunda orden de no innovar a favor del padre</w:t>
        <w:br/>
        <w:br/>
        <w:br/>
        <w:br/>
        <w:t>El 5 de abril de 2004 el padre de las niñas presentó ante la  Corte  Suprema</w:t>
        <w:br/>
        <w:t>de Chile un recurso de queja  en  contra  de  los  jueces  de  la  Corte  de</w:t>
        <w:br/>
        <w:t>Apelaciones de Temuco y solicitó que se mantuviera  provisionalmente  a  las</w:t>
        <w:br/>
        <w:t>niñas bajo su cuidado. El padre de  las  niñas  argumentó  que  mediante  la</w:t>
        <w:br/>
        <w:t>Sentencia de apelación los jueces recurridos habían cometido  una  “falta  y</w:t>
        <w:br/>
        <w:t>un abuso grave y notorio”, debido a: i) haber privilegiado los  derechos  de</w:t>
        <w:br/>
        <w:t>la madre sobre los de las niñas; ii) haber faltado  en  su  deber  legal  de</w:t>
        <w:br/>
        <w:t>proteger su vulnerabilidad, y iii)  haber  trasgredido  los  principios  que</w:t>
        <w:br/>
        <w:t>regulan la apreciación de la prueba  en  conciencia  en  los  juicios  sobre</w:t>
        <w:br/>
        <w:t>asuntos de familia[70]. En particular, el señor  López  Allendes  alegó  que</w:t>
        <w:br/>
        <w:t>los jueces habían  ignorado  toda  la  evidencia  probatoria  en  autos  que</w:t>
        <w:br/>
        <w:t>demostraría que la “exteriorización del comportamiento lésbico,  produjo  en</w:t>
        <w:br/>
        <w:t>forma directa e inmediata en [M., V. y  R.],  una  confusión  en  los  roles</w:t>
        <w:br/>
        <w:t>sexuales que interfirió y va a interferir posteriormente  en  el  desarrollo</w:t>
        <w:br/>
        <w:t>de una identidad sexual clara y definida”[71]. La Corte Suprema concedió  la</w:t>
        <w:br/>
        <w:t>orden de no innovar solicitada el 7 de abril de 2004[72].</w:t>
        <w:br/>
        <w:br/>
        <w:br/>
        <w:t>6.    Sentencia de la Corte Suprema de Justicia de Chile</w:t>
        <w:br/>
        <w:br/>
        <w:br/>
        <w:t>El 31 de mayo de 2004 la Cuarta Sala de la  Corte  Suprema  de  Justicia  de</w:t>
        <w:br/>
        <w:t>Chile, en un fallo dividido de tres votos contra dos, acogió el  recurso  de</w:t>
        <w:br/>
        <w:t>queja, concediendo la tuición definitiva al padre[73].</w:t>
        <w:br/>
        <w:br/>
        <w:t>En primer lugar, la Corte Suprema destacó que “en todas las medidas  que  le</w:t>
        <w:br/>
        <w:t>conciernan [a los niños y niñas], es primordial atender al interés  superior</w:t>
        <w:br/>
        <w:t>del  niño  sobre  otras  consideraciones  y   derechos   relativos   a   sus</w:t>
        <w:br/>
        <w:t>progenitores y que puedan hacer necesario separarlo de sus padres”.  Además,</w:t>
        <w:br/>
        <w:t>la Corte Suprema expresó que el inciso primero del artículo 225  del  Código</w:t>
        <w:br/>
        <w:t>Civil chileno, el cual provee que  en  el  caso  de  que  los  padres  vivan</w:t>
        <w:br/>
        <w:t>separados el cuidado personal de los hijos corresponde a  la  madre,  no  es</w:t>
        <w:br/>
        <w:t>una norma “absoluta y definitiva”. Por lo tanto, la Corte  declaró  que  “el</w:t>
        <w:br/>
        <w:t>tribunal puede confiar el cuidado personal  de  los  hijos  al  otro  padre,</w:t>
        <w:br/>
        <w:t>haciendo cesar  la  tuición  de  quien  la  ejerce,  si  existe  una  ‘causa</w:t>
        <w:br/>
        <w:t>calificada’ que haga indispensable adoptar la resolución,  siempre  teniendo</w:t>
        <w:br/>
        <w:t>en cuenta el interés del hijo”.</w:t>
        <w:br/>
        <w:br/>
        <w:br/>
        <w:t>En particular, la Corte Suprema concluyó que: i) “se ha[bía] prescindido  de</w:t>
        <w:br/>
        <w:t>la  prueba  testimonial,  producida  tanto  en  el  expediente  de   tuición</w:t>
        <w:br/>
        <w:t>definitiva  como  del  cuaderno  de  tuición  provisoria,  […]  respecto  al</w:t>
        <w:br/>
        <w:t>deterioro experimentado por el entorno social,  familiar  y  educacional  en</w:t>
        <w:br/>
        <w:t>que se desenvuelve la existencia de las menores  [de  edad],  desde  que  la</w:t>
        <w:br/>
        <w:t>madre empezó a convivir en el hogar con su pareja homosexual  y  a  que  las</w:t>
        <w:br/>
        <w:t>niñas podrían ser objeto de discriminación social derivada  de  este  hecho,</w:t>
        <w:br/>
        <w:t>pues las visitas de sus amigas al hogar común  han  disminuido  y  casi  han</w:t>
        <w:br/>
        <w:t>cesado de un año a otro”; ii) “el testimonio de las personas cercanas a  las</w:t>
        <w:br/>
        <w:t>menores, como son las empleadas de la casa,  hacen  referencia  a  juegos  y</w:t>
        <w:br/>
        <w:t>actitudes de  las  niñas  demostrativas  de  confusión  ante  la  sexualidad</w:t>
        <w:br/>
        <w:t>materna que no han podido menos que percibir en la convivencia en  el  hogar</w:t>
        <w:br/>
        <w:t>con su nueva pareja”; iii) “no e[ra] posible desconocer que la madre de  las</w:t>
        <w:br/>
        <w:t>menores  de  [edad],  al  tomar  la  decisión  de  explicitar  su  condición</w:t>
        <w:br/>
        <w:t>homosexual, como puede hacerlo libremente toda persona en el ámbito  de  sus</w:t>
        <w:br/>
        <w:t>derechos  personalísimos  en  el  género  sexual,  sin  merecer   por   ello</w:t>
        <w:br/>
        <w:t>reprobación o reproche jurídico alguno […] ha[bía]  antepuesto  sus  propios</w:t>
        <w:br/>
        <w:t>intereses, postergando los  de  sus  hijas,  especialmente  al  iniciar  una</w:t>
        <w:br/>
        <w:t>convivencia con su pareja homosexual en el mismo hogar en  que  lleva[ba]  a</w:t>
        <w:br/>
        <w:t>efecto la crianza y cuidado de sus hijas separadamente del padre de  éstas”,</w:t>
        <w:br/>
        <w:t>y iv) “aparte de  los  efectos  que  esa  convivencia  puede  causar  en  el</w:t>
        <w:br/>
        <w:t>bienestar y desarrollo psíquico y  emocional  de  las  hijas,  atendida  sus</w:t>
        <w:br/>
        <w:t>edades, la eventual confusión de roles sexuales que puede producírseles  por</w:t>
        <w:br/>
        <w:t>la carencia en el hogar de un padre de sexo masculino  y  su  reemplazo  por</w:t>
        <w:br/>
        <w:t>otra persona del género femenino, configura una situación de riesgo para  el</w:t>
        <w:br/>
        <w:t>desarrollo  integral  de  las  menores  respecto  de  la  cual   deben   ser</w:t>
        <w:br/>
        <w:t>protegidas”.</w:t>
        <w:br/>
        <w:br/>
        <w:t>La Corte Suprema, además,  estimó  que  las  niñas  se  encontraban  en  una</w:t>
        <w:br/>
        <w:t>“situación de riesgo” que las ubicaba en un “estado de vulnerabilidad en  su</w:t>
        <w:br/>
        <w:t>medio social, pues es  evidente  que  su  entorno  familiar  excepcional  se</w:t>
        <w:br/>
        <w:t>diferencia[ba] significativamente del que tienen sus compañeros de  colegios</w:t>
        <w:br/>
        <w:t>y relaciones de la vecindad en que habitan, exponiéndolas a  ser  objeto  de</w:t>
        <w:br/>
        <w:t>aislamiento  y  discriminación  que  igualmente  afectará  a  su  desarrollo</w:t>
        <w:br/>
        <w:t>personal”.  Por tanto, la Corte  consideró  que  las  condiciones  descritas</w:t>
        <w:br/>
        <w:t>constituyen “causa calificada”  de  conformidad  con  el  artículo  225  del</w:t>
        <w:br/>
        <w:t>Código Civil, para justificar la entrega de la tuición al  padre,  dado  que</w:t>
        <w:br/>
        <w:t>la situación actual configuraba “un cuadro que irroga el  riesgo  de  daños,</w:t>
        <w:br/>
        <w:t>los que podrían tornarse irreversibles, para los intereses  de  las  menores</w:t>
        <w:br/>
        <w:t>[de edad], cuya protección debe preferir  a  toda  otra  consideración”.  La</w:t>
        <w:br/>
        <w:t>Corte concluyó que los jueces recurridos fallaron  en  “no  haber  apreciado</w:t>
        <w:br/>
        <w:t>estrictamente en conciencia los antecedentes probatorios del proceso”  y  al</w:t>
        <w:br/>
        <w:t>“haber  preterido  el  derecho  preferente  de  las  menores   a   vivir   y</w:t>
        <w:br/>
        <w:t>desarrollarse  en  el  seno  de  una  familia  estructurada  normalmente   y</w:t>
        <w:br/>
        <w:t>apreciada en el medio social, según el modelo tradicional que le es  propio,</w:t>
        <w:br/>
        <w:t>ha[bían] incurrido en falta o abuso grave, que debe  ser  corregido  por  la</w:t>
        <w:br/>
        <w:t>vía de acoger el presente recurso de queja”[74].</w:t>
        <w:br/>
        <w:br/>
        <w:t>Los dos jueces de la Sala de la Corte Suprema que votaron  por  rechazar  el</w:t>
        <w:br/>
        <w:t>recurso de queja,  presentaron  argumentos  sobre  la  naturaleza  de  dicho</w:t>
        <w:br/>
        <w:t>recurso[75]. Además, los jueces disidentes estimaron que, de acuerdo con  el</w:t>
        <w:br/>
        <w:t>artículo 225 y la preferencia que establece este artículo por  la  madre  en</w:t>
        <w:br/>
        <w:t>el cuidado de los hijos en casos de separación, “el juez no puede variar  la</w:t>
        <w:br/>
        <w:t>norma general de la radicación de cuidado de los hijos, por arbitrio  o  con</w:t>
        <w:br/>
        <w:t>fundamentos faltos de justificación, livianos o  ambiguos,  sino  únicamente</w:t>
        <w:br/>
        <w:t>cuando un examen restrictivo de la normativa legal  y  de  los  antecedentes</w:t>
        <w:br/>
        <w:t>acompañados demuestre un ‘indispensable’ interés del niño”[76].</w:t>
        <w:br/>
        <w:br/>
        <w:br/>
        <w:br/>
        <w:t xml:space="preserve">        Consideraciones previas</w:t>
        <w:br/>
        <w:br/>
        <w:br/>
        <w:br/>
        <w:t>1.     Consideración  previa  sobre  el  objeto  del  caso  ante  la   Corte</w:t>
        <w:br/>
        <w:t xml:space="preserve">      Interamericana</w:t>
        <w:br/>
        <w:br/>
        <w:br/>
        <w:t>Alegatos de las partes</w:t>
        <w:br/>
        <w:br/>
        <w:t>La  Comisión  argumentó  que  el  presente  caso  “se   relaciona   con   la</w:t>
        <w:br/>
        <w:t>discriminación e injerencia arbitraria en la vida  privada  de  [la  señora]</w:t>
        <w:br/>
        <w:t>Atala, ocurridas en el contexto de un proceso judicial sobre la  custodia  y</w:t>
        <w:br/>
        <w:t>cuidado de sus tres hijas”. Lo  anterior,  debido  a  que  presuntamente  la</w:t>
        <w:br/>
        <w:t>“orientación sexual [de la señora] Atala y, principalmente la  expresión  de</w:t>
        <w:br/>
        <w:t>dicha orientación en su proyecto de vida, fueron la base  principal  de  las</w:t>
        <w:br/>
        <w:t>decisiones mediante las cuales se resolvió  retirarle  la  custodia  de  las</w:t>
        <w:br/>
        <w:t>niñas”.</w:t>
        <w:br/>
        <w:br/>
        <w:t>Los representantes coincidieron con los alegatos generales de la Comisión  y</w:t>
        <w:br/>
        <w:t>agregaron que “el proceso iniciado ante el  [S]istema  [I]nteramericano  […]</w:t>
        <w:br/>
        <w:t>no ha tenido ni tiene por objeto reabrir el proceso de  tuición  y  usar  al</w:t>
        <w:br/>
        <w:t>[S]istema [I]nteramericano como una cuarta instancia”. Además,  argumentaron</w:t>
        <w:br/>
        <w:t>que “el Estado le present[ó] a esta […] Corte razones que la  Corte  Suprema</w:t>
        <w:br/>
        <w:t>no expresó en la sentencia del recurso de queja,  apoyándose  en  documentos</w:t>
        <w:br/>
        <w:t>que la Corte Suprema tuvo en su conocimiento y que desestimó al fallar”.</w:t>
        <w:br/>
        <w:br/>
        <w:br/>
        <w:t>Por su parte, el Estado argumentó que “no es efectivo que la  razón  por  la</w:t>
        <w:br/>
        <w:t>que los tribunales chilenos resolvieron remover la tuición de la madre  para</w:t>
        <w:br/>
        <w:t>entregársela al padre en  el  caso  de  las  niñas  López  Atala,  fuera  la</w:t>
        <w:br/>
        <w:t>orientación sexual” de la señora Atala. En particular, el Estado  alegó  que</w:t>
        <w:br/>
        <w:t>“el  objeto  del  juicio  de  custodia  […]  no  fue   la   declaración   de</w:t>
        <w:br/>
        <w:t>inhabilitación de la madre, sino la determinación del padre o madre  que  en</w:t>
        <w:br/>
        <w:t>ese momento ofrecía mejores condiciones para asegurar el  bienestar  de  las</w:t>
        <w:br/>
        <w:t>tres  niñas”.  En  este  sentido,  arguyó  que  “[n]o  es  efectivo  que  el</w:t>
        <w:br/>
        <w:t>fundamento de las referidas resoluciones fuera la orientación sexual  de  la</w:t>
        <w:br/>
        <w:t>madre ni su sola expresión. Por el contrario, del tenor  de  las  mismas  se</w:t>
        <w:br/>
        <w:t>desprende […] que su fundamento fue el interés superior del niño, y  que  en</w:t>
        <w:br/>
        <w:t>dicho contexto, la orientación  sexual  de  la  demandada  fue  considerada,</w:t>
        <w:br/>
        <w:t>entre otras circunstancias, en la  medida  que  su  expresión  tuvo  efectos</w:t>
        <w:br/>
        <w:t>concretos adversos al bienestar de las niñas”. De  acuerdo  con  el  Estado,</w:t>
        <w:br/>
        <w:t>“la sentencia de la Corte Suprema resolvió  que  los  tribunales  inferiores</w:t>
        <w:br/>
        <w:t>incurrieron en falta o abuso grave al infringir las  reglas  de  apreciación</w:t>
        <w:br/>
        <w:t>de la prueba, […] pues […] dichos tribunales no ponderaron  en  su  conjunto</w:t>
        <w:br/>
        <w:t>el mérito de la totalidad de la prueba”.</w:t>
        <w:br/>
        <w:br/>
        <w:br/>
        <w:t>De manera general, el Estado alegó que en el proceso de  tuición  “exist[ía]</w:t>
        <w:br/>
        <w:t>abundante prueba […] que acredita[ba  …]  las  mejores  condiciones  que  el</w:t>
        <w:br/>
        <w:t>padre ofrecía  a[l]  bienestar”  de  las  niñas.  Concretamente,  el  Estado</w:t>
        <w:br/>
        <w:t>argumentó  que  “existía  evidencia  contundente  que  daba  cuenta  que  la</w:t>
        <w:br/>
        <w:t>demandada  demostraba  una  intensa  actitud  centrada   en   sí   misma   y</w:t>
        <w:br/>
        <w:t>características personales que dificultaban el ejercicio adecuado de su  rol</w:t>
        <w:br/>
        <w:t>maternal, circunstancias que llevaron a concluir que la madre no ofrecía  un</w:t>
        <w:br/>
        <w:t>medio ambiente idóneo para el desarrollo de sus hijas”.</w:t>
        <w:br/>
        <w:br/>
        <w:br/>
        <w:t>Por otra parte, el Estado arguyó que “respecto del padre  existía  evidencia</w:t>
        <w:br/>
        <w:t>considerable […] que avala[ría]: i) su dedicación y esmero en el cuidado  de</w:t>
        <w:br/>
        <w:t>sus hijas; ii) sus aptitudes para  el  ejercicio  de  la  crianza;  iii)  el</w:t>
        <w:br/>
        <w:t>ambiente favorable que ofrecía al bienestar de sus hijas, y iv) la  positiva</w:t>
        <w:br/>
        <w:t>relación que existía entre las niñas y la pareja  del  demandante”.  Además,</w:t>
        <w:br/>
        <w:t>el Estado manifestó que al examinar la prueba obrante en el  expediente,  se</w:t>
        <w:br/>
        <w:t>evidenciaría  que  la  decisión  de  custodia  provisoria  “incluía  también</w:t>
        <w:br/>
        <w:t>materias ajenas a la referida orientación sexual, como la determinación  del</w:t>
        <w:br/>
        <w:t>padre o madre que ofrecía un mayor grado de compromiso y de atención  a  las</w:t>
        <w:br/>
        <w:t>niñas”.</w:t>
        <w:br/>
        <w:br/>
        <w:t>Consideraciones de la Corte</w:t>
        <w:br/>
        <w:br/>
        <w:t>De los alegatos presentados por el Estado, así como de la  prueba  que  obra</w:t>
        <w:br/>
        <w:t>en el expediente, la  Corte  considera  que  en  el  juicio  de  tuición  se</w:t>
        <w:br/>
        <w:t>debatieron, inter alia, los siguientes  aspectos: i) la  orientación  sexual</w:t>
        <w:br/>
        <w:t>de la señora Atala; ii)  la  personalidad  de  la  señora  Atala;  iii)  los</w:t>
        <w:br/>
        <w:t>presuntos daños que se habrían ocasionado a las  niñas,  y  iv)  la  alegada</w:t>
        <w:br/>
        <w:t>prevalencia que daría la señora Atala a sus  intereses  personales.  Por  su</w:t>
        <w:br/>
        <w:t>parte, respecto del padre de las  niñas  se  expusieron,  en  el  marco  del</w:t>
        <w:br/>
        <w:t>proceso de tuición, argumentos a favor  y  en  contra  sobre  si  él  podría</w:t>
        <w:br/>
        <w:t>brindar un mejor bienestar  a  éstas.  El  Estado  consideró  que  la  Corte</w:t>
        <w:br/>
        <w:t>Interamericana debe analizar la totalidad de prueba ventilada en  el  juicio</w:t>
        <w:br/>
        <w:t>de tuición y  no  solamente  las  sentencias  emitidas  por  los  tribunales</w:t>
        <w:br/>
        <w:t>internos.</w:t>
        <w:br/>
        <w:br/>
        <w:t>Al respecto, el Tribunal reitera que  la  jurisdicción  internacional  tiene</w:t>
        <w:br/>
        <w:t>carácter subsidiario[77], coadyuvante y complementario[78], en razón  de  lo</w:t>
        <w:br/>
        <w:t>cual no desempeña funciones de tribunal de “cuarta instancia”. La  Corte  no</w:t>
        <w:br/>
        <w:t>es un tribunal de alzada o de apelación para dirimir los  desacuerdos  entre</w:t>
        <w:br/>
        <w:t>las partes sobre algunos alcances  de  la  valoración  de  prueba  o  de  la</w:t>
        <w:br/>
        <w:t>aplicación del  derecho  interno  en  aspectos  que  no  estén  directamente</w:t>
        <w:br/>
        <w:t>relacionados  con  el  cumplimiento  de  obligaciones   internacionales   de</w:t>
        <w:br/>
        <w:t>derechos  humanos.  Es  por  ello  que  ha  sostenido  que,  en   principio,</w:t>
        <w:br/>
        <w:t>“corresponde a los tribunales del Estado el  examen  de  los  hechos  y  las</w:t>
        <w:br/>
        <w:t>pruebas presentadas en las causas particulares”[79].</w:t>
        <w:br/>
        <w:br/>
        <w:br/>
        <w:t>De acuerdo con lo anterior, no corresponde a este Tribunal determinar si  la</w:t>
        <w:br/>
        <w:t>madre o el padre de las tres niñas ofrecían un mejor hogar para  las  mismas</w:t>
        <w:br/>
        <w:t>ni valorar prueba con ese fin específico, pues ello se encuentra  fuera  del</w:t>
        <w:br/>
        <w:t>objeto del presente caso, cuyo  propósito  es  definir  si  las  autoridades</w:t>
        <w:br/>
        <w:t>judiciales han afectado o no  obligaciones  estipuladas  en  la  Convención.</w:t>
        <w:br/>
        <w:t>Asimismo, y en razón del carácter subsidiario  del  Sistema  Interamericano,</w:t>
        <w:br/>
        <w:t>la Corte no es competente para resolver respecto a la custodia de  las  tres</w:t>
        <w:br/>
        <w:t>niñas M., V. y R., por cuanto esto es materia del derecho  interno  chileno.</w:t>
        <w:br/>
        <w:t>De manera que la tuición actual de las menores de edad  no  es  materia  del</w:t>
        <w:br/>
        <w:t>presente caso.</w:t>
        <w:br/>
        <w:br/>
        <w:br/>
        <w:br/>
        <w:t>2.    Consideración previa sobre la participación de las niñas M., V. y R.</w:t>
        <w:br/>
        <w:br/>
        <w:br/>
        <w:t>En la Resolución de 29 de noviembre de  2011  (supra  párr.  12),  la  Corte</w:t>
        <w:br/>
        <w:t>señaló que en ninguna parte del expediente había una  manifestación  precisa</w:t>
        <w:br/>
        <w:t>por parte de las niñas M., V. y R. respecto a si estaban de acuerdo  con  la</w:t>
        <w:br/>
        <w:t>representación que ejercía cualquiera de sus padres y  de  si  deseaban  ser</w:t>
        <w:br/>
        <w:t>consideradas como presuntas víctimas en el presente caso.  La  Corte  indicó</w:t>
        <w:br/>
        <w:t>que, si bien existían dos escritos mediante los cuales tanto el  padre  como</w:t>
        <w:br/>
        <w:t>la madre manifestaban que actuaban en representación de las tres niñas  ante</w:t>
        <w:br/>
        <w:t>este Tribunal, la  posición  de  la  madre  y  el  padre  no  necesariamente</w:t>
        <w:br/>
        <w:t>representaban los intereses de las niñas.</w:t>
        <w:br/>
        <w:br/>
        <w:t>Por otra parte, el Tribunal, en dicha Resolución, señaló  que  los  niños  y</w:t>
        <w:br/>
        <w:t>niñas ejercen sus derechos de manera progresiva a medida que desarrollan  un</w:t>
        <w:br/>
        <w:t>mayor nivel de autonomía personal, por lo que en su primera infancia  actúan</w:t>
        <w:br/>
        <w:t>en este sentido por conducto de  sus  familiares.  Evidentemente,  hay  gran</w:t>
        <w:br/>
        <w:t>variedad en el grado de desarrollo físico e intelectual, en  la  experiencia</w:t>
        <w:br/>
        <w:t>y en la información que poseen cada niña o niño. Por tanto,  al  llevarse  a</w:t>
        <w:br/>
        <w:t>cabo la diligencia realizada según lo dispuesto en la mencionada  Resolución</w:t>
        <w:br/>
        <w:t>(supra párr. 13) se tuvo en  cuenta  que  las  tres  niñas  tienen  en  este</w:t>
        <w:br/>
        <w:t>momento 12, 13 y 17 años de edad y, por tanto, podrían  existir  diferencias</w:t>
        <w:br/>
        <w:t>en sus opiniones y en el nivel de autonomía personal para  el  ejercicio  de</w:t>
        <w:br/>
        <w:t>los derechos de cada una. En el presente caso, el 8 de febrero  de  2012  se</w:t>
        <w:br/>
        <w:t>escuchó a dos de las niñas  (supra párr. 13).</w:t>
        <w:br/>
        <w:br/>
        <w:t>Durante dicha diligencia, el personal de  la  Secretaría  estuvo  acompañado</w:t>
        <w:br/>
        <w:t>por  la  psiquiatra  María  Alicia  Espinoza[80].  Antes  de   realizar   la</w:t>
        <w:br/>
        <w:t>diligencia, la delegación de la Secretaría de la Corte sostuvo  una  reunión</w:t>
        <w:br/>
        <w:t>previa con dicha psiquiatra, la cual consistió en un  intercambio  de  ideas</w:t>
        <w:br/>
        <w:t>con el fin de garantizar que  la  información  brindada  fuera  accesible  y</w:t>
        <w:br/>
        <w:t>apropiada para las niñas. Teniendo en cuenta los estándares  internacionales</w:t>
        <w:br/>
        <w:t>sobre el derecho de las niñas y los niños a ser oídos (infra  párrs.  196  a</w:t>
        <w:br/>
        <w:t>200), las niñas M. y R.  fueron,  en  primer  lugar,  informadas  de  manera</w:t>
        <w:br/>
        <w:t>conjunta por el personal de la Secretaría sobre su derecho a ser oídas,  los</w:t>
        <w:br/>
        <w:t>efectos o  consecuencias  que  podían  producir  sus  opiniones  dentro  del</w:t>
        <w:br/>
        <w:t>proceso contencioso en el presente caso, la posición y los alegatos  de  las</w:t>
        <w:br/>
        <w:t>partes en  el  presente  caso,  y  se  les  consultó  si  querían  continuar</w:t>
        <w:br/>
        <w:t>participando en la diligencia. Posteriormente, en lugar  de  desarrollar  un</w:t>
        <w:br/>
        <w:t>examen unilateral, se sostuvo una conversación con cada niña  por  separado,</w:t>
        <w:br/>
        <w:t>con el objetivo de brindar un ambiente propicio y de confianza a las  niñas.</w:t>
        <w:br/>
        <w:t>Durante la diligencia no  estuvieron  presentes  ninguno  de  los  padres  y</w:t>
        <w:br/>
        <w:t>ninguna de las partes. Además, la diligencia realizada  con  las  niñas  fue</w:t>
        <w:br/>
        <w:t>privada en razón del pedido de  confidencialidad  de  la  identidad  de  las</w:t>
        <w:br/>
        <w:t>niñas que han realizado tanto la Comisión  como  los  representantes  en  el</w:t>
        <w:br/>
        <w:t>presente caso (supra nota 3), como por la necesidad de proteger  el  interés</w:t>
        <w:br/>
        <w:t>superior de las niñas y  su  derecho  a  la  intimidad.  Además,  las  niñas</w:t>
        <w:br/>
        <w:t>solicitaron expresamente que se mantuviera absoluta reserva de todo  lo  que</w:t>
        <w:br/>
        <w:t>manifestaran en la reunión.</w:t>
        <w:br/>
        <w:br/>
        <w:t>Durante la diligencia realizada el 8 de febrero de 2012, las niñas M.  y  R.</w:t>
        <w:br/>
        <w:t>manifestaron que conocían y entendían los temas relacionados  con  las  tres</w:t>
        <w:br/>
        <w:t>alegadas violaciones  por  las  cuales  fueron  presentadas  como  presuntas</w:t>
        <w:br/>
        <w:t>víctimas en el presente caso (infra párrs. 150, 176,  178  y  201).  De  las</w:t>
        <w:br/>
        <w:t>manifestaciones  rendidas  por  las  dos  niñas  y  teniendo  en  cuenta  el</w:t>
        <w:br/>
        <w:t>desarrollo progresivo de los derechos de los niños y  las  niñas,  la  Corte</w:t>
        <w:br/>
        <w:t>observa que las dos niñas expresaron de manera  libre  e  independiente  sus</w:t>
        <w:br/>
        <w:t>propias opiniones y juicios formados sobre los hechos del caso que atañen  a</w:t>
        <w:br/>
        <w:t>ellas, así como algunas de sus expectativas e  intereses  en  la  resolución</w:t>
        <w:br/>
        <w:t>del presente caso. Por tanto, la Corte las  considerará  presuntas  víctimas</w:t>
        <w:br/>
        <w:t>en el presente caso (infra párrs. 150, 176, 178 y 208).</w:t>
        <w:br/>
        <w:br/>
        <w:t>Como se indicó anteriormente, la niña V. no participó  en  dicha  diligencia</w:t>
        <w:br/>
        <w:t>por  motivos  de  fuerza  mayor  (supra  párr.  13).   Con   base   en   las</w:t>
        <w:br/>
        <w:t>consideraciones anteriores,  el  Tribunal  no  halla  ningún  elemento  para</w:t>
        <w:br/>
        <w:t>considerar que la niña V. no se encuentra en  la  misma  condición  que  sus</w:t>
        <w:br/>
        <w:t>hermanas (infra párrs. 150, 176, 178 y 208). Sin embargo,  para  efectos  de</w:t>
        <w:br/>
        <w:t>las reparaciones la autoridad nacional competente para  la  infancia  deberá</w:t>
        <w:br/>
        <w:t>constatar en forma privada la opinión libre de la niña  V.  sobre  si  desea</w:t>
        <w:br/>
        <w:t>ser considerada parte lesionada.</w:t>
        <w:br/>
        <w:br/>
        <w:br/>
        <w:t xml:space="preserve">      C.    El derecho a la igualdad y la prohibición de discriminación</w:t>
        <w:br/>
        <w:br/>
        <w:br/>
        <w:t>Alegatos de las partes</w:t>
        <w:br/>
        <w:br/>
        <w:t>Respecto a la presunta violación de los artículos 24[81]  y  1.1[82]  de  la</w:t>
        <w:br/>
        <w:t>Convención  Americana,   la   Comisión   alegó   que   “existe   un   amplio</w:t>
        <w:br/>
        <w:t>reconocimiento  en  los  Estados  americanos  en  el  sentido  de   que   la</w:t>
        <w:br/>
        <w:t>discriminación con base en la orientación sexual  se  encuentra  prohibida”.</w:t>
        <w:br/>
        <w:t>Argumentó que “la orientación sexual […] fue el sustento de la  decisión  de</w:t>
        <w:br/>
        <w:t>la Corte Suprema de Justicia” debido a que presuntamente  se  determinó  que</w:t>
        <w:br/>
        <w:t>la señora Atala “no debía conservar la custodia de sus hijas[,  por  cuanto]</w:t>
        <w:br/>
        <w:t>convivía con una persona de su mismo  sexo”.  Añadió  que  se  “efectuó  una</w:t>
        <w:br/>
        <w:t>distinción en perjuicio de [la señora] Atala en  la  aplicación  de  la  ley</w:t>
        <w:br/>
        <w:t>relevante para la determinación de asuntos  de  familia,  con  base  en  una</w:t>
        <w:br/>
        <w:t>expresión de su orientación sexual, como lo es la decisión de conformar  una</w:t>
        <w:br/>
        <w:t>pareja y establecer una vida con ella”. Agregó que la “decisión  de  tuición</w:t>
        <w:br/>
        <w:t>provisional […] constituyó también una distinción efectuada con base  en  la</w:t>
        <w:br/>
        <w:t>orientación sexual de la señora Atala”. Por otra parte,  manifestó  que  “en</w:t>
        <w:br/>
        <w:t>el derecho constitucional comparado se ha acudido a la figura de  “categoría</w:t>
        <w:br/>
        <w:t>sospechosa” y, consecuentemente, se ha aplicado  un  escrutinio  estricto  a</w:t>
        <w:br/>
        <w:t>casos relacionados con la orientación sexual”.</w:t>
        <w:br/>
        <w:br/>
        <w:t>Los representantes señalaron que los  Estados  "suscribieron  la  Convención</w:t>
        <w:br/>
        <w:t>Americana con una cláusula  abierta  de  no  discriminación,  por  tanto  no</w:t>
        <w:br/>
        <w:t>pueden ahora alegar que su  nivel  de  desarrollo  político  social  no  les</w:t>
        <w:br/>
        <w:t>permite entender que se incluye la orientación sexual dentro de las  razones</w:t>
        <w:br/>
        <w:t>prohibidas para discriminar". Alegaron que “[l]a  decisión  del  recurso  de</w:t>
        <w:br/>
        <w:t>queja resulta […] ser un juicio de escrutinio a la [señora]  Atala  y  a  su</w:t>
        <w:br/>
        <w:t>vida privada, sin considerar sus habilidades maternales, que eran el tema  a</w:t>
        <w:br/>
        <w:t>considerar”. Indicaron que dicho “juicio de escrutinio [no se realizó] a  la</w:t>
        <w:br/>
        <w:t>vida del [señor] López, del que nada se sabe, cuestiona o  investiga,  o  de</w:t>
        <w:br/>
        <w:t>sus habilidades parentales”. Por tanto, consideraron que “[e]se  sólo  hecho</w:t>
        <w:br/>
        <w:t>constituye  un  tratamiento  diferenciado  no  contemplado  en  el   derecho</w:t>
        <w:br/>
        <w:t>chileno, y claramente  prohibido  por  el  derecho  internacional”.  Además,</w:t>
        <w:br/>
        <w:t>alegaron que “[l]a Corte Suprema  de  Chile  […]  cre[ó]  una  categoría  de</w:t>
        <w:br/>
        <w:t>personas que por su sola naturaleza,  sin  importar  su  comportamiento,  no</w:t>
        <w:br/>
        <w:t>serían  hábiles  para  cuidar  a  sus  propios  hijos,  equiparándolos   con</w:t>
        <w:br/>
        <w:t>situaciones de maltrato y descuido”.</w:t>
        <w:br/>
        <w:br/>
        <w:br/>
        <w:t>El Estado argumentó que “el [S]istema [Interamericano de  Derechos  Humanos]</w:t>
        <w:br/>
        <w:t>requiere de la  credibilidad  y  confianza  de  los  Estados  miembros.  Una</w:t>
        <w:br/>
        <w:t>relación de confianza recíproca puede ser afectada si la Corte toma  un  rol</w:t>
        <w:br/>
        <w:t>demasiado regulador, sin otorgar consideración al sentir mayoritario de  los</w:t>
        <w:br/>
        <w:t>Estados”. El Estado alegó que “al suscribir la [Convención  Americana],  los</w:t>
        <w:br/>
        <w:t>Estados miembros consintieron en obligarse por sus  disposiciones.  Si  bien</w:t>
        <w:br/>
        <w:t>la interpretación jurídica puede ser flexible y el lenguaje de los  derechos</w:t>
        <w:br/>
        <w:t>humanos  reconoce  su  desarrollo  progresivo,  los  Estados  prestaron   su</w:t>
        <w:br/>
        <w:t>consentimiento a una idea de derechos humanos que  tenía  en  mente  ciertos</w:t>
        <w:br/>
        <w:t>tipos de violación, y no otras  que  en  su  momento  no  existían.  De  ser</w:t>
        <w:br/>
        <w:t>necesario ampliar el alcance del tratado, en materias en que  no  existe  un</w:t>
        <w:br/>
        <w:t>consenso mínimo, la misma [Convención Americana] establece un  procedimiento</w:t>
        <w:br/>
        <w:t>para la incorporación de protocolos que protejan otros derechos”.</w:t>
        <w:br/>
        <w:br/>
        <w:t>Asimismo, el Estado señaló “que la orientación sexual no era  una  categoría</w:t>
        <w:br/>
        <w:t>sospechosa de la cual hubiera un consenso durante el año 2004”,  en  el  que</w:t>
        <w:br/>
        <w:t>fue emitida la sentencia de la Corte Suprema en el presente caso. Alegó  que</w:t>
        <w:br/>
        <w:t>“no resultaría procedente exigirle [a la Corte Suprema de  Chile]  pasar  un</w:t>
        <w:br/>
        <w:t>test de escrutinio estricto para  una  categoría  en  la  cual  el  consenso</w:t>
        <w:br/>
        <w:t>interamericano  es  reciente”.  Añadió  que  “el  establecimiento   de   una</w:t>
        <w:br/>
        <w:t>'supercategoría sospechosa', como sería en este caso la  orientación  sexual</w:t>
        <w:br/>
        <w:t>de uno de los padres u otras similares, puede terminar por girar  el  centro</w:t>
        <w:br/>
        <w:t>de un juicio de familia a la consideración prioritaria de  los  derechos  de</w:t>
        <w:br/>
        <w:t>los padres en desmedro del bien superior del niño en el caso concreto”.</w:t>
        <w:br/>
        <w:br/>
        <w:br/>
        <w:t>Finalmente, el Estado  alegó  que  “no  es  arbitraria  la  resolución  que,</w:t>
        <w:br/>
        <w:t>declarando a la madre legalmente habilitada, resolvió […] acoger la  demanda</w:t>
        <w:br/>
        <w:t>de cuidado personal interpuesta por el padre con fundamento  en  el  interés</w:t>
        <w:br/>
        <w:t>superior de las niñas y su mejor bienestar”. Indicó que  “[n]o  es  efectivo</w:t>
        <w:br/>
        <w:t>que el fundamento de las referidas resoluciones fuera la orientación  sexual</w:t>
        <w:br/>
        <w:t>de la madre ni su sola  expresión”  y  que  “la  orientación  sexual  de  la</w:t>
        <w:br/>
        <w:t>demandada fue considerada, entre otras circunstancias, en la medida  en  que</w:t>
        <w:br/>
        <w:t>su expresión tuvo efectos concretos adversos al bienestar de las niñas”.</w:t>
        <w:br/>
        <w:br/>
        <w:br/>
        <w:t>Consideraciones de la Corte</w:t>
        <w:br/>
        <w:br/>
        <w:br/>
        <w:t>Para resolver estas controversias la Corte analizará: 1)  los  alcances  del</w:t>
        <w:br/>
        <w:t>derecho a la igualdad y a la no discriminación;  2)  la  orientación  sexual</w:t>
        <w:br/>
        <w:t>como categoría protegida por el artículo 1.1 de la Convención Americana;  3)</w:t>
        <w:br/>
        <w:t>si existió en el  presente  caso  una  diferencia  de  trato  basada  en  la</w:t>
        <w:br/>
        <w:t>orientación  sexual,  y  4)  si  dicha  diferencia   de   trato   constituyó</w:t>
        <w:br/>
        <w:t>discriminación, para lo cual se evaluarán en forma estricta las razones  que</w:t>
        <w:br/>
        <w:t>se alegaron para justificar dicha diferencia de trato en razón  del  interés</w:t>
        <w:br/>
        <w:t>superior del niño y las presunciones de riesgo y daño en  perjuicio  de  las</w:t>
        <w:br/>
        <w:t>tres niñas.</w:t>
        <w:br/>
        <w:br/>
        <w:br/>
        <w:t>1.    Derecho a la igualdad y a la no discriminación</w:t>
        <w:br/>
        <w:br/>
        <w:br/>
        <w:t>La Corte ha establecido que el artículo 1.1 de la Convención  es  una  norma</w:t>
        <w:br/>
        <w:t>de carácter general cuyo contenido se extiende  a  todas  las  disposiciones</w:t>
        <w:br/>
        <w:t>del tratado, y dispone la obligación de los  Estados  Parte  de  respetar  y</w:t>
        <w:br/>
        <w:t>garantizar el pleno y libre ejercicio de  los  derechos  y  libertades  allí</w:t>
        <w:br/>
        <w:t>reconocidos “sin discriminación alguna”. Es decir, cualquiera sea el  origen</w:t>
        <w:br/>
        <w:t>o  la  forma  que  asuma,  todo  tratamiento  que  pueda   ser   considerado</w:t>
        <w:br/>
        <w:t>discriminatorio  respecto  del  ejercicio  de  cualquiera  de  los  derechos</w:t>
        <w:br/>
        <w:t>garantizados en la Convención es per se incompatible con la misma[83].</w:t>
        <w:br/>
        <w:br/>
        <w:t>Sobre el principio de igualdad ante la ley y la no discriminación, la  Corte</w:t>
        <w:br/>
        <w:t>ha señalado[84] que la noción de igualdad se desprende  directamente  de  la</w:t>
        <w:br/>
        <w:t>unidad de naturaleza del género humano  y  es  inseparable  de  la  dignidad</w:t>
        <w:br/>
        <w:t>esencial de la persona, frente a la  cual  es  incompatible  toda  situación</w:t>
        <w:br/>
        <w:t>que, por considerar superior a un determinado  grupo,  conduzca  a  tratarlo</w:t>
        <w:br/>
        <w:t>con privilegio; o que, a la inversa, por  considerarlo  inferior,  lo  trate</w:t>
        <w:br/>
        <w:t>con hostilidad o de cualquier forma lo discrimine del goce de  derechos  que</w:t>
        <w:br/>
        <w:t>sí se reconocen a quienes no se consideran incursos  en  tal  situación.  La</w:t>
        <w:br/>
        <w:t>jurisprudencia de la Corte también ha indicado que en la actual etapa de  la</w:t>
        <w:br/>
        <w:t>evolución del derecho internacional, el principio fundamental de igualdad  y</w:t>
        <w:br/>
        <w:t>no discriminación ha ingresado en  el  dominio  del  jus  cogens.  Sobre  él</w:t>
        <w:br/>
        <w:t>descansa el andamiaje jurídico del orden público nacional e internacional  y</w:t>
        <w:br/>
        <w:t>permean todo el ordenamiento jurídico[85].</w:t>
        <w:br/>
        <w:br/>
        <w:t>Además, el Tribunal ha establecido  que  los  Estados  deben  abstenerse  de</w:t>
        <w:br/>
        <w:t>realizar acciones  que  de  cualquier  manera  vayan  dirigidas,  directa  o</w:t>
        <w:br/>
        <w:t>indirectamente,  a  crear  situaciones  de  discriminación  de  jure  o   de</w:t>
        <w:br/>
        <w:t>facto[86]. Los Estados están obligados  a  adoptar  medidas  positivas  para</w:t>
        <w:br/>
        <w:t>revertir  o  cambiar  situaciones   discriminatorias   existentes   en   sus</w:t>
        <w:br/>
        <w:t>sociedades, en perjuicio de determinado grupo de personas. Esto  implica  el</w:t>
        <w:br/>
        <w:t>deber especial de protección que el  Estado  debe  ejercer  con  respecto  a</w:t>
        <w:br/>
        <w:t>actuaciones y prácticas de terceros que, bajo su tolerancia o  aquiescencia,</w:t>
        <w:br/>
        <w:t>creen, mantengan o favorezcan las situaciones discriminatorias[87].</w:t>
        <w:br/>
        <w:br/>
        <w:t>La Convención Americana, al igual que el  Pacto  Internacional  de  Derechos</w:t>
        <w:br/>
        <w:t>Civiles y Políticos, no contiene una definición explícita  del  concepto  de</w:t>
        <w:br/>
        <w:t>“discriminación”. Tomando  como  base  las  definiciones  de  discriminación</w:t>
        <w:br/>
        <w:t>establecidas en el Artículo 1.1 de  la  Convención  Internacional  sobre  la</w:t>
        <w:br/>
        <w:t>Eliminación de todas las Formas de Discriminación Racial[88] y  el  Artículo</w:t>
        <w:br/>
        <w:t>1.1  de  la  Convención  sobre  la  Eliminación  de  Todas  las  Formas   de</w:t>
        <w:br/>
        <w:t>Discriminación contra la Mujer[89], el Comité de Derechos Humanos del  Pacto</w:t>
        <w:br/>
        <w:t>Internacional de Derechos  Civiles  y  Políticos  (en  adelante  “Comité  de</w:t>
        <w:br/>
        <w:t>Derechos Humanos”) ha definido la discriminación como:</w:t>
        <w:br/>
        <w:br/>
        <w:br/>
        <w:t xml:space="preserve">      toda distinción, exclusión, restricción o preferencia que se basen  en</w:t>
        <w:br/>
        <w:t xml:space="preserve">      determinados motivos, como la raza, el color, el sexo, el  idioma,  la</w:t>
        <w:br/>
        <w:t xml:space="preserve">      religión, la opinión política o de otra índole, el origen  nacional  o</w:t>
        <w:br/>
        <w:t xml:space="preserve">      social, la propiedad, el nacimiento o cualquier otra condición social,</w:t>
        <w:br/>
        <w:t xml:space="preserve">      y que tengan por  objeto  o  por  resultado  anular  o  menoscabar  el</w:t>
        <w:br/>
        <w:t xml:space="preserve">      reconocimiento, goce o ejercicio, en condiciones de igualdad,  de  los</w:t>
        <w:br/>
        <w:t xml:space="preserve">      derechos humanos y libertades fundamentales de todas las personas[90].</w:t>
        <w:br/>
        <w:br/>
        <w:t>La Corte reitera que, mientras la obligación general  del  artículo  1.1  se</w:t>
        <w:br/>
        <w:t>refiere al deber del Estado de respetar y  garantizar  “sin  discriminación”</w:t>
        <w:br/>
        <w:t>los derechos contenidos en la Convención Americana, el artículo  24  protege</w:t>
        <w:br/>
        <w:t>el derecho a “igual protección de la ley”[91]. Es decir, el artículo  24  de</w:t>
        <w:br/>
        <w:t>la Convención Americana prohíbe la discriminación de derecho o de hecho,  no</w:t>
        <w:br/>
        <w:t>sólo en cuanto a los derechos consagrados en dicho tratado, sino en  lo  que</w:t>
        <w:br/>
        <w:t>respecta a todas las leyes que apruebe el  Estado  y  a  su  aplicación.  En</w:t>
        <w:br/>
        <w:t>otras palabras, si un Estado discrimina en  el  respeto  o  garantía  de  un</w:t>
        <w:br/>
        <w:t>derecho convencional, incumpliría la obligación establecida en  el  artículo</w:t>
        <w:br/>
        <w:t>1.1  y  el  derecho  sustantivo  en  cuestión.  Si,  por  el  contrario,  la</w:t>
        <w:br/>
        <w:t>discriminación se refiere a una protección desigual de la ley interna  o  su</w:t>
        <w:br/>
        <w:t>aplicación, el hecho debe  analizarse  a  la  luz  del  artículo  24  de  la</w:t>
        <w:br/>
        <w:t>Convención Americana[92].</w:t>
        <w:br/>
        <w:br/>
        <w:br/>
        <w:t>2.    La orientación sexual como categoría protegida por el artículo 1.1  de</w:t>
        <w:br/>
        <w:t xml:space="preserve">      la Convención Americana</w:t>
        <w:br/>
        <w:br/>
        <w:br/>
        <w:br/>
        <w:t>La Corte ha establecido, al  igual  que  el  Tribunal  Europeo  de  Derechos</w:t>
        <w:br/>
        <w:t>Humanos, que los tratados de derechos humanos son instrumentos  vivos,  cuya</w:t>
        <w:br/>
        <w:t>interpretación tiene que  acompañar  la  evolución  de  los  tiempos  y  las</w:t>
        <w:br/>
        <w:t>condiciones  de  vida  actuales[93].   Tal   interpretación   evolutiva   es</w:t>
        <w:br/>
        <w:t>consecuente con las reglas generales de  interpretación  consagradas  en  el</w:t>
        <w:br/>
        <w:t>artículo 29 de la Convención Americana, así como  las  establecidas  por  la</w:t>
        <w:br/>
        <w:t>Convención de Viena sobre el Derecho de los Tratados[94].</w:t>
        <w:br/>
        <w:br/>
        <w:t>En este sentido, al  interpretar  la  expresión  "cualquier  otra  condición</w:t>
        <w:br/>
        <w:t>social" del artículo  1.1.  de  la  Convención,  debe  siempre  elegirse  la</w:t>
        <w:br/>
        <w:t>alternativa más favorable para la tutela  de  los  derechos  protegidos  por</w:t>
        <w:br/>
        <w:t>dicho tratado,  según  el  principio  de  la  norma  más  favorable  al  ser</w:t>
        <w:br/>
        <w:t>humano[95].</w:t>
        <w:br/>
        <w:br/>
        <w:t>Los  criterios  específicos  en  virtud  de  los   cuales   está   prohibido</w:t>
        <w:br/>
        <w:t>discriminar, según el artículo 1.1 de la Convención  Americana,  no  son  un</w:t>
        <w:br/>
        <w:t>listado taxativo o limitativo sino meramente enunciativo. Por el  contrario,</w:t>
        <w:br/>
        <w:t>la redacción de dicho artículo deja abiertos los criterios con la  inclusión</w:t>
        <w:br/>
        <w:t>del término “otra condición social” para incorporar así a  otras  categorías</w:t>
        <w:br/>
        <w:t>que no hubiesen sido explícitamente indicadas. La expresión “cualquier  otra</w:t>
        <w:br/>
        <w:t>condición social” del artículo 1.1. de la Convención debe  ser  interpretada</w:t>
        <w:br/>
        <w:t>por la Corte, en consecuencia, en la perspectiva de la opción más  favorable</w:t>
        <w:br/>
        <w:t>a la persona y de la evolución de los derechos fundamentales en  el  derecho</w:t>
        <w:br/>
        <w:t>internacional contemporáneo[96].</w:t>
        <w:br/>
        <w:br/>
        <w:t>Al respecto, en  el  Sistema  Interamericano,  la  Asamblea  General  de  la</w:t>
        <w:br/>
        <w:t>Organización de Estados Americanos (en adelante  “OEA”)  ha  aprobado  desde</w:t>
        <w:br/>
        <w:t>2008 en sus sesiones anuales cuatro resoluciones  sucesivas  respecto  a  la</w:t>
        <w:br/>
        <w:t>protección de las personas contra  tratos  discriminatorios  basados  en  su</w:t>
        <w:br/>
        <w:t>orientación sexual e identidad de género, mediante las cuales se ha  exigido</w:t>
        <w:br/>
        <w:t>la adopción de medidas concretas para una  protección  eficaz  contra  actos</w:t>
        <w:br/>
        <w:t>discriminatorios[97].</w:t>
        <w:br/>
        <w:br/>
        <w:t>Respecto  a  la  inclusión  de  la  orientación  sexual  como  categoría  de</w:t>
        <w:br/>
        <w:t>discriminación  prohibida,  el  Tribunal  Europeo  de  Derechos  Humanos  ha</w:t>
        <w:br/>
        <w:t>señalado que la orientación sexual es  “otra  condición”  mencionada  en  el</w:t>
        <w:br/>
        <w:t>artículo 14[98] del Convenio Europeo para  la  Protección  de  los  Derechos</w:t>
        <w:br/>
        <w:t>Humanos y de las Libertades Fundamentales (en adelante “Convenio  Europeo”),</w:t>
        <w:br/>
        <w:t>el cual prohíbe tratos  discriminatorios[99].  En  particular,  en  el  Caso</w:t>
        <w:br/>
        <w:t>Salgueiro da Silva Mouta Vs. Portugal, el Tribunal Europeo concluyó  que  la</w:t>
        <w:br/>
        <w:t>orientación sexual es un concepto que se encuentra cubierto por el  artículo</w:t>
        <w:br/>
        <w:t>14 del Convenio Europeo. Además, reiteró que el listado  de  categorías  que</w:t>
        <w:br/>
        <w:t>se realiza en dicho artículo es ilustrativo y no exhaustivo[100].  Asimismo,</w:t>
        <w:br/>
        <w:t>en el Caso Clift Vs.  Reino  Unido,  el  Tribunal  Europeo  reiteró  que  la</w:t>
        <w:br/>
        <w:t>orientación sexual, como una de las categorías que puede ser  incluida  bajo</w:t>
        <w:br/>
        <w:t>“otra condición”, es otro ejemplo específico de los  que  se  encuentran  en</w:t>
        <w:br/>
        <w:t>dicho listado, que son consideradas como características  personales  en  el</w:t>
        <w:br/>
        <w:t>sentido que son innatas o inherentes a la persona[101].</w:t>
        <w:br/>
        <w:br/>
        <w:t>En el marco del Sistema Universal de  Protección  de  Derechos  Humanos,  el</w:t>
        <w:br/>
        <w:t>Comité de Derechos Humanos y el Comité de Derechos  Económicos,  Sociales  y</w:t>
        <w:br/>
        <w:t>Culturales han calificado la orientación sexual como una de  las  categorías</w:t>
        <w:br/>
        <w:t>de discriminación prohibida consideradas en el artículo 2.1[102]  del  Pacto</w:t>
        <w:br/>
        <w:t>Internacional de Derechos Civiles y Políticos y  el  artículo  2.2[103]  del</w:t>
        <w:br/>
        <w:t>Pacto Internacional  de  Derechos  Económicos,  Sociales  y  Culturales.  Al</w:t>
        <w:br/>
        <w:t>respecto, el Comité de  Derechos  Humanos  indicó  en  el  caso  Toonen  Vs.</w:t>
        <w:br/>
        <w:t>Australia que la referencia a la categoría “sexo” incluiría  la  orientación</w:t>
        <w:br/>
        <w:t>sexual de las personas[104]. Igualmente, el Comité de  Derechos  Humanos  ha</w:t>
        <w:br/>
        <w:t>expresado su preocupación frente  a  diversas  situaciones  discriminatorias</w:t>
        <w:br/>
        <w:t>relacionadas con la orientación sexual de las  personas,  lo  cual  ha  sido</w:t>
        <w:br/>
        <w:t>expresado  reiteradamente  en  sus  observaciones  finales  a  los  informes</w:t>
        <w:br/>
        <w:t>presentados por los Estados[105].</w:t>
        <w:br/>
        <w:br/>
        <w:br/>
        <w:t>Por su parte, el  Comité  de  Derechos  Económicos,  Sociales  y  Culturales</w:t>
        <w:br/>
        <w:t>determinó  que  la  orientación  sexual  puede  ser  enmarcada  bajo   “otra</w:t>
        <w:br/>
        <w:t>condición social”[106]. Asimismo, el Comité de los Derechos  del  Niño[107],</w:t>
        <w:br/>
        <w:t>el Comité contra la Tortura[108] y el  Comité  para  la  Eliminación  de  la</w:t>
        <w:br/>
        <w:t>Discriminación contra la Mujer[109] han realizado referencias  en  el  marco</w:t>
        <w:br/>
        <w:t>de sus observaciones generales y recomendaciones, respecto  a  la  inclusión</w:t>
        <w:br/>
        <w:t>de  la  orientación  sexual  como  una  de  las  categorías  prohibidas   de</w:t>
        <w:br/>
        <w:t>discriminación.</w:t>
        <w:br/>
        <w:br/>
        <w:t xml:space="preserve"> El 22 de diciembre de 2008 la  Asamblea  General  de  las  Naciones  Unidas</w:t>
        <w:br/>
        <w:t>adoptó  la  “Declaración  sobre  derechos  humanos,  orientación  sexual   e</w:t>
        <w:br/>
        <w:t>identidad de género”, reafirmando el “principio de  no  discriminación,  que</w:t>
        <w:br/>
        <w:t>exige que los derechos humanos se apliquen  por  igual  a  todos  los  seres</w:t>
        <w:br/>
        <w:t>humanos,  independientemente  de  su  orientación  sexual  o  identidad   de</w:t>
        <w:br/>
        <w:t>género”[110]. Asimismo, el 22 de marzo  de  2011  fue  presentada,  ante  el</w:t>
        <w:br/>
        <w:t>Consejo de Derechos Humanos de Naciones  Unidas,  la  “Declaración  conjunta</w:t>
        <w:br/>
        <w:t>para poner alto a los actos de violencia, y a las  violaciones  de  derechos</w:t>
        <w:br/>
        <w:t>humanos dirigidas contra las personas por su orientación sexual e  identidad</w:t>
        <w:br/>
        <w:t>de género”[111]. El 15 de junio  de  2011  este  mismo  Consejo  aprobó  una</w:t>
        <w:br/>
        <w:t>resolución sobre  “derechos  humanos,  orientación  sexual  e  identidad  de</w:t>
        <w:br/>
        <w:t>género” en la que se  expresó  la  “grave  preocupación  por  los  actos  de</w:t>
        <w:br/>
        <w:t>violencia y discriminación, en todas las  regiones  del  mundo,  [cometidos]</w:t>
        <w:br/>
        <w:t>contra personas por su orientación sexual e identidad  de  género”[112].  La</w:t>
        <w:br/>
        <w:t>prohibición de discriminación  por  orientación  sexual  ha  sido  resaltada</w:t>
        <w:br/>
        <w:t>también en numerosos  informes  de  los  relatores  especiales  de  Naciones</w:t>
        <w:br/>
        <w:t>Unidas[113].</w:t>
        <w:br/>
        <w:br/>
        <w:t>Teniendo  en  cuenta  las  obligaciones  generales  de  respeto  y  garantía</w:t>
        <w:br/>
        <w:t>establecidas en el artículo 1.1 de la Convención  Americana,  los  criterios</w:t>
        <w:br/>
        <w:t>de interpretación  fijados  en  el  artículo  29  de  dicha  Convención,  lo</w:t>
        <w:br/>
        <w:t>estipulado en la Convención de Viena sobre el Derecho de los  Tratados,  las</w:t>
        <w:br/>
        <w:t>Resoluciones de la Asamblea General de la OEA, los  estándares  establecidos</w:t>
        <w:br/>
        <w:t>por el Tribunal Europeo y los organismos de Naciones  Unidas  (supra  párrs.</w:t>
        <w:br/>
        <w:t>83 a 90), la  Corte  Interamericana  deja  establecido  que  la  orientación</w:t>
        <w:br/>
        <w:t>sexual y la identidad de género de las personas  son  categorías  protegidas</w:t>
        <w:br/>
        <w:t>por la Convención. Por ello  está  proscrita  por  la  Convención  cualquier</w:t>
        <w:br/>
        <w:t>norma, acto o práctica discriminatoria basada en la  orientación  sexual  de</w:t>
        <w:br/>
        <w:t>la persona. En consecuencia, ninguna norma, decisión o práctica  de  derecho</w:t>
        <w:br/>
        <w:t>interno, sea por parte de autoridades estatales o por  particulares,  pueden</w:t>
        <w:br/>
        <w:t>disminuir o restringir, de modo  alguno,  los  derechos  de  una  persona  a</w:t>
        <w:br/>
        <w:t>partir de su orientación sexual.</w:t>
        <w:br/>
        <w:br/>
        <w:t>En lo que respecta al argumento del Estado de que para la fecha  de  emisión</w:t>
        <w:br/>
        <w:t>de la sentencia de la Corte Suprema no habría existido un consenso  respecto</w:t>
        <w:br/>
        <w:t>a la orientación sexual  como  categoría  prohibida  de  discriminación,  la</w:t>
        <w:br/>
        <w:t>Corte resalta que la presunta falta de un consenso al  interior  de  algunos</w:t>
        <w:br/>
        <w:t>países sobre el respeto pleno por los derechos de las minorías  sexuales  no</w:t>
        <w:br/>
        <w:t>puede  ser  considerado  como  un   argumento   válido   para   negarles   o</w:t>
        <w:br/>
        <w:t>restringirles  sus  derechos  humanos  o  para  perpetuar  y  reproducir  la</w:t>
        <w:br/>
        <w:t>discriminación histórica y estructural que estas minorías han  sufrido[114].</w:t>
        <w:br/>
        <w:t>El hecho de que ésta pudiera ser materia controversial en  algunos  sectores</w:t>
        <w:br/>
        <w:t>y países, y que no sea necesariamente materia de consenso no puede  conducir</w:t>
        <w:br/>
        <w:t>al Tribunal a abstenerse de decidir, pues al hacerlo debe remitirse única  y</w:t>
        <w:br/>
        <w:t>exclusivamente a las  estipulaciones  de  las  obligaciones  internacionales</w:t>
        <w:br/>
        <w:t>contraídas por decisión soberana de los Estados a través  de  la  Convención</w:t>
        <w:br/>
        <w:t>Americana.</w:t>
        <w:br/>
        <w:br/>
        <w:t>Un derecho que le está reconocido a las  personas  no  puede  ser  negado  o</w:t>
        <w:br/>
        <w:t>restringido a nadie y bajo ninguna circunstancia con base en su  orientación</w:t>
        <w:br/>
        <w:t>sexual. Ello violaría el  artículo  1.1.  de  la  Convención  Americana.  El</w:t>
        <w:br/>
        <w:t>instrumento  interamericano  proscribe  la   discriminación,   en   general,</w:t>
        <w:br/>
        <w:t>incluyendo en ello categorías como las de la orientación sexual  la  que  no</w:t>
        <w:br/>
        <w:t>puede servir de sustento para negar o restringir  ninguno  de  los  derechos</w:t>
        <w:br/>
        <w:t>establecidos en la Convención.</w:t>
        <w:br/>
        <w:br/>
        <w:br/>
        <w:t>3.    Diferencia de trato basada en la orientación sexual</w:t>
        <w:br/>
        <w:br/>
        <w:br/>
        <w:t>El Tribunal resalta que para comprobar que una diferenciación  de  trato  ha</w:t>
        <w:br/>
        <w:t>sido utilizada en una decisión particular, no es necesario que la  totalidad</w:t>
        <w:br/>
        <w:t>de dicha decisión esté basada “fundamental y únicamente” en  la  orientación</w:t>
        <w:br/>
        <w:t>sexual de la persona, pues basta con constatar que  de  manera  explícita  o</w:t>
        <w:br/>
        <w:t>implícita se tuvo en cuenta hasta cierto grado la orientación sexual  de  la</w:t>
        <w:br/>
        <w:t>persona para adoptar una determinada decisión[115].</w:t>
        <w:br/>
        <w:br/>
        <w:br/>
        <w:t>En el presente caso se alega un presunto trato  discriminatorio  respecto  a</w:t>
        <w:br/>
        <w:t>dos hechos distintos en el marco del proceso de  tuición:  i)  la  sentencia</w:t>
        <w:br/>
        <w:t>que resolvió el recurso de queja, y ii) la decisión de tuición  provisional.</w:t>
        <w:br/>
        <w:t>Para determinar si existió un vínculo o nexo  causal  o  decisivo  entre  la</w:t>
        <w:br/>
        <w:t>orientación sexual de la señora Atala y las decisiones de la  Corte  Suprema</w:t>
        <w:br/>
        <w:t>de Justicia de Chile y del Juzgado de Menores de  Villarrica,  es  necesario</w:t>
        <w:br/>
        <w:t>analizar  los  argumentos   expuestos   por   las   autoridades   judiciales</w:t>
        <w:br/>
        <w:t>nacionales, sus conductas, el lenguaje utilizado y el  contexto  en  que  se</w:t>
        <w:br/>
        <w:t>han producido las decisiones judiciales, con el  fin  de  establecer  si  la</w:t>
        <w:br/>
        <w:t>diferencia  de  trato  se  fundamentó  en  la  orientación  sexual[116].  Al</w:t>
        <w:br/>
        <w:t>respecto, en el Caso Salgueiro da Silva  Mouta  Vs.  Portugal,  el  Tribunal</w:t>
        <w:br/>
        <w:t>Europeo concluyó que el tribunal interno, al considerar la  convivencia  del</w:t>
        <w:br/>
        <w:t>padre con  otro  hombre  como  tal,  asignó  a  la  orientación  sexual  del</w:t>
        <w:br/>
        <w:t>peticionario un factor decisivo para el fallo judicial final.</w:t>
        <w:br/>
        <w:br/>
        <w:t>Respecto al contexto del proceso judicial de tuición, la Corte nota  que  la</w:t>
        <w:br/>
        <w:t>demanda de tuición fue interpuesta bajo el supuesto de que la  señora  Atala</w:t>
        <w:br/>
        <w:t>“no se encontra[ba] capacitada para velar y cuidar de [las  tres  niñas,  ya</w:t>
        <w:br/>
        <w:t>que] su nueva opción de vida sexual sumada a  una  convivencia  lésbica  con</w:t>
        <w:br/>
        <w:t>otra mujer, est[aban] produciendo […] consecuencias  dañinas  al  desarrollo</w:t>
        <w:br/>
        <w:t>de estas menores [de edad], pues la  madre  no  ha[bía]  demostrado  interés</w:t>
        <w:br/>
        <w:t>alguno  por  velar  y  proteger  […]  el  desarrollo   integral   de   estas</w:t>
        <w:br/>
        <w:t>pequeñ[a]s”[117]. Por tanto, el proceso de tuición  giró,  además  de  otras</w:t>
        <w:br/>
        <w:t>consideraciones, en torno a la orientación sexual de la señora Atala  y  las</w:t>
        <w:br/>
        <w:t>presuntas consecuencias que la convivencia con su pareja podría producir  en</w:t>
        <w:br/>
        <w:t>las tres niñas, por lo que esta consideración fue central  en  la  discusión</w:t>
        <w:br/>
        <w:t>entre las partes y en  las  principales  decisiones  judiciales  dentro  del</w:t>
        <w:br/>
        <w:t>proceso (supra párrs. 41 y 56).</w:t>
        <w:br/>
        <w:br/>
        <w:br/>
        <w:t>En particular, el Tribunal constata que la  Corte  Suprema  de  Justicia  de</w:t>
        <w:br/>
        <w:t>Chile invocó las siguientes razones para fundamentar  su  sentencia:  i)  el</w:t>
        <w:br/>
        <w:t>presunto  “deterioro  experimentado  por  el  entorno  social,  familiar   y</w:t>
        <w:br/>
        <w:t>educacional en que se desenv[olvía] la existencia de las menores [de  edad],</w:t>
        <w:br/>
        <w:t>desde que la madre empezó a convivir en el hogar con su  pareja  homosexual”</w:t>
        <w:br/>
        <w:t>y los “efectos  que  esa  convivencia  p[odía]  causar  en  el  bienestar  y</w:t>
        <w:br/>
        <w:t>desarrollo psíquico y emocional de las hijas”; ii) la alegada existencia  de</w:t>
        <w:br/>
        <w:t>una “situación de riesgo para el desarrollo  integral  de  las  menores  [de</w:t>
        <w:br/>
        <w:t>edad] respecto  de  la  cual  deb[ían]  ser  protegidas”  por  “la  eventual</w:t>
        <w:br/>
        <w:t>confusión de roles sexuales que p[odía] producírseles por la carencia en  el</w:t>
        <w:br/>
        <w:t>hogar de un padre de sexo masculino y su  reemplazo  por  otra  persona  del</w:t>
        <w:br/>
        <w:t>género  femenino”;  iii)  la  supuesta   existencia   de   “un   estado   de</w:t>
        <w:br/>
        <w:t>vulnerabilidad  en  su  medio  social”  por  el  presunto  riesgo   de   una</w:t>
        <w:br/>
        <w:t>estigmatización social, y iv) la priorización de los intereses de la  señora</w:t>
        <w:br/>
        <w:t>Atala a los de las menores de edad “al tomar la decisión  de  explicitar  su</w:t>
        <w:br/>
        <w:t>condición  homosexual”[118].  Estos  argumentos  y  el  lenguaje   utilizado</w:t>
        <w:br/>
        <w:t>muestran un vínculo entre la sentencia y el hecho que la señora Atala  vivía</w:t>
        <w:br/>
        <w:t>con una pareja del mismo sexo, lo cual indica que la  Corte  Suprema  otorgó</w:t>
        <w:br/>
        <w:t>relevancia significativa a su orientación sexual.</w:t>
        <w:br/>
        <w:br/>
        <w:t>Respecto a la decisión de tuición provisoria, el  Tribunal  observa  que  el</w:t>
        <w:br/>
        <w:t>Juzgado de Menores de  Villarrica[119]  utilizó  como  fundamentos:  i)  que</w:t>
        <w:br/>
        <w:t>supuestamente la señora Atala había  privilegiado  sus  intereses  sobre  el</w:t>
        <w:br/>
        <w:t>bienestar de sus hijas (supra párr. 41), y ii) que en “el  contexto  de  una</w:t>
        <w:br/>
        <w:t>sociedad heterosexuada y tradicional” el padre ofrecía  una  mejor  garantía</w:t>
        <w:br/>
        <w:t>del interés superior de las niñas (supra párr. 41). Al  respecto,  la  Corte</w:t>
        <w:br/>
        <w:t>constata que, al igual que en la sentencia de la Corte Suprema (supra  párr.</w:t>
        <w:br/>
        <w:t>97), la decisión de tuición provisoria tuvo  como  fundamento  principal  la</w:t>
        <w:br/>
        <w:t>orientación sexual de la señora Atala, por lo  que  este  Tribunal  concluye</w:t>
        <w:br/>
        <w:t>que se realizó una diferencia de trato basada en esta categoría.</w:t>
        <w:br/>
        <w:br/>
        <w:t>Para   determinar   si   dichas   diferencias   de    trato    constituyeron</w:t>
        <w:br/>
        <w:t>discriminación, a continuación se  analiza  la  justificación  que  hizo  el</w:t>
        <w:br/>
        <w:t>Estado para  efectuarlas,  es  decir,  la  alegada  protección  del  interés</w:t>
        <w:br/>
        <w:t>superior del niño y los presuntos daños que las niñas habrían  sufrido  como</w:t>
        <w:br/>
        <w:t>consecuencia de la orientación sexual de la madre.</w:t>
        <w:br/>
        <w:br/>
        <w:br/>
        <w:t>4.    El principio del interés superior  del  niño  y  las  presunciones  de</w:t>
        <w:br/>
        <w:t xml:space="preserve">      riesgo</w:t>
        <w:br/>
        <w:br/>
        <w:br/>
        <w:t>Alegatos de las partes</w:t>
        <w:br/>
        <w:br/>
        <w:t>La Comisión alegó que el interés superior del niño “constituye  no  sólo  un</w:t>
        <w:br/>
        <w:t>fin legítimo  sino  una  necesidad  social  imperiosa”,  mas  “la  falta  de</w:t>
        <w:br/>
        <w:t>adecuación o relación de causalidad entre ese fin nominal y  la  distinción,</w:t>
        <w:br/>
        <w:t>resulta evidente de la misma motivación  especulativa  y  abstracta  de  las</w:t>
        <w:br/>
        <w:t>sentencias”.</w:t>
        <w:br/>
        <w:br/>
        <w:t>La Comisión manifestó que “ambas autoridades judiciales [(la  Corte  Suprema</w:t>
        <w:br/>
        <w:t>y el Juzgado de Menores  de  Villarrica)]  se  basaron  en  presunciones  de</w:t>
        <w:br/>
        <w:t>riesgo  derivadas  de  prejuicios  y  estereotipos  equivocados  sobre   las</w:t>
        <w:br/>
        <w:t>características y  comportamientos  de  un  grupo  social  determinado”.  Al</w:t>
        <w:br/>
        <w:t>respecto, arguyó que “la decisión [de la Corte Suprema] tuvo  como  sustento</w:t>
        <w:br/>
        <w:t>las propias concepciones estereotipadas de los jueces sobre la naturaleza  y</w:t>
        <w:br/>
        <w:t>efectos de las relaciones entre personas del mismo sexo”.</w:t>
        <w:br/>
        <w:br/>
        <w:t>Los representantes  argumentaron  que  el  interés  superior  de  las  niñas</w:t>
        <w:br/>
        <w:t>“[e]fectivamente, en  teoría  […]  sería  un  fin  legítimo”.  Sin  embargo,</w:t>
        <w:br/>
        <w:t>manifestaron que “[n]o basta […] aducir un fin legítimo para que lo sea;  el</w:t>
        <w:br/>
        <w:t>Estado tiene la obligación de demostrar  que  tal  fin  es  real”.  En  este</w:t>
        <w:br/>
        <w:t>sentido, alegaron que “el Estado simplemente dice proteger a las niñas  pero</w:t>
        <w:br/>
        <w:t>no fundamenta de manera objetiva el daño  que  se  habría  irrogado  en  las</w:t>
        <w:br/>
        <w:t>niñas y, por lo tanto, la decisión carece de un fin legítimo”.</w:t>
        <w:br/>
        <w:br/>
        <w:t>Los  representantes  también  señalaron  que  “corresponde  observar  si  la</w:t>
        <w:br/>
        <w:t>separación completa  de  la  madre  cumple  con  el  objetivo  declarado  de</w:t>
        <w:br/>
        <w:t>proteger los derechos de  las  niñas”.  Al  respecto,  alegaron  que  podría</w:t>
        <w:br/>
        <w:t>“estimarse que sí lo hace aunque de un modo que no  satisface  el  principio</w:t>
        <w:br/>
        <w:t>de interdicción de la arbitrariedad, pues el nivel de intensidad con que  se</w:t>
        <w:br/>
        <w:t>afecta[ría]n los derechos [sería] ciertamente muy alto,  y  se  genera[ría]n</w:t>
        <w:br/>
        <w:t>con ello vulneraciones de sus derechos”.  En  concreto,  indicaron  que  las</w:t>
        <w:br/>
        <w:t>decisiones judiciales “separ[aron] a las niñas  de  su  figura  materna,  su</w:t>
        <w:br/>
        <w:t>referente, su lugar de residencia, colegios, amigos y  mascotas”.  Por  otra</w:t>
        <w:br/>
        <w:t>parte,  los  representantes  manifestaron  que  el  Estado   “reescribe   la</w:t>
        <w:br/>
        <w:t>sentencia que hubiera querido que la Corte Suprema escribiera,  pero  no  es</w:t>
        <w:br/>
        <w:t>la que origina este proceso”.</w:t>
        <w:br/>
        <w:br/>
        <w:t>Respecto  a  la  decisión  de  tuición   provisional,   los   representantes</w:t>
        <w:br/>
        <w:t>argumentaron que “constituía una discriminación” ya que “no era objetiva  ni</w:t>
        <w:br/>
        <w:t>razonable”. Además, alegaron que el “juez asumió que vivir  con  una  pareja</w:t>
        <w:br/>
        <w:t>en el caso de mujeres lesbianas es un interés egoísta que solo  puede  traer</w:t>
        <w:br/>
        <w:t>bienestar a la madre”.</w:t>
        <w:br/>
        <w:br/>
        <w:br/>
        <w:t>Por su parte, el Estado manifestó que en el marco de un proceso de  custodia</w:t>
        <w:br/>
        <w:t>se establece “una prioridad a favor del interés superior del niño por  sobre</w:t>
        <w:br/>
        <w:t>cualquier  otro  interés  protegido  en  conflicto,  [por  lo  que]  resulta</w:t>
        <w:br/>
        <w:t>evidente que en un  juicio  de  custodia  debe  necesariamente  entender  el</w:t>
        <w:br/>
        <w:t>referido interés como causal calificada que  autoriza  la  modificación  del</w:t>
        <w:br/>
        <w:t>régimen de cuidado personal” del niño. Concretamente, el  Estado  alegó  que</w:t>
        <w:br/>
        <w:t>“la sentencia de la Corte Suprema resolvió  que  los  tribunales  inferiores</w:t>
        <w:br/>
        <w:t>incurrieron en falta o abuso grave al infringir las  reglas  de  apreciación</w:t>
        <w:br/>
        <w:t>de la prueba, afectando el interés superior de las niñas”. Por  otra  parte,</w:t>
        <w:br/>
        <w:t>el Estado indicó que en la  decisión  de  tuición  provisoria  “el  tribunal</w:t>
        <w:br/>
        <w:t>declaró […] que es tarea del sentenciador asegurar el interés  superior  del</w:t>
        <w:br/>
        <w:t>niño y procurar su máximo bienestar […] y en consecuencia resolvió  conceder</w:t>
        <w:br/>
        <w:t>la solicitud de custodia provisoria en favor del padre”.  Además,  argumentó</w:t>
        <w:br/>
        <w:t>que “la decisión de custodia provisoria, tras apreciar la  totalidad  de  la</w:t>
        <w:br/>
        <w:t>prueba que a la fecha obraba en el proceso  [...]  concluy[ó]  que:  i)  las</w:t>
        <w:br/>
        <w:t>niñas presentaban perturbaciones de orden psicológico y carencias  afectivas</w:t>
        <w:br/>
        <w:t>[…], y ii) que el padre daba certeza de ofrecer un entorno adecuado”.</w:t>
        <w:br/>
        <w:br/>
        <w:br/>
        <w:t>El Estado señaló que “en relación a la  ‘adecuación’  que  deben  tener  las</w:t>
        <w:br/>
        <w:t>medidas de los  Estados  para  que  no  sean  discriminatorias,  basta  para</w:t>
        <w:br/>
        <w:t>satisfacer el test de ponderación […] el haberse acreditado en la  causa  la</w:t>
        <w:br/>
        <w:t>situación de daño sufrido por las niñas”. En concreto, el Estado  alegó  que</w:t>
        <w:br/>
        <w:t>“existe abundante  prueba  en  autos  que  acredita[rían]:  i)  los  efectos</w:t>
        <w:br/>
        <w:t>concretos adversos que tuvo la expresión de  la  orientación  sexual  de  la</w:t>
        <w:br/>
        <w:t>demandada en el bienestar de sus hijas, y ii) las  mejores  condiciones  que</w:t>
        <w:br/>
        <w:t>el padre ofrecía [para] su bienestar, cuestión que  en  nada  dice  relación</w:t>
        <w:br/>
        <w:t>con la orientación sexual de la demandada”. Además,  arguyó  que  “exist[ía]</w:t>
        <w:br/>
        <w:t>evidencia contundente que  daba  cuenta  que  la  demandada  demostraba  una</w:t>
        <w:br/>
        <w:t>intensa actitud centrada  en  sí  misma  y  características  personales  que</w:t>
        <w:br/>
        <w:t>dificultaban el ejercicio adecuado de su rol  maternal,  circunstancias  que</w:t>
        <w:br/>
        <w:t>llevaron a concluir que la madre no ofrecía un medio  ambiente  idóneo  para</w:t>
        <w:br/>
        <w:t>el desarrollo de las hijas”. Igualmente, manifestó  que  “existió  abundante</w:t>
        <w:br/>
        <w:t>prueba en autos, no sólo sobre los efectos negativos adversos  que  tuvo  la</w:t>
        <w:br/>
        <w:t>expresión de la orientación sexual de la demandada en el  bienestar  de  sus</w:t>
        <w:br/>
        <w:t>hijas, sino también sobre circunstancias totalmente ajenas,  tales  como  la</w:t>
        <w:br/>
        <w:t>determinación del padre o madre  que  ofrecía  un  mejor  ambiente  para  el</w:t>
        <w:br/>
        <w:t>desarrollo de las niñas y un mayor grado de compromiso y atención hacia  las</w:t>
        <w:br/>
        <w:t>mismas”.</w:t>
        <w:br/>
        <w:br/>
        <w:t>Consideraciones de la Corte</w:t>
        <w:br/>
        <w:br/>
        <w:br/>
        <w:t>La Corte Interamericana constata que, entre sus  consideraciones,  la  Corte</w:t>
        <w:br/>
        <w:t>Suprema de Justicia de Chile  indicó  que  “en  todas  las  medidas  que  le</w:t>
        <w:br/>
        <w:t>conciernan [a los niños y niñas], es primordial atender al interés  superior</w:t>
        <w:br/>
        <w:t>del  niño  sobre  otras  consideraciones  y   derechos   relativos   a   sus</w:t>
        <w:br/>
        <w:t>progenitores y que puedan hacer necesario separarlo[s] de sus  padres”[120].</w:t>
        <w:br/>
        <w:t>Por su parte, el Juzgado  de  Menores  de  Villarrica,  en  la  decisión  de</w:t>
        <w:br/>
        <w:t>tuición provisoría, manifestó que “es tarea del  sentenciador  asegurar  […]</w:t>
        <w:br/>
        <w:t>el  interés  superior  del  niño,  lo  que  importa  realizar  un   análisis</w:t>
        <w:br/>
        <w:t>preventivo o anticipado conducente al  fin  último  que  ha  de  tenerse  en</w:t>
        <w:br/>
        <w:t>cualquier resolución judicial que afecte a un menor [de edad] y  que  no  es</w:t>
        <w:br/>
        <w:t>otro que procurar su máximo bienestar”[121].</w:t>
        <w:br/>
        <w:br/>
        <w:br/>
        <w:t>El objetivo general de proteger el principio del interés superior  del  niño</w:t>
        <w:br/>
        <w:t>es, en sí mismo, un fin legítimo y es, además,  imperioso.  En  relación  al</w:t>
        <w:br/>
        <w:t>interés superior del niño, la Corte reitera que este principio regulador  de</w:t>
        <w:br/>
        <w:t>la normativa de los derechos de las  niñas  y  los  niños  se  funda  en  la</w:t>
        <w:br/>
        <w:t>dignidad misma del ser humano, en las características propias de  los  niños</w:t>
        <w:br/>
        <w:t>y las niñas, y en la necesidad de propiciar  el  desarrollo  de  éstos,  con</w:t>
        <w:br/>
        <w:t>pleno aprovechamiento de sus  potencialidades[122].  En  el  mismo  sentido,</w:t>
        <w:br/>
        <w:t>conviene observar  que  para  asegurar,  en  la  mayor  medida  posible,  la</w:t>
        <w:br/>
        <w:t>prevalencia del interés superior del niño, el  preámbulo  de  la  Convención</w:t>
        <w:br/>
        <w:t>sobre  los  Derechos  del  Niño  establece  que  éste   requiere   “cuidados</w:t>
        <w:br/>
        <w:t>especiales”, y el artículo 19 de la Convención  Americana  señala  que  debe</w:t>
        <w:br/>
        <w:t>recibir “medidas especiales de protección”[123].</w:t>
        <w:br/>
        <w:br/>
        <w:t>Igualmente, la Corte constata que la determinación del interés superior  del</w:t>
        <w:br/>
        <w:t>niño, en casos de cuidado y custodia de menores de  edad  se  debe  hacer  a</w:t>
        <w:br/>
        <w:t>partir de la evaluación de los comportamientos parentales específicos  y  su</w:t>
        <w:br/>
        <w:t>impacto negativo en el bienestar y desarrollo del niño según  el  caso,  los</w:t>
        <w:br/>
        <w:t>daños o riesgos reales y probados, y no  especulativos  o  imaginarios.  Por</w:t>
        <w:br/>
        <w:t>tanto,  no  pueden  ser   admisibles   las   especulaciones,   presunciones,</w:t>
        <w:br/>
        <w:t>estereotipos   o   consideraciones   generalizadas   sobre   características</w:t>
        <w:br/>
        <w:t>personales de los  padres  o  preferencias  culturales  respecto  a  ciertos</w:t>
        <w:br/>
        <w:t>conceptos tradicionales de la familia[124].</w:t>
        <w:br/>
        <w:br/>
        <w:t>En conclusión, la Corte Interamericana observa que al ser, en abstracto,  el</w:t>
        <w:br/>
        <w:t>“interés superior del niño” un fin legítimo, la  sola  referencia  al  mismo</w:t>
        <w:br/>
        <w:t>sin probar, en concreto, los  riesgos  o  daños  que  podrían  conllevar  la</w:t>
        <w:br/>
        <w:t>orientación sexual de la madre para las niñas, no  puede  servir  de  medida</w:t>
        <w:br/>
        <w:t>idónea para la restricción de un derecho protegido como el de poder  ejercer</w:t>
        <w:br/>
        <w:t>todos los derechos humanos sin  discriminación  alguna  por  la  orientación</w:t>
        <w:br/>
        <w:t>sexual de la persona[125].  El  interés  superior  del  niño  no  puede  ser</w:t>
        <w:br/>
        <w:t>utilizado para amparar la discriminación en contra de la madre  o  el  padre</w:t>
        <w:br/>
        <w:t>por la orientación sexual de cualquiera de ellos. De este modo, el  juzgador</w:t>
        <w:br/>
        <w:t>no puede tomar en consideración esta condición  social  como  elemento  para</w:t>
        <w:br/>
        <w:t>decidir sobre una tuición o custodia.</w:t>
        <w:br/>
        <w:br/>
        <w:t>Una determinación a  partir  de  presunciones  infundadas  y  estereotipadas</w:t>
        <w:br/>
        <w:t>sobre la capacidad e idoneidad parental de poder garantizar  y  promover  el</w:t>
        <w:br/>
        <w:t>bienestar y desarrollo del niño  no  es  adecuada  para  garantizar  el  fin</w:t>
        <w:br/>
        <w:t>legítimo de proteger el interés superior del niño[126]. La  Corte  considera</w:t>
        <w:br/>
        <w:t>que no son admisibles las consideraciones basadas  en  estereotipos  por  la</w:t>
        <w:br/>
        <w:t>orientación sexual, es decir, pre-concepciones de los  atributos,  conductas</w:t>
        <w:br/>
        <w:t>o características poseídas por las personas homosexuales o  el  impacto  que</w:t>
        <w:br/>
        <w:t>estos presuntamente puedan tener en las niñas y los niños[127].</w:t>
        <w:br/>
        <w:br/>
        <w:t>Por otra parte, el Tribunal resalta que,  si  bien  dentro  del  proceso  de</w:t>
        <w:br/>
        <w:t>tuición se produjo prueba relacionada con algunos alegatos  específicos  del</w:t>
        <w:br/>
        <w:t>Estado sobre como el padre presuntamente ofrecería un  mejor  ambiente  para</w:t>
        <w:br/>
        <w:t>las niñas,  la  Corte  sólo  tomará  en  cuenta,  para  el  análisis  de  la</w:t>
        <w:br/>
        <w:t>adecuación de la medida, aquellas pruebas y  argumentación  que  hayan  sido</w:t>
        <w:br/>
        <w:t>explícitamente utilizadas para la motivación de sus decisiones por la  Corte</w:t>
        <w:br/>
        <w:t>Suprema o el Juzgado de Menores de Villarrica  en  la  decisión  de  tuición</w:t>
        <w:br/>
        <w:t>provisoria (supra párrs. 41 y 56).</w:t>
        <w:br/>
        <w:br/>
        <w:t>El Tribunal constata que  la  Corte  Suprema  de  Justicia  mencionó  cuatro</w:t>
        <w:br/>
        <w:t>fundamentos directamente  relacionados  con  la  orientación  sexual  de  la</w:t>
        <w:br/>
        <w:t>señora Atala: i) la presunta discriminación social que habrían  sufrido  las</w:t>
        <w:br/>
        <w:t>tres  niñas  por  el  ejercicio  de  la  orientación  sexual  de  la  señora</w:t>
        <w:br/>
        <w:t>Atala[128]; ii) la alegada confusión de roles que  habrían  presentando  las</w:t>
        <w:br/>
        <w:t>tres niñas como consecuencia de la convivencia de su madre  con  una  pareja</w:t>
        <w:br/>
        <w:t>del mismo sexo[129]; iii) la supuesta prevalencia que  la  señora  Atala  le</w:t>
        <w:br/>
        <w:t>habría dado a su vida personal sobre los intereses de sus  tres  hijas[130],</w:t>
        <w:br/>
        <w:t>y iv) el derecho de las niñas a vivir en el  seno  de  una  familia  con  un</w:t>
        <w:br/>
        <w:t>padre y una madre[131]. La Corte Suprema concluyó que los jueces  recurridos</w:t>
        <w:br/>
        <w:t>fallaron  en  “no  haber   apreciado   estrictamente   en   conciencia   los</w:t>
        <w:br/>
        <w:t>antecedentes probatorios del proceso” y que al “haber preterido  el  derecho</w:t>
        <w:br/>
        <w:t>preferente de las menores [de edad] a vivir y desarrollarse en  el  seno  de</w:t>
        <w:br/>
        <w:t>una familia estructurada normalmente y apreciada en el medio  social,  según</w:t>
        <w:br/>
        <w:t>el modelo tradicional que le es propio, ha[bían] incurrido en falta o  abuso</w:t>
        <w:br/>
        <w:t>grave, que deb[ía] ser corregido por la vía de acoger el  [...]  recurso  de</w:t>
        <w:br/>
        <w:t>queja”[132]. La decisión  de  tuición  provisoria  utilizó  como  fundamento</w:t>
        <w:br/>
        <w:t>principal la supuesta prevalencia de intereses y el alegado derecho  de  las</w:t>
        <w:br/>
        <w:t>niñas a vivir en una familia tradicional (supra párr. 41),  por  lo  que  en</w:t>
        <w:br/>
        <w:t>estos puntos el examen se realizará de manera conjunta.</w:t>
        <w:br/>
        <w:br/>
        <w:t>Teniendo en cuenta lo anterior,  la  Corte  procede  a  analizar  si  dichos</w:t>
        <w:br/>
        <w:t>argumentos eran adecuados para cumplir con la  finalidad  declarada  por  la</w:t>
        <w:br/>
        <w:t>sentencia de la Corte Suprema y  la  decisión  del  Juzgado  de  Menores  de</w:t>
        <w:br/>
        <w:t>Villarrica, es decir, la protección del interés superior de las tres niñas.</w:t>
        <w:br/>
        <w:br/>
        <w:br/>
        <w:t xml:space="preserve">      4.1.  Presunta discriminación social</w:t>
        <w:br/>
        <w:br/>
        <w:br/>
        <w:t>La Corte observa que entre los testimonios recabados en el proceso,  una  de</w:t>
        <w:br/>
        <w:t>las testigos manifestó que “se ha producido una discriminación en contra  de</w:t>
        <w:br/>
        <w:t>las niñitas, pero no a nivel de [los] niños, sino  de  los  padres,  quienes</w:t>
        <w:br/>
        <w:t>reprimen  a  los  niños,  no  me  consta  que  hayan  hechos  concretos   de</w:t>
        <w:br/>
        <w:t>discriminación pero pusieron como ejemplo, que si se hacía una  piyamada  en</w:t>
        <w:br/>
        <w:t>la casa de  [K]aren  no  le  darían  permiso  a  sus  hijas  para  ir”[133].</w:t>
        <w:br/>
        <w:t>Asimismo, algunos de los testigos indicaron que: i) “que  las  niñas  van  a</w:t>
        <w:br/>
        <w:t>ser discriminadas y afectadas en sus relaciones sociales”[134]; ii)  “en  el</w:t>
        <w:br/>
        <w:t>ambiente del colegio y de sus pares […] ellas  están  siendo  señaladas,  me</w:t>
        <w:br/>
        <w:t>preocupa que por vivir en [esta] ciudad  tan  pequeña,  esta  situación  sea</w:t>
        <w:br/>
        <w:t>complicada”[135], y iii) “los padres de los compañeros de  colegio  y  [los]</w:t>
        <w:br/>
        <w:t>amiguitos toman actitudes de ‘protección’ de  sus  hijos  respecto  de  esta</w:t>
        <w:br/>
        <w:t>situación que la ven como contradictoria  con  la  formación  que  ellos  le</w:t>
        <w:br/>
        <w:t>proporcionan a sus hijos  y  eso  necesariamente  debe  generar  situaciones</w:t>
        <w:br/>
        <w:t>negativas y de aislamiento respecto a las niñitas, cosa que de acuerdo a  lo</w:t>
        <w:br/>
        <w:t>me han comentado lamentablemente está ocurriendo”[136].</w:t>
        <w:br/>
        <w:br/>
        <w:t>Asimismo, la asistente social que declaró  en  el  proceso  indicó  que  “en</w:t>
        <w:br/>
        <w:t>Chile según un estudio […] sobre la tolerancia  y  la  discriminación  [del]</w:t>
        <w:br/>
        <w:t>año 1997, se llegó a la conclusión que los chilenos poseen un  alto  rechazo</w:t>
        <w:br/>
        <w:t>hacia las minorías homosexuales[,] un 60.2% fue la carga  valórica  de  este</w:t>
        <w:br/>
        <w:t>rechazo. [Con] base [en]  lo  anterior,  y  en  conocimiento  de  esta  alta</w:t>
        <w:br/>
        <w:t>discriminación[,]  se  estaría  exponiendo  a  estas  menores  [de  edad]  a</w:t>
        <w:br/>
        <w:t>situaciones de discriminación social que ellas no se han buscado”[137].</w:t>
        <w:br/>
        <w:br/>
        <w:br/>
        <w:t>Por otra parte, la Corte nota que en el expediente  de  tuición  obran  ocho</w:t>
        <w:br/>
        <w:t>declaraciones juradas de padres de compañeros y amigos de las tres niñas  en</w:t>
        <w:br/>
        <w:t>las que se expresa, inter alia, que “jamás h[an] discriminado a [las]  hijas</w:t>
        <w:br/>
        <w:t>[de la señora Atala] en  ningún  sentido,  de  manera  que  [sus]  hijos  se</w:t>
        <w:br/>
        <w:t>juntaban,  jugaban  y  participaban  de  actividades  con  las  niñas  López</w:t>
        <w:br/>
        <w:t>Atala”[138].</w:t>
        <w:br/>
        <w:br/>
        <w:br/>
        <w:t>Al respecto, el Tribunal constata que, si bien  existía  prueba  dentro  del</w:t>
        <w:br/>
        <w:t>expediente de personas que manifestaban que las niñas podrían  estar  siendo</w:t>
        <w:br/>
        <w:t>discriminadas en su entorno social por la convivencia de su  madre  con  una</w:t>
        <w:br/>
        <w:t>pareja del mismo sexo, también se evidencia prueba en contrario  respecto  a</w:t>
        <w:br/>
        <w:t>este punto (supra párr. 115, 116 y 117). Sin embargo, la Corte nota  que  la</w:t>
        <w:br/>
        <w:t>manera en que planteó la Corte Suprema la posible discriminación social  que</w:t>
        <w:br/>
        <w:t>podrían enfrentar las tres niñas era condicional y abstracta, por cuanto  se</w:t>
        <w:br/>
        <w:t>manifestó que: i) “las niñas podrían ser objeto de  discriminación  social”,</w:t>
        <w:br/>
        <w:t>y ii) "es  evidente  que  su  entorno  familiar  excepcional  se  diferencia</w:t>
        <w:br/>
        <w:t>significativamente del que tienen sus compañeros de  colegios  y  relaciones</w:t>
        <w:br/>
        <w:t>de la vecindad en que habitan, exponiéndolas a ser objeto de  aislamiento  y</w:t>
        <w:br/>
        <w:t>discriminación que igualmente afectará a su desarrollo personal”[139].</w:t>
        <w:br/>
        <w:br/>
        <w:br/>
        <w:t>La Corte considera que,  para  justificar  una  diferencia  de  trato  y  la</w:t>
        <w:br/>
        <w:t>restricción de un derecho, no puede servir de sustento jurídico  la  alegada</w:t>
        <w:br/>
        <w:t>posibilidad de discriminación social, probada o no,  a  la  que  se  podrían</w:t>
        <w:br/>
        <w:t>enfrentar los menores de edad por condiciones de la madre  o  el  padre.  Si</w:t>
        <w:br/>
        <w:t>bien es cierto que ciertas sociedades pueden ser intolerantes a  condiciones</w:t>
        <w:br/>
        <w:t>como la raza, el sexo, la  nacionalidad  o  la  orientación  sexual  de  una</w:t>
        <w:br/>
        <w:t>persona, los  Estados  no  pueden  utilizar  esto  como  justificación  para</w:t>
        <w:br/>
        <w:t>perpetuar tratos  discriminatorios.  Los  Estados  están  internacionalmente</w:t>
        <w:br/>
        <w:t>obligados  a  adoptar  las  medidas  que  fueren  necesarias   “para   hacer</w:t>
        <w:br/>
        <w:t>efectivos” los derechos establecidos en la Convención, como se  estipula  en</w:t>
        <w:br/>
        <w:t>el  artículo  2  de  dicho  instrumento  interamericano  por  lo  que  deben</w:t>
        <w:br/>
        <w:t>propender, precisamente, por enfrentar las  manifestaciones  intolerantes  y</w:t>
        <w:br/>
        <w:t>discriminatorias, con el fin de  evitar  la  exclusión  o  negación  de  una</w:t>
        <w:br/>
        <w:t>determinada condición.</w:t>
        <w:br/>
        <w:br/>
        <w:t>El Tribunal constata que, en el marco de las  sociedades  contemporáneas  se</w:t>
        <w:br/>
        <w:t>dan  cambios  sociales,   culturales   e   institucionales   encaminados   a</w:t>
        <w:br/>
        <w:t>desarrollos  más  incluyentes  de  todas  las  opciones  de  vida   de   sus</w:t>
        <w:br/>
        <w:t>ciudadanos, lo  cual  se  evidencia  en  la  aceptación  social  de  parejas</w:t>
        <w:br/>
        <w:t>interraciales[140], las madres o padres solteros o las parejas  divorciadas,</w:t>
        <w:br/>
        <w:t>las cuales en otros momentos no habían sido aceptadas por  la  sociedad.  En</w:t>
        <w:br/>
        <w:t>este sentido, el Derecho y los Estados deben ayudar al avance social, de  lo</w:t>
        <w:br/>
        <w:t>contrario se corre el grave  riesgo  de  legitimar  y  consolidar  distintas</w:t>
        <w:br/>
        <w:t>formas de discriminación violatorias de los derechos humanos[141].</w:t>
        <w:br/>
        <w:br/>
        <w:br/>
        <w:t>Por otro lado, en cuanto al  argumento  de  que  el  principio  del  interés</w:t>
        <w:br/>
        <w:t>superior del niño puede verse afectado por el riesgo de un  rechazo  por  la</w:t>
        <w:br/>
        <w:t>sociedad, la Corte considera que un  posible  estigma  social  debido  a  la</w:t>
        <w:br/>
        <w:t>orientación sexual de la madre o el padre no puede  considerarse  un  "daño"</w:t>
        <w:br/>
        <w:t>valido a los efectos de la determinación del interés superior del  niño.  Si</w:t>
        <w:br/>
        <w:t>los jueces que analizan casos como el presente constatan  la  existencia  de</w:t>
        <w:br/>
        <w:t>discriminación   social   es   totalmente    inadmisible    legitimar    esa</w:t>
        <w:br/>
        <w:t>discriminación con el argumento de proteger el interés  superior  del  menor</w:t>
        <w:br/>
        <w:t>de edad. En el presente caso, el Tribunal resalta  que,  además,  la  señora</w:t>
        <w:br/>
        <w:t>Atala no tenía porque sufrir  las  consecuencias  de  que  en  su  comunidad</w:t>
        <w:br/>
        <w:t>presuntamente las  niñas  podrían  haber  sido  discriminadas  debido  a  su</w:t>
        <w:br/>
        <w:t>orientación sexual.</w:t>
        <w:br/>
        <w:br/>
        <w:t>Por tanto, la Corte concluye que el argumento de la  posible  discriminación</w:t>
        <w:br/>
        <w:t>social no era adecuado para cumplir con la finalidad declarada  de  proteger</w:t>
        <w:br/>
        <w:t>el interés superior de las niñas M., V. y R..</w:t>
        <w:br/>
        <w:br/>
        <w:br/>
        <w:t xml:space="preserve">      4.2.  Alegada confusión de roles</w:t>
        <w:br/>
        <w:br/>
        <w:br/>
        <w:t>Sobre la posible confusión de roles que podría producirse en las tres  niñas</w:t>
        <w:br/>
        <w:t>por convivir con su madre y su pareja, la Corte Suprema motivó  su  decisión</w:t>
        <w:br/>
        <w:t>señalando que: i) “el testimonio de las personas cercanas a las menores  [de</w:t>
        <w:br/>
        <w:t>edad], como son las empleadas de  la  casa,  hacen  referencia  a  juegos  y</w:t>
        <w:br/>
        <w:t>actitudes de  las  niñas  demostrativas  de  confusión  ante  la  sexualidad</w:t>
        <w:br/>
        <w:t>materna que no han podido menos que percibir en la convivencia en  el  hogar</w:t>
        <w:br/>
        <w:t>con su nueva pareja”, y ii) “aparte  de  los  efectos  que  esa  convivencia</w:t>
        <w:br/>
        <w:t>puede causar en el bienestar  y  desarrollo  psíquico  y  emocional  de  las</w:t>
        <w:br/>
        <w:t>hijas, atendida sus edades, la eventual  confusión  de  roles  sexuales  que</w:t>
        <w:br/>
        <w:t>puede producírseles por la  carencia  en  el  hogar  de  un  padre  de  sexo</w:t>
        <w:br/>
        <w:t>masculino y su reemplazo por otra persona  del  género  femenino,  configura</w:t>
        <w:br/>
        <w:t>una situación de riesgo para el  desarrollo  integral  de  las  menores  [de</w:t>
        <w:br/>
        <w:t>edad] respecto de la cual deben ser protegidas”[142].</w:t>
        <w:br/>
        <w:br/>
        <w:t>Tratándose de la prohibición de discriminación por  orientación  sexual,  la</w:t>
        <w:br/>
        <w:t>eventual restricción de un derecho exige una fundamentación  rigurosa  y  de</w:t>
        <w:br/>
        <w:t>mucho peso[143], invirtiéndose, además,  la  carga  de  la  prueba,  lo  que</w:t>
        <w:br/>
        <w:t>significa que corresponde a la autoridad demostrar que su decisión no  tenía</w:t>
        <w:br/>
        <w:t>un propósito  ni  un  efecto  discriminatorio[144].  Esto  es  especialmente</w:t>
        <w:br/>
        <w:t>relevante  en  un  caso  como  el  presente,  teniendo  en  cuenta  que   la</w:t>
        <w:br/>
        <w:t>determinación de  un  daño  debe  sustentarse  en  evidencia  técnica  y  en</w:t>
        <w:br/>
        <w:t>dictámenes de expertos e investigadores en aras de  establecer  conclusiones</w:t>
        <w:br/>
        <w:t>que no resulten en decisiones discriminatorias.</w:t>
        <w:br/>
        <w:br/>
        <w:t>En efecto, es el Estado el que tiene la carga de la prueba para mostrar  que</w:t>
        <w:br/>
        <w:t>la decisión judicial objeto del debate se ha basado en la existencia  de  un</w:t>
        <w:br/>
        <w:t>daño concreto, específico y real en el desarrollo de las  niñas.  Para  ello</w:t>
        <w:br/>
        <w:t>es necesario que en las decisiones judiciales sobre estos temas  se  definan</w:t>
        <w:br/>
        <w:t>de manera específica y concreta los  elementos  de  conexidad  y  causalidad</w:t>
        <w:br/>
        <w:t>entre la conducta de la madre o  el  padre  y  el  supuesto  impacto  en  el</w:t>
        <w:br/>
        <w:t>desarrollo del niño. De lo contrario, se corre el riesgo de  fundamentar  la</w:t>
        <w:br/>
        <w:t>decisión  en  un  estereotipo   (supra   párrs.   109   y   111)   vinculado</w:t>
        <w:br/>
        <w:t>exclusivamente a la pre-concepción, no sustentada, de que los niños  criados</w:t>
        <w:br/>
        <w:t>por parejas homosexuales necesariamente tendrían dificultades  para  definir</w:t>
        <w:br/>
        <w:t>roles de género o sexuales.</w:t>
        <w:br/>
        <w:br/>
        <w:br/>
        <w:t>La  jurisprudencia  de  algunos  países,   así   como   numerosos   informes</w:t>
        <w:br/>
        <w:t>científicos, se han referido a esta temática con claridad. Por  ejemplo,  la</w:t>
        <w:br/>
        <w:t>Suprema Corte de Justicia de la Nación de México, en su  sentencia  de  2010</w:t>
        <w:br/>
        <w:t>sobre el derecho de las parejas homosexuales  a  adoptar  menores  de  edad,</w:t>
        <w:br/>
        <w:t>consideró relevante que los demandantes no  sustentaron  empíricamente,  con</w:t>
        <w:br/>
        <w:t>base en documentos o  análisis  científicos,  una  supuesta  afectación  del</w:t>
        <w:br/>
        <w:t>interés superior del niño en estos  casos.  Por  el  contrario,  la  Suprema</w:t>
        <w:br/>
        <w:t>Corte tomó en  cuenta  los  estudios  existentes  sobre  el  impacto  de  la</w:t>
        <w:br/>
        <w:t>orientación sexual en el desarrollo del niño y consideró que en modo  alguno</w:t>
        <w:br/>
        <w:t>puede sostenerse  la  hipótesis  general  de  una  afectación  negativa  del</w:t>
        <w:br/>
        <w:t>desarrollo   de   los   menores   de   edad   que   conviven   con    padres</w:t>
        <w:br/>
        <w:t>homosexuales[145]. Además, la Suprema Corte indicó, por ejemplo, que:</w:t>
        <w:br/>
        <w:br/>
        <w:t xml:space="preserve">      La heterosexualidad  no  garantiza  que  un  menor  adoptado  viva  en</w:t>
        <w:br/>
        <w:t xml:space="preserve">      condiciones óptimas para su desarrollo: esto no tiene que ver  con  la</w:t>
        <w:br/>
        <w:t xml:space="preserve">      heterosexualidad-homosexualidad. Todas las formas  de  familia  tienen</w:t>
        <w:br/>
        <w:t xml:space="preserve">      ventajas y desventajas y cada  familia  tiene  que  analizarse  en  lo</w:t>
        <w:br/>
        <w:t xml:space="preserve">      particular, no desde el punto de vista estadístico[146].</w:t>
        <w:br/>
        <w:br/>
        <w:t>Por otra  parte,  diversas  sentencias  de  tribunales  internacionales[147]</w:t>
        <w:br/>
        <w:t>permiten concluir que en decisiones judiciales respecto  a  la  custodia  de</w:t>
        <w:br/>
        <w:t>menores  de  edad,  la  consideración  de  la  conducta  parental,  sólo  es</w:t>
        <w:br/>
        <w:t>admisible cuando existen pruebas específicas que demuestren en  concreto  el</w:t>
        <w:br/>
        <w:t>impacto  directo  negativo  de  la  conducta  parental  en  el  bienestar  y</w:t>
        <w:br/>
        <w:t>desarrollo del niño o la niña. Esto en aras de la necesidad  de  aplicar  un</w:t>
        <w:br/>
        <w:t>escrutinio mayor cuando la decisión judicial se relacione con el  derecho  a</w:t>
        <w:br/>
        <w:t>la igualdad de grupos poblacionales tradicionalmente discriminados  como  es</w:t>
        <w:br/>
        <w:t>el caso de los homosexuales (supra párr. 92 y 124).</w:t>
        <w:br/>
        <w:br/>
        <w:t>Por su parte, los peritos Uprimny y Jernow citaron y aportaron una serie  de</w:t>
        <w:br/>
        <w:t>informes científicos, considerados como  representativos  y  autorizados  en</w:t>
        <w:br/>
        <w:t>las ciencias sociales, para concluir que la convivencia de menores  de  edad</w:t>
        <w:br/>
        <w:t>con  padres  homosexuales  no  afecta  per  se  su  desarrollo  emocional  y</w:t>
        <w:br/>
        <w:t>psicológico. Dichos estudios concuerdan en que: i) las aptitudes  de  madres</w:t>
        <w:br/>
        <w:t>o  padres  homosexuales  son  equivalentes  a  las  de   madres   o   padres</w:t>
        <w:br/>
        <w:t>heterosexuales; ii) el desarrollo psicológico y el  bienestar  emocional  de</w:t>
        <w:br/>
        <w:t>los  niños  o  niñas  criados  por  padres  gays  o  madres  lesbianas   son</w:t>
        <w:br/>
        <w:t>comparables  a  los  de  las  niñas  o  los   niños   criados   por   padres</w:t>
        <w:br/>
        <w:t>heterosexuales; iii) la orientación sexual es irrelevante para la  formación</w:t>
        <w:br/>
        <w:t>de vínculos afectivos de los niños o  las  niñas  con  sus  padres;  iv)  la</w:t>
        <w:br/>
        <w:t>orientación sexual de la madre o el padre no afecta  el  desarrollo  de  los</w:t>
        <w:br/>
        <w:t>niños en materia de género respecto a su sentido de sí mismos  como  hombres</w:t>
        <w:br/>
        <w:t>o mujeres, su comportamiento de rol de género y/o su orientación  sexual,  y</w:t>
        <w:br/>
        <w:t>v) los niños y las niñas de padres homosexuales no son más afectados por  el</w:t>
        <w:br/>
        <w:t>estigma social que otros niños[148]. Asimismo,  la  perita  Jernow  mencionó</w:t>
        <w:br/>
        <w:t>varios fallos de tribunales nacionales que se refirieron  a  investigaciones</w:t>
        <w:br/>
        <w:t>científicas como prueba documental para afirmar que el interés superior  del</w:t>
        <w:br/>
        <w:t>niño no se vulnera con la homosexualidad de los padres[149].</w:t>
        <w:br/>
        <w:br/>
        <w:t>La Corte resalta que la  “American  Psychological  Association”,  mencionada</w:t>
        <w:br/>
        <w:t>por la perita  Jernow,  ha  calificado  los  estudios  existentes  sobre  la</w:t>
        <w:br/>
        <w:t>materia  como  “impresionantemente   consistentes   en   su   fracaso   para</w:t>
        <w:br/>
        <w:t>identificar algún déficit en el desarrollo de los niños criados en un  hogar</w:t>
        <w:br/>
        <w:t>gay o lésbico […] las capacidades de personas gays o lesbianas  como  padres</w:t>
        <w:br/>
        <w:t>y  el  resultado  positivo  para  sus  hijos  no   son   áreas   donde   los</w:t>
        <w:br/>
        <w:t>investigadores   científicos    más    autorizados    disienten”[150].    En</w:t>
        <w:br/>
        <w:t>consecuencia, la perita concluyó que:</w:t>
        <w:br/>
        <w:br/>
        <w:t xml:space="preserve">      cuando  la  especulación  sobre  un  futuro  daño  potencial  para  el</w:t>
        <w:br/>
        <w:t xml:space="preserve">      desarrollo  del  niño  es  refutado  de   manera   sólida   por   toda</w:t>
        <w:br/>
        <w:t xml:space="preserve">      investigación  científica  existente,  dicha  especulación  no   puede</w:t>
        <w:br/>
        <w:t xml:space="preserve">      establecer  las  bases  probatorias  para  la  determinación   de   la</w:t>
        <w:br/>
        <w:t xml:space="preserve">      custodia[151].</w:t>
        <w:br/>
        <w:br/>
        <w:t>El Tribunal observa que, en el presente caso, la Corte Suprema  de  Justicia</w:t>
        <w:br/>
        <w:t>de Chile no falló con base en un análisis in abstracto del  alegado  impacto</w:t>
        <w:br/>
        <w:t>de la orientación sexual de la madre en el  desarrollo  de  las  niñas[152],</w:t>
        <w:br/>
        <w:t>sino que invocó la supuesta existencia de pruebas  concretas.  Sin  embargo,</w:t>
        <w:br/>
        <w:t>se limitó en sus  consideraciones  a  la  aplicación  de  un  test  de  daño</w:t>
        <w:br/>
        <w:t>especulativo limitándose a hacer referencia, respecto al  supuesto  daño,  a</w:t>
        <w:br/>
        <w:t>la “eventual confusión de roles sexuales” y la “situación de riesgo para  el</w:t>
        <w:br/>
        <w:t>desarrollo” de las niñas[153].  La  Corte  Suprema  de  Justicia  afirmó  la</w:t>
        <w:br/>
        <w:t>existencia de un “deterioro experimentado por el entorno social, familiar  y</w:t>
        <w:br/>
        <w:t>educacional en que se desenv[olvía] la existencia de las menores”  de  edad,</w:t>
        <w:br/>
        <w:t>como consecuencia  de  la  convivencia  de  la  madre  con  su  pareja,  sin</w:t>
        <w:br/>
        <w:t>especificar  en  qué  consistía  la  relación  de  causalidad  entre   dicha</w:t>
        <w:br/>
        <w:t>convivencia y el supuesto deterioro. No expuso  argumentos  para  desvirtuar</w:t>
        <w:br/>
        <w:t>la posibilidad que  el  supuesto  deterioro  no  se  hubiera  producido  con</w:t>
        <w:br/>
        <w:t>ocasión de la nueva convivencia, sino como  consecuencia  de  la  separación</w:t>
        <w:br/>
        <w:t>anterior de la madre y el padre y los  posibles  efectos  negativos  que  se</w:t>
        <w:br/>
        <w:t>podrían generar para las menores de  edad.  La  Corte  Suprema  de  Justicia</w:t>
        <w:br/>
        <w:t>tampoco se  ocupó  de  exponer  argumentos  específicos  para  sustentar  la</w:t>
        <w:br/>
        <w:t>situación familiar del padre como más favorable. La motivación de  la  Corte</w:t>
        <w:br/>
        <w:t>Suprema de Justicia  se  centró  en  los  posibles  daños  psicológicos  que</w:t>
        <w:br/>
        <w:t>podrían producirse en las tres niñas por el hecho de vivir  con  una  pareja</w:t>
        <w:br/>
        <w:t>homosexual,  sin  aludir  a  razones  de  suficiente  peso  que  permitieran</w:t>
        <w:br/>
        <w:t>desvirtuar que la orientación sexual de la madre o  el  padre  no  tiene  un</w:t>
        <w:br/>
        <w:t>efecto negativo para el bienestar psicológico y  emocional,  el  desarrollo,</w:t>
        <w:br/>
        <w:t>la orientación sexual y las relaciones sociales del niño o la niña.</w:t>
        <w:br/>
        <w:br/>
        <w:t>La Corte Interamericana  concluye  que  la  Corte  Suprema  de  Justicia  no</w:t>
        <w:br/>
        <w:t>cumplió con los requisitos de un test estricto de  análisis  y  sustentación</w:t>
        <w:br/>
        <w:t>de un daño concreto y específico supuestamente sufrido por las tres niñas  a</w:t>
        <w:br/>
        <w:t>causa de la convivencia de su madre con una pareja del mismo  sexo.  Además,</w:t>
        <w:br/>
        <w:t>el Tribunal considera que, en el caso concreto, el hecho  de  vivir  con  su</w:t>
        <w:br/>
        <w:t>madre y su pareja no privaba a las niñas del  rol  paterno,  por  cuanto  el</w:t>
        <w:br/>
        <w:t>objeto del proceso de tuición no implicaba que el padre hubiera  perdido  el</w:t>
        <w:br/>
        <w:t>contacto con ellas.</w:t>
        <w:br/>
        <w:br/>
        <w:br/>
        <w:br/>
        <w:t xml:space="preserve">      4.3.  Alegado privilegio de intereses</w:t>
        <w:br/>
        <w:br/>
        <w:br/>
        <w:br/>
        <w:t>La Corte Suprema indicó en su sentencia que “no es  posible  desconocer  que</w:t>
        <w:br/>
        <w:t>la madre de las menores de [edad], al tomar la  decisión  de  explicitar  su</w:t>
        <w:br/>
        <w:t>condición homosexual, como puede  hacerlo  libremente  toda  persona  en  el</w:t>
        <w:br/>
        <w:t>ámbito de sus derechos personalísimos en el género sexual, sin  merecer  por</w:t>
        <w:br/>
        <w:t>ello reprobación o reproche  jurídico  alguno,  ha  antepuesto  sus  propios</w:t>
        <w:br/>
        <w:t>intereses, postergando los  de  sus  hijas,  especialmente  al  iniciar  una</w:t>
        <w:br/>
        <w:t>convivencia con su pareja homosexual en el mismo hogar en  que  lleva[ba]  a</w:t>
        <w:br/>
        <w:t>efecto la crianza  y  cuidado  de  sus  hijas  separadamente  del  padre  de</w:t>
        <w:br/>
        <w:t>éstas”[154]. En igual sentido, el Juzgado de Menores de  Villarrica,  en  la</w:t>
        <w:br/>
        <w:t>decisión  de  tuición  provisional,  declaró  que  “la   demandada   ha[bía]</w:t>
        <w:br/>
        <w:t>privilegiado su bienestar e interés personal por sobre  el  cumplimiento  de</w:t>
        <w:br/>
        <w:t>su  rol  materno,  en  condiciones,  que  p[odían]  afectar  el   desarrollo</w:t>
        <w:br/>
        <w:t>posterior de las menores de autos”[155].</w:t>
        <w:br/>
        <w:br/>
        <w:t>La Corte Interamericana considera necesario  recalcar  que  el  alcance  del</w:t>
        <w:br/>
        <w:t>derecho a la no discriminación por orientación sexual  no  se  limita  a  la</w:t>
        <w:br/>
        <w:t>condición de ser homosexual, en sí misma, sino que incluye  su  expresión  y</w:t>
        <w:br/>
        <w:t>las consecuencias necesarias en el proyecto de  vida  de  las  personas.  Al</w:t>
        <w:br/>
        <w:t>respecto, en el Caso Laskey, Jaggard y Brown Vs. Reino  Unido,  el  Tribunal</w:t>
        <w:br/>
        <w:t>Europeo de Derechos Humanos estableció que tanto la orientación sexual  como</w:t>
        <w:br/>
        <w:t>su ejercicio son un aspecto relevante de la vida privada[156].</w:t>
        <w:br/>
        <w:br/>
        <w:br/>
        <w:t>Al respecto, el perito Wintemute manifestó que:</w:t>
        <w:br/>
        <w:br/>
        <w:br/>
        <w:t xml:space="preserve">      “la jurisprudencia del Tribunal Europeo deja claro que la  orientación</w:t>
        <w:br/>
        <w:t xml:space="preserve">      sexual también incluye la conducta. Esto significa que  la  protección</w:t>
        <w:br/>
        <w:t xml:space="preserve">      contra la  discriminación  basada  en  la  orientación  sexual  no  se</w:t>
        <w:br/>
        <w:t xml:space="preserve">      relaciona únicamente sobre un trato menos favorable por ser lesbiana o</w:t>
        <w:br/>
        <w:t xml:space="preserve">      gay. También abarca la discriminación porque un individuo actúa  según</w:t>
        <w:br/>
        <w:t xml:space="preserve">      su orientación sexual, al optar por participar en actividades sexuales</w:t>
        <w:br/>
        <w:t xml:space="preserve">      consentidas en privado o decidir iniciar  una  relación  de  pareja  a</w:t>
        <w:br/>
        <w:t xml:space="preserve">      largo plazo con una persona del mismo sexo”[157].</w:t>
        <w:br/>
        <w:br/>
        <w:t>El ámbito de protección del derecho a la vida privada ha  sido  interpretado</w:t>
        <w:br/>
        <w:t>en términos amplios por los tribunales internacionales de derechos  humanos,</w:t>
        <w:br/>
        <w:t>al señalar que éste va más allá  del  derecho  a  la  privacidad.  Según  el</w:t>
        <w:br/>
        <w:t>Tribunal Europeo, el derecho a la vida privada abarca la identidad física  y</w:t>
        <w:br/>
        <w:t>social, el desarrollo personal y la autonomía personal de una  persona,  así</w:t>
        <w:br/>
        <w:t>como su derecho de establecer y desarrollar relaciones con otras personas  y</w:t>
        <w:br/>
        <w:t>su  entorno  social,  incluyendo  el  derecho  de  establecer   y   mantener</w:t>
        <w:br/>
        <w:t>relaciones con personas del mismo sexo[158]. Además, el derecho  a  mantener</w:t>
        <w:br/>
        <w:t>relaciones personales con otros individuos, en el marco  del  derecho  a  la</w:t>
        <w:br/>
        <w:t>vida privada, se extiende a la esfera pública y profesional[159].</w:t>
        <w:br/>
        <w:br/>
        <w:t>En este sentido, la orientación sexual de una persona también  se  encuentra</w:t>
        <w:br/>
        <w:t>ligada al concepto de libertad y la posibilidad de todo ser humano de  auto-</w:t>
        <w:br/>
        <w:t>determinarse y escoger libremente las opciones y circunstancias que  le  dan</w:t>
        <w:br/>
        <w:t>sentido   a   su   existencia,   conforme   a   sus   propias   opciones   y</w:t>
        <w:br/>
        <w:t>convicciones[160]. Por lo tanto,  “[l]a  vida  afectiva  con  el  cónyuge  o</w:t>
        <w:br/>
        <w:t>compañera permanente, dentro de  la  que  se  encuentran,  lógicamente,  las</w:t>
        <w:br/>
        <w:t>relaciones sexuales, es uno de los aspectos  principales  de  ese  ámbito  o</w:t>
        <w:br/>
        <w:t>círculo de la intimidad”[161].</w:t>
        <w:br/>
        <w:br/>
        <w:t>Por su parte, la Suprema Corte  de  Justicia  de  la  Nación  de  México  ha</w:t>
        <w:br/>
        <w:t>señalado que:</w:t>
        <w:br/>
        <w:br/>
        <w:t xml:space="preserve">      de la dignidad humana […] deriva, entre otros, el libre desarrollo  de</w:t>
        <w:br/>
        <w:t xml:space="preserve">      la personalidad, es decir, el derecho de todo individuo a  elegir,  en</w:t>
        <w:br/>
        <w:t xml:space="preserve">      forma libre y autónoma, cómo vivir su vida, lo  que  comprende,  entre</w:t>
        <w:br/>
        <w:t xml:space="preserve">      otras expresiones, […] su libre opción sexual. [L]a orientación sexual</w:t>
        <w:br/>
        <w:t xml:space="preserve">      de una persona, como parte de su identidad personal, [es] un  elemento</w:t>
        <w:br/>
        <w:t xml:space="preserve">      relevante en el proyecto de vida  que  tenga  y  que,  como  cualquier</w:t>
        <w:br/>
        <w:t xml:space="preserve">      persona, incluye el deseo de tener una vida en común con otra  persona</w:t>
        <w:br/>
        <w:t xml:space="preserve">      de igual o distinto sexo[162].</w:t>
        <w:br/>
        <w:br/>
        <w:t>En el presente caso, el Tribunal observa  que  tanto  la  Corte  Suprema  de</w:t>
        <w:br/>
        <w:t>Justicia  como  el  Juzgado  de  Menores  de  Villarrica  fundamentaron  sus</w:t>
        <w:br/>
        <w:t>decisiones para entregar la tuición al padre bajo  el  supuesto  de  que  la</w:t>
        <w:br/>
        <w:t>señora Atala podía  declararse  abiertamente  como  lesbiana.  Sin  embargo,</w:t>
        <w:br/>
        <w:t>indicaron que, al ejercer su homosexualidad cuando decidió convivir con  una</w:t>
        <w:br/>
        <w:t>pareja del mismo sexo, privilegió sus  intereses  sobre  los  de  sus  hijas</w:t>
        <w:br/>
        <w:t>(supra párrs. 41 y 56).</w:t>
        <w:br/>
        <w:br/>
        <w:t>Al  respecto,  el  Tribunal  considera  que  dentro  de  la  prohibición  de</w:t>
        <w:br/>
        <w:t>discriminación por  orientación  sexual  se  deben  incluir,  como  derechos</w:t>
        <w:br/>
        <w:t>protegidos, las conductas en el ejercicio de la homosexualidad.  Además,  si</w:t>
        <w:br/>
        <w:t>la  orientación  sexual  es  un  componente  esencial  de  identidad  de  la</w:t>
        <w:br/>
        <w:t>persona[163], no era razonable exigir a la señora Atala  que  pospusiera  su</w:t>
        <w:br/>
        <w:t>proyecto de vida y de familia. No se puede considerar  como  “reprochable  o</w:t>
        <w:br/>
        <w:t>reprobable jurídicamente”, bajo ninguna circunstancia, que la  señora  Atala</w:t>
        <w:br/>
        <w:t>haya tomado la decisión de rehacer su vida. Además, no se  encontró  probado</w:t>
        <w:br/>
        <w:t>un daño que haya perjudicado a las tres niñas.</w:t>
        <w:br/>
        <w:br/>
        <w:t>En  consecuencia,  la  Corte  considera  que  exigirle  a   la   madre   que</w:t>
        <w:br/>
        <w:t>condicionara  sus  opciones  de  vida  implica   utilizar   una   concepción</w:t>
        <w:br/>
        <w:t>“tradicional” sobre el rol social de las mujeres como madres, según la  cual</w:t>
        <w:br/>
        <w:t>se espera socialmente que las mujeres lleven  la  responsabilidad  principal</w:t>
        <w:br/>
        <w:t>en la crianza de sus hijos e hijas y que  en  pos  de  esto  hubiera  debido</w:t>
        <w:br/>
        <w:t>privilegiar la crianza de  los  niños  y  niñas  renunciando  a  un  aspecto</w:t>
        <w:br/>
        <w:t>esencial de su identidad. Por  tanto,  la  Corte  considera  que  bajo  esta</w:t>
        <w:br/>
        <w:t>motivación del supuesto privilegio de los intereses personales de la  señora</w:t>
        <w:br/>
        <w:t>Atala tampoco se cumplía con el objetivo de proteger el interés superior  de</w:t>
        <w:br/>
        <w:t>las tres niñas.</w:t>
        <w:br/>
        <w:br/>
        <w:br/>
        <w:t xml:space="preserve">      4.4.  Alegado derecho a una familia “normal y tradicional”</w:t>
        <w:br/>
        <w:br/>
        <w:br/>
        <w:t>Al respecto, la Corte Suprema de  Justicia  señaló  que  se  desconoció  “el</w:t>
        <w:br/>
        <w:t>derecho preferente de las menores [de edad] a vivir y  desarrollarse  en  el</w:t>
        <w:br/>
        <w:t>seno de una  familia  estructurada  normalmente  y  apreciada  en  el  medio</w:t>
        <w:br/>
        <w:t>social, según el modelo tradicional que le es propio”[164].  Por  su  parte,</w:t>
        <w:br/>
        <w:t>el Juzgado de Menores de Villarrica, en la decisión de  tuición  provisoria,</w:t>
        <w:br/>
        <w:t>indicó que “el actor presenta argumentos más favorables en pro  del  interés</w:t>
        <w:br/>
        <w:t>superior de las niñas, argumentos,  que  en  el  contexto  de  una  sociedad</w:t>
        <w:br/>
        <w:t>heterosexuada, y tradicional, cobran gran importancia”[165].</w:t>
        <w:br/>
        <w:br/>
        <w:t>La  Corte  constata  que  en  la  Convención  Americana  no   se   encuentra</w:t>
        <w:br/>
        <w:t>determinado un concepto cerrado de familia, ni mucho menos se  protege  sólo</w:t>
        <w:br/>
        <w:t>un modelo “tradicional” de la misma. Al respecto, el  Tribunal  reitera  que</w:t>
        <w:br/>
        <w:t>el concepto de vida familiar no está reducido  únicamente  al  matrimonio  y</w:t>
        <w:br/>
        <w:t>debe abarcar otros lazos familiares de hecho donde las  partes  tienen  vida</w:t>
        <w:br/>
        <w:t>en común por fuera del matrimonio[166].</w:t>
        <w:br/>
        <w:br/>
        <w:t>En ello es coherente la jurisprudencia internacional. En el  caso  Salgueiro</w:t>
        <w:br/>
        <w:t>da Silva Mouta Vs. Portugal, el Tribunal Europeo consideró que  la  decisión</w:t>
        <w:br/>
        <w:t>de un tribunal nacional de retirar a un padre homosexual la custodia  de  su</w:t>
        <w:br/>
        <w:t>hija menor de edad, con el argumento  que  la  niña  debería  vivir  en  una</w:t>
        <w:br/>
        <w:t>familia  portuguesa  tradicional,   carecía   de   relación   razonable   de</w:t>
        <w:br/>
        <w:t>proporcionalidad entre la medida tomada (retiro de la  custodia)  y  el  fin</w:t>
        <w:br/>
        <w:t>perseguido (protección del interés superior de la menor de edad)[167].</w:t>
        <w:br/>
        <w:br/>
        <w:br/>
        <w:t>Asimismo, el Tribunal Europeo de Derechos Humanos señaló en el  Caso  Karner</w:t>
        <w:br/>
        <w:t>Vs. Austria, que:</w:t>
        <w:br/>
        <w:br/>
        <w:t xml:space="preserve">      El objetivo de proteger la familia en el sentido  tradicional  es  más</w:t>
        <w:br/>
        <w:t xml:space="preserve">      bien abstracto y una  amplia  variedad  de  medidas  concretas  pueden</w:t>
        <w:br/>
        <w:t xml:space="preserve">      utilizarse para implementarlo […] como  es  el  caso  cuando  hay  una</w:t>
        <w:br/>
        <w:t xml:space="preserve">      diferencia de trato basada en el sexo o en la orientación  sexual,  el</w:t>
        <w:br/>
        <w:t xml:space="preserve">      principio de proporcionalidad no  solamente  requiere  que  la  medida</w:t>
        <w:br/>
        <w:t xml:space="preserve">      escogida sea, en principio, adecuada para el cumplimiento del objetivo</w:t>
        <w:br/>
        <w:t xml:space="preserve">      buscado. También se debe demostrar que era necesario excluir a ciertas</w:t>
        <w:br/>
        <w:t xml:space="preserve">      categorías de personas para lograr ese objetivo”[168].</w:t>
        <w:br/>
        <w:br/>
        <w:t>En el presente caso, este Tribunal constata que el  lenguaje  utilizado  por</w:t>
        <w:br/>
        <w:t>la Corte Suprema de Chile relacionado  con  la  supuesta  necesidad  de  las</w:t>
        <w:br/>
        <w:t>niñas de crecer en una “familia estructurada normalmente y apreciada  en  su</w:t>
        <w:br/>
        <w:t>medio social”, y no en una “familia  excepcional”,  refleja  una  percepción</w:t>
        <w:br/>
        <w:t>limitada y estereotipada del concepto de familia que no  tiene  base  en  la</w:t>
        <w:br/>
        <w:t>Convención al no existir  un  modelo  específico  de  familia  (la  “familia</w:t>
        <w:br/>
        <w:t>tradicional”)[169].</w:t>
        <w:br/>
        <w:br/>
        <w:br/>
        <w:t xml:space="preserve">      4.5.  Conclusión</w:t>
        <w:br/>
        <w:br/>
        <w:br/>
        <w:t>Teniendo en cuenta todo lo anterior, este Tribunal concluye que si  bien  la</w:t>
        <w:br/>
        <w:t>sentencia  de  la  Corte  Suprema  y  la  decisión  de  tuición   provisoria</w:t>
        <w:br/>
        <w:t>pretendían la protección del interés superior de las niñas M., V. y  R.,  no</w:t>
        <w:br/>
        <w:t>se probó que la motivación esgrimida en las decisiones fuera  adecuada  para</w:t>
        <w:br/>
        <w:t>alcanzar dicho fin, dado que la Corte Suprema de Justicia y  el  Juzgado  de</w:t>
        <w:br/>
        <w:t>Menores de Villarrica no comprobaron en el caso concreto que la  convivencia</w:t>
        <w:br/>
        <w:t>de la señora Atala con su  pareja  afectó  de  manera  negativa  el  interés</w:t>
        <w:br/>
        <w:t>superior de las menores de edad (supra párr. 121,  131  y  139)  y,  por  el</w:t>
        <w:br/>
        <w:t>contrario,   utilizaron   argumentos    abstractos,    estereotipados    y/o</w:t>
        <w:br/>
        <w:t>discriminatorios para fundamentar la decisión (supra párr.  118,  119,  125,</w:t>
        <w:br/>
        <w:t>130, 140  y  145),  por  lo  que  dichas  decisiones  constituyen  un  trato</w:t>
        <w:br/>
        <w:t>discriminatorio en contra de la señora Atala. Por tanto,  la  Corte  declara</w:t>
        <w:br/>
        <w:t>que el Estado vulneró el derecho a la igualdad consagrado en el artículo  24</w:t>
        <w:br/>
        <w:t>en relación con el artículo 1.1. de la Convención  Americana,  en  perjuicio</w:t>
        <w:br/>
        <w:t>de Karen Atala Riffo.</w:t>
        <w:br/>
        <w:br/>
        <w:br/>
        <w:t>5.    Trato discriminatorio en contra de las niñas M., V. y R.</w:t>
        <w:br/>
        <w:br/>
        <w:br/>
        <w:t>Alegatos de las partes</w:t>
        <w:br/>
        <w:br/>
        <w:t>La Comisión  alegó,  en  relación  con  el  artículo  19  de  la  Convención</w:t>
        <w:br/>
        <w:t>Americana[170], que “la Corte Suprema vulneró el  interés  superior  de  las</w:t>
        <w:br/>
        <w:t>niñas […] por la falta de determinaciones basadas en evidencia y  en  hechos</w:t>
        <w:br/>
        <w:t>concretos”.</w:t>
        <w:br/>
        <w:br/>
        <w:t>Los representantes argumentaron  que  mediante  la  sentencia  de  la  Corte</w:t>
        <w:br/>
        <w:t>Suprema de Justicia se habría vulnerado el interés  superior  del  niño  “al</w:t>
        <w:br/>
        <w:t>contravenir el derecho de las niñas M., V. y R. a no  ser  separadas  de  su</w:t>
        <w:br/>
        <w:t>familia”. Además, agregaron que los niños no pueden  ser  discriminados  por</w:t>
        <w:br/>
        <w:t>las condiciones de sus padres.</w:t>
        <w:br/>
        <w:br/>
        <w:br/>
        <w:t>El Estado indicó que las presuntas violaciones  en  relación  con  las  tres</w:t>
        <w:br/>
        <w:t>niñas “resultan refutadas desde el momento  en  que  se  ha  demostrado  que</w:t>
        <w:br/>
        <w:t>dicha sentencia no nace de una discriminación en  razón  de  la  orientación</w:t>
        <w:br/>
        <w:t>sexual, sino del análisis de los hechos concretos que se acreditaron  en  el</w:t>
        <w:br/>
        <w:t>juicio de custodia”.</w:t>
        <w:br/>
        <w:br/>
        <w:br/>
        <w:t>Consideraciones de la Corte</w:t>
        <w:br/>
        <w:br/>
        <w:br/>
        <w:t>La Corte ya ha concluido que tanto la Sentencia de la Corte Suprema como  la</w:t>
        <w:br/>
        <w:t>decisión del Juzgado  de  Menores  de  Villarrica,  respecto  a  la  tuición</w:t>
        <w:br/>
        <w:t>provisoria, constituyeron un trato discriminatorio en contra  de  la  señora</w:t>
        <w:br/>
        <w:t>Atala (supra párr. 146), por lo que procederá  a  analizar  si  dicho  trato</w:t>
        <w:br/>
        <w:t>generó una discriminación, a su vez, a las niñas M., V. y R..  Al  respecto,</w:t>
        <w:br/>
        <w:t>el Tribunal considera que la prohibición de discriminación, en casos en  que</w:t>
        <w:br/>
        <w:t>se relacionen menores de edad, debe ser interpretada a la luz  del  artículo</w:t>
        <w:br/>
        <w:t>2 de la Convención sobre los Derechos del Niño, el cual establece que:</w:t>
        <w:br/>
        <w:br/>
        <w:t xml:space="preserve">      1. Los  Estados  Partes  respetarán  los  derechos  enunciados  en  la</w:t>
        <w:br/>
        <w:t xml:space="preserve">      presente Convención y asegurarán su aplicación a cada niño sujeto a su</w:t>
        <w:br/>
        <w:t xml:space="preserve">      jurisdicción, sin distinción alguna, independientemente de la raza, el</w:t>
        <w:br/>
        <w:t xml:space="preserve">      color, el sexo, el idioma, la religión, la opinión política o de  otra</w:t>
        <w:br/>
        <w:t xml:space="preserve">      índole, el origen nacional, étnico o social,  la  posición  económica,</w:t>
        <w:br/>
        <w:t xml:space="preserve">      los impedimentos físicos, el nacimiento o cualquier otra condición del</w:t>
        <w:br/>
        <w:t xml:space="preserve">      niño, de sus padres o de sus representantes legales.</w:t>
        <w:br/>
        <w:br/>
        <w:br/>
        <w:t xml:space="preserve">      2. Los Estados  Partes  tomarán  todas  las  medidas  apropiadas  para</w:t>
        <w:br/>
        <w:t xml:space="preserve">      garantizar  que  el  niño  se  vea  protegido  contra  toda  forma  de</w:t>
        <w:br/>
        <w:t xml:space="preserve">      discriminación o castigo por causa de la condición,  las  actividades,</w:t>
        <w:br/>
        <w:t xml:space="preserve">      las opiniones expresadas o las creencias de sus padres, o sus  tutores</w:t>
        <w:br/>
        <w:t xml:space="preserve">      o de sus familiares.</w:t>
        <w:br/>
        <w:br/>
        <w:t>Al respecto, la Corte resalta que las  niñas  y  los  niños  no  pueden  ser</w:t>
        <w:br/>
        <w:t>discriminados en razón de sus propias condiciones  y  dicha  prohibición  se</w:t>
        <w:br/>
        <w:t>extiende, además, a las condiciones de sus padres o familiares, como  en  el</w:t>
        <w:br/>
        <w:t>presente caso a la orientación sexual de  la  madre.  En  este  sentido,  el</w:t>
        <w:br/>
        <w:t>Comité de los Derechos del Niño ha aclarado en su Observación General No.  7</w:t>
        <w:br/>
        <w:t>que  los  niños  y  las  niñas  pueden  sufrir  las  consecuencias   de   la</w:t>
        <w:br/>
        <w:t>discriminación de la cual son objeto sus padres, por ejemplo si  han  nacido</w:t>
        <w:br/>
        <w:t>fuera del matrimonio o en otras circunstancias  que  no  se  ajustan  a  los</w:t>
        <w:br/>
        <w:t>valores tradicionales[171].</w:t>
        <w:br/>
        <w:br/>
        <w:t>Por otra parte, respecto a la relación del interés superior del  niño  y  la</w:t>
        <w:br/>
        <w:t>prohibición de discriminación el perito Cillero Bruñol señaló que:</w:t>
        <w:br/>
        <w:br/>
        <w:t xml:space="preserve">      “una decisión justificada en el interés superior del  niño,  entendido</w:t>
        <w:br/>
        <w:t xml:space="preserve">      como la protección de sus derechos, no puede al mismo tiempo pretender</w:t>
        <w:br/>
        <w:t xml:space="preserve">      legitimar una decisión prima facie, o en  abstracto,  discriminatoria,</w:t>
        <w:br/>
        <w:t xml:space="preserve">      que afecta el derecho del niño a ser cuidado por su madre”[172].</w:t>
        <w:br/>
        <w:br/>
        <w:br/>
        <w:t>Por su parte, el perito Wintemute resaltó que:</w:t>
        <w:br/>
        <w:br/>
        <w:t xml:space="preserve">      “la discriminación basada en […] la orientación sexual de  los  padres</w:t>
        <w:br/>
        <w:t xml:space="preserve">      del niño nunca protege el interés superior del niño”[173].</w:t>
        <w:br/>
        <w:br/>
        <w:t>Al haber tomado como fundamento para su decisión la  orientación  sexual  de</w:t>
        <w:br/>
        <w:t>la madre, la decisión de la Corte Suprema discriminó, a su vez, a  las  tres</w:t>
        <w:br/>
        <w:t>niñas, puesto que tomó en cuenta consideraciones que no habría utilizado  si</w:t>
        <w:br/>
        <w:t>el proceso de tuición hubiera  sido  entre  dos  padres  heterosexuales.  En</w:t>
        <w:br/>
        <w:t>particular, la Corte  reitera  que  el  interés  superior  del  niño  es  un</w:t>
        <w:br/>
        <w:t>criterio rector para la elaboración de normas y la aplicación  de  éstas  en</w:t>
        <w:br/>
        <w:t>todos los órdenes relativos a la vida del niño[174].</w:t>
        <w:br/>
        <w:br/>
        <w:t>Además, el trato discriminatorio en contra de la madre tuvo  repercusión  en</w:t>
        <w:br/>
        <w:t>las niñas,  pues fue el fundamento para  decidir  no  continuarían  viviendo</w:t>
        <w:br/>
        <w:t>con ella. De manera que dicha decisión irradió  sus  efectos  al  ser  ellas</w:t>
        <w:br/>
        <w:t>separadas de su madre como consecuencia  de  la  orientación  sexual  de  la</w:t>
        <w:br/>
        <w:t>misma. Por tanto, la Corte concluye  que  se  vulneró  el  artículo  24,  en</w:t>
        <w:br/>
        <w:t>relación con los  artículos  19  y  1.1.  de  la  Convención  Americana,  en</w:t>
        <w:br/>
        <w:t>perjuicio de las niñas M., V. y R..</w:t>
        <w:br/>
        <w:br/>
        <w:br/>
        <w:t>D.    Derecho a la vida privada  y derecho a la vida familiar</w:t>
        <w:br/>
        <w:br/>
        <w:br/>
        <w:t>Alegatos de las partes</w:t>
        <w:br/>
        <w:br/>
        <w:t>La Comisión alegó, respecto a la presunta violación del artículo 11[175]  de</w:t>
        <w:br/>
        <w:t>la Convención Americana, que el “derecho a la vida privada abarca todas  las</w:t>
        <w:br/>
        <w:t>esferas  de  la  intimidad  y  autonomía  de  un  individuo,  incluyendo  su</w:t>
        <w:br/>
        <w:t>personalidad, su  identidad,  sus  decisiones  sobre  su  vida  sexual,  sus</w:t>
        <w:br/>
        <w:t>relaciones personales y familiares[, en este sentido] la orientación  sexual</w:t>
        <w:br/>
        <w:t>constituye un componente fundamental de la vida privada  de  un  individuo”.</w:t>
        <w:br/>
        <w:t>Sostuvo que “la interferencia del Estado en la vida privada de  Karen  Atala</w:t>
        <w:br/>
        <w:t>fue arbitraria, dado que la decisión de tuición fue  fundada  en  prejuicios</w:t>
        <w:br/>
        <w:t>discriminatorios por su orientación sexual  [y]  también  interfirió  en  su</w:t>
        <w:br/>
        <w:t>autonomía para tomar decisiones sobre su vida personal de  acuerdo  a  dicha</w:t>
        <w:br/>
        <w:t>orientación. Esto último […], sin  que  existieran  razones  objetivas  para</w:t>
        <w:br/>
        <w:t>ello, la  Corte  Suprema  de  Justicia  basándose  en  la  expresión  de  su</w:t>
        <w:br/>
        <w:t>orientación sexual la privó de la custodia de sus hijas y la vida  en  común</w:t>
        <w:br/>
        <w:t>con ellas, aspecto fundamental de su plan de vida”.</w:t>
        <w:br/>
        <w:br/>
        <w:t>Por su parte, los  representantes  argumentaron  que  “la  interferencia  es</w:t>
        <w:br/>
        <w:t>arbitraria  porque  la  única  justificación  es  la  manifestación  de   la</w:t>
        <w:br/>
        <w:t>orientación sexual de la madre, que forma parte de  su  identidad  personal,</w:t>
        <w:br/>
        <w:t>cualidad esencial de todo individuo y que no dice  relación  alguna  con  el</w:t>
        <w:br/>
        <w:t>bienestar de las hijas”. Para  los  representantes  es  “incuestionable  que</w:t>
        <w:br/>
        <w:t>tanto [la señora] Atala como sus hijas sufrieron injerencias arbitrarias  en</w:t>
        <w:br/>
        <w:t>su vida privada”.</w:t>
        <w:br/>
        <w:br/>
        <w:br/>
        <w:t>Por otra parte, la Comisión  y  los  representantes,  en  relación  con  los</w:t>
        <w:br/>
        <w:t>artículos  11.2  y  17[176],  alegaron  una   “interferencia   ilegítima   y</w:t>
        <w:br/>
        <w:t>arbitraria en el derecho a la vida privada y familiar, el cual  se  extiende</w:t>
        <w:br/>
        <w:t>al desarrollo de las relaciones entre los miembros de una familia y  al  rol</w:t>
        <w:br/>
        <w:t>de las relaciones afectivas en el proyecto de vida de cada integrante”.  Los</w:t>
        <w:br/>
        <w:t>representantes manifestaron que “[n]o hay un concepto único de  familia”   y</w:t>
        <w:br/>
        <w:t>que es “indudable que la [señora] Atala, sus hijas, y la [señora]  De  Ramón</w:t>
        <w:br/>
        <w:t>constituían un núcleo familiar que fue fraccionado  por  decisiones  basadas</w:t>
        <w:br/>
        <w:t>en prejuicios en contra de la expresión  de  la  orientación  sexual  de  la</w:t>
        <w:br/>
        <w:t>Jueza Atala”.</w:t>
        <w:br/>
        <w:br/>
        <w:br/>
        <w:t>El Estado argumentó que “en un juicio  de  tuición,  que  tiene  por  objeto</w:t>
        <w:br/>
        <w:t>estimar qué padre tendrá el cuidado personal de los hijos, el juez  no  sólo</w:t>
        <w:br/>
        <w:t>tiene la facultad sino la obligación de evaluar todas  y  cada  una  de  las</w:t>
        <w:br/>
        <w:t>condiciones y circunstancias concretas que determinen  el  interés  superior</w:t>
        <w:br/>
        <w:t>del niño. [...] Resulta por tanto inherente al juicio de tuición […] que  el</w:t>
        <w:br/>
        <w:t>juez pueda, de acuerdo a la ley, investigar aspectos íntimos de la  vida  de</w:t>
        <w:br/>
        <w:t>las personas”. Alegó “que la búsqueda del mejor interés para  el  menor  [de</w:t>
        <w:br/>
        <w:t>edad]  debe  primar  frente  a  una  concepción  pétrea  del  derecho  a  la</w:t>
        <w:br/>
        <w:t>intimidad, ya que el ámbito de la vida privada no  puede  quedar  fuera  del</w:t>
        <w:br/>
        <w:t>conocimiento y ponderación del juez”. Agregó que “ni [la] Corte  Suprema  ni</w:t>
        <w:br/>
        <w:t>los demás tribunales nacionales han  afectado  el  derecho  previsto  en  el</w:t>
        <w:br/>
        <w:t>artículo 11.2 de la Convención Americana al  resolver  sobre  el  juicio  de</w:t>
        <w:br/>
        <w:t>tuición […] sino que, por el contrario, no han hecho  más  que  pronunciarse</w:t>
        <w:br/>
        <w:t>sobre las consideraciones propias de un juicio de esa naturaleza”.</w:t>
        <w:br/>
        <w:br/>
        <w:br/>
        <w:t>Finalmente, el Estado alegó que no es  “atribuí[ble]  la  separación  de  la</w:t>
        <w:br/>
        <w:t>familia a la actuación de los tribunales chilenos [pues]  la  labor  de  los</w:t>
        <w:br/>
        <w:t>tribunales chilenos fue justamente la contraria, esto  es,  respondiendo  al</w:t>
        <w:br/>
        <w:t>requerimiento de las partes […] resolver, según el interés superior  de  las</w:t>
        <w:br/>
        <w:t>niñas, qué nuevo núcleo  familiar  constituía  un  mejor  sustento  para  su</w:t>
        <w:br/>
        <w:t>desarrollo”.</w:t>
        <w:br/>
        <w:br/>
        <w:t>Consideraciones de la Corte</w:t>
        <w:br/>
        <w:br/>
        <w:t>El artículo 11  de  la  Convención  prohíbe  toda  injerencia  arbitraria  o</w:t>
        <w:br/>
        <w:t>abusiva en la vida privada de las personas, enunciando diversos  ámbitos  de</w:t>
        <w:br/>
        <w:t>la misma como la vida privada de sus familias. En ese sentido, la  Corte  ha</w:t>
        <w:br/>
        <w:t>sostenido que el ámbito de la privacidad se caracteriza por quedar exento  e</w:t>
        <w:br/>
        <w:t>inmune a las invasiones o agresiones abusivas o  arbitrarias  por  parte  de</w:t>
        <w:br/>
        <w:t>terceros o de la autoridad pública[177].</w:t>
        <w:br/>
        <w:br/>
        <w:br/>
        <w:t>Además, el Tribunal ha precisado, respecto al artículo 11 de  la  Convención</w:t>
        <w:br/>
        <w:t>Americana, que, si bien esa norma se titula “Protección de la Honra y de  la</w:t>
        <w:br/>
        <w:t>Dignidad”, su contenido incluye, entre  otros,  la  protección  de  la  vida</w:t>
        <w:br/>
        <w:t>privada[178]. La vida privada es un concepto amplio que  no  es  susceptible</w:t>
        <w:br/>
        <w:t>de definiciones exhaustivas y comprende, entre otros ámbitos protegidos,  la</w:t>
        <w:br/>
        <w:t>vida sexual y el derecho a establecer y  desarrollar  relaciones  con  otros</w:t>
        <w:br/>
        <w:t>seres humanos[179]. Es decir, la vida privada incluye la  forma  en  que  el</w:t>
        <w:br/>
        <w:t>individuo se ve  a  sí  mismo  y  cómo  y  cuándo  decide  proyectar  a  los</w:t>
        <w:br/>
        <w:t>demás[180].</w:t>
        <w:br/>
        <w:br/>
        <w:t>La Corte observa que los alegatos de la  Comisión  respecto  a  la  presunta</w:t>
        <w:br/>
        <w:t>violación del derecho a  la  vida  privada  de  la  señora  Karen  Atala  se</w:t>
        <w:br/>
        <w:t>centraron  en  la  sentencia  de  la  Corte  Suprema.  Por  su  parte,   los</w:t>
        <w:br/>
        <w:t>representantes añadieron la decisión sobre la tuición provisional como  otro</w:t>
        <w:br/>
        <w:t>hecho presuntamente generador de la violación del derecho a la vida  privada</w:t>
        <w:br/>
        <w:t>de la señora Atala. Por tanto, para resolver  sobre  la  violación  de  este</w:t>
        <w:br/>
        <w:t>derecho, se analizarán estas dos decisiones.</w:t>
        <w:br/>
        <w:br/>
        <w:br/>
        <w:t>El Tribunal ha establecido en su jurisprudencia que el  derecho  a  la  vida</w:t>
        <w:br/>
        <w:t>privada no es un derecho absoluto y, por lo  tanto,  puede  ser  restringido</w:t>
        <w:br/>
        <w:t>por los Estados siempre que las injerencias no sean abusivas o  arbitrarias.</w:t>
        <w:br/>
        <w:t>Por ello, las  mismas  deben  estar  previstas  en  ley,  perseguir  un  fin</w:t>
        <w:br/>
        <w:t>legítimo  y  cumplir  con  los  requisitos   de   idoneidad,   necesidad   y</w:t>
        <w:br/>
        <w:t>proporcionalidad,  es  decir,  deben  ser   necesarias   en   una   sociedad</w:t>
        <w:br/>
        <w:t>democrática[181].</w:t>
        <w:br/>
        <w:br/>
        <w:t>Al respecto, la Corte resalta que la orientación sexual de la  señora  Atala</w:t>
        <w:br/>
        <w:t>hace parte de su vida privada, de manera que no  era  posible  realizar  una</w:t>
        <w:br/>
        <w:t>injerencia en la misma sin que se cumplieran los requisitos  de  “idoneidad,</w:t>
        <w:br/>
        <w:t>necesidad y proporcionalidad”. Distinto es que en el marco de un proceso  de</w:t>
        <w:br/>
        <w:t>tuición  se  puedan  analizar  las  conductas  parentales   concretas   que,</w:t>
        <w:br/>
        <w:t>supuestamente, pudieran haber ocasionado un  daño  en  el  niño  o  la  niña</w:t>
        <w:br/>
        <w:t>(supra párrs.109 y 111).</w:t>
        <w:br/>
        <w:br/>
        <w:t>Dado que  los  tribunales  internos  tuvieron  como  referente  de  peso  la</w:t>
        <w:br/>
        <w:t>orientación sexual de la  señora  Atala  al  momento  de  decidir  sobre  la</w:t>
        <w:br/>
        <w:t>tuición, expusieron diversos aspectos de su vida  privada  a  lo  largo  del</w:t>
        <w:br/>
        <w:t>proceso. El Tribunal observa que la razón esgrimida  por  dichos  tribunales</w:t>
        <w:br/>
        <w:t>para interferir en la esfera de la vida privada de la señora  Atala  era  la</w:t>
        <w:br/>
        <w:t>misma que fue utilizada para el trato discriminatorio (supra párr. 107),  es</w:t>
        <w:br/>
        <w:t>decir, la protección de un alegado interés superior de las  tres  niñas.  La</w:t>
        <w:br/>
        <w:t>Corte considera que, si bien dicho principio se relaciona in  abstracto  con</w:t>
        <w:br/>
        <w:t>un  fin  legítimo  (supra  párr.  110),   la   medida   era   inadecuada   y</w:t>
        <w:br/>
        <w:t>desproporcionada para cumplir este fin, por cuanto los  tribunales  chilenos</w:t>
        <w:br/>
        <w:t>tendrían que haberse limitado a estudiar conductas  parentales  -que  podían</w:t>
        <w:br/>
        <w:t>ser parte de la vida privada- pero sin efectuar una exposición y  escrutinio</w:t>
        <w:br/>
        <w:t>de la orientación sexual de la señora Atala.</w:t>
        <w:br/>
        <w:br/>
        <w:t>El Tribunal constata que durante el proceso de  tuición,  a  partir  de  una</w:t>
        <w:br/>
        <w:t>visión estereotipada sobre los alcances  de  la  orientación  sexual  de  la</w:t>
        <w:br/>
        <w:t>señora Atala (supra párr. 146), se generó una injerencia  arbitraria  en  su</w:t>
        <w:br/>
        <w:t>vida privada, dado que la orientación sexual es parte  de  la  intimidad  de</w:t>
        <w:br/>
        <w:t>una persona y no tiene relevancia para analizar  aspectos  relacionados  con</w:t>
        <w:br/>
        <w:t>la buena o mala paternidad o maternidad. Por tanto, la  Corte  concluye  que</w:t>
        <w:br/>
        <w:t>el Estado vulneró el artículo 11.2, en relación con el artículo 1.1.  de  la</w:t>
        <w:br/>
        <w:t>Convención Americana, en perjuicio de Karen Atala Riffo.</w:t>
        <w:br/>
        <w:br/>
        <w:t>Por otra parte, el Tribunal observa que uno de los argumentos centrales  que</w:t>
        <w:br/>
        <w:t>se analizaron en las decisiones de  la  Corte  Suprema  de  Justicia  y  del</w:t>
        <w:br/>
        <w:t>Juzgado de  Menores  de  Villarrica  sobre  la  tuición  provisoria  fue  la</w:t>
        <w:br/>
        <w:t>convivencia de la señora Atala con su pareja del mismo  sexo  (supra  párrs.</w:t>
        <w:br/>
        <w:t>41 y 56), por lo que esta Corte considera indispensable  entrar  a  analizar</w:t>
        <w:br/>
        <w:t>la presunta violación a la vida familiar argumentada por la Comisión  y  los</w:t>
        <w:br/>
        <w:t>representantes.</w:t>
        <w:br/>
        <w:br/>
        <w:br/>
        <w:t>Al respecto, la  Corte  reitera  que  el  artículo  11.2  de  la  Convención</w:t>
        <w:br/>
        <w:t>Americana está estrechamente relacionado con el derecho a que se proteja  la</w:t>
        <w:br/>
        <w:t>familia y a vivir en ella, reconocido en el artículo 17  de  la  Convención,</w:t>
        <w:br/>
        <w:t>según el cual el  Estado  está  obligado  no  sólo  a  disponer  y  ejecutar</w:t>
        <w:br/>
        <w:t>directamente medidas de protección de los niños, sino también  a  favorecer,</w:t>
        <w:br/>
        <w:t>de  la  manera  más  amplia,  el  desarrollo  y  la  fortaleza  del   núcleo</w:t>
        <w:br/>
        <w:t>familiar[182]. El Tribibunal ha establecido que la separación  de  niños  de</w:t>
        <w:br/>
        <w:t>su familia constituye, bajo ciertas condiciones, una  violación  del  citado</w:t>
        <w:br/>
        <w:t>derecho[183], pues  inclusive  las  separaciones  legales  del  niño  de  su</w:t>
        <w:br/>
        <w:t>familia solo pueden proceder si están debidamente justificadas[184].</w:t>
        <w:br/>
        <w:br/>
        <w:br/>
        <w:t>En lo concerniente a los artículos 11.2 y 17.1. de la Convención  Americana,</w:t>
        <w:br/>
        <w:t>el  derecho  de  toda  persona  a  recibir  protección  contra   injerencias</w:t>
        <w:br/>
        <w:t>arbitrarias o ilegales en  su  familia,  forma  parte,  implícitamente,  del</w:t>
        <w:br/>
        <w:t>derecho  a  la  protección  de  la  familia,  y  además  está   expresamente</w:t>
        <w:br/>
        <w:t>reconocido por los  artículos  12.1  de  la  Declaración  Universal  de  los</w:t>
        <w:br/>
        <w:t>Derechos Humanos[185], V de la Declaración Americana de Derechos  y  Deberes</w:t>
        <w:br/>
        <w:t>del  Hombre[186],  17  del  Pacto  Internacional  de  Derechos   Civiles   y</w:t>
        <w:br/>
        <w:t>Políticos[187], y 8 del Convenio Europeo[188].  Estas  disposiciones  poseen</w:t>
        <w:br/>
        <w:t>especial  relevancia  cuando  se  analiza  la  separación  del  niño  de  su</w:t>
        <w:br/>
        <w:t>familia[189].</w:t>
        <w:br/>
        <w:br/>
        <w:t>Según la jurisprudencia del  Tribunal  Europeo,  el  disfrute  mutuo  de  la</w:t>
        <w:br/>
        <w:t>convivencia entre padres e hijos constituye un elemento  fundamental  de  la</w:t>
        <w:br/>
        <w:t>vida de familia[190], y el  artículo  8  del  Convenio  Europeo  tiene  como</w:t>
        <w:br/>
        <w:t>objetivo preservar al individuo contra las injerencias  arbitrarias  de  las</w:t>
        <w:br/>
        <w:t>autoridades públicas y establecer obligaciones positivas a cargo del  Estado</w:t>
        <w:br/>
        <w:t>a favor del respeto efectivo de la vida familiar[191].</w:t>
        <w:br/>
        <w:br/>
        <w:br/>
        <w:t>Respecto al concepto  de  familia,  diversos  órganos  de  derechos  humanos</w:t>
        <w:br/>
        <w:t>creados por tratados,  han  indicado  que  no  existe  un  modelo  único  de</w:t>
        <w:br/>
        <w:t>familia, por cuanto éste puede variar[192].  De  igual  forma,  el  Tribunal</w:t>
        <w:br/>
        <w:t>Europeo ha interpretado  el  concepto  de  “familia”  en  términos  amplios.</w:t>
        <w:br/>
        <w:t>Respecto a parejas de diferente sexo, ha señalado reiteradamente que:</w:t>
        <w:br/>
        <w:br/>
        <w:t xml:space="preserve">      La noción de familia bajo esta norma no está circunscrita a relaciones</w:t>
        <w:br/>
        <w:t xml:space="preserve">      basadas en el matrimonio y puede abarcar otros vínculos  de  ‘familia’</w:t>
        <w:br/>
        <w:t xml:space="preserve">      de facto donde las partes están viviendo juntas fuera del  matrimonio.</w:t>
        <w:br/>
        <w:t xml:space="preserve">      Un niño nacido en tal relación  es  ipso  jure  parte  de  tal  unidad</w:t>
        <w:br/>
        <w:t xml:space="preserve">      familiar desde ese momento y por el mero hecho de su  nacimiento.  Por</w:t>
        <w:br/>
        <w:t xml:space="preserve">      tanto, existe entre el niño y sus padres un vínculo que  implica  vida</w:t>
        <w:br/>
        <w:t xml:space="preserve">      familiar. Además, el  Tribunal  recuerda  que  el  goce  mutuo  de  la</w:t>
        <w:br/>
        <w:t xml:space="preserve">      compañía del otro entre los padres y el niño  constituye  un  elemento</w:t>
        <w:br/>
        <w:t xml:space="preserve">      fundamental de la vida familiar, aunque la relación de los padres esté</w:t>
        <w:br/>
        <w:t xml:space="preserve">      rota, y[, en consecuencia,] medidas nacionales que limiten  tal  goce,</w:t>
        <w:br/>
        <w:t xml:space="preserve">      conllevan una interferencia con el derecho protegido por el artículo 8</w:t>
        <w:br/>
        <w:t xml:space="preserve">      del Convenio[193].</w:t>
        <w:br/>
        <w:br/>
        <w:t>En el Caso X, Y y Z  Vs.  Reino  Unido,  el  Tribunal  Europeo  de  Derechos</w:t>
        <w:br/>
        <w:t>Humanos, siguiendo el concepto  amplio  de  la  familia,  reconoció  que  un</w:t>
        <w:br/>
        <w:t>transexual, su pareja mujer y un niño  pueden  configurar  una  familia,  al</w:t>
        <w:br/>
        <w:t>señalar que:</w:t>
        <w:br/>
        <w:br/>
        <w:t xml:space="preserve">      Al decidir si una relación puede considerarse  como  ‘vida  familiar’,</w:t>
        <w:br/>
        <w:t xml:space="preserve">      una serie de factores pueden ser relevantes, incluyendo si  la  pareja</w:t>
        <w:br/>
        <w:t xml:space="preserve">      vive junta, la duración de su  relación  y  si  se  ha  demostrado  el</w:t>
        <w:br/>
        <w:t xml:space="preserve">      compromiso mutuo al tener hijos conjuntamente o por otros medios[194].</w:t>
        <w:br/>
        <w:br/>
        <w:t>En primer lugar, y respecto a la  protección  convencional  de  parejas  del</w:t>
        <w:br/>
        <w:t>mismo sexo, en el Caso Schalk  y  Kopf  Vs.  Austria,  el  Tribunal  Europeo</w:t>
        <w:br/>
        <w:t>revisó su jurisprudencia vigente hasta ese momento,  en  la  cual  solamente</w:t>
        <w:br/>
        <w:t>había aceptado que la relación emocional y sexual de una  pareja  del  mismo</w:t>
        <w:br/>
        <w:t>sexo constituye “vida privada”, pero no había considerado  que  constituyera</w:t>
        <w:br/>
        <w:t>“vida familiar”, aun al tratarse de una relación a largo plazo en  situación</w:t>
        <w:br/>
        <w:t>de convivencia[195]. Al aplicar un criterio amplio de familia,  el  Tribunal</w:t>
        <w:br/>
        <w:t>Europeo estableció que “la noción de ‘vida familiar’  abarca  a  una  pareja</w:t>
        <w:br/>
        <w:t>del mismo sexo que convive en  una  relación  estable  de  facto,  tal  como</w:t>
        <w:br/>
        <w:t>abarcaría a una pareja de diferente sexo en la misma  situación”[196],  pues</w:t>
        <w:br/>
        <w:t>consideró “artificial mantener una posición que sostenga que,  a  diferencia</w:t>
        <w:br/>
        <w:t>de una pareja heterosexual, una pareja del mismo sexo no puede disfrutar  de</w:t>
        <w:br/>
        <w:t>la  ‘vida  familiar’  en  los  términos  del  artículo   8”   del   Convenio</w:t>
        <w:br/>
        <w:t>Europeo[197].</w:t>
        <w:br/>
        <w:br/>
        <w:t>El Tribunal resalta que,  a  diferencia  de  lo  dispuesto  en  el  Convenio</w:t>
        <w:br/>
        <w:t>Europeo, en el cual sólo se protege el derecho a la vida  familiar  bajo  el</w:t>
        <w:br/>
        <w:t>artículo 8 de  dicho  Convenio,  la  Convención  Americana  cuenta  con  dos</w:t>
        <w:br/>
        <w:t>artículos que  protegen  la  vida  familiar  de  manera  complementaria.  En</w:t>
        <w:br/>
        <w:t>efecto, esta Corte considera que la  imposición  de  un  concepto  único  de</w:t>
        <w:br/>
        <w:t>familia debe analizarse no  sólo  como  una  posible  injerencia  arbitraria</w:t>
        <w:br/>
        <w:t>contra la vida privada, según el artículo 11.2 de la  Convención  Americana,</w:t>
        <w:br/>
        <w:t>sino también, por el impacto que ello pueda tener en un núcleo  familiar,  a</w:t>
        <w:br/>
        <w:t>la luz del artículo 17.1 de dicha Convención.</w:t>
        <w:br/>
        <w:br/>
        <w:br/>
        <w:t>En el presente caso, el Tribunal observa que desde noviembre de  2002  hasta</w:t>
        <w:br/>
        <w:t>la decisión  de tuición provisoria, en mayo de 2003 (supra párrs. 41 y  42),</w:t>
        <w:br/>
        <w:t>existía un vínculo cercano entre la señora Atala, la  señora  De  Ramón,  el</w:t>
        <w:br/>
        <w:t>hijo mayor de la señora Atala y las  tres  niñas.  Al  respecto,  la  señora</w:t>
        <w:br/>
        <w:t>Atala manifestó que “éramos una familia absolutamente normal. Un niño,  tres</w:t>
        <w:br/>
        <w:t>niñas, un gato, un perro,  una  perra,  una  casa,  teníamos  proyecto  como</w:t>
        <w:br/>
        <w:t>familia. Teníamos sueños como familia”[198].  Además,  la  señora  De  Ramón</w:t>
        <w:br/>
        <w:t>declaró que “[l]a vida de los cinco miembros de la familia, seis [con  ella]</w:t>
        <w:br/>
        <w:t>era muy cercana a lo idílico[, pues e]stablecieron  una  relación  de  mucha</w:t>
        <w:br/>
        <w:t>comunicación, al menos entre las mujeres de la familia”[199].</w:t>
        <w:br/>
        <w:br/>
        <w:t>Por tanto, es visible que se había constituido un núcleo  familiar  que,  al</w:t>
        <w:br/>
        <w:t>serlo, estaba protegido por los artículos  11.2  y  17.1  de  la  Convención</w:t>
        <w:br/>
        <w:t>Americana, pues existía  una  convivencia,  un  contacto  frecuente,  y  una</w:t>
        <w:br/>
        <w:t>cercanía personal y afectiva entre la  señora  Atala,  su  pareja,  su  hijo</w:t>
        <w:br/>
        <w:t>mayor y las tres  niñas.  Lo  anterior,  sin  perjuicio  de  que  las  niñas</w:t>
        <w:br/>
        <w:t>compartían otro entorno familiar con su padre.</w:t>
        <w:br/>
        <w:br/>
        <w:t>Este Tribunal ya concluyó que  los  fundamentos  presentados  tanto  por  la</w:t>
        <w:br/>
        <w:t>Corte Suprema de Justicia como por el Juzgado de Menores  de  Villarrica  en</w:t>
        <w:br/>
        <w:t>la decisión de tuición provisoria constituyeron  una  medida  inidónea  para</w:t>
        <w:br/>
        <w:t>proteger el interés superior del  niño  (supra  párr.  146),  lo  cual  tuvo</w:t>
        <w:br/>
        <w:t>además como resultado la separación de la familia constituida por la  madre,</w:t>
        <w:br/>
        <w:t>su pareja y las niñas. Ello constituye una interferencia  arbitraria  en  el</w:t>
        <w:br/>
        <w:t>derecho a la vida privada y familiar. Por tanto, la  Corte  declara  que  el</w:t>
        <w:br/>
        <w:t>Estado vulneró los artículos 11.2 y 17.1, en relación con  el  artículo  1.1</w:t>
        <w:br/>
        <w:t>de la Convención Americana en perjuicio de Karen Atala Riffo y de las  niñas</w:t>
        <w:br/>
        <w:t>M., V. y R.. Respecto  de  éstas  últimas,  dichas  violaciones  a  la  vida</w:t>
        <w:br/>
        <w:t>familiar ocurren también en relación con el artículo 19  de  la  Convención,</w:t>
        <w:br/>
        <w:t>dado que fueron separarlas de manera no justificada de uno de  sus  entornos</w:t>
        <w:br/>
        <w:t>familiares.</w:t>
        <w:br/>
        <w:br/>
        <w:br/>
        <w:t>E.    Garantías judiciales y protección judicial</w:t>
        <w:br/>
        <w:br/>
        <w:br/>
        <w:br/>
        <w:t>Garantías judiciales y protección judicial en relación con la señora Atala</w:t>
        <w:br/>
        <w:br/>
        <w:br/>
        <w:t xml:space="preserve"> Alegatos de las partes</w:t>
        <w:br/>
        <w:br/>
        <w:t>La Comisión y los  representantes  alegaron  la  presunta  violación  de  la</w:t>
        <w:br/>
        <w:t>garantía judicial de imparcialidad por la aproximación estereotipada de  los</w:t>
        <w:br/>
        <w:t>jueces al caso. La Comisión  señaló  que  “al  considerar  [la]  orientación</w:t>
        <w:br/>
        <w:t>sexual” de la señora Atala como “un elemento  fundamental  de  su  habilidad</w:t>
        <w:br/>
        <w:t>para ser madre, así como el uso evidente  de  prejuicios  discriminatorios”,</w:t>
        <w:br/>
        <w:t>se podría concluir que  la  señora  Atala  “no  contó  con  la  garantía  de</w:t>
        <w:br/>
        <w:t>imparcialidad”.  Los  representantes  agregaron  que  la  revocación  de  la</w:t>
        <w:br/>
        <w:t>sentencia de apelación de la Corte de Apelaciones por la  Corte  Suprema  de</w:t>
        <w:br/>
        <w:t>Justicia constituía una violación a la garantía de  independencia  judicial.</w:t>
        <w:br/>
        <w:t>La Comisión y los representantes plantearon que todo lo  anterior  impactaba</w:t>
        <w:br/>
        <w:t>en el derecho de acceso a  la  justicia,  razón  por  la  cual  alegaron  la</w:t>
        <w:br/>
        <w:t>violación del artículo 8.1[200] y  el  artículo  25[201]  de  la  Convención</w:t>
        <w:br/>
        <w:t>Americana.</w:t>
        <w:br/>
        <w:br/>
        <w:t>Además, los representantes argumentaron que la Corte  Suprema  “acog[ió]  un</w:t>
        <w:br/>
        <w:t>recurso de queja […], en un caso en que no procedía, vulnerando  las  reglas</w:t>
        <w:br/>
        <w:t>del debido proceso y la independencia [objetiva interna] de  los  jueces”  y</w:t>
        <w:br/>
        <w:t>al sancionar disciplinariamente a los Ministros de la Corte  de  Apelaciones</w:t>
        <w:br/>
        <w:t>de Temuco “por tener  una  interpretación  determinada”  del  Código  Civil.</w:t>
        <w:br/>
        <w:t>Consideraron que “por medio de un  recurso  que  por  disposición  legal  no</w:t>
        <w:br/>
        <w:t>constituye instancia, como lo es el  recurso  de  queja,  la  Corte  Suprema</w:t>
        <w:br/>
        <w:t>entró a conocer y a fallar un caso que ya había sido  resuelto  y  tramitado</w:t>
        <w:br/>
        <w:t>por  las   autoridades   pertinentes   ante   los   tribunales   competentes</w:t>
        <w:br/>
        <w:t>respectivos”. Asimismo, los representantes  arguyeron  una  violación  a  la</w:t>
        <w:br/>
        <w:t>garantía de imparcialidad judicial porque la decisión de  la  Corte  Suprema</w:t>
        <w:br/>
        <w:t>“se sustenta[ba] sobre un prejuicio  y  carec[ía]  de  sustento  racional  y</w:t>
        <w:br/>
        <w:t>jurídico”.  Por  último,  indicaron  que  la  señora  Atala  no  desea   que</w:t>
        <w:br/>
        <w:t>“nuevamente se [...] someta [a las niñas] a  la  presión  de  un  juicio  de</w:t>
        <w:br/>
        <w:t>custodia [...] renunciando a que se  restableciera  [...  a]  las  niñas  al</w:t>
        <w:br/>
        <w:t>núcleo familiar con su madre”.</w:t>
        <w:br/>
        <w:br/>
        <w:t>El Estado alegó que “la Corte Suprema de Justicia no se  extralimitó  en  el</w:t>
        <w:br/>
        <w:t>ejercicio de sus facultades, ni abusó de las mismas,  cuando  tras  declarar</w:t>
        <w:br/>
        <w:t>la efectividad de la falta o abuso grave, acogiendo  el  recurso  de  queja,</w:t>
        <w:br/>
        <w:t>resolvió  invalidar  la  resolución  impugnada  dictando  en  su  lugar  una</w:t>
        <w:br/>
        <w:t>sentencia de reemplazo”. De otra parte, el  Estado  negó  una  violación  al</w:t>
        <w:br/>
        <w:t>artículo 25.1 de  la  Convención  con  el  argumento  que  la  señora  Atala</w:t>
        <w:br/>
        <w:t>“hubiera podido y aún  puede  intentar  revocar  la  decisión  de  la  Corte</w:t>
        <w:br/>
        <w:t>Suprema interponiendo […] una nueva petición de  tuición  sobre  las  niñas,</w:t>
        <w:br/>
        <w:t>con el único requisito de demostrar que alguna  de  las  circunstancias  que</w:t>
        <w:br/>
        <w:t>motivaron el fallo se ha modificado”, dado que la resolución que  otorgó  la</w:t>
        <w:br/>
        <w:t>tuición al padre de las niñas sólo posee cosa juzgada formal.  Concluyó  que</w:t>
        <w:br/>
        <w:t>“para que se afecte el derecho  al  recurso  en  contra  de  una  resolución</w:t>
        <w:br/>
        <w:t>judicial, es fundamental que se acredite la existencia de una  violación  al</w:t>
        <w:br/>
        <w:t>debido proceso con motivo de su  dictación,  sin  que  exista  un  medio  de</w:t>
        <w:br/>
        <w:t>impugnación a disposición de la parte agraviada, cualquiera sea [é]ste,  por</w:t>
        <w:br/>
        <w:t>el  cual  sea  posible  revertir  la  supuesta   vulneración   de   derechos</w:t>
        <w:br/>
        <w:t>fundamentales”.</w:t>
        <w:br/>
        <w:br/>
        <w:br/>
        <w:t>Consideraciones de la Corte</w:t>
        <w:br/>
        <w:br/>
        <w:t>En el presente caso, la Corte Suprema de Justicia consideró que  los  jueces</w:t>
        <w:br/>
        <w:t>de la Corte Apelaciones de Temuco “cometieron falta o abuso grave  tanto  al</w:t>
        <w:br/>
        <w:t>aplicar las normas legales que  rigen  la  materia,  como  al  apreciar  los</w:t>
        <w:br/>
        <w:t>antecedentes de la causa en que pronunciaron la sentencia que  ha  originado</w:t>
        <w:br/>
        <w:t>el recurso [de queja]”[202].</w:t>
        <w:br/>
        <w:br/>
        <w:br/>
        <w:t>Al respecto, la Corte observa que el alegato de los representantes sobre  la</w:t>
        <w:br/>
        <w:t>aceptación indebida del recurso de queja por la Corte  Suprema  de  Justicia</w:t>
        <w:br/>
        <w:t>está directamente relacionado con la  presunta  inexistencia  de  una  falta</w:t>
        <w:br/>
        <w:t>grave por parte de la Corte de Apelaciones  de  Temuco.  Al  respecto,  cabe</w:t>
        <w:br/>
        <w:t>señalar que el recurso de  queja  en  Chile  se  encuentra  previsto  en  el</w:t>
        <w:br/>
        <w:t>artículo  545  del  Código  Orgánico  de  Tribunales[203].  Es  un   recurso</w:t>
        <w:br/>
        <w:t>disciplinario que tiene su fuente en el artículo 82 de la  Constitución[204]</w:t>
        <w:br/>
        <w:t>y, en general, encuentra su origen en la  práctica  jurisprudencial  de  los</w:t>
        <w:br/>
        <w:t>Tribunales Superiores de Justicia, las Cortes  de  Apelaciones  y  la  Corte</w:t>
        <w:br/>
        <w:t>Suprema de Justicia[205].</w:t>
        <w:br/>
        <w:br/>
        <w:br/>
        <w:t>En opinión del perito Marín, la práctica de usar el recurso  de  queja  como</w:t>
        <w:br/>
        <w:t>medio para revisar sentencias alteró el sistema  procesal  al  desplazar  el</w:t>
        <w:br/>
        <w:t>recurso de casación como recurso  jurisdiccional  natural  previsto  por  el</w:t>
        <w:br/>
        <w:t>legislador  nacional  para  corregir  los   errores   de   los   jueces   de</w:t>
        <w:br/>
        <w:t>instancia[206]. Según el perito, el recurso de queja  provocó  de  facto  la</w:t>
        <w:br/>
        <w:t>creación de una tercera instancia,  donde  la  Corte  Suprema  alteraba  los</w:t>
        <w:br/>
        <w:t>hechos probados en la respectiva  instancia  y  la  forma  como  los  jueces</w:t>
        <w:br/>
        <w:t>habían valorado dicha prueba[207].</w:t>
        <w:br/>
        <w:br/>
        <w:br/>
        <w:t>De otra parte, la Corte observa que,  según  la  doctrina  jurídica  chilena</w:t>
        <w:br/>
        <w:t>remitida por el Estado, el recurso  de  queja  es  definido  como  “el  acto</w:t>
        <w:br/>
        <w:t>jurídico procesal de parte que  se  ejerce  directamente  ante  el  Tribunal</w:t>
        <w:br/>
        <w:t>superior jerárquico y en contra del juez o jueces  inferiores  que  dictaron</w:t>
        <w:br/>
        <w:t>en un proceso del cual conocen una  resolución  con  falta  o  abuso  grave,</w:t>
        <w:br/>
        <w:t>solicitándole que ponga pronto remedio al mal que  motiva  su  interposición</w:t>
        <w:br/>
        <w:t>mediante la enmienda, revocación o invalidación de  aquélla,  sin  perjuicio</w:t>
        <w:br/>
        <w:t>de la aplicación de las sanciones disciplinarias que fueren procedentes  por</w:t>
        <w:br/>
        <w:t>el pleno de ese Tribunal respecto del juez o jueces recurridos”[208].  Dicho</w:t>
        <w:br/>
        <w:t>recurso se interpone “directamente ante el Tribunal superior  jerárquico  de</w:t>
        <w:br/>
        <w:t>aquel que hubiere dictado la resolución con falta o abuso  grave,  para  que</w:t>
        <w:br/>
        <w:t>sea conocido y resuelto por el mismo”. No se  interpone  en  contra  de  una</w:t>
        <w:br/>
        <w:t>resolución, sino contra el juez o los jueces que dictaron la resolución  con</w:t>
        <w:br/>
        <w:t>falta o abuso grave, para que ésta sea modificada, enmendada  o  dejado  sin</w:t>
        <w:br/>
        <w:t>efecto. El recurso no ha sido  “creado  para  corregir  simples  errores  de</w:t>
        <w:br/>
        <w:t>interpretación, sino faltas o abusos ministeriales [...] que  caigan  dentro</w:t>
        <w:br/>
        <w:t>del ámbito de [l]a jurisdicción disciplinaria del superior jerárquico”.  Por</w:t>
        <w:br/>
        <w:t>lo tanto, “no constituye instancia para la revisión de todas las  cuestiones</w:t>
        <w:br/>
        <w:t>de hecho y de derecho, sino que únicamente faculta al superior  de  examinar</w:t>
        <w:br/>
        <w:t>si se cometió la falta o abuso grave”. El tribunal superior queda  facultado</w:t>
        <w:br/>
        <w:t>para la revocación, enmienda o invalidación de la resolución[209]. La  falta</w:t>
        <w:br/>
        <w:t>o abuso grave cometido por un juez puede derivar de la contravención  formal</w:t>
        <w:br/>
        <w:t>de la ley, la interpretación errada de la ley o la falsa apreciación de  los</w:t>
        <w:br/>
        <w:t>antecedentes del proceso[210].</w:t>
        <w:br/>
        <w:br/>
        <w:t>Para  analizar  si  en  el  presente  caso  se  desconoció  la  garantía  de</w:t>
        <w:br/>
        <w:t>independencia judicial al aceptar el recurso de  queja,  la  Corte  recuerda</w:t>
        <w:br/>
        <w:t>que uno de los objetivos principales que tiene la separación de los  poderes</w:t>
        <w:br/>
        <w:t>públicos, es la garantía de la independencia de los  jueces,  cuyo  objetivo</w:t>
        <w:br/>
        <w:t>radica en  evitar  que  el  sistema  judicial  y  sus  integrantes  se  vean</w:t>
        <w:br/>
        <w:t>sometidos a restricciones indebidas en el ejercicio de su función por  parte</w:t>
        <w:br/>
        <w:t>de órganos ajenos  al  Poder  Judicial  o  incluso  por  parte  de  aquellos</w:t>
        <w:br/>
        <w:t>magistrados que ejercen funciones de revisión o apelación[211].  Además,  la</w:t>
        <w:br/>
        <w:t>garantía de la independencia judicial abarca la  garantía  contra  presiones</w:t>
        <w:br/>
        <w:t>externas[212], de tal forma  que  el  Estado  debe  abstenerse  de  realizar</w:t>
        <w:br/>
        <w:t>injerencias indebidas en el Poder Judicial o en sus integrantes,  es  decir,</w:t>
        <w:br/>
        <w:t>con relación a la persona  del  juez  específico,  y  debe  prevenir  dichas</w:t>
        <w:br/>
        <w:t>injerencias e investigar y sancionar a quienes las cometan[213].</w:t>
        <w:br/>
        <w:br/>
        <w:t>La Corte considera  que  en  este  caso  no  existen  suficientes  elementos</w:t>
        <w:br/>
        <w:t>probatorios que permitan inferir la existencia de presiones externas  contra</w:t>
        <w:br/>
        <w:t>los jueces que conocieron de la causa dirigidas a fallar  en  contra  de  la</w:t>
        <w:br/>
        <w:t>señora  Atala.  Por  otra  parte,  dado  que  los  jueces  de  la  Corte  de</w:t>
        <w:br/>
        <w:t>Apelaciones de Temuco que fueron sancionados por el recurso de queja no  son</w:t>
        <w:br/>
        <w:t>presuntas víctimas en el presente caso, ello limita el  pronunciamiento  que</w:t>
        <w:br/>
        <w:t>puede hacer el Tribunal en relación con una posible violación  del  artículo</w:t>
        <w:br/>
        <w:t>8.1 de la Convención por dicha decisión sancionatoria.</w:t>
        <w:br/>
        <w:br/>
        <w:br/>
        <w:t>Finalmente, la Corte ha señalado anteriormente que no constituye una  cuarta</w:t>
        <w:br/>
        <w:t>instancia que pueda realizar una valoración de la prueba  referente  a  cuál</w:t>
        <w:br/>
        <w:t>de los padres de las tres niñas ofrecía  un  mejor  hogar  para  las  mismas</w:t>
        <w:br/>
        <w:t>(supra párr. 66). En similar sentido, el  Tribunal  tampoco  es  una  cuarta</w:t>
        <w:br/>
        <w:t>instancia que  pueda  pronunciarse  sobre  la  controversia  entre  diversos</w:t>
        <w:br/>
        <w:t>sectores de la  doctrina  local  sobre  los  alcances  del  derecho  interno</w:t>
        <w:br/>
        <w:t>respecto a los requisitos de procedencia del recurso de queja.</w:t>
        <w:br/>
        <w:br/>
        <w:br/>
        <w:t>De otra parte, respecto a la presunta imparcialidad de la Corte  Suprema  al</w:t>
        <w:br/>
        <w:t>adoptar su decisión sobre el recurso de queja, esta Corte  recuerda  que  la</w:t>
        <w:br/>
        <w:t>imparcialidad exige que el juez que interviene en una  contienda  particular</w:t>
        <w:br/>
        <w:t>se aproxime a los hechos de la causa careciendo,  de  manera  subjetiva,  de</w:t>
        <w:br/>
        <w:t>todo prejuicio y,  asimismo,  ofreciendo  garantías  suficientes  de  índole</w:t>
        <w:br/>
        <w:t>objetiva que permitan desterrar toda duda que el justiciable o la  comunidad</w:t>
        <w:br/>
        <w:t>puedan albergar respecto de la ausencia de imparcialidad.  Mientras  que  la</w:t>
        <w:br/>
        <w:t>imparcialidad personal o subjetiva se presume a menos que exista  prueba  en</w:t>
        <w:br/>
        <w:t>contrario, consistente por ejemplo en la demostración de que  algún  miembro</w:t>
        <w:br/>
        <w:t>de un tribunal o juez guarda prejuicios o parcialidades de  índole  personal</w:t>
        <w:br/>
        <w:t>contra los litigantes, la denominada prueba objetiva consiste en  determinar</w:t>
        <w:br/>
        <w:t>si el juez cuestionado brindó elementos convincentes que  permitan  eliminar</w:t>
        <w:br/>
        <w:t>temores legítimos o fundadas sospechas  de  parcialidad  sobre  su  persona.</w:t>
        <w:br/>
        <w:t>Ello puesto que el juez debe aparecer  como  actuando  sin  estar  sujeto  a</w:t>
        <w:br/>
        <w:t>influencia,  aliciente,  presión,   amenaza   o   intromisión,   directa   o</w:t>
        <w:br/>
        <w:t>indirecta[214], sino única y exclusivamente conforme a  -y  movido  por-  el</w:t>
        <w:br/>
        <w:t>Derecho[215].</w:t>
        <w:br/>
        <w:br/>
        <w:t>La Corte Interamericana resalta que, si bien es cierto que  en  el  presente</w:t>
        <w:br/>
        <w:t>caso se han declarado algunas violaciones  a  la  Convención  (supra  párrs.</w:t>
        <w:br/>
        <w:t>146, 155 y 178), una violación del artículo 8.1. por la  presunta  falta  de</w:t>
        <w:br/>
        <w:t>imparcialidad  judicial  de  los  jueces  debe  establecerse  a  partir   de</w:t>
        <w:br/>
        <w:t>elementos probatorios específicos y  concretos  que  indiquen  que  se  está</w:t>
        <w:br/>
        <w:t>efectivamente ante un caso en el que los jueces  claramente  se  han  dejado</w:t>
        <w:br/>
        <w:t>influenciar por aspectos o criterios ajenos a las normas legales.</w:t>
        <w:br/>
        <w:br/>
        <w:br/>
        <w:t>El Tribunal constata que ni la Comisión ni los representantes  han  aportado</w:t>
        <w:br/>
        <w:t>elementos  probatorios  específicos  para  desvirtuar   la   presunción   de</w:t>
        <w:br/>
        <w:t>imparcialidad subjetiva de los jueces. Tampoco  se  han  aportado  elementos</w:t>
        <w:br/>
        <w:t>convincentes que  permitan  cuestionar  la  imparcialidad  objetiva  de  los</w:t>
        <w:br/>
        <w:t>jueces en la sentencia de  la  Corte  Suprema.  Una  interpretación  de  las</w:t>
        <w:br/>
        <w:t>normas  del  Código  Civil  chileno  en  forma  contraria  a  la  Convención</w:t>
        <w:br/>
        <w:t>Americana en materia del ejercicio de la custodia de  menores  de  edad  por</w:t>
        <w:br/>
        <w:t>una persona homosexual no es suficiente, en  sí  misma,  para  declarar  por</w:t>
        <w:br/>
        <w:t>este Tribunal una falta de la imparcialidad objetiva.</w:t>
        <w:br/>
        <w:br/>
        <w:t>En consecuencia, la Corte considera que el Estado  no  violó  las  garantías</w:t>
        <w:br/>
        <w:t>judiciales reconocidas en el artículo 8.1 de la Convención en  relación  con</w:t>
        <w:br/>
        <w:t>la decisión de la Corte Suprema de Justicia en el presente caso.</w:t>
        <w:br/>
        <w:br/>
        <w:br/>
        <w:t>Derecho de las niñas M., V. y R. a ser escuchadas  y  a  que  se  tengan  en</w:t>
        <w:br/>
        <w:t xml:space="preserve">      cuenta sus opiniones</w:t>
        <w:br/>
        <w:br/>
        <w:br/>
        <w:t>Alegatos de las partes</w:t>
        <w:br/>
        <w:br/>
        <w:t>La Comisión alegó “como particularmente grave que en el proceso  de  tuición</w:t>
        <w:br/>
        <w:t>las preferencias y las necesidades de las niñas no fueron  consideradas  por</w:t>
        <w:br/>
        <w:t>la Corte Suprema de Justicia, lo que sí fue tomado en cuenta por  tribunales</w:t>
        <w:br/>
        <w:t>inferiores”. Agregó que la Corte Suprema de Justicia de Chile  no  emprendió</w:t>
        <w:br/>
        <w:t>esfuerzos para escuchar a las niñas.</w:t>
        <w:br/>
        <w:br/>
        <w:t>Los representantes argumentaron que aunque  “existen  mecanismos  procesales</w:t>
        <w:br/>
        <w:t>cuidadosamente diseñados [en Chile] a fin que las  opiniones  de  los  niños</w:t>
        <w:br/>
        <w:t>tengan  injerencia  en  las  decisiones  que  les  afectan  y   se   adopten</w:t>
        <w:br/>
        <w:t>efectivamente decisiones en su interés, antes que en el  de  otras  personas</w:t>
        <w:br/>
        <w:t>intervinientes[, l]a Corte Suprema obvió completamente  estos  mecanismos  y</w:t>
        <w:br/>
        <w:t>arbitrariamente eligió dar mayor peso a opiniones basadas  en  prejuicios  y</w:t>
        <w:br/>
        <w:t>estereotipos, en detrimento de la opinión experta de  profesionales  y,  más</w:t>
        <w:br/>
        <w:t>importante aún, de las propias niñas, como sí lo hicieron los tribunales  de</w:t>
        <w:br/>
        <w:t>instancia”.</w:t>
        <w:br/>
        <w:br/>
        <w:t>El Estado manifestó que “en el contexto del  conocimiento  de  un  medio  de</w:t>
        <w:br/>
        <w:t>impugnación extraordinaria, como es  el  recurso  de  queja,  no  existe  la</w:t>
        <w:br/>
        <w:t>oportunidad procesal para reiterar las declaraciones de las  niñas,  y  ello</w:t>
        <w:br/>
        <w:t>es innecesario en  vistas  al  debido  proceso.  Desde  la  perspectiva  del</w:t>
        <w:br/>
        <w:t>interés y  la  protección  de  las  niñas  es  contraproducente,  además  de</w:t>
        <w:br/>
        <w:t>innecesario, exigirles que vuelvan a  declarar  en  el  mismo  procedimiento</w:t>
        <w:br/>
        <w:t>sobre la separación de sus padres y su deseo de  vivir  con  uno  de  ellos,</w:t>
        <w:br/>
        <w:t>aumentando así su grado de victimización”. Agregó que “las niñas  sí  fueron</w:t>
        <w:br/>
        <w:t>oídas por los jueces de la instancia, y la Corte Suprema  tuvo  a  la  vista</w:t>
        <w:br/>
        <w:t>dichos antecedentes”. Además, indicó que, “[p]or otro lado, el principio  de</w:t>
        <w:br/>
        <w:t>reconocimiento de la autonomía y la subjetividad  de  las  niñas  en  ningún</w:t>
        <w:br/>
        <w:t>caso implica o puede  ser  asimilado  a  la  posibilidad  de  imponerles  la</w:t>
        <w:br/>
        <w:t>responsabilidad final de decidir sobre sus destinos.  […]  Cuando  entra  en</w:t>
        <w:br/>
        <w:t>colisión la opinión del niño,  niña  o  adolescente  y  sus  deseos  con  su</w:t>
        <w:br/>
        <w:t>‘interés superior’ [...], sin que  sea  posible  su  compatibilidad,  deberá</w:t>
        <w:br/>
        <w:t>necesariamente privilegiarse su interés por sobre sus  deseos,  pues  de  lo</w:t>
        <w:br/>
        <w:t>contrario quedaría sin sustento el régimen especial de  protección  del  que</w:t>
        <w:br/>
        <w:t>gozan”.</w:t>
        <w:br/>
        <w:br/>
        <w:t>Consideraciones de la Corte</w:t>
        <w:br/>
        <w:br/>
        <w:t>La Corte resalta que los niños y las niñas son  titulares  de  los  derechos</w:t>
        <w:br/>
        <w:t>establecidos en la Convención Americana, además de contar  con  las  medidas</w:t>
        <w:br/>
        <w:t>especiales de protección contempladas en el artículo 19  de  la  Convención,</w:t>
        <w:br/>
        <w:t>las cuales deben ser definidas  según  las  circunstancias  particulares  de</w:t>
        <w:br/>
        <w:t>cada caso concreto[216]. En el presente caso, el  Tribunal  observa  que  el</w:t>
        <w:br/>
        <w:t>artículo 8.1 de la Convención Americana consagra el derecho a ser  oído  que</w:t>
        <w:br/>
        <w:t>ostentan todas las personas, incluidos los niños y niñas,  en  los  procesos</w:t>
        <w:br/>
        <w:t>en que se determinen sus derechos. Dicho derecho debe ser interpretado a  la</w:t>
        <w:br/>
        <w:t>luz del artículo 12 de la Convención sobre los Derechos  del  Niño[217],  el</w:t>
        <w:br/>
        <w:t>cual contiene adecuadas previsiones sobre el derecho a ser escuchado de  las</w:t>
        <w:br/>
        <w:t>niñas y los niños, con el objeto de que la intervención del niño  se  ajuste</w:t>
        <w:br/>
        <w:t>a las  condiciones  de  éste  y  no  redunde  en  perjuicio  de  su  interés</w:t>
        <w:br/>
        <w:t>genuino[218].</w:t>
        <w:br/>
        <w:br/>
        <w:t>De manera específica, la Observación General No. 12 de 2009  del  Comité  de</w:t>
        <w:br/>
        <w:t>los Derechos del Niño de  Naciones  Unidas  resaltó  la  relación  entre  el</w:t>
        <w:br/>
        <w:t>“interés superior del niño” y el derecho a ser  escuchado,  al  afirmar  que</w:t>
        <w:br/>
        <w:t>“no es posible una aplicación correcta del  artículo  3  [(interés  superior</w:t>
        <w:br/>
        <w:t>del niño)] si no se respetan los componentes  del  artículo  12.  Del  mismo</w:t>
        <w:br/>
        <w:t>modo, el artículo 3 refuerza la funcionalidad del artículo 12  al  facilitar</w:t>
        <w:br/>
        <w:t>el papel esencial de los niños  en  todas  las  decisiones  que  afecten  su</w:t>
        <w:br/>
        <w:t>vida”[219].</w:t>
        <w:br/>
        <w:br/>
        <w:t>Con el fin de determinar los  alcances  de  los  términos  descritos  en  el</w:t>
        <w:br/>
        <w:t>artículo  12  de  dicha  Convención,  el  Comité  realizó   una   serie   de</w:t>
        <w:br/>
        <w:t>especificaciones, a saber: i) “no puede partir[se] de la premisa de  que  un</w:t>
        <w:br/>
        <w:t>niño es incapaz de expresar sus propias opiniones”[220];  ii)  “el  niño  no</w:t>
        <w:br/>
        <w:t>debe tener necesariamente un conocimiento exhaustivo de todos  los  aspectos</w:t>
        <w:br/>
        <w:t>del asunto que lo afecta, sino una comprensión suficiente para ser capaz  de</w:t>
        <w:br/>
        <w:t>formarse adecuadamente un juicio propio sobre el asunto”[221]; iii) el  niño</w:t>
        <w:br/>
        <w:t>puede expresar sus opiniones sin presión y puede  escoger  si  quiere  o  no</w:t>
        <w:br/>
        <w:t>ejercer su derecho a ser escuchado; iv)  “la  realización  del  derecho  del</w:t>
        <w:br/>
        <w:t>niño a expresar sus opiniones exige que  los  responsables  de  escuchar  al</w:t>
        <w:br/>
        <w:t>niño y los padres o tutores informen al niño de los asuntos, las opciones  y</w:t>
        <w:br/>
        <w:t>las posibles decisiones que pueden adoptarse y sus  consecuencias”[222];  v)</w:t>
        <w:br/>
        <w:t>“la capacidad del niño […] debe  ser  evaluada  para  tener  debidamente  en</w:t>
        <w:br/>
        <w:t>cuenta sus opiniones o para comunicar al niño la influencia que  han  tenido</w:t>
        <w:br/>
        <w:t>esas opiniones en el resultado del proceso”[223],  y  vi)  “los  niveles  de</w:t>
        <w:br/>
        <w:t>comprensión de los niños no  van  ligados  de  manera  uniforme  a  su  edad</w:t>
        <w:br/>
        <w:t>biológica”, por lo que la madurez de  los  niños  o  niñas  debe  medirse  a</w:t>
        <w:br/>
        <w:t>partir  de  “la  capacidad  […]  para  expresar  sus  opiniones  sobre   las</w:t>
        <w:br/>
        <w:t>cuestiones de forma razonable e independiente”[224].</w:t>
        <w:br/>
        <w:br/>
        <w:t>Por otra parte, la Corte reitera que los  niños  y  las  niñas  ejercen  sus</w:t>
        <w:br/>
        <w:t>derechos de manera progresiva a medida que desarrollan  un  mayor  nivel  de</w:t>
        <w:br/>
        <w:t>autonomía personal[225] (supra párr. 108).  En  consecuencia,  el  aplicador</w:t>
        <w:br/>
        <w:t>del derecho, sea en el ámbito administrativo o en el judicial, deberá  tomar</w:t>
        <w:br/>
        <w:t>en consideración las condiciones específicas del menor de edad y su  interés</w:t>
        <w:br/>
        <w:t>superior para acordar la participación de éste,  según  corresponda,  en  la</w:t>
        <w:br/>
        <w:t>determinación de sus derechos. En esta ponderación  se  procurará  el  mayor</w:t>
        <w:br/>
        <w:t>acceso del menor de edad, en la medida  de  lo  posible,  al  examen  de  su</w:t>
        <w:br/>
        <w:t>propio caso[226]. Asimismo, la Corte considera que las  niñas  y  los  niños</w:t>
        <w:br/>
        <w:t>deben ser informados de su derecho  a  ser  escuchados  directamente  o  por</w:t>
        <w:br/>
        <w:t>medio de un representante, si así lo desean. Al respecto, en  casos  en  que</w:t>
        <w:br/>
        <w:t>se presenten  conflictos  de  intereses  entre  la  madre  y  el  padre,  es</w:t>
        <w:br/>
        <w:t>necesario que el Estado garantice, en lo  posible,  que  los  intereses  del</w:t>
        <w:br/>
        <w:t>menor de edad sean representados por alguien ajeno a dicho conflicto.</w:t>
        <w:br/>
        <w:br/>
        <w:br/>
        <w:t>En este sentido, el Comité de los Derechos  del  Niño  ha  señalado  que  el</w:t>
        <w:br/>
        <w:t>artículo 12 de la Convención sobre los Derechos del Niño no  sólo  establece</w:t>
        <w:br/>
        <w:t>el derecho de cada niño de expresar  su  opinión  libremente  en  todos  los</w:t>
        <w:br/>
        <w:t>asuntos que lo afectan, sino el  artículo  abarca  también  el  subsiguiente</w:t>
        <w:br/>
        <w:t>derecho de que esas opiniones se tengan debidamente en  cuenta,  en  función</w:t>
        <w:br/>
        <w:t>de la edad y madurez del niño[227]. No  basta  con  escuchar  al  niño,  las</w:t>
        <w:br/>
        <w:t>opiniones del niño tienen que tomarse en consideración seriamente  a  partir</w:t>
        <w:br/>
        <w:t>de que el niño sea capaz de formarse un juicio propio, lo que  requiere  que</w:t>
        <w:br/>
        <w:t>las  opiniones  del  niño  sean  evaluadas  mediante  un  examen  caso   por</w:t>
        <w:br/>
        <w:t>caso[228]. Si el niño está en condiciones de formarse un  juicio  propio  de</w:t>
        <w:br/>
        <w:t>manera razonable e independiente, el encargado de  adoptar  decisiones  debe</w:t>
        <w:br/>
        <w:t>tener en  cuenta  las  opiniones  del  niño  como  factor  destacado  en  la</w:t>
        <w:br/>
        <w:t>resolución de la cuestión[229]. Por tanto,  en  el  contexto  de  decisiones</w:t>
        <w:br/>
        <w:t>judiciales sobre  la  custodia,  toda  la  legislación  sobre  separación  y</w:t>
        <w:br/>
        <w:t>divorcio  debe  incluir  el  derecho  del  niño  a  ser  escuchado  por  los</w:t>
        <w:br/>
        <w:t>encargados de adoptar decisiones[230].</w:t>
        <w:br/>
        <w:br/>
        <w:t>En el presente caso, la Corte observa que el 8 de abril de 2003  el  Juzgado</w:t>
        <w:br/>
        <w:t>de Menores de Villarrica escuchó en audiencia privada a M., V. y  R.  y  “se</w:t>
        <w:br/>
        <w:t>guardó registro de la audiencia privada en  sobre  cerrado  en  la  caja  de</w:t>
        <w:br/>
        <w:t>fondos del Tribunal”[231].  Además,  en  la  resolución  de  la  demanda  de</w:t>
        <w:br/>
        <w:t>tuición provisional, adoptada por el Juzgado de Menores de Villarrica  el  2</w:t>
        <w:br/>
        <w:t>de mayo de 2003, se indicó “[q]ue, según consta del  cuaderno  principal  de</w:t>
        <w:br/>
        <w:t>tuición, se escuchó en audiencia privada a las menores” de edad[232].</w:t>
        <w:br/>
        <w:br/>
        <w:t>Por su parte, en la sentencia  de  primera  instancia  se  manifestó  “[q]ue</w:t>
        <w:br/>
        <w:t>consta en las actas guardadas en caja fuerte del tribunal  que  las  menores</w:t>
        <w:br/>
        <w:t>[de edad] fueron oídas por este [Juzgado]. En estas audiencias  se  constató</w:t>
        <w:br/>
        <w:t>que la voluntad de las tres menores [de edad] es que sus  padres  vuelvan  a</w:t>
        <w:br/>
        <w:t>vivir juntos, y en la última de las audiencias  realizada  con  fecha  8  de</w:t>
        <w:br/>
        <w:t>octubre de 2003, [R.] y [V.] expresaron su deseo de volver a  vivir  con  su</w:t>
        <w:br/>
        <w:t>madre y en el caso de [M.] sólo se  detectó  una  leve  preferencia  por  la</w:t>
        <w:br/>
        <w:t>figura  materna”[233].  Además,  el  Juzgado  aclaró  que  “las   audiencias</w:t>
        <w:br/>
        <w:t>decretadas para escuchar a las menores [de edad], tuvieron  como  único  fin</w:t>
        <w:br/>
        <w:t>cumplir con el mandato del […] artículo 12 de la Convención de los  Derechos</w:t>
        <w:br/>
        <w:t>del Niño y sólo constituyen un antecedente a considerar, sin que  condicione</w:t>
        <w:br/>
        <w:t>la decisión […], ello en razón  de  que  por  su  corta  edad  no  están  en</w:t>
        <w:br/>
        <w:t>condiciones de emitir un acertado juicio acerca  de  la  situación  que  las</w:t>
        <w:br/>
        <w:t>rodea y teniendo presente además que la opinión de  las  menores  [de  edad]</w:t>
        <w:br/>
        <w:t>puede  verse  afectada  artificialmente  por  factores  externos   que   las</w:t>
        <w:br/>
        <w:t>influencien, distorsionen o inhabiliten al fin propuesto”[234].  Finalmente,</w:t>
        <w:br/>
        <w:t>el Juzgado tuvo en cuenta una serie de informes psicológicos  ordenados  por</w:t>
        <w:br/>
        <w:t>el mismo para determinar el estado psicológico y emocional  de  las  menores</w:t>
        <w:br/>
        <w:t>de edad[235].</w:t>
        <w:br/>
        <w:br/>
        <w:t>Al respecto, el Tribunal constata que en la primera instancia en el  proceso</w:t>
        <w:br/>
        <w:t>de tuición se cumplió con las obligaciones que se desprenden del derecho  de</w:t>
        <w:br/>
        <w:t>las niñas y niños a ser oídos en un proceso judicial  que  los  afecte,  por</w:t>
        <w:br/>
        <w:t>cuanto no sólo las escuchó en audiencia, sino que además  es  explícito  que</w:t>
        <w:br/>
        <w:t>se tuvo en cuenta las opiniones de las tres  niñas  teniendo  en  cuenta  la</w:t>
        <w:br/>
        <w:t>madurez y capacidad de las mismas en ese momento.</w:t>
        <w:br/>
        <w:br/>
        <w:br/>
        <w:t>Por otra parte, la Corte nota que  en  el  expediente  de  tuición  no  obra</w:t>
        <w:br/>
        <w:t>prueba de que las niñas fueran escuchadas nuevamente por  la  Corte  Suprema</w:t>
        <w:br/>
        <w:t>de Justicia de Chile en el marco  del  recurso  de  queja,  ni  tampoco  hay</w:t>
        <w:br/>
        <w:t>mención alguna en la sentencia de la Corte Suprema respecto  a  la  decisión</w:t>
        <w:br/>
        <w:t>de apartarse de la voluntad que las  niñas  habían  manifestado  dentro  del</w:t>
        <w:br/>
        <w:t>proceso.</w:t>
        <w:br/>
        <w:br/>
        <w:t>En el presente caso, el Tribunal toma en  cuenta  la  naturaleza  particular</w:t>
        <w:br/>
        <w:t>del  recurso  de   queja,   que   constituye   principalmente   un   recurso</w:t>
        <w:br/>
        <w:t>disciplinario en contra de los jueces de  instancia  y  en  la  cual  no  se</w:t>
        <w:br/>
        <w:t>recauda más prueba de la que ya ha sido aportada durante todo el proceso  de</w:t>
        <w:br/>
        <w:t>tuición (supra párr. 185). Asimismo, esta Corte advierte que un niño o  niña</w:t>
        <w:br/>
        <w:t>no debe ser entrevistado con más frecuencia de la necesaria,  en  particular</w:t>
        <w:br/>
        <w:t>cuando se investiguen  acontecimientos  dañinos,  dado  que  el  proceso  de</w:t>
        <w:br/>
        <w:t>“escuchar” a un niño o niña puede resultar difícil y  puede  causar  efectos</w:t>
        <w:br/>
        <w:t>traumáticos[236]. Por esto, el Tribunal no considera que  la  Corte  Suprema</w:t>
        <w:br/>
        <w:t>tuviera que realizar una nueva audiencia en el marco de  la  decisión  sobre</w:t>
        <w:br/>
        <w:t>el recurso  de  queja  para  escuchar  a  las  menores  de  edad  sobre  sus</w:t>
        <w:br/>
        <w:t>preferencias respecto a la convivencia con uno de los padres, si dentro  del</w:t>
        <w:br/>
        <w:t>expediente de tuición  existían  varias  pruebas  en  las  que  constaba  la</w:t>
        <w:br/>
        <w:t>voluntad de las mismas.</w:t>
        <w:br/>
        <w:br/>
        <w:t>Sin embargo, el hecho de que una autoridad judicial  no  tenga  que  recabar</w:t>
        <w:br/>
        <w:t>nuevamente el testimonio a un  niño  o  niña  en  el  marco  de  un  proceso</w:t>
        <w:br/>
        <w:t>judicial, no la libera de la obligación de tener  debidamente  en  cuenta  y</w:t>
        <w:br/>
        <w:t>valorar, en un sentido u otro, las opiniones expresadas por  la  niña  y  el</w:t>
        <w:br/>
        <w:t>niño en las instancias inferiores, en función de la  edad  y  capacidad  del</w:t>
        <w:br/>
        <w:t>niño. De ser pertinente, la autoridad judicial  respectiva  debe  argumentar</w:t>
        <w:br/>
        <w:t>específicamente por qué no va a tomar en cuenta la  opción  del  niño  o  la</w:t>
        <w:br/>
        <w:t>niña. En este sentido, el perito García Méndez expresó que:</w:t>
        <w:br/>
        <w:br/>
        <w:br/>
        <w:t xml:space="preserve">      En cualquier tipo de controversia entre la opinión de los niños  y  la</w:t>
        <w:br/>
        <w:t xml:space="preserve">      autoridad parental o las autoridades institucionales, […]  la  opinión</w:t>
        <w:br/>
        <w:t xml:space="preserve">      de los niños no puede ser descartada discrecionalmente. Es  decir,  lo</w:t>
        <w:br/>
        <w:t xml:space="preserve">      que significa esto es  que  [...]  hay  que  construir  en  forma  muy</w:t>
        <w:br/>
        <w:t xml:space="preserve">      sofisticada, argumentos para eventualmente oponerse a lo que sea  esta</w:t>
        <w:br/>
        <w:t xml:space="preserve">      opinión de los niños. [L]a opinión de  los  niños  automáticamente  no</w:t>
        <w:br/>
        <w:t xml:space="preserve">      produce jurisprudencia […].  Pero también la opinión de los  niños  no</w:t>
        <w:br/>
        <w:t xml:space="preserve">      puede ser descartada automáticamente sin  una  argumentación  seria  y</w:t>
        <w:br/>
        <w:t xml:space="preserve">      profunda[237].</w:t>
        <w:br/>
        <w:br/>
        <w:br/>
        <w:t>Igualmente, el perito Cillero Bruñol manifestó que:</w:t>
        <w:br/>
        <w:br/>
        <w:t xml:space="preserve">      [Existe la] obligación [de las autoridades estatales] de considerar su</w:t>
        <w:br/>
        <w:t xml:space="preserve">      opinión dentro de la deliberación  que  conduce  a  una  decisión  que</w:t>
        <w:br/>
        <w:t xml:space="preserve">      afecta a los niños. [… L]os adultos que son responsable de la decisión</w:t>
        <w:br/>
        <w:t xml:space="preserve">      no deben decidir arbitrariamente cuando el niño  dice  algo  relevante</w:t>
        <w:br/>
        <w:t xml:space="preserve">      para  la  decisión.  […]  Si  los   niños   son   lo   suficientemente</w:t>
        <w:br/>
        <w:t xml:space="preserve">      desarrollados en sus opiniones y visiones, ellas  deberían  prevalecer</w:t>
        <w:br/>
        <w:t xml:space="preserve">      respecto a asuntos que los afectan, salvo razones muy  calificadas  en</w:t>
        <w:br/>
        <w:t xml:space="preserve">      contra. Esto quiere decir que si las opiniones de los  niños  aparecen</w:t>
        <w:br/>
        <w:t xml:space="preserve">      fundadas, precisas,  con  suficiente  conocimiento  de  los  hechos  y</w:t>
        <w:br/>
        <w:t xml:space="preserve">      consecuencias que implican, deben prima facie prevalecer  sobre  otras</w:t>
        <w:br/>
        <w:t xml:space="preserve">      argumentaciones para determinar la decisión que afectará  al  niño  en</w:t>
        <w:br/>
        <w:t xml:space="preserve">      cuanto a los hechos y estados que se refieran a él mismo. Este primado</w:t>
        <w:br/>
        <w:t xml:space="preserve">      viene exigido por el principio  del  interés  superior  del  niño  del</w:t>
        <w:br/>
        <w:t xml:space="preserve">      artículo 3 de la [Convención sobre los Derechos del Nino]. Lo anterior</w:t>
        <w:br/>
        <w:t xml:space="preserve">      no quiere decir que siempre  van  a  coincidir  la  determinación  del</w:t>
        <w:br/>
        <w:t xml:space="preserve">      interés superior del niño en el caso concreto con  las  opiniones  del</w:t>
        <w:br/>
        <w:t xml:space="preserve">      niño, aun cuando el niño tenga la edad  y  madurez  para  formarse  su</w:t>
        <w:br/>
        <w:t xml:space="preserve">      juicio propio […] El juez o el  responsable  del  procedimiento  deben</w:t>
        <w:br/>
        <w:t xml:space="preserve">      evaluar razonablemente el peso de las opiniones del niño, en  relación</w:t>
        <w:br/>
        <w:t xml:space="preserve">      a sus consecuencias para el conjunto de  sus  derechos  fundamentales,</w:t>
        <w:br/>
        <w:t xml:space="preserve">      así como  en  relación  al  nivel  de  madurez  del  niño,  pero  esta</w:t>
        <w:br/>
        <w:t xml:space="preserve">      valoración […] exige una carga argumentativa superior  a  la  decisión</w:t>
        <w:br/>
        <w:t xml:space="preserve">      que se aleja de la opinión del niño[238].</w:t>
        <w:br/>
        <w:br/>
        <w:t>La Corte constata que  la  Corte  Suprema  de  Justicia  no  explicó  en  su</w:t>
        <w:br/>
        <w:t>sentencia cómo evaluó o tomó en  cuenta  las  declaraciones  y  preferencias</w:t>
        <w:br/>
        <w:t>hechas por las menores de edad que constaban en el  expediente.  En  efecto,</w:t>
        <w:br/>
        <w:t>el Tribunal observa que la Corte Suprema no adoptó una decisión  en  la  que</w:t>
        <w:br/>
        <w:t>se  razonara  sobre  la  relevancia  atribuida  por  dicha   Corte   a   las</w:t>
        <w:br/>
        <w:t>preferencias de convivencia  expresadas  por  las  menores  de  edad  y  las</w:t>
        <w:br/>
        <w:t>razones por las cuales se apartaba de la voluntad de las tres niñas. Por  el</w:t>
        <w:br/>
        <w:t>contrario, la Corte Suprema se  limitó  a  fundamentar  su  decisión  en  el</w:t>
        <w:br/>
        <w:t>supuesto interés superior de las tres menores de edad  pero  sin  motivar  o</w:t>
        <w:br/>
        <w:t>fundamentar  la  razón  por  la  que  consideraba  legítimo  contradecir  la</w:t>
        <w:br/>
        <w:t>voluntad expresada por las niñas durante el proceso de tuición, más  aún  si</w:t>
        <w:br/>
        <w:t>se tiene en cuenta la interrelación entre el derecho  a  participar  de  los</w:t>
        <w:br/>
        <w:t>niños y niñas y  el  objetivo  de  cumplir  con  el  principio  del  interés</w:t>
        <w:br/>
        <w:t>superior del niño (supra párr.  197).  Por  lo  anteriormente  indicado,  la</w:t>
        <w:br/>
        <w:t>Corte concluye que la referida decisión de  la  Corte  Suprema  de  Justicia</w:t>
        <w:br/>
        <w:t>violó el derecho a ser oídas de las  niñas  y  ser  debidamente  tomadas  en</w:t>
        <w:br/>
        <w:t>cuenta consagrado en el artículo 8.1, en relación con  los  artículos  19  y</w:t>
        <w:br/>
        <w:t>1.1 de la Convención Americana en perjuicio de las niñas M., V. y R..</w:t>
        <w:br/>
        <w:br/>
        <w:t xml:space="preserve">                                     VI</w:t>
        <w:br/>
        <w:t xml:space="preserve">     DERECHO A LA IGUALDAD Y LA PROHIBICIÓN DE DISCRIMINACIÓN, DERECHO A</w:t>
        <w:br/>
        <w:t xml:space="preserve">    LA VIDA PRIVADA Y DERECHO A LAS GARANTÍAS JUDICIALES EN RELACIÓN CON</w:t>
        <w:br/>
        <w:t xml:space="preserve">     LA OBLIGACIÓN DE RESPETAR Y GARANTIZAR RESPECTO A LA INVESTIGACIÓN</w:t>
        <w:br/>
        <w:t xml:space="preserve">                                DISCIPLINARIA</w:t>
        <w:br/>
        <w:br/>
        <w:t>Uno de los aspectos de la controversia es el proceso  disciplinario  llevado</w:t>
        <w:br/>
        <w:t>a cabo en contra de la señora Atala. En lo que  atañe  a  ese  tema,  en  el</w:t>
        <w:br/>
        <w:t>presente capítulo se  establecerán  los  hechos  probados  relacionados  con</w:t>
        <w:br/>
        <w:t>dicho proceso para luego analizar las controversias en torno a:  i)  derecho</w:t>
        <w:br/>
        <w:t>a la igualdad; ii) vida privada, y iii) garantías judiciales.</w:t>
        <w:br/>
        <w:br/>
        <w:br/>
        <w:t xml:space="preserve">      Hechos probados respecto a la investigación  disciplinaria  contra  la</w:t>
        <w:br/>
        <w:t xml:space="preserve">      señora Atala</w:t>
        <w:br/>
        <w:br/>
        <w:br/>
        <w:br/>
        <w:t>El 17 de marzo de 2003 la Presidenta del Comité de Jueces  del  Tribunal  de</w:t>
        <w:br/>
        <w:t>Juicio Oral en lo penal de Villarrica  puso  en  conocimiento  del  Ministro</w:t>
        <w:br/>
        <w:t>Visitador de la Corte de Apelaciones de Temuco, el señor Lenin  Lillo,  “una</w:t>
        <w:br/>
        <w:t>situación puntual acaecida el 12” de marzo de 2003.  En  dicho  escrito,  la</w:t>
        <w:br/>
        <w:t>Presidenta del Comité de Jueces informó que la señora Atala había  pedido  a</w:t>
        <w:br/>
        <w:t>una de sus subalternas  que  “transcribi[era],  redactar[a]  e  imprimier[a]</w:t>
        <w:br/>
        <w:t>oficios a nombre del Juzgado de Letras y de Menores de  Villarrica,  en  los</w:t>
        <w:br/>
        <w:t>cuales se pedían diligencias en la  causa  por  tuición  […]  en  que  dicha</w:t>
        <w:br/>
        <w:t>magistrad[a era] parte  litigante”.  Además,  manifestó  que  “proced[ió]  a</w:t>
        <w:br/>
        <w:t>efectuar una reunión de carácter privado con  la  magistrad[a]  Atala  Riffo</w:t>
        <w:br/>
        <w:t>[…] señalándole lo improcedente de su actuar y su in[j]erencia en un  ámbito</w:t>
        <w:br/>
        <w:t>dado a otro Tribunal, donde ella no [era] juez, sino parte demandada”[239].</w:t>
        <w:br/>
        <w:br/>
        <w:t>Ese mismo día y el 19 de marzo de 2003 el Pleno de la Corte  de  Apelaciones</w:t>
        <w:br/>
        <w:t>de Temuco designó mediante acuerdos  al  señor  Lillo[240],  a  fin  de  que</w:t>
        <w:br/>
        <w:t>efectuara una visita extraordinaria en el Tribunal penal  de  Villarrica  en</w:t>
        <w:br/>
        <w:t>el que la señora Atala tenía el cargo de jueza. Al respecto, se expresó  que</w:t>
        <w:br/>
        <w:t>“dicha visita obedec[ía] a dos hechos fundamentales: uno, las  publicaciones</w:t>
        <w:br/>
        <w:t>aparecidas en los diarios ‘Las Últimas Noticias’ […] y ‘La  Cuarta’  […]  en</w:t>
        <w:br/>
        <w:t>las que se ha[ría] referencia al carácter de lesbiana que se  atribu[ía]  en</w:t>
        <w:br/>
        <w:t>dichas publicaciones a la [señora] Atala”[241] y  el  otro,  correspondía  a</w:t>
        <w:br/>
        <w:t>los hechos reseñados en la denuncia de 17 de marzo de 2003.</w:t>
        <w:br/>
        <w:br/>
        <w:br/>
        <w:t>Después de realizada la visita al Juzgado en el  que  la  señora  Atala  era</w:t>
        <w:br/>
        <w:t>titular, el señor Lillo presentó un informe a la  Corte  de  Apelaciones  de</w:t>
        <w:br/>
        <w:t>Temuco[242], mediante el cual  informó  respecto  a  tres  presuntos  hechos</w:t>
        <w:br/>
        <w:t>irregulares, a saber: i) “utilización de elementos y personal  para  cumplir</w:t>
        <w:br/>
        <w:t>diligencias decretadas  por  el  Juez  […]  de  menores”;  ii)  “utilización</w:t>
        <w:br/>
        <w:t>indebida del sello del Tribunal”, y iii)  “publicaciones  aparecidas  en  la</w:t>
        <w:br/>
        <w:t>prensa”. Respecto al primer hecho, se realizó un  recuento  respecto  a  los</w:t>
        <w:br/>
        <w:t>hechos informados por la Presidenta del Comité de Jueces y se  concluyó  que</w:t>
        <w:br/>
        <w:t>dichos hechos “rev[estían] a juicio de  [ese]  visitador  especial  gravedad</w:t>
        <w:br/>
        <w:t>dado que la señora […] Atala […] prevaleciéndose de medios  y  personal  del</w:t>
        <w:br/>
        <w:t>Tribunal  que  forma  [p]arte  se  ha   involucrado   directamente   en   el</w:t>
        <w:br/>
        <w:t>cumplimiento de actuaciones decretadas en el juicio que se s[eguía] ante  el</w:t>
        <w:br/>
        <w:t>Juez de  Menores”.  En  relación  con  el  segundo  hecho,  el  señor  Lillo</w:t>
        <w:br/>
        <w:t>manifestó que “rev[estían] una especial gravedad por cuanto  la  Juez  Karen</w:t>
        <w:br/>
        <w:t>Atala ha[bía] excedido el límite de sus  atribuciones  con  su  proceder  al</w:t>
        <w:br/>
        <w:t>utilizar elementos del Tribunal que  est[aba]n  a  cargo  de  terceros  para</w:t>
        <w:br/>
        <w:t>favorecer a personas relacionadas con su círculo de amistades”.</w:t>
        <w:br/>
        <w:br/>
        <w:t>Por último, el señor Lillo hizo referencia a  las  publicaciones  aparecidas</w:t>
        <w:br/>
        <w:t>en los Diarios “Las Últimas Noticias” y “La Cuarta”, en las cuales  se  daba</w:t>
        <w:br/>
        <w:t>a conocer a la opinión pública la demanda de tuición y se  hacía  referencia</w:t>
        <w:br/>
        <w:t>a “la relación lésbica que” de la señora Atala “sostendría con otra  mujer”.</w:t>
        <w:br/>
        <w:br/>
        <w:br/>
        <w:br/>
        <w:t>Sobre estos hechos, el señor Lillo concluyó en su informe que:</w:t>
        <w:br/>
        <w:br/>
        <w:t xml:space="preserve">      no está en el ánimo de este visitador emitir juicios de valor respecto</w:t>
        <w:br/>
        <w:t xml:space="preserve">      de la inclinación sexual de la Magistrad[a] Atala, sin embargo  no  se</w:t>
        <w:br/>
        <w:t xml:space="preserve">      puede soslayar el hecho  de  que  su  peculiar  relación  afectiva  ha</w:t>
        <w:br/>
        <w:t xml:space="preserve">      trascendido el ámbito privado al aparecer las publicaciones  señaladas</w:t>
        <w:br/>
        <w:t xml:space="preserve">      precedentemente, lo que claramente daña la imagen  tanto  de  la  Sra.</w:t>
        <w:br/>
        <w:t xml:space="preserve">      Atala como del Poder Judicial. Todo lo anterior reviste  una  gravedad</w:t>
        <w:br/>
        <w:t xml:space="preserve">      que merece ser observada por el Ilmo. Tribunal[243].</w:t>
        <w:br/>
        <w:br/>
        <w:br/>
        <w:t>El 2 de abril de 2003 la Corte de Apelaciones de  Temuco  aprobó  la  visita</w:t>
        <w:br/>
        <w:t>realizada por el señor Lillo y formuló cargos en contra de la  señora  Atala</w:t>
        <w:br/>
        <w:t>respecto  a  los  tres  presuntos  hechos  irregulares   señalados   en   el</w:t>
        <w:br/>
        <w:t>informe[244]. Posteriormente, el 9 de mayo de 2003 la Corte  de  Apelaciones</w:t>
        <w:br/>
        <w:t>profirió “un severo llamado de atención por la utilización  de  elementos  y</w:t>
        <w:br/>
        <w:t>personal para cumplir diligencias  decretadas  por  el  Juez  de  Letras  de</w:t>
        <w:br/>
        <w:t>Menores […] en una causa en la cual ella e[ra]  una  de  las  partes  de  la</w:t>
        <w:br/>
        <w:t>controversia”[245].</w:t>
        <w:br/>
        <w:br/>
        <w:br/>
        <w:t xml:space="preserve">      El derecho a la igualdad y la prohibición de la discriminación</w:t>
        <w:br/>
        <w:br/>
        <w:br/>
        <w:t>Alegatos de las partes</w:t>
        <w:br/>
        <w:br/>
        <w:t>Los representantes alegaron  que  la  señora  Atala  “llevaba  una  relación</w:t>
        <w:br/>
        <w:t>estable de pareja que no se diferenciaba  de  otras  relaciones  de  pareja,</w:t>
        <w:br/>
        <w:t>salvo por el hecho que su pareja era de su  mismo  sexo”,  por  lo  que  “la</w:t>
        <w:br/>
        <w:t>orden de investigar y de constituirse una visita al tribunal en  que  servía</w:t>
        <w:br/>
        <w:t>la jueza Atala, se basaba exclusivamente en un rechazo discriminatorio a  su</w:t>
        <w:br/>
        <w:t>orientación sexual”.</w:t>
        <w:br/>
        <w:br/>
        <w:t>El Estado argumentó que “el informe del ministro Lillo al pleno de la  Corte</w:t>
        <w:br/>
        <w:t>de Apelaciones de Temuco, contiene una  serie  de  antecedentes  graves  que</w:t>
        <w:br/>
        <w:t>ameritaron el ‘severo llamado de atención’” y que dicho llamado de  atención</w:t>
        <w:br/>
        <w:t>a la señora  Atala  “no  dice  relación  con  su  homosexualidad,  sino  que</w:t>
        <w:br/>
        <w:t>corresponde  a  denuncias  y  hechos  constatados  por  el  Ministro  Lillo,</w:t>
        <w:br/>
        <w:t>completamente ajenos a ésta”.</w:t>
        <w:br/>
        <w:br/>
        <w:br/>
        <w:t>Consideraciones de la Corte</w:t>
        <w:br/>
        <w:br/>
        <w:br/>
        <w:t>El Tribunal nota que la Corte de Apelaciones de  Temuco  recibió  el  17  de</w:t>
        <w:br/>
        <w:t>marzo de 2003 una denuncia contra la señora Atala por el uso de  implementos</w:t>
        <w:br/>
        <w:t>y personal del Juzgado para asuntos de interés personal (supra  párr.  210).</w:t>
        <w:br/>
        <w:t>Sin embargo, la Corte observa que, de acuerdo con lo plasmado en el  informe</w:t>
        <w:br/>
        <w:t>del ministro visitador, se expresaron otras consideraciones  para  llevar  a</w:t>
        <w:br/>
        <w:t>cabo la visita al sitio  de  trabajo  de  la  señora  Atala.  Ellas  estaban</w:t>
        <w:br/>
        <w:t>expresamente referidas a su orientación sexual,  pues  se  relacionaban  con</w:t>
        <w:br/>
        <w:t>“las publicaciones aparecidas en el  diario  ‘La  Cuarta’  de  fecha  28  de</w:t>
        <w:br/>
        <w:t>febrero de [2003] y en ‘Las Últimas  Noticias’  de  fecha  1  de  marzo  [de</w:t>
        <w:br/>
        <w:t>2003], en las cuales se d[ió] a conocer a la opinión  pública  el  contenido</w:t>
        <w:br/>
        <w:t>de una demanda de tuición entablada por el [señor López]  en  contra  de  su</w:t>
        <w:br/>
        <w:t>esposa […] porque esta última  sostendría  una  relación  lésbica  con  otra</w:t>
        <w:br/>
        <w:t>mujer”[246]. De manera que uno de los motivos  de  la  visita  al  sitio  de</w:t>
        <w:br/>
        <w:t>trabajo  de  la  señora  Atala  era  constatar  lo   manifestado   por   las</w:t>
        <w:br/>
        <w:t>publicaciones de prensa respecto a su orientación sexual.</w:t>
        <w:br/>
        <w:br/>
        <w:t>La  Corte  observa  que  la  investigación   disciplinaria   y   la   visita</w:t>
        <w:br/>
        <w:t>extraordinaria mencionadas tienen fundamento  legal  en  los  artículos  544</w:t>
        <w:br/>
        <w:t>inciso 4[247], 559[248] y 560[249] del Código  Orgánico  de  Tribunales.  Al</w:t>
        <w:br/>
        <w:t>ser uno de los propósitos de la  visita  el  indagar  sobre  la  orientación</w:t>
        <w:br/>
        <w:t>sexual de la señora Atala con base en las noticias de  prensa,  se  constata</w:t>
        <w:br/>
        <w:t>un trato diferenciado en perjuicio de la señora  Atala  al  incorporar  como</w:t>
        <w:br/>
        <w:t>materia investigable en el  proceso disciplinario su  orientación  sexual  y</w:t>
        <w:br/>
        <w:t>su relación con una persona del mismo sexo.</w:t>
        <w:br/>
        <w:br/>
        <w:t>El Estado alegó que, finalmente, el “llamado de atención”  de  la  Corte  de</w:t>
        <w:br/>
        <w:t>Temuco se basó “exclusivamente” en “la utilización de elementos  y  personal</w:t>
        <w:br/>
        <w:t>para cumplir diligencias decretadas” por el Juzgado a cargo del  proceso  de</w:t>
        <w:br/>
        <w:t>tuición, por lo cual la señora Atala no habría sido  sancionada,  según  ese</w:t>
        <w:br/>
        <w:t>alegato, por un hecho relacionado con su orientación  sexual.  No  obstante,</w:t>
        <w:br/>
        <w:t>el Tribunal constata que en el informe realizado por el ministro  visitador,</w:t>
        <w:br/>
        <w:t>el cual fue posteriormente aprobado por la Corte  Apelaciones  de  Temuco  y</w:t>
        <w:br/>
        <w:t>con base en el cual se formularon cargos en contra de la  señora  Atala,  se</w:t>
        <w:br/>
        <w:t>manifestó que “no se puede soslayar el hecho de  que  su  peculiar  relación</w:t>
        <w:br/>
        <w:t>afectiva ha trascendido el ámbito  privado  al  aparecer  las  publicaciones</w:t>
        <w:br/>
        <w:t>señaladas precedentemente, lo que claramente daña  la  imagen  tanto  de  la</w:t>
        <w:br/>
        <w:t>[señora] Atala como  del  Poder  Judicial.  Todo  lo  anterior  reviste  una</w:t>
        <w:br/>
        <w:t>gravedad que merece ser observada por el […] Tribunal”[250]. Por  tanto,  si</w:t>
        <w:br/>
        <w:t>bien la señora Atala no fue sancionada expresamente por la Corte  de  Temuco</w:t>
        <w:br/>
        <w:t>por su orientación sexual, ese aspecto  fue  parte  de  las  consideraciones</w:t>
        <w:br/>
        <w:t>incorporadas en el  informe  del  ministro  visitador,  las  que  no  fueron</w:t>
        <w:br/>
        <w:t>desautorizadas ni cuestionadas por la Corte de Temuco.</w:t>
        <w:br/>
        <w:br/>
        <w:t>Ahora  bien,  respecto  al  fin  legítimo  que  se   perseguía   con   dicha</w:t>
        <w:br/>
        <w:t>investigación, en el informe presentado no fue precisado con  claridad  cuál</w:t>
        <w:br/>
        <w:t>era el fin de la visita respecto a la indagación de la  orientación  sexual,</w:t>
        <w:br/>
        <w:t>por cuanto sólo se hizo referencia a las noticias de prensa  que  se  habían</w:t>
        <w:br/>
        <w:t>publicado. En este sentido, si bien el fin legítimo no  fue  explicitado  en</w:t>
        <w:br/>
        <w:t>el reporte, de lo expresado en el informe se podría  llegar  a  inferir  que</w:t>
        <w:br/>
        <w:t>mediante la indagación respecto a la orientación sexual de la  señora  Atala</w:t>
        <w:br/>
        <w:t>se buscaba proteger la “imagen del poder judicial”. Sin embargo, la  alegada</w:t>
        <w:br/>
        <w:t>protección de la  “imagen  del  poder  judicial”  no  puede  justificar  una</w:t>
        <w:br/>
        <w:t>diferencia de trato basada en la orientación sexual. Además, el fin  que  se</w:t>
        <w:br/>
        <w:t>invoque al efectuar una diferencia de trato de este tipo debe  ser  concreto</w:t>
        <w:br/>
        <w:t>y no abstracto. En el caso concreto, el Tribunal no observa relación  alguna</w:t>
        <w:br/>
        <w:t>entre un deseo de proteger la “imagen del poder judicial” y  la  orientación</w:t>
        <w:br/>
        <w:t>sexual de la señora Atala. La orientación sexual o su  ejercicio  no  pueden</w:t>
        <w:br/>
        <w:t>constituir, bajo ninguna circunstancia,  fundamento para llevar  a  cabo  un</w:t>
        <w:br/>
        <w:t>proceso disciplinario, pues no existe  relación  alguna  entre  el  correcto</w:t>
        <w:br/>
        <w:t>desempeño de la labor profesional de la persona y su orientación sexual.</w:t>
        <w:br/>
        <w:br/>
        <w:br/>
        <w:t>Por tanto, al ser  discriminatoria  una  diferenciación  en  una  indagación</w:t>
        <w:br/>
        <w:t>disciplinaria relacionada con su orientación sexual, la Corte  concluye  que</w:t>
        <w:br/>
        <w:t>el Estado vulneró el artículo 24 en relación  con  el  artículo  1.1  de  la</w:t>
        <w:br/>
        <w:t>Convención Americana en perjuicio de Karen Atala Riffo.</w:t>
        <w:br/>
        <w:br/>
        <w:br/>
        <w:t xml:space="preserve">      Derecho a la vida privada</w:t>
        <w:br/>
        <w:br/>
        <w:br/>
        <w:t>Alegatos de las partes</w:t>
        <w:br/>
        <w:br/>
        <w:t>Los  representantes  manifestaron   que   la   investigación   disciplinaria</w:t>
        <w:br/>
        <w:t>constituyó una injerencia en la vida privada de la señora Atala, por  cuanto</w:t>
        <w:br/>
        <w:t>se “revisó [su] oficina  […],  incluido  su  computador  e  impresora,  [se]</w:t>
        <w:br/>
        <w:t>entrevistó al personal del tribunal […] sobre posibles  visitas  de  mujeres</w:t>
        <w:br/>
        <w:t>que la [señora] Atala hubiese recibido [y se] interrogó a la [señora]  Atala</w:t>
        <w:br/>
        <w:t>sobre su vida privada y su relación de pareja”. Agregaron que se “expuso  de</w:t>
        <w:br/>
        <w:t>manera  ilegitima  a  [la  señora]  Atala  ante  su   comunidad   social   y</w:t>
        <w:br/>
        <w:t>profesional, violando su vida privada”.</w:t>
        <w:br/>
        <w:br/>
        <w:t>El Estado indicó que la visita “no generó ninguna sanción administrativa  en</w:t>
        <w:br/>
        <w:t>contra de la [señora] Atala, ya  que  la  Corte  de  Apelaciones  de  Temuco</w:t>
        <w:br/>
        <w:t>consideró que sus actividades privadas y vida  familiar  no  entorpecían  su</w:t>
        <w:br/>
        <w:t>labor judicial”.</w:t>
        <w:br/>
        <w:br/>
        <w:br/>
        <w:t>Consideraciones de la Corte</w:t>
        <w:br/>
        <w:br/>
        <w:br/>
        <w:t>El artículo 11 de la Convención, como ya que quedado señalado  (supra  párr.</w:t>
        <w:br/>
        <w:t>161), prohíbe toda injerencia arbitraria o abusiva en  la  vida  privada  de</w:t>
        <w:br/>
        <w:t>las personas, por lo que el ámbito  de  la  privacidad  se  caracteriza  por</w:t>
        <w:br/>
        <w:t>quedar exento e inmune a las invasiones o agresiones abusivas o  arbitrarias</w:t>
        <w:br/>
        <w:t>por parte de la  autoridad  pública[251].  Según  la  jurisprudencia  de  la</w:t>
        <w:br/>
        <w:t>Corte, para determinar si  existió  una  injerencia  arbitraria  a  la  vida</w:t>
        <w:br/>
        <w:t>privada se deben  analizar,  entre  otros  requisitos,  la  legalidad  y  la</w:t>
        <w:br/>
        <w:t>finalidad de la medida.</w:t>
        <w:br/>
        <w:br/>
        <w:t>En el presente caso, la señora Atala declaró respecto a la visita  realizada</w:t>
        <w:br/>
        <w:t>a su sitio de trabajo que:</w:t>
        <w:br/>
        <w:br/>
        <w:t xml:space="preserve">      el ministro se instaló en mi escritorio, en mi Despacho, me revisó  mi</w:t>
        <w:br/>
        <w:t xml:space="preserve">      computador personal [y] revisó todas las  páginas  web  que  yo  había</w:t>
        <w:br/>
        <w:t xml:space="preserve">      visitado. Después interrogó a todos los funcionarios, uno por uno  del</w:t>
        <w:br/>
        <w:t xml:space="preserve">      Tribunal, uno por uno, y  además  interrogó  al  personal  de  aseo  y</w:t>
        <w:br/>
        <w:t xml:space="preserve">      después interrogó a mis colegas jueces porque yo  me  había  colegiado</w:t>
        <w:br/>
        <w:t xml:space="preserve">      con tres jueces y fue al Tribunal  de  garantía,  porque  yo  era  del</w:t>
        <w:br/>
        <w:t xml:space="preserve">      Tribunal oral penal, interrogó a los dos jueces de ahí y además  a  la</w:t>
        <w:br/>
        <w:t xml:space="preserve">      secretaria del juzgado de Villarrica.  Es decir pasaron  seis  colegas</w:t>
        <w:br/>
        <w:t xml:space="preserve">      interrogados sobre si yo era o no era lesbiana[252].</w:t>
        <w:br/>
        <w:br/>
        <w:t>Ante este tratamiento, la señora Atala señaló que:</w:t>
        <w:br/>
        <w:br/>
        <w:t xml:space="preserve">      “me sentí profundamente humillada,  expuesta,  como  que  me  hubieran</w:t>
        <w:br/>
        <w:t xml:space="preserve">      desnudado y arrojado a la plaza pública”[253].</w:t>
        <w:br/>
        <w:br/>
        <w:t>Además, la señora Atala explicó que, antes de la visita  extraordinaria,  la</w:t>
        <w:br/>
        <w:t>Corte de Apelaciones de Temuco le había  dirigido  a  los  funcionarios  del</w:t>
        <w:br/>
        <w:t>Juzgado de Villarrica un cuestionario con preguntas para  indagar  sobre  la</w:t>
        <w:br/>
        <w:t>orientación  sexual  de  la  señora  Atala[254].  Estos  hechos  no   fueron</w:t>
        <w:br/>
        <w:t>controvertidos por el Estado.</w:t>
        <w:br/>
        <w:br/>
        <w:t>En particular, la Corte nota que en el informe de la visita del señor  Lillo</w:t>
        <w:br/>
        <w:t>se establecieron, como conclusión, entre otros, los  siguientes  hechos:  i)</w:t>
        <w:br/>
        <w:t>que la señora Atala “comenzó a ser visitada  en  su  oficina  por  una  gran</w:t>
        <w:br/>
        <w:t>cantidad de mujeres a partir de mediados del  2002”[255],  incluyendo  a  su</w:t>
        <w:br/>
        <w:t>pareja “con quien pasaba horas en su oficina”; ii) que la señora Atala  “fue</w:t>
        <w:br/>
        <w:t>visitada en el Tribunal por los padres” de su pareja y que informó  que  “se</w:t>
        <w:br/>
        <w:t>trataba[n] de sus suegros”,  y  iii)  que  la  señora  Atala  “manifestó  su</w:t>
        <w:br/>
        <w:t>homosexualidad abiertamente” al señor Lillo y “defendió su determinación  de</w:t>
        <w:br/>
        <w:t>comunicárselo  abiertamente   a   los   funcionarios   y   Magistrados   del</w:t>
        <w:br/>
        <w:t>Tribunal”[256].</w:t>
        <w:br/>
        <w:br/>
        <w:br/>
        <w:t>La Corte constata que, si bien la investigación disciplinaria se inició  con</w:t>
        <w:br/>
        <w:t>un fundamento legal[257] y no  terminó  con  una  sanción  disciplinaria  en</w:t>
        <w:br/>
        <w:t>contra de la señora Atala por su orientación sexual, sí se indagó  en  forma</w:t>
        <w:br/>
        <w:t>arbitraria sobre ello, lo cual constituye una interferencia al derecho a  la</w:t>
        <w:br/>
        <w:t>vida  privada  de  la  señora  Atala,  el  cual  se  extendía  a  su  ámbito</w:t>
        <w:br/>
        <w:t>profesional. Por lo tanto, el Estado es responsable  por  la  violación  del</w:t>
        <w:br/>
        <w:t>derecho a la vida privada, reconocido en el artículo 11.2  en  relación  con</w:t>
        <w:br/>
        <w:t>el artículo 1.1 de la Convención Americana,  en  perjuicio  de  Karen  Atala</w:t>
        <w:br/>
        <w:t>Riffo.</w:t>
        <w:br/>
        <w:br/>
        <w:br/>
        <w:t xml:space="preserve">      Garantías judiciales</w:t>
        <w:br/>
        <w:br/>
        <w:br/>
        <w:t>La Comisión calificó “el contenido de  la  visita  extraordinaria  decretada</w:t>
        <w:br/>
        <w:t>por la Corte de Apelaciones de  Temuco  como  un  ejemplo  de  la  falta  de</w:t>
        <w:br/>
        <w:t>imparcialidad y  los  prejuicios  discriminatorios  presentes  en  el  poder</w:t>
        <w:br/>
        <w:t>judicial chileno para la época del  juicio  de  tuición”.  Por  otra  parte,</w:t>
        <w:br/>
        <w:t>argumentó “el impacto de esta visita en el juicio de tuición en  materia  de</w:t>
        <w:br/>
        <w:t>prejuzgamiento, ya que el Ministro Lenin Lillo terminó  participando  en  la</w:t>
        <w:br/>
        <w:t>concesión de la orden de no innovar el 24 de noviembre de 2003”.</w:t>
        <w:br/>
        <w:br/>
        <w:t>Los representantes arguyeron que “[c]uando  una  Corte  de  Apelaciones  del</w:t>
        <w:br/>
        <w:t>Estado de Chile decide iniciar un  procedimiento  disciplinario  contra  una</w:t>
        <w:br/>
        <w:t>jueza y nombra a un ministro en visita extraordinaria porque se ha  filtrado</w:t>
        <w:br/>
        <w:t>[en la prensa] su  orientación  sexual,  también  hay  una  violación  a  la</w:t>
        <w:br/>
        <w:t>imparcialidad ya que la visita es un procedimiento y su origen se debe a  un</w:t>
        <w:br/>
        <w:t>prejuicio”. Además, alegaron que la “violación del  derecho  a  ser  juzgado</w:t>
        <w:br/>
        <w:t>por un tribunal imparcial  se  produce  en  el  momento  en  que  el  24  de</w:t>
        <w:br/>
        <w:t>noviembre de 2003 dos Ministros que  habían  emitido  una  opinión  negativa</w:t>
        <w:br/>
        <w:t>respecto de la orientación sexual de  la  Jueza  Atala  participaron  en  el</w:t>
        <w:br/>
        <w:t>otorgamiento de la orden de no innovar”. En particular,  los  representantes</w:t>
        <w:br/>
        <w:t>manifestaron que “los Ministros Lenin  Lillo  y  Archivaldo  Loyola  estaban</w:t>
        <w:br/>
        <w:t>legalmente impedidos” para participar en la orden de no innovar, ya que  “el</w:t>
        <w:br/>
        <w:t>primero [había]  actua[do]  como  ministro  visitador  en  el  marco  de  la</w:t>
        <w:br/>
        <w:t>investigación”  disciplinaria  y   el   segundo   por   haber   “exhort[ado]</w:t>
        <w:br/>
        <w:t>derechamente a la [señora] Atala a que renunciara a sus hijas”.</w:t>
        <w:br/>
        <w:br/>
        <w:br/>
        <w:t>El Estado no  se  pronunció  sobre  estos  alegatos  respecto  a  la  visita</w:t>
        <w:br/>
        <w:t>extraordinaria. Por otra parte, alegó que “no es efectivo que la  respectiva</w:t>
        <w:br/>
        <w:t>sala de la Corte de Apelaciones de Temuco […] haya estado integrada por  dos</w:t>
        <w:br/>
        <w:t>Ministros legalmente impedidos de actuar, pues  no  habiéndose  invocado  la</w:t>
        <w:br/>
        <w:t>causal de inhabilidad, se entiende que aquella  parte  que  podía  invocarla</w:t>
        <w:br/>
        <w:t>renunció al ejercicio de su derecho”.</w:t>
        <w:br/>
        <w:br/>
        <w:t>Consideraciones de la Corte</w:t>
        <w:br/>
        <w:br/>
        <w:t>La Corte  reitera  que  la  imparcialidad  personal  de  un  juez  debe  ser</w:t>
        <w:br/>
        <w:t>presumida, salvo  prueba  en  contrario  (supra  párr.  189)[258].  Para  el</w:t>
        <w:br/>
        <w:t>análisis de la imparcialidad subjetiva, el Tribunal debe intentar  averiguar</w:t>
        <w:br/>
        <w:t>los  intereses  o  motivaciones  personales  del  juez  en  un   determinado</w:t>
        <w:br/>
        <w:t>caso[259]. En cuanto al tipo de evidencia que se  necesita  para  probar  la</w:t>
        <w:br/>
        <w:t>imparcialidad subjetiva, el Tribunal Europeo ha indicado que se debe  tratar</w:t>
        <w:br/>
        <w:t>de determinar si el juez ha manifestado hostilidad o  si  ha  hecho  que  el</w:t>
        <w:br/>
        <w:t>caso sea asignado a él por razones personales[260].</w:t>
        <w:br/>
        <w:br/>
        <w:t>La Corte  ya  ha  establecido  (supra  párrs.  222  y  230)  que  la  visita</w:t>
        <w:br/>
        <w:t>extraordinaria afectó el derecho a la igualdad y a la  no  discriminación  y</w:t>
        <w:br/>
        <w:t>la vida privada de la señora  Atala.  Asimismo,  se  ha  concluido  que  era</w:t>
        <w:br/>
        <w:t>discriminatorio incorporar en la investigación disciplinaria la  orientación</w:t>
        <w:br/>
        <w:t>sexual o la relación de pareja de la señora Atala,  por  cuanto  no  existía</w:t>
        <w:br/>
        <w:t>relación alguna con su desempeño profesional (supra  párr.  221)  y  por  lo</w:t>
        <w:br/>
        <w:t>cual tampoco existía fundamento para concluir que la orientación  sexual  de</w:t>
        <w:br/>
        <w:t>la señora Atala podía derivar en una falta disciplinaria.  Sin  embargo,  en</w:t>
        <w:br/>
        <w:t>el informe de la visita al sitio de trabajo se determinó, con relación a  la</w:t>
        <w:br/>
        <w:t>orientación sexual de la señora Atala, que los  hallazgos  eran  hechos  que</w:t>
        <w:br/>
        <w:t>“rev[estían] una gravedad que merec[ía]  ser  observada  por  [la  Corte  de</w:t>
        <w:br/>
        <w:t>Apelaciones de Temuco]” (supra párr. 214).</w:t>
        <w:br/>
        <w:br/>
        <w:br/>
        <w:t>Además, el Tribunal toma en cuenta las circunstancias de la  realización  de</w:t>
        <w:br/>
        <w:t>la visita extraordinaria, ya que antes y durante la  visita  se  llevaron  a</w:t>
        <w:br/>
        <w:t>cabo una serie de interrogatorios a funcionarios y empleados del Juzgado  de</w:t>
        <w:br/>
        <w:t>Villarrica para indagar sobre la orientación sexual  y  los  hábitos  de  la</w:t>
        <w:br/>
        <w:t>señora  Atala  (supra  párrs.  228  y  229).  También  se  observa  que  las</w:t>
        <w:br/>
        <w:t>conclusiones  del  informe  de  la  visita  presentadas  a   la   Corte   de</w:t>
        <w:br/>
        <w:t>Apelaciones, en su conjunto, fueron aprobadas por dicha Corte el  mismo  día</w:t>
        <w:br/>
        <w:t>que fue presentado dicho informe. La Corte de Apelaciones procedió  entonces</w:t>
        <w:br/>
        <w:t>a imputarle cargos disciplinarios a la señora Atala, entre otras cosas,  por</w:t>
        <w:br/>
        <w:t>su orientación sexual (supra párr. 215).</w:t>
        <w:br/>
        <w:br/>
        <w:t>Teniendo en cuenta  todos  los  hechos  reseñados  anteriormente,  la  Corte</w:t>
        <w:br/>
        <w:t>considera que existían prejuicios y estereotipos que fueron manifestados  en</w:t>
        <w:br/>
        <w:t>el informe,  que  demostraban  que  quienes  realizaron  y  aprobaron  dicho</w:t>
        <w:br/>
        <w:t>informe no fueron  objetivos  respecto  a  este  punto.  Por  el  contrario,</w:t>
        <w:br/>
        <w:t>dejaron plasmada su posición personal respecto a la  orientación  sexual  de</w:t>
        <w:br/>
        <w:t>la señora Atala en un ámbito disciplinario en el que no  era  aceptable   ni</w:t>
        <w:br/>
        <w:t>legítimo un reproche jurídico por este  hecho.  En  consecuencia,  la  Corte</w:t>
        <w:br/>
        <w:t>establece que la visita extraordinaria y la investigación  disciplinaria  se</w:t>
        <w:br/>
        <w:t>realizaron sin la imparcialidad subjetiva necesaria, por lo  que  el  Estado</w:t>
        <w:br/>
        <w:t>vulneró el artículo 8.1 en relación con el artículo  1.1  de  la  Convención</w:t>
        <w:br/>
        <w:t>Americana en perjuicio de Karen Atala Riffo.</w:t>
        <w:br/>
        <w:br/>
        <w:br/>
        <w:t>En relación al Ministro Loyola, la Corte observa que  en  el  expediente  no</w:t>
        <w:br/>
        <w:t>consta prueba con la que se pudiera corroborar que el señor Loyola,  en  una</w:t>
        <w:br/>
        <w:t>reunión privada que se habría llevado a cabo en marzo de  2003,  le  hubiera</w:t>
        <w:br/>
        <w:t>sugerido a la señora Atala que  entregara sus hijas al padre de las  mismas.</w:t>
        <w:br/>
        <w:t>Por otra parte, el Tribunal reitera  que  la  garantía  a  la  imparcialidad</w:t>
        <w:br/>
        <w:t>judicial debe ser respetada por las  autoridades  judiciales  de  manera  ex</w:t>
        <w:br/>
        <w:t>oficio. Por lo tanto, cualquier juez, al respecto del cual exista una  razón</w:t>
        <w:br/>
        <w:t>legítima y objetiva para poner en duda su imparcialidad, debe  inhibirse  de</w:t>
        <w:br/>
        <w:t>participar en la adopción de la decisión[261]. Por  lo  anterior,  el  señor</w:t>
        <w:br/>
        <w:t>Lillo debió apartarse de la decisión de no innovar de  24  de  noviembre  de</w:t>
        <w:br/>
        <w:t>2003, después de haber llevado a cabo la visita extraordinaria en  el  marco</w:t>
        <w:br/>
        <w:t>de la investigación  disciplinaria.  No  obstante,  la  Corte  constata  que</w:t>
        <w:br/>
        <w:t>inmediatamente después de dicha decisión la Corte de Apelaciones  de  Temuco</w:t>
        <w:br/>
        <w:t>decidió confirmar las consideraciones de la primera instancia  y  dejar  sin</w:t>
        <w:br/>
        <w:t>efecto dicha orden de no innovar[262].</w:t>
        <w:br/>
        <w:br/>
        <w:t xml:space="preserve">                                     VII</w:t>
        <w:br/>
        <w:t xml:space="preserve">                                REPARACIONES</w:t>
        <w:br/>
        <w:t xml:space="preserve">          (APLICACIÓN DEL ARTÍCULO 63.1 DE LA CONVENCIÓN AMERICANA)</w:t>
        <w:br/>
        <w:br/>
        <w:t>Sobre la base  de  lo  dispuesto  en  el  artículo  63.1  de  la  Convención</w:t>
        <w:br/>
        <w:t>Americana[263], la Corte ha indicado que toda violación  de  una  obligación</w:t>
        <w:br/>
        <w:t>internacional que  haya  producido  daño  comporta  el  deber  de  repararlo</w:t>
        <w:br/>
        <w:t>adecuadamente[264], y que esa disposición recoge una  norma  consuetudinaria</w:t>
        <w:br/>
        <w:t>que  constituye  uno   de   los   principios   fundamentales   del   Derecho</w:t>
        <w:br/>
        <w:t xml:space="preserve">Internacional contemporáneo sobre responsabilidad de un Estado[265].  </w:t>
        <w:br/>
        <w:br/>
        <w:t>El Estado alegó que el presente caso “no ha supuesto una  violación  de  los</w:t>
        <w:br/>
        <w:t>derechos humanos […] de la señora Karen Atala ni de  sus  tres  hijas”.  Sin</w:t>
        <w:br/>
        <w:t>embargo, en consideración de  las  violaciones  a  la  Convención  Americana</w:t>
        <w:br/>
        <w:t>declaradas  en  los  capítulos  anteriores,  el   Tribunal   analizará   las</w:t>
        <w:br/>
        <w:t>pretensiones presentadas por la Comisión y los representantes, así como  las</w:t>
        <w:br/>
        <w:t>posiciones presentadas por el Estado, a la luz de los criterios  fijados  en</w:t>
        <w:br/>
        <w:t>la jurisprudencia de la Corte en relación con la naturaleza  y  alcances  de</w:t>
        <w:br/>
        <w:t>la obligación de reparar, con el objeto de disponer las  medidas  tendientes</w:t>
        <w:br/>
        <w:t>a reparar los daños ocasionados a las víctimas.</w:t>
        <w:br/>
        <w:br/>
        <w:t>La reparación del daño  ocasionado  por  la  infracción  de  una  obligación</w:t>
        <w:br/>
        <w:t>internacional requiere,  siempre  que  sea  posible,  la  plena  restitución</w:t>
        <w:br/>
        <w:t>(restitutio  in  integrum),  que  consiste  en  el  restablecimiento  de  la</w:t>
        <w:br/>
        <w:t>situación anterior. De no ser esto factible, como ocurre en  la  mayoría  de</w:t>
        <w:br/>
        <w:t>los casos  de  violaciones  a  derechos  humanos,  el  Tribunal  determinará</w:t>
        <w:br/>
        <w:t>medidas para garantizar los derechos conculcados, reparar las  consecuencias</w:t>
        <w:br/>
        <w:t>que las infracciones produjeron y establecer una indemnización que  compense</w:t>
        <w:br/>
        <w:t>los daños ocasionados[266]. Por tanto, la Corte ha considerado la  necesidad</w:t>
        <w:br/>
        <w:t>de otorgar diversas medidas de reparación, a fin de resarcir  los  daños  de</w:t>
        <w:br/>
        <w:t>manera integral, por lo que además de las  compensaciones  pecuniarias,  las</w:t>
        <w:br/>
        <w:t>medidas de restitución, satisfacción y garantías  de  no  repetición  tienen</w:t>
        <w:br/>
        <w:t>especial relevancia por los daños ocasionados[267].</w:t>
        <w:br/>
        <w:br/>
        <w:t>Este Tribunal ha establecido  que  las  reparaciones  deben  tener  un  nexo</w:t>
        <w:br/>
        <w:t>causal con los hechos  del  caso,  las  violaciones  declaradas,  los  daños</w:t>
        <w:br/>
        <w:t>acreditados, así como con las medidas solicitadas  para  reparar  los  daños</w:t>
        <w:br/>
        <w:t>respectivos. Por tanto, de acuerdo con las consideraciones  expuestas  sobre</w:t>
        <w:br/>
        <w:t>el fondo y las violaciones a  la  Convención  declaradas  en  los  capítulos</w:t>
        <w:br/>
        <w:t>anteriores, la Corte deberá observar dicha  concurrencia  para  pronunciarse</w:t>
        <w:br/>
        <w:t>debidamente y conforme a derecho[268].</w:t>
        <w:br/>
        <w:br/>
        <w:br/>
        <w:t>A.    Parte Lesionada</w:t>
        <w:br/>
        <w:br/>
        <w:br/>
        <w:t>El Tribunal considera parte lesionada, en los términos del artículo 63.1  de</w:t>
        <w:br/>
        <w:t>la Convención, a quien ha sido declarado víctima de la  violación  de  algún</w:t>
        <w:br/>
        <w:t>derecho consagrado en la  misma[269].  En  el  caso  bajo  examen  la  Corte</w:t>
        <w:br/>
        <w:t>declaró que el Estado violó los derechos humanos de Karen Atala Riffo y  las</w:t>
        <w:br/>
        <w:t>niñas M., V. y R. (supra párrs. 146, 155, 178, 208, 222, 230 y 237).  En  lo</w:t>
        <w:br/>
        <w:t>que atañe a la niña V., a los efectos de las reparaciones, se debe  estar  a</w:t>
        <w:br/>
        <w:t>lo establecido en el párrafo 71.</w:t>
        <w:br/>
        <w:br/>
        <w:t>La  Corte  nota  que  los  representantes  han  solicitado  que  entre   los</w:t>
        <w:br/>
        <w:t>beneficiarios de las reparaciones se  incluyan  a  personas  que  no  fueron</w:t>
        <w:br/>
        <w:t>presentadas por la Comisión Interamericana como presuntas víctimas  en  este</w:t>
        <w:br/>
        <w:t>caso. En específico, solicitaron “la reparación integral de  los  perjuicios</w:t>
        <w:br/>
        <w:t>materiales e inmateriales” presuntamente ocasionados a: i) María del  Carmen</w:t>
        <w:br/>
        <w:t>Riffo Véjar, madre de Karen Atala y abuela de M., V. y R.; ii) Emma  Zelmira</w:t>
        <w:br/>
        <w:t>María De Ramón Acevedo, pareja de  Karen  Atala  hasta  el  año  2010;  iii)</w:t>
        <w:br/>
        <w:t>Sergio Ignacio Javier Vera Atala, hijo mayor  de  Karen  Atala;  iv)  Judith</w:t>
        <w:br/>
        <w:t>Riffo Véjar, tía abuela de las niñas M., V. y R., y v)  Elías  Atala  Riffo,</w:t>
        <w:br/>
        <w:t>hermano de Karen Atala.</w:t>
        <w:br/>
        <w:br/>
        <w:t>Sin embargo, la Corte observa que la Comisión no  alegó  en  el  informe  de</w:t>
        <w:br/>
        <w:t>fondo ni en la demanda que dichas personas sean víctimas  de  violaciones  a</w:t>
        <w:br/>
        <w:t>derechos consagrados en la Convención Americana. En razón de lo anterior,  y</w:t>
        <w:br/>
        <w:t>teniendo  en  cuenta  la  jurisprudencia  del  Tribunal[270],  la  Corte  no</w:t>
        <w:br/>
        <w:t>considera como “parte lesionada” a los familiares  de  las  víctimas  en  el</w:t>
        <w:br/>
        <w:t>presente  caso  y  precisa  que  éstos  serán  acreedores   a   reparaciones</w:t>
        <w:br/>
        <w:t>únicamente en calidad de derechohabientes, es decir,  si  las  víctimas  han</w:t>
        <w:br/>
        <w:t>fallecido,  y  de  conformidad  con  lo  establecido   en   la   legislación</w:t>
        <w:br/>
        <w:t>interna[271].</w:t>
        <w:br/>
        <w:br/>
        <w:t>La  jurisprudencia   internacional   y,   en   particular,   de   la   Corte</w:t>
        <w:br/>
        <w:t>Interamericana, ha establecido reiteradamente que  la  sentencia  constituye</w:t>
        <w:br/>
        <w:t>per  se  una  forma  de  reparación[272].  No  obstante,  considerando   las</w:t>
        <w:br/>
        <w:t>circunstancias  del  presente  caso,  y  las  afectaciones  a  las  víctimas</w:t>
        <w:br/>
        <w:t>derivadas de las violaciones de los artículos 24, 11.2, 17.1, 19, 8.1 y  1.1</w:t>
        <w:br/>
        <w:t>de la Convención Americana, declaradas en perjuicio de  la  señora  Atala  y</w:t>
        <w:br/>
        <w:t>las niñas M., V. y R., la Corte estima pertinente fijar algunas  medidas  de</w:t>
        <w:br/>
        <w:t>reparación según se explica en los siguientes apartados.</w:t>
        <w:br/>
        <w:br/>
        <w:br/>
        <w:t>B.    Obligación  de  investigar  e  imponer  consecuencias  legales  a  los</w:t>
        <w:br/>
        <w:t>funcionarios responsables</w:t>
        <w:br/>
        <w:br/>
        <w:br/>
        <w:t>La Comisión solicitó a la Corte que ordene al Estado “investigar  e  imponer</w:t>
        <w:br/>
        <w:t>las consecuencias legales que correspondan por  el  actuar  de  funcionarios</w:t>
        <w:br/>
        <w:t>judiciales que discriminaron e  interfirieron  arbitrariamente  en  la  vida</w:t>
        <w:br/>
        <w:t>privada y familiar de Karen  Atala,  y  que  incumplieron  sus  obligaciones</w:t>
        <w:br/>
        <w:t>internacionales de asegurar el interés superior de M., V. y R.”.</w:t>
        <w:br/>
        <w:br/>
        <w:t>Los representantes no presentaron alegatos al respecto.</w:t>
        <w:br/>
        <w:br/>
        <w:t>El Estado señaló que la pretensión de la Comisión “parece  apartarse  de  la</w:t>
        <w:br/>
        <w:t>jurisprudencia”  de  la  Corte  Interamericana  y  manifestó  su   “profunda</w:t>
        <w:br/>
        <w:t>preocupación” por la solicitud de que se sancione a los miembros  del  Poder</w:t>
        <w:br/>
        <w:t>Judicial.  El  Estado  alegó  que  la  Corte  no  posee  atribuciones  “para</w:t>
        <w:br/>
        <w:t>investigar y sancionar la conducta individual  de  los  agentes  [estatales]</w:t>
        <w:br/>
        <w:t>que hubiesen  [cometido]  violaciones  [a  derechos  humanos  pues  sólo  es</w:t>
        <w:br/>
        <w:t>competente]  para  [declarar]  la  responsabilidad  internacional   de   los</w:t>
        <w:br/>
        <w:t>Estados”.</w:t>
        <w:br/>
        <w:br/>
        <w:t>Al respecto, la Corte constata que la Comisión no hizó  precisiones  que  le</w:t>
        <w:br/>
        <w:t>dieran al Tribunal elementos suficientes para analizar en  profundidad  esta</w:t>
        <w:br/>
        <w:t>solicitud. Por ejemplo, no  fue  señalado  si  existen  normas  del  derecho</w:t>
        <w:br/>
        <w:t>interno que faculten a las autoridades  disciplinarias  para  investigar  la</w:t>
        <w:br/>
        <w:t>comisión  de  actos  discriminatorios.  Asimismo,  no  se   analizaron   las</w:t>
        <w:br/>
        <w:t>particularidades de este caso en relación con otros casos  anteriores  donde</w:t>
        <w:br/>
        <w:t>se han ordenado este tipo de medidas. Teniendo en  cuenta  lo  anterior,  la</w:t>
        <w:br/>
        <w:t>Corte considera que en el  presente  caso  no  es  procedente  la  solicitud</w:t>
        <w:br/>
        <w:t>presentada por la Comisión.</w:t>
        <w:br/>
        <w:br/>
        <w:br/>
        <w:t>C.    Otras medidas de reparación integral: satisfacción y garantías  de  no</w:t>
        <w:br/>
        <w:t>repetición</w:t>
        <w:br/>
        <w:br/>
        <w:br/>
        <w:t>El Tribunal determinará otras medidas que buscan reparar el daño inmaterial</w:t>
        <w:br/>
        <w:t>y que no tienen naturaleza pecuniaria, y dispondrá  medidas  de  alcance  o</w:t>
        <w:br/>
        <w:t>repercusión pública[273].</w:t>
        <w:br/>
        <w:br/>
        <w:br/>
        <w:t>1 Rehabilitación: asistencia médica y psicológica a las víctimas</w:t>
        <w:br/>
        <w:br/>
        <w:br/>
        <w:br/>
        <w:t>La Comisión solicitó que se dispongan medidas de rehabilitación a  favor  de</w:t>
        <w:br/>
        <w:t>las víctimas. El Estado no realizó ninguna  observación  a  dicha  solicitud</w:t>
        <w:br/>
        <w:t>mientras que los representantes hicieron  mención  a  estas  medidas  en  el</w:t>
        <w:br/>
        <w:t>marco de su solicitud de indemnización por daño material (infra párr.  287).</w:t>
        <w:br/>
        <w:br/>
        <w:br/>
        <w:t>La Corte observa que los informes presentados por las psiquiatras  aluden  a</w:t>
        <w:br/>
        <w:t>diversas afectaciones que padecen la señora Atala y las niñas M.,  V.  y  R.</w:t>
        <w:br/>
        <w:t>como consecuencia de algunas de las violaciones de derechos ocurridas en  el</w:t>
        <w:br/>
        <w:t>presente caso.</w:t>
        <w:br/>
        <w:br/>
        <w:t>La Corte estima, como lo ha  hecho  en  otros  casos[274],  que  es  preciso</w:t>
        <w:br/>
        <w:t>disponer una medida de reparación que brinde una  atención  adecuada  a  los</w:t>
        <w:br/>
        <w:t>padecimientos psicológicos sufridos  por  las  víctimas,  atendiendo  a  sus</w:t>
        <w:br/>
        <w:t>especificidades. Por lo tanto, habiendo constatado  las  violaciones  y  los</w:t>
        <w:br/>
        <w:t>daños sufridos por las víctimas en el presente caso, el Tribunal dispone  la</w:t>
        <w:br/>
        <w:t>obligación a cargo  del  Estado  de  brindarles  gratuitamente  y  de  forma</w:t>
        <w:br/>
        <w:t>inmediata, hasta por cuatro años, el tratamiento médico  y  psicológico  que</w:t>
        <w:br/>
        <w:t>requieran. En particular, el  tratamiento  psicológico  debe  brindarse  por</w:t>
        <w:br/>
        <w:t>personal  e  instituciones  estatales  especializadas  en  la  atención   de</w:t>
        <w:br/>
        <w:t>víctimas de hechos como los ocurridos en el presente caso. Al proveer  dicho</w:t>
        <w:br/>
        <w:t>tratamiento se deben considerar, además, las  circunstancias  y  necesidades</w:t>
        <w:br/>
        <w:t>particulares de cada víctima, de manera  que  se  les  brinden  tratamientos</w:t>
        <w:br/>
        <w:t>familiares e individuales, según lo que se acuerde con cada  una  de  ellas,</w:t>
        <w:br/>
        <w:t>después de una evaluación individual[275]. Los  tratamientos  deben  incluir</w:t>
        <w:br/>
        <w:t>la provisión de medicamentos y, en su caso, transporte y  otros  gastos  que</w:t>
        <w:br/>
        <w:t>estén directamente relacionados y sean estrictamente necesarios.</w:t>
        <w:br/>
        <w:br/>
        <w:t>En particular, dicho tratamiento se deberá brindar,  en  la  medida  de  las</w:t>
        <w:br/>
        <w:t>posibilidades, en los centros más cercanos a su  lugar  de  residencia.  Las</w:t>
        <w:br/>
        <w:t>víctimas que soliciten esta  medida  de  reparación,  o  sus  representantes</w:t>
        <w:br/>
        <w:t>legales, disponen de un plazo  de  seis  meses,  contados  a  partir  de  la</w:t>
        <w:br/>
        <w:t>notificación de la presente Sentencia, para  dar  a  conocer  al  Estado  su</w:t>
        <w:br/>
        <w:t>intención de recibir atención psicológica o psiquiátrica.</w:t>
        <w:br/>
        <w:br/>
        <w:br/>
        <w:t xml:space="preserve">      2. Satisfacción</w:t>
        <w:br/>
        <w:br/>
        <w:br/>
        <w:br/>
        <w:br/>
        <w:t xml:space="preserve">      1 Publicación de la Sentencia</w:t>
        <w:br/>
        <w:br/>
        <w:br/>
        <w:br/>
        <w:t>La Comisión solicitó a la Corte que ordene al Estado la publicación  de  las</w:t>
        <w:br/>
        <w:t>partes pertinentes de la Sentencia que emita el Tribunal.</w:t>
        <w:br/>
        <w:br/>
        <w:t>En igual sentido,  los  representantes  solicitaron  que  se  publicara  “un</w:t>
        <w:br/>
        <w:t>extracto de los hechos probados y la parte resolutiva completa […]  por  dos</w:t>
        <w:br/>
        <w:t>veces, en días  domingos  sucesivos,  en  los  diarios  ‘El  Mercurio’,  ‘La</w:t>
        <w:br/>
        <w:t>Tercera’, ‘Las Últimas Noticias’ y ‘La Cuarta’”. Además,  solicitaron  a  la</w:t>
        <w:br/>
        <w:t>Corte que  ordene  al  Estado  la  publicación  del  texto  completo  de  la</w:t>
        <w:br/>
        <w:t>Sentencia en la página web inicial del  Poder  Judicial  de  Chile  “por  un</w:t>
        <w:br/>
        <w:t>término no inferior a 6 meses”.</w:t>
        <w:br/>
        <w:br/>
        <w:br/>
        <w:t>El  Estado  no  presentó  ningún  argumento  destinado  a  controvertir   la</w:t>
        <w:br/>
        <w:t>reparación solicitada por la Comisión y los representantes.</w:t>
        <w:br/>
        <w:br/>
        <w:t>Al respecto, la Corte estima, como lo ha dispuesto en otros casos[276],  que</w:t>
        <w:br/>
        <w:t>el Estado deberá publicar, en el plazo de seis meses, contado  a  partir  de</w:t>
        <w:br/>
        <w:t>la notificación de la presente Sentencia:</w:t>
        <w:br/>
        <w:br/>
        <w:t xml:space="preserve">    - el resumen oficial de la presente Sentencia elaborado  por  la  Corte,</w:t>
        <w:br/>
        <w:t xml:space="preserve">      por una sola vez, en el Diario Oficial;</w:t>
        <w:br/>
        <w:br/>
        <w:t xml:space="preserve">    - el resumen oficial de la presente Sentencia elaborado  por  la  Corte,</w:t>
        <w:br/>
        <w:t xml:space="preserve">      por una sola vez, en un diario de amplia circulación nacional, y</w:t>
        <w:br/>
        <w:br/>
        <w:t xml:space="preserve">    - la presente Sentencia en su integridad, disponible por un  período  de</w:t>
        <w:br/>
        <w:t xml:space="preserve">      un año, en un sitio web oficial.</w:t>
        <w:br/>
        <w:br/>
        <w:br/>
        <w:t xml:space="preserve">      b)    Acto público de reconocimiento de responsabilidad internacional</w:t>
        <w:br/>
        <w:br/>
        <w:br/>
        <w:t>La  Comisión  solicitó  a  la  Corte  que  ordene  al  Estado  efectuar   un</w:t>
        <w:br/>
        <w:t>reconocimiento público de responsabilidad internacional.</w:t>
        <w:br/>
        <w:br/>
        <w:t>En similar sentido, los representantes  solicitaron  la  realización  de  un</w:t>
        <w:br/>
        <w:t>acto público de “desagravio” a las víctimas “en forma verbal y escrita”  que</w:t>
        <w:br/>
        <w:t>debería contar con la presencia de las más  altas  autoridades  del  Estado,</w:t>
        <w:br/>
        <w:t>incluyendo “al Presidente de la  República  y  al  Presidente  de  la  Corte</w:t>
        <w:br/>
        <w:t>Suprema”.</w:t>
        <w:br/>
        <w:br/>
        <w:br/>
        <w:t>El Estado no se pronunció respecto a la  solicitud  de  la  Comisión  y  los</w:t>
        <w:br/>
        <w:t>representantes.</w:t>
        <w:br/>
        <w:br/>
        <w:t>La Corte ha determinado que en ciertos casos se justifica  que  los  Estados</w:t>
        <w:br/>
        <w:t>realicen un reconocimiento de responsabilidad  que  debe  realizarse  en  un</w:t>
        <w:br/>
        <w:t>acto público para que surta sus efectos plenos[277].  En  el  presente  caso</w:t>
        <w:br/>
        <w:t>procede adoptar una medida de dicha naturaleza  y  el  Estado  deberá  hacer</w:t>
        <w:br/>
        <w:t>referencia a las violaciones de derechos humanos declaradas en  la  presente</w:t>
        <w:br/>
        <w:t>Sentencia. El Estado deberá asegurar la participación de  las  víctimas  que</w:t>
        <w:br/>
        <w:t>así lo deseen, e invitar al evento a las organizaciones que representaron  a</w:t>
        <w:br/>
        <w:t>las víctimas en las instancias nacionales e internacionales. La  realización</w:t>
        <w:br/>
        <w:t>y demás  particularidades  de  dicha  ceremonia  pública  deben  consultarse</w:t>
        <w:br/>
        <w:t>previa y debidamente con los representantes de las  víctimas.  Para  cumplir</w:t>
        <w:br/>
        <w:t>con esta obligación el Estado cuenta con un plazo de un año a partir  de  la</w:t>
        <w:br/>
        <w:t>notificación de la presente Sentencia.</w:t>
        <w:br/>
        <w:br/>
        <w:t>En cuanto  a  las  autoridades  estatales  que  deberán  estar  presentes  o</w:t>
        <w:br/>
        <w:t>participar en dicho acto, el Tribunal, como lo  ha  hecho  en  otros  casos,</w:t>
        <w:br/>
        <w:t>señala que deberán ser de alto rango.  Corresponderá  al  Estado  definir  a</w:t>
        <w:br/>
        <w:t>quienes se encomienda tal tarea. Sin embargo, deberá existir  representación</w:t>
        <w:br/>
        <w:t>del Poder Judicial en el acto.</w:t>
        <w:br/>
        <w:br/>
        <w:br/>
        <w:t xml:space="preserve">      3.    Garantías de no repetición</w:t>
        <w:br/>
        <w:br/>
        <w:br/>
        <w:t>Los alegatos presentados por la Comisión y los  representantes  referidos  a</w:t>
        <w:br/>
        <w:t>la implementación de garantías de no repetición  guardan  estrecha  relación</w:t>
        <w:br/>
        <w:t>con: i) la capacitación a  funcionarios  públicos,  y  ii)  la  adopción  de</w:t>
        <w:br/>
        <w:t>medidas de derecho  interno,  reformas  y  adecuación  de  leyes  contra  la</w:t>
        <w:br/>
        <w:t>discriminación.</w:t>
        <w:br/>
        <w:br/>
        <w:t>El Estado alegó que “no resultan procedentes” dichas solicitudes “porque  la</w:t>
        <w:br/>
        <w:t>legislación nacional no es discriminatoria”. Consideró  que  “la  aplicación</w:t>
        <w:br/>
        <w:t>de  medidas  de  no  repetición  de  carácter  legislativo   [solamente   se</w:t>
        <w:br/>
        <w:t>justifica,]  cuando  el  tribunal  internacional  declara  que  existe   una</w:t>
        <w:br/>
        <w:t>violación  general  por  parte  de  un  Estado  a  un  derecho  fundamental,</w:t>
        <w:br/>
        <w:t>vulneraciones que no han sido  acreditadas  en  esta  causa  ni  corresponde</w:t>
        <w:br/>
        <w:t>hacerlo, por escaparse del objeto  del  procedimiento”.  Alegó  que  “no  es</w:t>
        <w:br/>
        <w:t>correcta la afirmación” de la  señora  Atala  al  señalar  en  la  audiencia</w:t>
        <w:br/>
        <w:t>pública que “la  sentencia  de  la  Corte  Suprema  ha  generado  una  línea</w:t>
        <w:br/>
        <w:t>jurisprudencial discriminatoria contra las madres  homosexuales  en  juicios</w:t>
        <w:br/>
        <w:t>de custodia de sus hijos”. Asimismo, el Estado mencionó y  anexó  una  serie</w:t>
        <w:br/>
        <w:t>de decisiones judiciales  de  tribunales  de  primera  instancia,  la  Corte</w:t>
        <w:br/>
        <w:t>Suprema de Justicia y el Tribunal Constitucional, para mostrar el  apego  de</w:t>
        <w:br/>
        <w:t>la jurisprudencia nacional al derecho internacional[278].</w:t>
        <w:br/>
        <w:br/>
        <w:t>La Corte resalta que algunos actos discriminatorios analizados en  capítulos</w:t>
        <w:br/>
        <w:t>previos se relacionaron  con  la  reproducción  de  estereotipos  que  están</w:t>
        <w:br/>
        <w:t>asociados a la discriminación estructural e histórica que  han  sufrido  las</w:t>
        <w:br/>
        <w:t>minorías  sexuales  (supra  párr.   92),   particularmente   en   cuestiones</w:t>
        <w:br/>
        <w:t>relacionadas con el acceso  a  la  justicia  y  la  aplicación  del  derecho</w:t>
        <w:br/>
        <w:t>interno. Por ello, algunas de las  reparaciones  deben  tener  una  vocación</w:t>
        <w:br/>
        <w:t>transformadora de dicha situación, de tal forma que  las  mismas  tengan  un</w:t>
        <w:br/>
        <w:t>efecto no  solo  restitutivo  sino  también  correctivo[279]  hacia  cambios</w:t>
        <w:br/>
        <w:t>estructurales  que  desarticulen  aquellos  estereotipos  y  prácticas   que</w:t>
        <w:br/>
        <w:t>perpetúan la discriminación contra la  población  LGTBI.  En  esta  línea  a</w:t>
        <w:br/>
        <w:t>continuación  se  analizarán  las  solicitudes  de   la   Comisión   y   los</w:t>
        <w:br/>
        <w:t>representantes.</w:t>
        <w:br/>
        <w:br/>
        <w:br/>
        <w:t>1 Capacitación a funcionarios públicos</w:t>
        <w:br/>
        <w:br/>
        <w:br/>
        <w:t>La Comisión destacó la  importancia  de  llevar  a  cabo  “capacitaciones  a</w:t>
        <w:br/>
        <w:t>autoridades judiciales” y “la realización de campañas a fin de contribuir  a</w:t>
        <w:br/>
        <w:t>un  ambiente  de  tolerancia  frente  a  una  problemática   que   ha   sido</w:t>
        <w:br/>
        <w:t>invisibilizada”.</w:t>
        <w:br/>
        <w:br/>
        <w:t>Los representantes instaron a la Corte a que dictamine que  el  Estado  debe</w:t>
        <w:br/>
        <w:t>“[i]ncorporar cursos obligatorios sobre [D]erechos  [H]umanos  con  especial</w:t>
        <w:br/>
        <w:t>énfasis  en  temas  de  [g]énero  relacionados  con  la  discriminación  por</w:t>
        <w:br/>
        <w:t>orientación sexual, identidad y expresión de  género”.  A  consideración  de</w:t>
        <w:br/>
        <w:t>los representantes estos cursos “deberán ser impartidos por  la  Corporación</w:t>
        <w:br/>
        <w:t>Administrativa  del  Poder  Judicial  a  todos  los   escalafones”   de   la</w:t>
        <w:br/>
        <w:t>administración  de  justicia.  Además,  solicitaron  la  asignación  de  una</w:t>
        <w:br/>
        <w:t>partida presupuestaria para el Instituto Nacional de  Derechos  Humanos  con</w:t>
        <w:br/>
        <w:t>la finalidad de que dicha institución lleve a cabo programas  de  prevención</w:t>
        <w:br/>
        <w:t>de  “discriminación,  diseminación  y  educación  en  derechos  humanos,   e</w:t>
        <w:br/>
        <w:t>investigaciones”.</w:t>
        <w:br/>
        <w:br/>
        <w:t>El Estado informó que se han llevado a cabo  “[c]apacitaciones  en  materias</w:t>
        <w:br/>
        <w:t>de [d]iversidad y  no  [d]iscriminación,  especialmente  a  funcionarios  de</w:t>
        <w:br/>
        <w:t>diversas  reparticiones  públicas  a  lo  largo  del  territorio   nacional,</w:t>
        <w:br/>
        <w:t>buscando  la  difusión  de  los   diferentes   instrumentos   nacionales   e</w:t>
        <w:br/>
        <w:t>internacionales de protección de la diversidad”.</w:t>
        <w:br/>
        <w:br/>
        <w:t>El Tribunal toma nota de los desarrollos llevados a cabo por  el  Estado  en</w:t>
        <w:br/>
        <w:t>materia de programas y acciones de  capacitación  dirigidos  a  capacitar  a</w:t>
        <w:br/>
        <w:t>funcionarios públicos. Sin perjuicio de lo anterior, la Corte ordena que  el</w:t>
        <w:br/>
        <w:t>Estado continúe implementando programas y cursos permanentes de educación  y</w:t>
        <w:br/>
        <w:t>capacitación  en:   i)   derechos   humanos,   orientación   sexual   y   no</w:t>
        <w:br/>
        <w:t>discriminación; ii) protección de los derechos  de  la  comunidad  LGBTI,  y</w:t>
        <w:br/>
        <w:t>iii) discriminación, superación de estereotipos de género en  contra  de  la</w:t>
        <w:br/>
        <w:t>población LGTBI. Los cursos deben estar dirigido a funcionarios  públicos  a</w:t>
        <w:br/>
        <w:t>nivel regional y nacional, y particularmente a  funcionarios  judiciales  de</w:t>
        <w:br/>
        <w:t>todas las áreas y escalafones de la rama judicial.</w:t>
        <w:br/>
        <w:br/>
        <w:t>Dentro de dichos programas y  cursos  de  capacitación  deberá  hacerse  una</w:t>
        <w:br/>
        <w:t>especial mención a la presente Sentencia y a los  diversos  precedentes  del</w:t>
        <w:br/>
        <w:t>corpus iuris de los derechos humanos  relativos  a  la  proscripción  de  la</w:t>
        <w:br/>
        <w:t>discriminación por orientación  sexual  y  a  la  obligación  de  todas  las</w:t>
        <w:br/>
        <w:t>autoridades y  funcionarios  de  garantizar  que  todas  las  personas,  sin</w:t>
        <w:br/>
        <w:t>discriminación por su orientación sexual, puedan gozar de todos y  cada  uno</w:t>
        <w:br/>
        <w:t>de los  derechos  establecidos  en  la  Convención.  Debe  ponerse  especial</w:t>
        <w:br/>
        <w:t>atención para este efecto, en normas o prácticas en el derecho interno  que,</w:t>
        <w:br/>
        <w:t>sea  intencionalmente  o  por   sus   resultados,   pueden   tener   efectos</w:t>
        <w:br/>
        <w:t>discriminatorios en el ejercicio de derechos por personas  pertenecientes  a</w:t>
        <w:br/>
        <w:t>las minorías sexuales.</w:t>
        <w:br/>
        <w:br/>
        <w:br/>
        <w:t xml:space="preserve">      b)    Adopción de medidas de derecho interno, reformas y adecuación de</w:t>
        <w:br/>
        <w:t xml:space="preserve">           leyes contra la discriminación</w:t>
        <w:br/>
        <w:br/>
        <w:br/>
        <w:t>La Comisión solicitó a la Corte que ordene al Estado  chileno  “la  adopción</w:t>
        <w:br/>
        <w:t>de medidas correctivas como legislación,  políticas  públicas,  programas  y</w:t>
        <w:br/>
        <w:t>directivas para prohibir y  erradicar  la  discriminación  con  base  en  la</w:t>
        <w:br/>
        <w:t>orientación sexual en todas las esferas del  ejercicio  del  poder  público,</w:t>
        <w:br/>
        <w:t>incluyendo la administración de justicia”.</w:t>
        <w:br/>
        <w:br/>
        <w:t>Los representantes solicitaron a la Corte que  dicte  medidas  tendientes  a</w:t>
        <w:br/>
        <w:t>reformar la legislación existente en Chile. En específico, solicitó  que  se</w:t>
        <w:br/>
        <w:t>enviara un “Mensaje de Suma Urgencia”  al  proyecto  de  ley  que  establece</w:t>
        <w:br/>
        <w:t>medidas contra la discriminación (Boletín 3815-07) con  el  fin  de  que  en</w:t>
        <w:br/>
        <w:t>dicho proyecto de  ley  se  proscriba  expresamente  la  discriminación  por</w:t>
        <w:br/>
        <w:t>orientación sexual y se “preve[an] recursos legales  para  reclamar  por  su</w:t>
        <w:br/>
        <w:t>vulneración”. Por otro lado, los representantes exigieron la  derogatoria  y</w:t>
        <w:br/>
        <w:t>modificación de toda la normativa  que  “al  tenor  del  artículo  2  de  la</w:t>
        <w:br/>
        <w:t>Convención entrarí[a] en conflicto con el derecho a la  igualdad  entre  las</w:t>
        <w:br/>
        <w:t>personas,  perpetuando  y  validando  la  discriminación   por   orientación</w:t>
        <w:br/>
        <w:t>sexual”.</w:t>
        <w:br/>
        <w:br/>
        <w:br/>
        <w:t>El Estado indicó  que  la  decisión  de  la  Corte  Suprema  no  supone  “la</w:t>
        <w:br/>
        <w:t>presencia de  una  práctica  constante  y  amparada  en  la  ley  (o  en  la</w:t>
        <w:br/>
        <w:t>insuficiente  regulación  de  ésta)  que  permita  […]  a   los   tribunales</w:t>
        <w:br/>
        <w:t>nacionales  […]   interpret[ar]    las   normas   de   tuición   de   manera</w:t>
        <w:br/>
        <w:t>discriminatoria respecto de la  orientación  sexual  de  los  progenitores”.</w:t>
        <w:br/>
        <w:t>Agregó que “la  legislación  chilena  en  materia  de  determinación  de  la</w:t>
        <w:br/>
        <w:t>tuición no establece discriminación […] directa ni indirecta por  la  opción</w:t>
        <w:br/>
        <w:t>sexual de los padres”.</w:t>
        <w:br/>
        <w:br/>
        <w:br/>
        <w:t>Por otro lado, el Estado expresó que el derecho a la igualdad  se  encuentra</w:t>
        <w:br/>
        <w:t>garantizado con  amplitud  en  la  Constitución  de  Chile,  a  saber,  “los</w:t>
        <w:br/>
        <w:t>artículos 1º, 5º, 19 No. 2, 19 No. 3, 19 No. 17, 19 No. 20 y 19  No.  22  de</w:t>
        <w:br/>
        <w:t>la  Carta  Fundamental”  y  “una  acción  de  protección  para  asegurar  su</w:t>
        <w:br/>
        <w:t>protección eficaz en el  artículo  20”.  Además,  precisó  que  el  Congreso</w:t>
        <w:br/>
        <w:t>Nacional discute actualmente un proyecto  de  ley  sobre  no  discriminación</w:t>
        <w:br/>
        <w:t>(Boletín Nº 3815-07) que establece “de manera  expresa”  ciertas  categorías</w:t>
        <w:br/>
        <w:t>prohibidas de discriminación y “otra  acción  judicial  para  garantizar  su</w:t>
        <w:br/>
        <w:t>adecuada  protección  y  respeto”.  En  igual  sentido,  en   relación   con</w:t>
        <w:br/>
        <w:t>iniciativas legislativas, expresó que el Gobierno  de  Chile  ha  presentado</w:t>
        <w:br/>
        <w:t>“el proyecto de ley acuerdo de vida en  pareja  (Boletín  Nº  7873-07)”  que</w:t>
        <w:br/>
        <w:t>busca “mejorar a nivel legal las condiciones de igualdad entre personas  con</w:t>
        <w:br/>
        <w:t>distintas orientaciones sexuales”. El Estado allegó como  prueba  documental</w:t>
        <w:br/>
        <w:t>un informe elaborado por el señor Claudio Nash, en el cual se señala que  la</w:t>
        <w:br/>
        <w:t>legislación chilena en materia de determinación de la tuición  no  establece</w:t>
        <w:br/>
        <w:t>discriminación directa o indirecta por la orientación sexual de  los  padres</w:t>
        <w:br/>
        <w:t>y que la ley procedimental no  señala  que  la  orientación  sexual  de  los</w:t>
        <w:br/>
        <w:t>padres “los incapacite para desempeñar su rol”.</w:t>
        <w:br/>
        <w:br/>
        <w:t>Asimismo, el Estado indicó que actualmente existen  “innumerables  políticas</w:t>
        <w:br/>
        <w:t>públicas,  programas  y  directivas  estatales  destinados  a  erradicar  la</w:t>
        <w:br/>
        <w:t>discriminación en todas sus  formas,  incluyendo  aquella  con  base  en  la</w:t>
        <w:br/>
        <w:t>orientación sexual”. Refirió que la  Dirección  de  Organizaciones  Sociales</w:t>
        <w:br/>
        <w:t>del  Ministerio  Secretaría  General  de  Gobierno   preparó   el   Programa</w:t>
        <w:br/>
        <w:t>Diversidad Sexual 2011 que tiene como finalidad “[p]romover una política  de</w:t>
        <w:br/>
        <w:t>respeto  por  todas   las   personas   […]   velando   porque   no   existan</w:t>
        <w:br/>
        <w:t>discriminaciones arbitrarias contra las minorías”.</w:t>
        <w:br/>
        <w:br/>
        <w:t>El Estado manifestó, respecto a sus políticas públicas de  lucha  contra  la</w:t>
        <w:br/>
        <w:t>discriminación,  que  la  División  de  Organizaciones   Sociales   (“DOS”),</w:t>
        <w:br/>
        <w:t>adscrita  al  Ministerio  Secretaría  General   de   Gobierno,   ha   venido</w:t>
        <w:br/>
        <w:t>implementando desde el año 2000 el  programa  denominado  “Tolerancia  y  no</w:t>
        <w:br/>
        <w:t>discriminación”. El Estado informó que en  el  año  2006  este  programa  se</w:t>
        <w:br/>
        <w:t>convirtió en  el  Departamento  de  Diversidad  y  no  Discriminación,  para</w:t>
        <w:br/>
        <w:t>promover la integración  social  de  personas  y  grupos  vulnerables  a  la</w:t>
        <w:br/>
        <w:t>discriminación, incluyendo la orientación sexual como uno de  los  criterios</w:t>
        <w:br/>
        <w:t>de discriminación contemplados. Dicho departamento, actuando a través de  la</w:t>
        <w:br/>
        <w:t>Sección No Discriminación y la Sección Diversidad, ha  realizado  una  serie</w:t>
        <w:br/>
        <w:t>de programas, proyectos y actividades para promover la no discriminación  de</w:t>
        <w:br/>
        <w:t>minorías sexuales[280].</w:t>
        <w:br/>
        <w:br/>
        <w:t>Consideraciones de la Corte</w:t>
        <w:br/>
        <w:br/>
        <w:t>La Corte recuerda que el artículo 2 de la Convención obliga  a  los  Estados</w:t>
        <w:br/>
        <w:t>Parte a adoptar, con arreglo a sus procedimientos constitucionales y  a  las</w:t>
        <w:br/>
        <w:t>disposiciones de la Convención, las medidas legislativas o de otro  carácter</w:t>
        <w:br/>
        <w:t>que fueren  necesarias  para  hacer  efectivos  los  derechos  y  libertades</w:t>
        <w:br/>
        <w:t>protegidos por la Convención[281]. Es decir, los Estados no sólo  tienen  la</w:t>
        <w:br/>
        <w:t>obligación positiva de adoptar  las  medidas  legislativas  necesarias  para</w:t>
        <w:br/>
        <w:t>garantizar el ejercicio de  los  derechos  en  ella  consagrados,  sino  que</w:t>
        <w:br/>
        <w:t>también  deben  evitar  promulgar  aquellas  leyes  que  impidan  el   libre</w:t>
        <w:br/>
        <w:t>ejercicio de estos derechos, y evitar  que  se  supriman  o  modifiquen  las</w:t>
        <w:br/>
        <w:t>leyes que los protegen[282].</w:t>
        <w:br/>
        <w:br/>
        <w:t>En el presente caso, la Corte se limitó a  examinar  la  relación  entre  la</w:t>
        <w:br/>
        <w:t>aplicación judicial de ciertas normas  con  prácticas  discriminatorias.  El</w:t>
        <w:br/>
        <w:t>Tribunal no analizó la  compatibilidad  de  una  determinada  norma  con  la</w:t>
        <w:br/>
        <w:t>Convención Americana ni  fue  ello  materia  de  este  caso.  Asimismo,  los</w:t>
        <w:br/>
        <w:t>representantes no aportaron elementos suficientes que permitan  inferir  que</w:t>
        <w:br/>
        <w:t>las violaciones se hayan derivado de un problema de las leyes en sí  mismas.</w:t>
        <w:br/>
        <w:t>Por tanto, la Corte considera que no es pertinente,  en  las  circunstancias</w:t>
        <w:br/>
        <w:t>del presente caso, ordenar la adopción, modificación o adecuación de  normas</w:t>
        <w:br/>
        <w:t>específicas de derecho interno.</w:t>
        <w:br/>
        <w:br/>
        <w:t>De otra parte, conforme lo ha establecido en su jurisprudencia previa,  este</w:t>
        <w:br/>
        <w:t>Tribunal recuerda que es  consciente  que  las  autoridades  internas  están</w:t>
        <w:br/>
        <w:t>sujetas al imperio de la ley y, por ello,  están  obligadas  a  aplicar  las</w:t>
        <w:br/>
        <w:t>disposiciones vigentes en el  ordenamiento  jurídico[283].  Pero  cuando  un</w:t>
        <w:br/>
        <w:t>Estado es Parte de un tratado internacional como  la  Convención  Americana,</w:t>
        <w:br/>
        <w:t>todos sus órganos, incluidos sus jueces y  demás  órganos  vinculados  a  la</w:t>
        <w:br/>
        <w:t>administración de justicia, también están sometidos a  aquél,  lo  cual  les</w:t>
        <w:br/>
        <w:t>obliga a velar para que los efectos de las disposiciones  de  la  Convención</w:t>
        <w:br/>
        <w:t>no se vean mermados por la aplicación de normas contrarias  a  su  objeto  y</w:t>
        <w:br/>
        <w:t>fin.</w:t>
        <w:br/>
        <w:br/>
        <w:t>Los jueces y órganos vinculados a la administración  de  justicia  en  todos</w:t>
        <w:br/>
        <w:t>los niveles están en la obligación de ejercer  ex  officio  un  “control  de</w:t>
        <w:br/>
        <w:t>convencionalidad” entre las normas internas y la  Convención  Americana,  en</w:t>
        <w:br/>
        <w:t>el marco de sus respectivas competencias y de  las  regulaciones  procesales</w:t>
        <w:br/>
        <w:t>correspondientes. En esta tarea,  los  jueces  y  órganos  vinculados  a  la</w:t>
        <w:br/>
        <w:t>administración de justicia deben tener en cuenta no  solamente  el  tratado,</w:t>
        <w:br/>
        <w:t>sino  también  la  interpretación  que  del  mismo   ha   hecho   la   Corte</w:t>
        <w:br/>
        <w:t>Interamericana, intérprete última de la Convención Americana[284].</w:t>
        <w:br/>
        <w:br/>
        <w:t>Así, por ejemplo, tribunales de la más alta jerarquía en  la  región,  tales</w:t>
        <w:br/>
        <w:t>como la Sala Constitucional  de  la  Corte  Suprema  de  Justicia  de  Costa</w:t>
        <w:br/>
        <w:t>Rica[285], el Tribunal Constitucional de Bolivia[286], la Suprema  Corte  de</w:t>
        <w:br/>
        <w:t>Justicia  de  República  Dominicana[287],  el  Tribunal  Constitucional  del</w:t>
        <w:br/>
        <w:t>Perú[288], la Corte Suprema de Justicia de la Nación de  Argentina[289],  la</w:t>
        <w:br/>
        <w:t>Corte Constitucional de Colombia[290], la Suprema  Corte  de  la  Nación  de</w:t>
        <w:br/>
        <w:t>México[291] y la  Corte  Suprema  de  Panamá[292]  se  han  referido  y  han</w:t>
        <w:br/>
        <w:t>aplicado el control de convencionalidad teniendo en cuenta  interpretaciones</w:t>
        <w:br/>
        <w:t>efectuadas por la Corte Interamericana.</w:t>
        <w:br/>
        <w:br/>
        <w:t>En conclusión, con base en el control de convencionalidad, es necesario  que</w:t>
        <w:br/>
        <w:t>las  interpretaciones  judiciales  y   administrativas   y   las   garantías</w:t>
        <w:br/>
        <w:t>judiciales se apliquen adecuándose  a  los  principios  establecidos  en  la</w:t>
        <w:br/>
        <w:t>jurisprudencia de este  Tribunal  en  el  presente  caso[293].  Ello  es  de</w:t>
        <w:br/>
        <w:t>particular relevancia en relación  con  lo  señalado  en  el  presente  caso</w:t>
        <w:br/>
        <w:t>respecto a la proscripción de la discriminación por  la  orientación  sexual</w:t>
        <w:br/>
        <w:t>de la persona de  acuerdo  a  lo  estipulado  en  el  artículo  1.1.  de  la</w:t>
        <w:br/>
        <w:t>Convención Americana (supra apartado C.2).</w:t>
        <w:br/>
        <w:br/>
        <w:br/>
        <w:t>D.    Indemnización Compensatoria por daño material e inmaterial</w:t>
        <w:br/>
        <w:br/>
        <w:br/>
        <w:t>La Corte  ha  desarrollado  en  su  jurisprudencia  los  conceptos  de  daño</w:t>
        <w:br/>
        <w:t>material[294]  e  inmaterial[295]  y  los  supuestos  en   que   corresponde</w:t>
        <w:br/>
        <w:t>indemnizarlos.</w:t>
        <w:br/>
        <w:br/>
        <w:br/>
        <w:t xml:space="preserve">      1.    Daño material</w:t>
        <w:br/>
        <w:br/>
        <w:br/>
        <w:t>La Comisión solicitó a la  Corte  que  “fije  en  equidad  el  monto  de  la</w:t>
        <w:br/>
        <w:t>indemnización correspondiente al daño material […] causado”.</w:t>
        <w:br/>
        <w:br/>
        <w:t>Los representantes solicitaron el pago de “daños emergentes, que [la  señora</w:t>
        <w:br/>
        <w:t>Atala] ha tenido o tendrá que sufragar en el futuro, así como la pérdida  de</w:t>
        <w:br/>
        <w:t>legítimas ganancias o utilidades que ha dejado y dejará de  percibir”.  Esta</w:t>
        <w:br/>
        <w:t>reparación supondría:</w:t>
        <w:br/>
        <w:br/>
        <w:br/>
        <w:t xml:space="preserve">      i)     gastos  relacionados  con   la   “asistencia   psiquiátrica   y</w:t>
        <w:br/>
        <w:t xml:space="preserve">      terapéutica  […]  y   la   correlativa   prescripción   de   numerosos</w:t>
        <w:br/>
        <w:t xml:space="preserve">      medicamentos […] en los que ha incurrido la peticionaria y los que  se</w:t>
        <w:br/>
        <w:t xml:space="preserve">      estima  se  generará[n]  en  el  futuro”,  gastos  que  ascenderían  a</w:t>
        <w:br/>
        <w:t xml:space="preserve">      US$62.205 (sesenta y dos mil doscientos cinco dólares de  los  Estados</w:t>
        <w:br/>
        <w:t xml:space="preserve">      Unidos de América);</w:t>
        <w:br/>
        <w:br/>
        <w:br/>
        <w:t xml:space="preserve">      ii)   gastos de transporte, teniendo en cuenta que  las  hijas  de  la</w:t>
        <w:br/>
        <w:t xml:space="preserve">      señora Atala viven en Temuco y que “la proyección que  h[icieron]  con</w:t>
        <w:br/>
        <w:t xml:space="preserve">      relación a los gastos futuros, está calculada hasta el cumplimiento de</w:t>
        <w:br/>
        <w:t xml:space="preserve">      la mayoría de edad de la menor” de las niñas, gastos que ascenderían a</w:t>
        <w:br/>
        <w:t xml:space="preserve">      US$38.752 (treinta y ocho mil setecientos cincuenta y dos  dólares  de</w:t>
        <w:br/>
        <w:t xml:space="preserve">      los Estados Unidos de América), y</w:t>
        <w:br/>
        <w:br/>
        <w:br/>
        <w:t xml:space="preserve">      iii)  respecto al lucro cesante, los representantes  alegaron  que  la</w:t>
        <w:br/>
        <w:t xml:space="preserve">      señora Atala no pudo  disponer  adecuadamente  de  un  bien  inmueble,</w:t>
        <w:br/>
        <w:t xml:space="preserve">      ubicado en la ciudad de Villarrica, debido al tiempo que ha  mantenido</w:t>
        <w:br/>
        <w:t xml:space="preserve">      el régimen periódico de visitas. Argumentaron que la víctima  no  pudo</w:t>
        <w:br/>
        <w:t xml:space="preserve">      arrendar  dicho  inmueble  ni  obtener  una  utilidad  de  ello.   Los</w:t>
        <w:br/>
        <w:t xml:space="preserve">      representantes consideraron que el cálculo debe ser hecho en equidad y</w:t>
        <w:br/>
        <w:t xml:space="preserve">      hasta la fecha en que la menor de las niñas cumpla la mayoría de edad.</w:t>
        <w:br/>
        <w:t xml:space="preserve">      Al respecto, solicitaron el pago de la suma de  US$96.600  (noventa  y</w:t>
        <w:br/>
        <w:t xml:space="preserve">      seis mil seiscientos  dólares  de  los  Estados  Unidos  de  América),</w:t>
        <w:br/>
        <w:t xml:space="preserve">      basando esta pretensión en un cálculo que toma en cuenta el  pago  del</w:t>
        <w:br/>
        <w:t xml:space="preserve">      último dividendo de la señora Atala por la casa, considerando  que  el</w:t>
        <w:br/>
        <w:t xml:space="preserve">      pago del dividendo equivale en la mayoría de los casos a la  renta  de</w:t>
        <w:br/>
        <w:t xml:space="preserve">      arrendamiento. Alegaron que “esta  ganancia  legítima  […]  se  habría</w:t>
        <w:br/>
        <w:t xml:space="preserve">      producido de no mediar la decisión arbitraria de la Corte Suprema  que</w:t>
        <w:br/>
        <w:t xml:space="preserve">      determinó la separación de sus hijas”.</w:t>
        <w:br/>
        <w:br/>
        <w:br/>
        <w:t>Para el Estado, al no existir acto discriminatorio alguno, “no proceden  las</w:t>
        <w:br/>
        <w:t>indemnizaciones  solicitadas”.  Asimismo,  alegó,  en  referencia  al   caso</w:t>
        <w:br/>
        <w:t>Salgueiro da Silva Mouta Vs. Portugal, que el Tribunal  Europeo  “no  otorgó</w:t>
        <w:br/>
        <w:t>ninguna  compensación  [pues]  el  haber[se]  declarado  que   existió   una</w:t>
        <w:br/>
        <w:t>violación  […]  constituy[ó]  en  sí  mism[a]  una  justa  compensación  con</w:t>
        <w:br/>
        <w:t>respecto a los daños que se alega[ron]”. Finalmente, el Estado  expresó  que</w:t>
        <w:br/>
        <w:t>buscó alcanzar un acuerdo amistoso “que no logró concretarse debido a  lo[s]</w:t>
        <w:br/>
        <w:t>elevados […] montos  solicitados  por  la  presunta  víctima,  [que]  no  se</w:t>
        <w:br/>
        <w:t>condecían con la magnitud del alegado daño”.</w:t>
        <w:br/>
        <w:br/>
        <w:t>La Corte ha desarrollado en su jurisprudencia el concepto de  daño  material</w:t>
        <w:br/>
        <w:t>y ha establecido que éste supone “la pérdida o detrimento  de  los  ingresos</w:t>
        <w:br/>
        <w:t>de las víctimas, los gastos efectuados  con  motivo  de  los  hechos  y  las</w:t>
        <w:br/>
        <w:t>consecuencias de carácter pecuniario que  tengan  un  nexo  causal  con  los</w:t>
        <w:br/>
        <w:t>hechos del caso”[296].</w:t>
        <w:br/>
        <w:br/>
        <w:t>En relación  con  el  presunto  lucro  cesante  generado  por  las  pérdidas</w:t>
        <w:br/>
        <w:t>económicas de la señora Atala por  no  haber  podido  arrendar  su  casa  en</w:t>
        <w:br/>
        <w:t>Villarrica u obtener otra utilidad  de  dicha  casa  ante  la  necesidad  de</w:t>
        <w:br/>
        <w:t>disponer de ella  durante  las  visitas  a  sus  hijas,  los  representantes</w:t>
        <w:br/>
        <w:t>basaron sus pretensiones en un cuadro que abarca  el  período  de  junio  de</w:t>
        <w:br/>
        <w:t>2004 a diciembre de 2010, y de enero de 2011 a octubre 2017, cuando la  hija</w:t>
        <w:br/>
        <w:t>menor de la señora Atala cumpla  la  mayoría  de  edad.  Los  representantes</w:t>
        <w:br/>
        <w:t>cuantificaron el lucro cesante en  US$47.400  (equivalente  a  $  23.700.000</w:t>
        <w:br/>
        <w:t>pesos  chilenos)  para  el  primer  período,  y  US$49.200  (equivalente   a</w:t>
        <w:br/>
        <w:t>$24.600.000 pesos chilenos), para un total de US$96.600.  Indicaron  que  la</w:t>
        <w:br/>
        <w:t>Corte debe utilizar el mencionado cuadro como  orientación  para  fijar  una</w:t>
        <w:br/>
        <w:t>estimación de las ganancias perdidas con base en el criterio de equidad.</w:t>
        <w:br/>
        <w:br/>
        <w:t>El criterio de equidad ha sido utilizado en la jurisprudencia de esta  Corte</w:t>
        <w:br/>
        <w:t>para  la  cuantificación  de   daños   inmateriales[297],   de   los   daños</w:t>
        <w:br/>
        <w:t>materiales[298] y para fijar el lucro cesante[299].  Sin  embargo,  al  usar</w:t>
        <w:br/>
        <w:t>este criterio ello no significa que la Corte pueda actuar  discrecionalmente</w:t>
        <w:br/>
        <w:t>al fijar los montos indemnizatorios[300]. Corresponde a las partes  precisar</w:t>
        <w:br/>
        <w:t>claramente la prueba del daño sufrido así como la relación específica de  la</w:t>
        <w:br/>
        <w:t>pretensión pecuniaria con los hechos del  caso  y  las  violaciones  que  se</w:t>
        <w:br/>
        <w:t>alegan. En el presente caso, los representantes se limitaron  a  anexar  una</w:t>
        <w:br/>
        <w:t>copia del pago del último dividendo de la señora  Atala  por  la  mencionada</w:t>
        <w:br/>
        <w:t>casa y un listado de los valores diarios de la Unidad de Fomento  del  Banco</w:t>
        <w:br/>
        <w:t>Central[301].  El  Tribunal   considera   que   ello   no   constituye   una</w:t>
        <w:br/>
        <w:t>argumentación suficientemente detallada y clara para determinar la  relación</w:t>
        <w:br/>
        <w:t>entre  las  mencionadas  unidades  de  fomento,  el   pago   del   dividendo</w:t>
        <w:br/>
        <w:t>hipotecario, el cuadro demostrativo de las ganancias dejadas de  percibir  y</w:t>
        <w:br/>
        <w:t>la cantidad de lucro cesante que, por este concepto, se solicita sea  fijada</w:t>
        <w:br/>
        <w:t>en equidad por la Corte.</w:t>
        <w:br/>
        <w:br/>
        <w:t>Además, dado que debe existir un nexo causal  entre  los  hechos  analizados</w:t>
        <w:br/>
        <w:t>por el Tribunal, las violaciones  declaradas  anteriormente  y  el  presunto</w:t>
        <w:br/>
        <w:t>lucro cesante (supra  párrs.  287  y  291),  la  Corte  reitera  que  no  le</w:t>
        <w:br/>
        <w:t>corresponde realizar una ponderación de la prueba obrante en  el  expediente</w:t>
        <w:br/>
        <w:t>de tuición del presente caso referente a cuál de  los  padres  de  las  tres</w:t>
        <w:br/>
        <w:t>niñas ofrecía  un  mejor  hogar  para  las  mismas.  Por  lo  tanto,  no  es</w:t>
        <w:br/>
        <w:t>procedente  que  el  Tribunal  se  pronuncie  sobre  la  afirmación  de  los</w:t>
        <w:br/>
        <w:t>representantes en el sentido que la pérdida de ganancias respecto a la  casa</w:t>
        <w:br/>
        <w:t>de Villarrica no se habría producido sin la sentencia de  la  Corte  Suprema</w:t>
        <w:br/>
        <w:t>de Justicia.</w:t>
        <w:br/>
        <w:br/>
        <w:t>Similar conclusión se extiende al análisis de los gastos  de  transporte  de</w:t>
        <w:br/>
        <w:t>la señora Atala destinados a la visita de sus hijas. En efecto, si la  Corte</w:t>
        <w:br/>
        <w:t>no ha entrado a determinar a cuál de los padres le correspondía la  tuición,</w:t>
        <w:br/>
        <w:t>tampoco puede valorar el impacto económico del régimen de visitas fijado  en</w:t>
        <w:br/>
        <w:t>las decisiones judiciales internas sobre la tuición.</w:t>
        <w:br/>
        <w:br/>
        <w:t>Finalmente, en relación a los gastos relacionados con el tratamiento  médico</w:t>
        <w:br/>
        <w:t>y la compra de  medicamentos,  la  Corte  observa  que  obra  prueba  en  el</w:t>
        <w:br/>
        <w:t>expediente respecto a dichos gastos y su relación con los efectos  que  tuvo</w:t>
        <w:br/>
        <w:t>en la señora Atala la pérdida de la tuición de sus niñas[302].  El  Tribunal</w:t>
        <w:br/>
        <w:t>considera que dicha prueba es razonable para concluir  que  las  violaciones</w:t>
        <w:br/>
        <w:t>declaradas  en  la  presente  Sentencia  pudieron  tener  efectos  negativos</w:t>
        <w:br/>
        <w:t>respecto al bienestar emocional  y  psicológico  de  la  señora  Atala.  Sin</w:t>
        <w:br/>
        <w:t>embargo, el monto solicitado  por  los  gastos  en  medicamentos  realizados</w:t>
        <w:br/>
        <w:t>hasta 2010 (US$ 14.378) no se desprende de manera clara de los  certificados</w:t>
        <w:br/>
        <w:t>anexados. De otra parte, la  Corte  observa  que  la  señora  Atala  recibía</w:t>
        <w:br/>
        <w:t>atención médica por la afectación de su salud desde  antes  del  proceso  de</w:t>
        <w:br/>
        <w:t>tuición. Por lo tanto, la  Corte  no  puede  determinar  con  precisión  qué</w:t>
        <w:br/>
        <w:t>componentes del tratamiento médico se relacionaron  exclusivamente  con  las</w:t>
        <w:br/>
        <w:t>afectaciones sufridas por las violaciones declaradas en  el  presente  caso.</w:t>
        <w:br/>
        <w:t>Respecto al pago de  los  gastos  futuros  del  tratamiento  médico  por  el</w:t>
        <w:br/>
        <w:t>periodo 2012-2017, la Corte considera que  dicho  gasto  será  cubierto  por</w:t>
        <w:br/>
        <w:t>medio de la implementación de la  medida  de  rehabilitación  de  asistencia</w:t>
        <w:br/>
        <w:t>médica y psicológica ya ordenada (supra párr. 254 y 255). Por lo  tanto,  la</w:t>
        <w:br/>
        <w:t>Corte fija, con base en un criterio de equidad, la suma de  US$  10.000  por</w:t>
        <w:br/>
        <w:t>concepto de los gastos ya realizados por atención médica y psicológica.</w:t>
        <w:br/>
        <w:br/>
        <w:br/>
        <w:t xml:space="preserve">      2.    Daño inmaterial</w:t>
        <w:br/>
        <w:br/>
        <w:br/>
        <w:t>La Comisión solicitó que se fije en equidad el  monto  de  la  indemnización</w:t>
        <w:br/>
        <w:t>correspondiente al daño inmaterial causado.</w:t>
        <w:br/>
        <w:br/>
        <w:t>Los representantes solicitaron a la Corte que ordene al Estado  el  pago  de</w:t>
        <w:br/>
        <w:t>“una indemnización pecuniaria” que repare el “sufrimiento y las  aflicciones</w:t>
        <w:br/>
        <w:t>que  ha  causado  la  vulneración  de  [los]  derechos  fundamentales”,   el</w:t>
        <w:br/>
        <w:t>“detrimento  ostensible  en  el   proyecto   de   vida”   y   el   “doloroso</w:t>
        <w:br/>
        <w:t>distanciamiento y la pérdida recíproca de madre e hijas”.  La  solicitud  de</w:t>
        <w:br/>
        <w:t>indemnización por daño inmaterial asciende a US$ 100.000 (cien  mil  dólares</w:t>
        <w:br/>
        <w:t>de los Estados Unidos de América) para cada una de las víctimas.</w:t>
        <w:br/>
        <w:br/>
        <w:t>El Estado reiteró los  argumentos  esgrimidos  sobre  daño  material  (supra</w:t>
        <w:br/>
        <w:t>párr. 288).</w:t>
        <w:br/>
        <w:br/>
        <w:t>La Corte observa que  en  la  audiencia  pública  la  señora  Atala  señaló,</w:t>
        <w:br/>
        <w:t>respecto a la investigación disciplinaria  efectuada  en  su  contra  (supra</w:t>
        <w:br/>
        <w:t>párr. 227), que se sintió “profundamente humillada, expuesta, como que  [la]</w:t>
        <w:br/>
        <w:t>hubieran desnudado y arrojado a la plaza pública”. Por  otro  lado,  expresó</w:t>
        <w:br/>
        <w:t>que la decisión de la Corte Suprema de Chile  que  resolvió  el  recurso  de</w:t>
        <w:br/>
        <w:t>queja tuvo incidencia directa en su identidad de madre al  privarle  de  sus</w:t>
        <w:br/>
        <w:t>hijas  por  ser  lesbiana,  provocándole  “humillación  […]   como   mujer”,</w:t>
        <w:br/>
        <w:t>estigmatizándola como “incapaz” para  ser  madre  y  “criar  a  sus  propios</w:t>
        <w:br/>
        <w:t>hijos”. Además,  la  víctima  manifestó  que  a  causa  de  las  violaciones</w:t>
        <w:br/>
        <w:t>ocurridas  en  el  presente  caso  su  reputación,  actividad   profesional,</w:t>
        <w:br/>
        <w:t>relaciones sociales  y  familiares  se  vieron  afectadas.  Finalmente,  las</w:t>
        <w:br/>
        <w:t>peritos que efectuaron una evaluación psicológica de la señora  Atala  y  de</w:t>
        <w:br/>
        <w:t>las niñas M., V. y R. diagnosticaron diversos  daños  relacionados  con  los</w:t>
        <w:br/>
        <w:t>hechos de discriminación y afectación a la vida privada y familiar  que  han</w:t>
        <w:br/>
        <w:t>sido mencionados en esta Sentencia.</w:t>
        <w:br/>
        <w:br/>
        <w:t>Al respecto, la Corte observa que las violaciones  declaradas  generaron  en</w:t>
        <w:br/>
        <w:t>las  víctimas  diversos  daños  en  su  cotidianidad,  diversos  niveles  de</w:t>
        <w:br/>
        <w:t>estigmatización y desasosiego. En atención a las  indemnizaciones  ordenadas</w:t>
        <w:br/>
        <w:t>por el Tribunal en otros casos, y en  consideración  de  las  circunstancias</w:t>
        <w:br/>
        <w:t>del presente caso, los sufrimientos ocasionados a las víctimas, así como  el</w:t>
        <w:br/>
        <w:t>cambio en las condiciones de vida y las  restantes  consecuencias  de  orden</w:t>
        <w:br/>
        <w:t>inmaterial que sufrieron, la Corte estima pertinente fijar, en  equidad,  la</w:t>
        <w:br/>
        <w:t>cantidad de US$  20.000  (veinte  mil  dólares  de  los  Estados  Unidos  de</w:t>
        <w:br/>
        <w:t>América) para la señora Atala y de US$  10.000  (diez  mil  dólares  de  los</w:t>
        <w:br/>
        <w:t>Estados Unidos de América) para cada una de  las  niñas  M.,  V.  y  R.  por</w:t>
        <w:br/>
        <w:t>concepto de indemnización por daño inmaterial.</w:t>
        <w:br/>
        <w:br/>
        <w:br/>
        <w:t>E.    Costas y gastos</w:t>
        <w:br/>
        <w:br/>
        <w:br/>
        <w:t>Como ya lo ha señalado la Corte en oportunidades anteriores,  las  costas  y</w:t>
        <w:br/>
        <w:t>gastos están comprendidos dentro del concepto de reparación  establecido  en</w:t>
        <w:br/>
        <w:t>el artículo 63.1 de la Convención Americana[303].</w:t>
        <w:br/>
        <w:br/>
        <w:t>La Comisión solicitó que la Corte “ordene al Estado de Chile el pago de  las</w:t>
        <w:br/>
        <w:t>costas y gastos que se […] origina[ron]  de  la  tramitación  del  […]  caso</w:t>
        <w:br/>
        <w:t>tanto en el ámbito interno como ante el Sistema Interamericano  de  Derechos</w:t>
        <w:br/>
        <w:t>Humanos”.</w:t>
        <w:br/>
        <w:br/>
        <w:t>Los representantes solicitaron un pago por concepto de las costas  y  gastos</w:t>
        <w:br/>
        <w:t>del litigio a nivel nacional e internacional.  El  monto  solicitado  en  el</w:t>
        <w:br/>
        <w:t>escrito de solicitudes argumentos y pruebas ascendía  a  US$80.200  (ochenta</w:t>
        <w:br/>
        <w:t>mil doscientos dólares de los Estados Unidos de América).  En  los  alegatos</w:t>
        <w:br/>
        <w:t>finales escritos se incluyeron un conjunto  de  conceptos  por  los  que  se</w:t>
        <w:br/>
        <w:t>solicitaba, en total, una suma mayor a dicho monto[304].</w:t>
        <w:br/>
        <w:br/>
        <w:br/>
        <w:t>Por su parte, el Estado no presentó observaciones a las  pretensiones  sobre</w:t>
        <w:br/>
        <w:t>costas y gastos de los representantes.</w:t>
        <w:br/>
        <w:br/>
        <w:t>El Tribunal  ha  señalado  que  las  pretensiones  de  las  víctimas  o  sus</w:t>
        <w:br/>
        <w:t>representantes en materia  de  costas  y  gastos,  y  las  pruebas  que  las</w:t>
        <w:br/>
        <w:t>sustentan, deben presentarse a la Corte en el primer  momento  procesal  que</w:t>
        <w:br/>
        <w:t>se les concede, esto es, en el escrito  de  solicitudes  y  argumentos,  sin</w:t>
        <w:br/>
        <w:t>perjuicio de que tales pretensiones se actualicen en un  momento  posterior,</w:t>
        <w:br/>
        <w:t>conforme a las nuevas costas y gastos en que se haya incurrido  con  ocasión</w:t>
        <w:br/>
        <w:t>del procedimiento[305]. En cuanto al  reembolso  de  las  costas  y  gastos,</w:t>
        <w:br/>
        <w:t>corresponde a la Corte apreciar prudentemente su alcance, el cual  comprende</w:t>
        <w:br/>
        <w:t>los gastos generados ante las autoridades de la  jurisdicción  interna,  así</w:t>
        <w:br/>
        <w:t>como los generados en el curso del proceso ante el  Sistema  Interamericano,</w:t>
        <w:br/>
        <w:t>teniendo en cuenta las circunstancias del caso concreto y la  naturaleza  de</w:t>
        <w:br/>
        <w:t>la jurisdicción internacional de protección de los  derechos  humanos.  Esta</w:t>
        <w:br/>
        <w:t>apreciación puede ser realizada con  base  en  el  principio  de  equidad  y</w:t>
        <w:br/>
        <w:t>tomando en cuenta los gastos  señalados  por  las  partes,  siempre  que  su</w:t>
        <w:br/>
        <w:t>quantum sea razonable[306].</w:t>
        <w:br/>
        <w:br/>
        <w:t>En el presente caso, el Tribunal observa que  no  consta  en  el  expediente</w:t>
        <w:br/>
        <w:t>respaldo probatorio respecto a las  costas  y  gastos  solicitados  por  los</w:t>
        <w:br/>
        <w:t>representantes. En efecto, el monto requerido por concepto de honorarios  no</w:t>
        <w:br/>
        <w:t>fue  acompañado  por   argumentación   de   prueba   específica   sobre   su</w:t>
        <w:br/>
        <w:t>razonabilidad y alcance. Sin embargo, la  Corte  considera  que  es  posible</w:t>
        <w:br/>
        <w:t>suponer que tanto durante el proceso interno como  en  el  proceso  ante  el</w:t>
        <w:br/>
        <w:t>Sistema Interamericano la víctima realizó erogaciones económicas.</w:t>
        <w:br/>
        <w:br/>
        <w:t>Teniendo en cuenta los alegatos presentados por  las  partes,  así  como  la</w:t>
        <w:br/>
        <w:t>ausencia de material probatorio,  la  Corte  determina  en  equidad  que  el</w:t>
        <w:br/>
        <w:t>Estado debe entregar la cantidad de  US$12.000  (doce  mil  dólares  de  los</w:t>
        <w:br/>
        <w:t>Estados Unidos de América) a la víctima, por concepto de  costas  y  gastos.</w:t>
        <w:br/>
        <w:t>Dicha cantidad deberá ser cancelada dentro del plazo de un año a  partir  de</w:t>
        <w:br/>
        <w:t>la notificación de la presente Sentencia. La señora Atala  entregará,  a  su</w:t>
        <w:br/>
        <w:t>vez, la cantidad que estime adecuada a quienes fueron sus representantes  en</w:t>
        <w:br/>
        <w:t>el  fuero  interno  y  en  el  proceso  ante  el   Sistema   Interamericano.</w:t>
        <w:br/>
        <w:t>Igualmente, el Tribunal precisa que en el procedimiento de  supervisión  del</w:t>
        <w:br/>
        <w:t>cumplimiento de la presente Sentencia, podrá  disponer  el  reembolso  a  la</w:t>
        <w:br/>
        <w:t>víctima  o  sus  representantes,  por  parte  del  Estado,  de  los   gastos</w:t>
        <w:br/>
        <w:t>razonables en que incurran en dicha etapa procesal.</w:t>
        <w:br/>
        <w:br/>
        <w:br/>
        <w:t>F.    Modalidad de cumplimiento de los pagos ordenados</w:t>
        <w:br/>
        <w:br/>
        <w:br/>
        <w:t>El Estado deberá efectuar el pago de las  indemnizaciones  por  concepto  de</w:t>
        <w:br/>
        <w:t>daño material e inmaterial directamente a las víctimas, o en  su  defecto  a</w:t>
        <w:br/>
        <w:t>sus representantes legales, así  como  el  reintegro  de  costas  y  gastos,</w:t>
        <w:br/>
        <w:t>dentro del plazo de un año, contado  a  partir  de  la  notificación  de  la</w:t>
        <w:br/>
        <w:t>presente Sentencia, en los términos de los párrafos siguientes.</w:t>
        <w:br/>
        <w:br/>
        <w:t>En caso de que la beneficiaria fallezca antes de que  le  sea  entregada  la</w:t>
        <w:br/>
        <w:t>indemnización   respectiva,   ésta   se   efectuará   directamente   a   sus</w:t>
        <w:br/>
        <w:t>derechohabientes, conforme al derecho interno aplicable.</w:t>
        <w:br/>
        <w:br/>
        <w:t>El Estado debe cumplir sus obligaciones mediante el pago en dólares  de  los</w:t>
        <w:br/>
        <w:t>Estados Unidos de América o en su equivalente en pesos chilenos,  utilizando</w:t>
        <w:br/>
        <w:t>para el cálculo respectivo el tipo de cambio entre ambas  monedas  que  esté</w:t>
        <w:br/>
        <w:t>vigente en la bolsa de  Nueva  York,  Estados  Unidos  de  América,  el  día</w:t>
        <w:br/>
        <w:t>anterior al pago.</w:t>
        <w:br/>
        <w:br/>
        <w:t>Si por causas atribuibles a la beneficiaria de las indemnizaciones o  a  sus</w:t>
        <w:br/>
        <w:t>derechohabientes no fuese posible el pago  de  las  cantidades  determinadas</w:t>
        <w:br/>
        <w:t>dentro del plazo indicado, el Estado consignará dichos montos a su favor  en</w:t>
        <w:br/>
        <w:t>una cuenta o certificado de depósito en una institución  financiera  chilena</w:t>
        <w:br/>
        <w:t>solvente, en dólares estadounidenses y en las  condiciones  financieras  más</w:t>
        <w:br/>
        <w:t>favorables que permitan la legislación y la práctica bancaria.  Si  al  cabo</w:t>
        <w:br/>
        <w:t>de 10 años la indemnización no  ha  sido  reclamada,  las  cantidades  serán</w:t>
        <w:br/>
        <w:t>devueltas al Estado con los intereses devengados.</w:t>
        <w:br/>
        <w:br/>
        <w:t>Las cantidades asignadas en la presente Sentencia como indemnización y  como</w:t>
        <w:br/>
        <w:t>reintegro de costas y gastos deberán ser entregadas a  la  persona  indicada</w:t>
        <w:br/>
        <w:t>en forma íntegra, conforme a lo establecido en este Fallo,  sin  reducciones</w:t>
        <w:br/>
        <w:t>derivadas de eventuales cargas fiscales.</w:t>
        <w:br/>
        <w:br/>
        <w:t>En caso de que el Estado incurriera en mora, deberá pagar un  interés  sobre</w:t>
        <w:br/>
        <w:t>la cantidad  adeudada  correspondiente  al  interés  bancario  moratorio  en</w:t>
        <w:br/>
        <w:t>Chile.</w:t>
        <w:br/>
        <w:br/>
        <w:br/>
        <w:t>En cuanto a las indemnizaciones ordenadas a favor de las niñas M., V. y  R.,</w:t>
        <w:br/>
        <w:t>el  Estado  deberá  depositarlas  en  una  institución  financiera   chilena</w:t>
        <w:br/>
        <w:t>solvente en dólares estadounidenses. Las inversiones  se  harán  dentro  del</w:t>
        <w:br/>
        <w:t>plazo de un año, en las condiciones financieras más favorables que  permitan</w:t>
        <w:br/>
        <w:t>la legislación y la  práctica  bancaria,  mientras  las  beneficiarias  sean</w:t>
        <w:br/>
        <w:t>menores de edad. Dicha suma podrá ser retirada por aquellas cuando  alcancen</w:t>
        <w:br/>
        <w:t>la mayoría de edad, en su caso, o antes si así conviene al interés  superior</w:t>
        <w:br/>
        <w:t>de las niñas,  establecido  por  determinación  de  una  autoridad  judicial</w:t>
        <w:br/>
        <w:t>competente. Si no se reclaman las indemnizaciones correspondientes  una  vez</w:t>
        <w:br/>
        <w:t>transcurridos diez años contados a partir de la  mayoría  de  edad  de  cada</w:t>
        <w:br/>
        <w:t>niña, la suma será devuelta al Estado con los intereses  devengados.  En  lo</w:t>
        <w:br/>
        <w:t>que atañe a la niña V., a los efectos de las reparaciones, se debe  estar  a</w:t>
        <w:br/>
        <w:t>lo establecido en el párrafo 71 de la presente Sentencia.</w:t>
        <w:br/>
        <w:br/>
        <w:t xml:space="preserve">                                    VIII</w:t>
        <w:br/>
        <w:t xml:space="preserve">                             PUNTOS RESOLUTIVOS</w:t>
        <w:br/>
        <w:br/>
        <w:br/>
        <w:br/>
        <w:t>Por tanto,</w:t>
        <w:br/>
        <w:br/>
        <w:br/>
        <w:t>LA CORTE</w:t>
        <w:br/>
        <w:br/>
        <w:br/>
        <w:t>DECLARA,</w:t>
        <w:br/>
        <w:br/>
        <w:br/>
        <w:t>por unanimidad, que:</w:t>
        <w:br/>
        <w:br/>
        <w:t xml:space="preserve">     1. El Estado es responsable por la violación del derecho a la igualdad</w:t>
        <w:br/>
        <w:t xml:space="preserve">        y la no discriminación consagrado en el artículo  24,  en  relación</w:t>
        <w:br/>
        <w:t xml:space="preserve">        con el artículo 1.1  de  la  Convención  Americana  sobre  Derechos</w:t>
        <w:br/>
        <w:t xml:space="preserve">        Humanos, en perjuicio de Karen Atala Riffo, de conformidad  con  lo</w:t>
        <w:br/>
        <w:t xml:space="preserve">        establecido en los párrafos 94 a 99, 107 a 146 y 218 a 222 de  esta</w:t>
        <w:br/>
        <w:t xml:space="preserve">        Sentencia.</w:t>
        <w:br/>
        <w:br/>
        <w:t>por unanimidad, que:</w:t>
        <w:br/>
        <w:br/>
        <w:t xml:space="preserve">     2. El Estado es responsable por la violación del derecho a la igualdad</w:t>
        <w:br/>
        <w:t xml:space="preserve">        y la no discriminación consagrado en el artículo  24,  en  relación</w:t>
        <w:br/>
        <w:t xml:space="preserve">        con los  artículos  19  y  1.1.  de  la  Convención  Americana,  en</w:t>
        <w:br/>
        <w:t xml:space="preserve">        perjuicio de  las  niñas  M.,  V.  y  R.,  de  conformidad  con  lo</w:t>
        <w:br/>
        <w:t xml:space="preserve">        establecido en los párrafos 150 a 155 de esta Sentencia.</w:t>
        <w:br/>
        <w:br/>
        <w:t>por unanimidad, que:</w:t>
        <w:br/>
        <w:br/>
        <w:t xml:space="preserve">     3. El Estado es responsable por la violación del  derecho  a  la  vida</w:t>
        <w:br/>
        <w:t xml:space="preserve">        privada consagrado   en  el  artículo  11.2,  en  relación  con  el</w:t>
        <w:br/>
        <w:t xml:space="preserve">        artículo 1.1. de la Convención Americana,  en  perjuicio  de  Karen</w:t>
        <w:br/>
        <w:t xml:space="preserve">        Atala Riffo, de conformidad con lo establecido en los párrafos  161</w:t>
        <w:br/>
        <w:t xml:space="preserve">        a 167 y 225 a 230 de esta Sentencia.</w:t>
        <w:br/>
        <w:br/>
        <w:br/>
        <w:t>El juez Diego García-Sayán y las juezas Margarette  May  Macaulay  y  Rhadys</w:t>
        <w:br/>
        <w:t>Abreu Blondet votaron a favor del siguiente  punto  resolutivo.  Los  jueces</w:t>
        <w:br/>
        <w:t>Manuel E. Ventura Robles, Leonardo A. Franco y Alberto Pérez  Pérez  votaron</w:t>
        <w:br/>
        <w:t>en contra.  En  consecuencia,  en  aplicación  de  los  artículos  23.3  del</w:t>
        <w:br/>
        <w:t>Estatuto  de  la  Corte  Interamericana  de  Derechos  Humanos  y  16.4  del</w:t>
        <w:br/>
        <w:t>Reglamento de la Corte Interamericana de Derechos Humanos, se declara que:</w:t>
        <w:br/>
        <w:br/>
        <w:br/>
        <w:t xml:space="preserve">     4. El Estado es responsable de la violación de los  artículos  11.2  y</w:t>
        <w:br/>
        <w:t xml:space="preserve">        17.1, en relación con el artículo 1.1 de la Convención Americana en</w:t>
        <w:br/>
        <w:t xml:space="preserve">        perjuicio de Karen Atala Riffo y de las  niñas  M.,  V.  y  R.,  de</w:t>
        <w:br/>
        <w:t xml:space="preserve">        conformidad con lo establecido en los párrafos 168 a  178  de  esta</w:t>
        <w:br/>
        <w:t xml:space="preserve">        Sentencia.</w:t>
        <w:br/>
        <w:br/>
        <w:t>por unanimidad, que:</w:t>
        <w:br/>
        <w:br/>
        <w:t xml:space="preserve">     5. El Estado es responsable por la violación del derecho  a  ser  oído</w:t>
        <w:br/>
        <w:t xml:space="preserve">        consagrado en el artículo 8.1, en relación con los artículos  19  y</w:t>
        <w:br/>
        <w:t xml:space="preserve">        1.1 de la Convención Americana en perjuicio de  las niñas M., V.  y</w:t>
        <w:br/>
        <w:t xml:space="preserve">        R., de conformidad con lo establecido en los párrafos 196 a 208  de</w:t>
        <w:br/>
        <w:t xml:space="preserve">        esta Sentencia.</w:t>
        <w:br/>
        <w:br/>
        <w:t>por unanimidad, que:</w:t>
        <w:br/>
        <w:br/>
        <w:t xml:space="preserve">     6. El Estado es  responsable  por  la  violación  de  la  garantía  de</w:t>
        <w:br/>
        <w:t xml:space="preserve">        imparcialidad consagrada en el artículo 8.1,  en  relación  con  el</w:t>
        <w:br/>
        <w:t xml:space="preserve">        artículo  1.1  de  la   Convención   Americana,   respecto   a   la</w:t>
        <w:br/>
        <w:t xml:space="preserve">        investigación disciplinaria, en perjuicio de Karen Atala Riffo,  de</w:t>
        <w:br/>
        <w:t xml:space="preserve">        conformidad con lo establecido en los párrafos 234 a  237  de  esta</w:t>
        <w:br/>
        <w:t xml:space="preserve">        Sentencia.</w:t>
        <w:br/>
        <w:br/>
        <w:t>por cinco votos a favor y uno en contra, que:</w:t>
        <w:br/>
        <w:br/>
        <w:t xml:space="preserve">     7. El Estado no violó la garantía judicial de imparcialidad consagrada</w:t>
        <w:br/>
        <w:t xml:space="preserve">        en el artículo 8.1 de la Convención Americana, en relación con  las</w:t>
        <w:br/>
        <w:t xml:space="preserve">        decisiones de la Corte Suprema de Justicia y el Juzgado de  Menores</w:t>
        <w:br/>
        <w:t xml:space="preserve">        de Villarrica, en los términos de los párrafos  187  a  192  de  la</w:t>
        <w:br/>
        <w:t xml:space="preserve">        presente Sentencia.</w:t>
        <w:br/>
        <w:br/>
        <w:t>Disiente la jueza Margarette May Macaulay.</w:t>
        <w:br/>
        <w:br/>
        <w:br/>
        <w:br/>
        <w:br/>
        <w:t>Y DISPONE</w:t>
        <w:br/>
        <w:br/>
        <w:br/>
        <w:br/>
        <w:br/>
        <w:br/>
        <w:t>por unanimidad, que:</w:t>
        <w:br/>
        <w:br/>
        <w:br/>
        <w:br/>
        <w:t xml:space="preserve">     1. Esta Sentencia constituye per se una forma de reparación.</w:t>
        <w:br/>
        <w:br/>
        <w:br/>
        <w:br/>
        <w:t xml:space="preserve">     2. El  Estado  debe  brindar,  la  atención  médica  y  psicológica  o</w:t>
        <w:br/>
        <w:t xml:space="preserve">        psiquiátrica gratuita y de forma inmediata, adecuada y efectiva,  a</w:t>
        <w:br/>
        <w:t xml:space="preserve">        través de sus instituciones públicas de salud especializadas a  las</w:t>
        <w:br/>
        <w:t xml:space="preserve">        víctimas que así lo soliciten, de conformidad con lo establecido en</w:t>
        <w:br/>
        <w:t xml:space="preserve">        los párrafos 254 y 255 de la presente Sentencia.</w:t>
        <w:br/>
        <w:br/>
        <w:br/>
        <w:br/>
        <w:t xml:space="preserve">     3. El Estado debe realizar las publicaciones indicadas en  el  párrafo</w:t>
        <w:br/>
        <w:t xml:space="preserve">        259 de la presente Sentencia, en el plazo de seis meses  contado  a</w:t>
        <w:br/>
        <w:t xml:space="preserve">        partir de la notificación de la misma.</w:t>
        <w:br/>
        <w:br/>
        <w:br/>
        <w:br/>
        <w:br/>
        <w:t xml:space="preserve">     4. El Estado debe  realizar  un  acto  público  de  reconocimiento  de</w:t>
        <w:br/>
        <w:t xml:space="preserve">        responsabilidad internacional por los hechos del presente caso,  de</w:t>
        <w:br/>
        <w:t xml:space="preserve">        conformidad con lo establecido en los párrafos  263  y  264  de  la</w:t>
        <w:br/>
        <w:t xml:space="preserve">        presente Sentencia.</w:t>
        <w:br/>
        <w:br/>
        <w:br/>
        <w:br/>
        <w:t xml:space="preserve">     5. El Estado debe continuar  implementando,  en  un  plazo  razonable,</w:t>
        <w:br/>
        <w:t xml:space="preserve">        programas  y  cursos  permanentes  de  educación   y   capacitación</w:t>
        <w:br/>
        <w:t xml:space="preserve">        dirigidos a funcionarios públicos a nivel  regional  y  nacional  y</w:t>
        <w:br/>
        <w:t xml:space="preserve">        particularmente a funcionarios judiciales  de  todas  las  áreas  y</w:t>
        <w:br/>
        <w:t xml:space="preserve">        escalafones de la rama judicial, de conformidad con lo  establecido</w:t>
        <w:br/>
        <w:t xml:space="preserve">        en los párrafos 271 y 272 de la presente Sentencia.</w:t>
        <w:br/>
        <w:br/>
        <w:br/>
        <w:br/>
        <w:t xml:space="preserve">     6. El Estado debe pagar las cantidades fijadas en los párrafos  294  y</w:t>
        <w:br/>
        <w:t xml:space="preserve">        299 de la presente Sentencia, por  concepto  de  indemnización  por</w:t>
        <w:br/>
        <w:t xml:space="preserve">        daño material e inmaterial y por el reintegro de costas  y  gastos,</w:t>
        <w:br/>
        <w:t xml:space="preserve">        según corresponda, en los términos del párrafo 306 de la misma.</w:t>
        <w:br/>
        <w:br/>
        <w:br/>
        <w:br/>
        <w:t xml:space="preserve">     7. El Estado debe, dentro del plazo de un año contado a partir  de  la</w:t>
        <w:br/>
        <w:t xml:space="preserve">        notificación de esta Sentencia, rendir al Tribunal un informe sobre</w:t>
        <w:br/>
        <w:t xml:space="preserve">        las medidas adoptadas para cumplir con la misma.</w:t>
        <w:br/>
        <w:br/>
        <w:br/>
        <w:br/>
        <w:t xml:space="preserve">     8. La Corte supervisará el cumplimiento íntegro de esta Sentencia,  en</w:t>
        <w:br/>
        <w:t xml:space="preserve">        ejercicio de sus atribuciones y  en  cumplimiento  de  sus  deberes</w:t>
        <w:br/>
        <w:t xml:space="preserve">        conforme a la Convención Americana sobre Derechos Humanos,  y  dará</w:t>
        <w:br/>
        <w:t xml:space="preserve">        por concluido el presente caso una vez  que  el  Estado  haya  dado</w:t>
        <w:br/>
        <w:t xml:space="preserve">        cabal cumplimiento a lo dispuesto en la misma.</w:t>
        <w:br/>
        <w:br/>
        <w:br/>
        <w:br/>
        <w:t>El Juez Alberto Pérez Pérez hizo conocer a la  Corte  su  Voto  Parcialmente</w:t>
        <w:br/>
        <w:t>Disidente, el cual acompaña esta Sentencia.</w:t>
        <w:br/>
        <w:br/>
        <w:br/>
        <w:br/>
        <w:t>Redactada en español e inglés, haciendo fe  el  texto  en  español,  en  San</w:t>
        <w:br/>
        <w:t>José, Costa Rica, el 24 de febrero de 2012.</w:t>
        <w:br/>
        <w:br/>
        <w:br/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Manuel  E.  Ventura  Robles                                    Leonardo   A.</w:t>
        <w:br/>
        <w:t>Franco</w:t>
        <w:br/>
        <w:br/>
        <w:br/>
        <w:br/>
        <w:br/>
        <w:br/>
        <w:t>Margarette May Macaulay                                    Rhadys Abreu</w:t>
        <w:br/>
        <w:t>Blondet</w:t>
        <w:br/>
        <w:br/>
        <w:br/>
        <w:br/>
        <w:br/>
        <w:t xml:space="preserve">                             Alberto Pérez Pérez</w:t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Pablo Saavedra Alessandri</w:t>
        <w:br/>
        <w:t xml:space="preserve">      Secretario</w:t>
        <w:br/>
        <w:t xml:space="preserve">          VOTO PARCIALMENTE DISIDENTE DEL JUEZ ALBERTO PEREZ PEREZ</w:t>
        <w:br/>
        <w:t xml:space="preserve">          SENTENCIA DE LA CORTE INTERAMERICANA DE DERECHOS HUMANOS</w:t>
        <w:br/>
        <w:t xml:space="preserve">                     CASO ATALA RIFFO Y NIÑAS VS. CHILE</w:t>
        <w:br/>
        <w:t xml:space="preserve">                          DE 24 DE FEBRERO DE 2012</w:t>
        <w:br/>
        <w:br/>
        <w:t xml:space="preserve">   1. He votado negativamente el punto resolutivo 4,  según  el  cual  “[e]l</w:t>
        <w:br/>
        <w:t xml:space="preserve">      Estado es responsable de la violación de los artículos 11.2 y 17.1” de</w:t>
        <w:br/>
        <w:t xml:space="preserve">      la Convención Americana, pues entiendo que solamente  se  debía  haber</w:t>
        <w:br/>
        <w:t xml:space="preserve">      mencionado como violado al artículo 11.2, porque ante los  hechos  del</w:t>
        <w:br/>
        <w:t xml:space="preserve">      presente caso: I) es suficiente declarar una  violación  del  artículo</w:t>
        <w:br/>
        <w:t xml:space="preserve">      11.2, y II) no es necesario ni prudente  declarar  una  violación  del</w:t>
        <w:br/>
        <w:t xml:space="preserve">      artículo 17 que pudiera  tomarse  como  un  pronunciamiento  implícito</w:t>
        <w:br/>
        <w:t xml:space="preserve">      sobre la  interpretación  de  las  distintas  disposiciones  de  dicho</w:t>
        <w:br/>
        <w:t xml:space="preserve">      artículo.</w:t>
        <w:br/>
        <w:br/>
        <w:br/>
        <w:t>I. ES SUFICIENTE INVOCAR EL ARTÍCULO 11.2</w:t>
        <w:br/>
        <w:br/>
        <w:t xml:space="preserve">   2. La Convención  Americana  sobre  Derechos  Humanos  consagra  derechos</w:t>
        <w:br/>
        <w:t xml:space="preserve">      relacionados con la familia en el artículo 11.2 y el  artículo  17,  y</w:t>
        <w:br/>
        <w:t xml:space="preserve">      asimismo  contiene  importantes  referencias  a  la  familia  en   los</w:t>
        <w:br/>
        <w:t xml:space="preserve">      artículos 19, 27.2 y 32.1:</w:t>
        <w:br/>
        <w:br/>
        <w:br/>
        <w:t xml:space="preserve">    Artículo 11.  Protección de la Honra y de la Dignidad</w:t>
        <w:br/>
        <w:t xml:space="preserve">    1.  Toda  persona  tiene  derecho  al  respeto  de  su   honra   y   al</w:t>
        <w:br/>
        <w:t xml:space="preserve">    reconocimiento de su dignidad.</w:t>
        <w:br/>
        <w:t xml:space="preserve">    2. Nadie puede ser objeto de injerencias arbitrarias o abusivas  en  su</w:t>
        <w:br/>
        <w:t xml:space="preserve">    vida  privada,  en  la  de  su  familia,  en  su  domicilio  o  en   su</w:t>
        <w:br/>
        <w:t xml:space="preserve">    correspondencia, ni de ataques ilegales a su honra o reputación.</w:t>
        <w:br/>
        <w:t xml:space="preserve">            Toda persona tiene derecho a la protección de la ley contra esas</w:t>
        <w:br/>
        <w:t xml:space="preserve">      injerencias o esos ataques.</w:t>
        <w:br/>
        <w:t xml:space="preserve">    Artículo 17.  Protección a la Familia</w:t>
        <w:br/>
        <w:t xml:space="preserve">    1. La familia es el elemento natural y fundamental  de  la  sociedad  y</w:t>
        <w:br/>
        <w:t xml:space="preserve">    debe ser protegida por la sociedad y el Estado.</w:t>
        <w:br/>
        <w:t xml:space="preserve">    2. Se reconoce el derecho del hombre y la mujer a contraer matrimonio y</w:t>
        <w:br/>
        <w:t xml:space="preserve">    a fundar una familia si tienen la edad  y  las  condiciones  requeridas</w:t>
        <w:br/>
        <w:t xml:space="preserve">    para ello por las leyes internas, en la medida en que éstas no  afecten</w:t>
        <w:br/>
        <w:t xml:space="preserve">    al principio de no discriminación establecido en esta Convención.</w:t>
        <w:br/>
        <w:t xml:space="preserve">    3.  El  matrimonio  no  puede  celebrarse  sin   el   libre   y   pleno</w:t>
        <w:br/>
        <w:t xml:space="preserve">    consentimiento de los contrayentes.</w:t>
        <w:br/>
        <w:t xml:space="preserve">    4. Los Estados Partes deben tomar medidas apropiadas para  asegurar  la</w:t>
        <w:br/>
        <w:t xml:space="preserve">    igualdad de derechos y la adecuada equivalencia de responsabilidades de</w:t>
        <w:br/>
        <w:t xml:space="preserve">    los cónyuges en cuanto al matrimonio, durante el matrimonio y  en  caso</w:t>
        <w:br/>
        <w:t xml:space="preserve">    de  disolución  del  mismo.   En  caso  de  disolución,  se   adoptarán</w:t>
        <w:br/>
        <w:t xml:space="preserve">    disposiciones que aseguren la protección necesaria de los hijos,  sobre</w:t>
        <w:br/>
        <w:t xml:space="preserve">    la base única del interés y conveniencia de ellos.</w:t>
        <w:br/>
        <w:t xml:space="preserve">    5. La ley debe reconocer iguales derechos tanto  a  los  hijos  nacidos</w:t>
        <w:br/>
        <w:t xml:space="preserve">    fuera de matrimonio como a los nacidos dentro del mismo.</w:t>
        <w:br/>
        <w:br/>
        <w:br/>
        <w:t xml:space="preserve">    Artículo 19.  Derechos del Niño</w:t>
        <w:br/>
        <w:t xml:space="preserve">    Todo niño tiene derecho a las medidas de protección que su condición de</w:t>
        <w:br/>
        <w:t xml:space="preserve">    menor requieren por parte de su familia, de la sociedad y del Estado.</w:t>
        <w:br/>
        <w:br/>
        <w:br/>
        <w:t xml:space="preserve">    Artículo 27.  Suspensión de Garantías</w:t>
        <w:br/>
        <w:t xml:space="preserve">    1. En caso de guerra, de peligro  público  o  de  otra  emergencia  que</w:t>
        <w:br/>
        <w:t xml:space="preserve">    amenace la independencia o  seguridad  del  Estado  parte,  éste  podrá</w:t>
        <w:br/>
        <w:t xml:space="preserve">    adoptar disposiciones que, en la medida y por el  tiempo  estrictamente</w:t>
        <w:br/>
        <w:t xml:space="preserve">    limitados a las exigencias de la situación, suspendan las  obligaciones</w:t>
        <w:br/>
        <w:t xml:space="preserve">    contraídas  en  virtud  de   esta   Convención,   siempre   que   tales</w:t>
        <w:br/>
        <w:t xml:space="preserve">    disposiciones no sean incompatibles con las demás obligaciones que  les</w:t>
        <w:br/>
        <w:t xml:space="preserve">    impone el derecho internacional y  no  entrañen  discriminación  alguna</w:t>
        <w:br/>
        <w:t xml:space="preserve">    fundada en motivos de raza, color,  sexo,  idioma,  religión  u  origen</w:t>
        <w:br/>
        <w:t xml:space="preserve">    social.</w:t>
        <w:br/>
        <w:t xml:space="preserve">    2. La disposición precedente no autoriza la suspensión de los  derechos</w:t>
        <w:br/>
        <w:t xml:space="preserve">    determinados en los siguientes artículos: 3 (Derecho al  Reconocimiento</w:t>
        <w:br/>
        <w:t xml:space="preserve">    de la Personalidad Jurídica); 4 (Derecho a la Vida); 5  (Derecho  a  la</w:t>
        <w:br/>
        <w:t xml:space="preserve">    Integridad Personal); 6 (Prohibición de la Esclavitud y Servidumbre); 9</w:t>
        <w:br/>
        <w:t xml:space="preserve">    (Principio  de  Legalidad  y  de  Retroactividad);  12   (Libertad   de</w:t>
        <w:br/>
        <w:t xml:space="preserve">    Conciencia y de Religión); 17 (Protección a la Familia); 18 (Derecho al</w:t>
        <w:br/>
        <w:t xml:space="preserve">    Nombre); 19 (Derechos del Niño); 20 (Derecho a la Nacionalidad),  y  23</w:t>
        <w:br/>
        <w:t xml:space="preserve">    (Derechos Políticos), ni de  las  garantías  judiciales  indispensables</w:t>
        <w:br/>
        <w:t xml:space="preserve">    para la protección de tales derechos.</w:t>
        <w:br/>
        <w:t xml:space="preserve">    3. (…).</w:t>
        <w:br/>
        <w:br/>
        <w:br/>
        <w:t xml:space="preserve">    Artículo 32.  Correlación entre Deberes  y Derechos</w:t>
        <w:br/>
        <w:t xml:space="preserve">    1. Toda persona tiene deberes para con la familia, la  comunidad  y  la</w:t>
        <w:br/>
        <w:t xml:space="preserve">    humanidad.</w:t>
        <w:br/>
        <w:t xml:space="preserve">    2. Los derechos de cada persona están limitados por los derechos de los</w:t>
        <w:br/>
        <w:t xml:space="preserve">    demás, por la seguridad de todos y por las justas exigencias  del  bien</w:t>
        <w:br/>
        <w:t xml:space="preserve">    común, en una sociedad democrática.</w:t>
        <w:br/>
        <w:br/>
        <w:br/>
        <w:t xml:space="preserve">   3. El Convenio Europeo para la protección de los derechos humanos  y  las</w:t>
        <w:br/>
        <w:t xml:space="preserve">      libertades fundamentales contiene dos disposiciones atinentes  a  este</w:t>
        <w:br/>
        <w:t xml:space="preserve">      ámbito, correlativas de los artículos  11  y  17.2  de  la  Convención</w:t>
        <w:br/>
        <w:t xml:space="preserve">      Americana:</w:t>
        <w:br/>
        <w:br/>
        <w:br/>
        <w:t xml:space="preserve">    Articulo 8 — Derecho al respeto de la vida privada y familiar</w:t>
        <w:br/>
        <w:t xml:space="preserve">    1 Toda persona tiene derecho al respeto de su vida privada y  familiar,</w:t>
        <w:br/>
        <w:t xml:space="preserve">    de su domicilio y de su correspondencia.</w:t>
        <w:br/>
        <w:t xml:space="preserve">    2 No podrá haber injerencia de la autoridad pública en el ejercicio  de</w:t>
        <w:br/>
        <w:t xml:space="preserve">    este derecho sino en tanto en cuanto esta injerencia esté prevista  por</w:t>
        <w:br/>
        <w:t xml:space="preserve">    la ley y constituya una medida que, en una  sociedad  democrática,  sea</w:t>
        <w:br/>
        <w:t xml:space="preserve">    necesaria  para  la  seguridad  nacional,  la  seguridad  pública,   el</w:t>
        <w:br/>
        <w:t xml:space="preserve">    bienestar económico del país, la defensa del orden y la  prevención  de</w:t>
        <w:br/>
        <w:t xml:space="preserve">    las infracciones penales, la protección de la salud o de la moral, o la</w:t>
        <w:br/>
        <w:t xml:space="preserve">    protección de los derechos y las libertades de los demás.</w:t>
        <w:br/>
        <w:br/>
        <w:br/>
        <w:t xml:space="preserve">    Articulo 12 — Derecho a contraer matrimonio</w:t>
        <w:br/>
        <w:t xml:space="preserve">    A partir de la edad núbil, el  hombre  y  la  mujer  tienen  derecho  a</w:t>
        <w:br/>
        <w:t xml:space="preserve">    casarse y a fundar una familia según las leyes nacionales que rijan  el</w:t>
        <w:br/>
        <w:t xml:space="preserve">    ejercicio de este derecho.</w:t>
        <w:br/>
        <w:br/>
        <w:br/>
        <w:t xml:space="preserve">   4. Por lo tanto, la  jurisprudencia  del  Tribunal  Europeo  de  Derechos</w:t>
        <w:br/>
        <w:t xml:space="preserve">      Humanos (TEDH), que correctamente y con valor persuasivo se cita en la</w:t>
        <w:br/>
        <w:t xml:space="preserve">      sentencia,  se  refiere  a  las  disposiciones  del  Convenio  Europeo</w:t>
        <w:br/>
        <w:t xml:space="preserve">      correlativas al artículo 11.2 y al  artículo  17.2  de  la  Convención</w:t>
        <w:br/>
        <w:t xml:space="preserve">      Americana[307], pues no existen disposiciones referidas  a  los  temas</w:t>
        <w:br/>
        <w:t xml:space="preserve">      previstos en los párrafos 1, 3, 4 y 5 del artículo 17.</w:t>
        <w:br/>
        <w:br/>
        <w:br/>
        <w:t xml:space="preserve">   5. Importa sobre todo conocer las sentencias en las que el TEDH consideró</w:t>
        <w:br/>
        <w:t xml:space="preserve">      las situaciones  de  convivencia  entre  personas  del  mismo  sexo  o</w:t>
        <w:br/>
        <w:t xml:space="preserve">      género[308] a la luz del  artículo  8  del  Convenio  Europeo,  en  su</w:t>
        <w:br/>
        <w:t xml:space="preserve">      relación con el 14. Como dice bien la sentencia de esta  Corte  en  su</w:t>
        <w:br/>
        <w:t xml:space="preserve">      párrafo 174:</w:t>
        <w:br/>
        <w:br/>
        <w:br/>
        <w:t xml:space="preserve">      “en el Caso Schalk y Kopf Vs. Austria, el Tribunal Europeo  revisó  su</w:t>
        <w:br/>
        <w:t xml:space="preserve">      jurisprudencia vigente hasta ese momento, en la cual  solamente  había</w:t>
        <w:br/>
        <w:t xml:space="preserve">      aceptado que la relación emocional y sexual de una  pareja  del  mismo</w:t>
        <w:br/>
        <w:t xml:space="preserve">      sexo  constituye  “vida  privada”,  pero  no  había  considerado   que</w:t>
        <w:br/>
        <w:t xml:space="preserve">      constituyera “vida familiar”, aun al tratarse de una relación a  largo</w:t>
        <w:br/>
        <w:t xml:space="preserve">      plazo en situación de convivencia. Al aplicar un  criterio  amplio  de</w:t>
        <w:br/>
        <w:t xml:space="preserve">      familia, el Tribunal  Europeo  estableció  que  “la  noción  de  ‘vida</w:t>
        <w:br/>
        <w:t xml:space="preserve">      familiar’ abarca a una pareja  del  mismo  sexo  que  convive  en  una</w:t>
        <w:br/>
        <w:t xml:space="preserve">      relación estable  de  facto,  tal  como  abarcaría  a  una  pareja  de</w:t>
        <w:br/>
        <w:t xml:space="preserve">      diferente sexo en la  misma  situación”,  pues  consideró  “artificial</w:t>
        <w:br/>
        <w:t xml:space="preserve">      mantener una posición que sostenga que, a  diferencia  de  una  pareja</w:t>
        <w:br/>
        <w:t xml:space="preserve">      heterosexual, una pareja del mismo sexo no puede disfrutar de la ‘vida</w:t>
        <w:br/>
        <w:t xml:space="preserve">      familiar’ en los términos del artículo 8[309]”. [Notas a pie de página</w:t>
        <w:br/>
        <w:t xml:space="preserve">      omitidas.]</w:t>
        <w:br/>
        <w:br/>
        <w:br/>
        <w:t xml:space="preserve">   6. También se indica (párr. 173), correctamente, que, “[e] el Caso X, Y y</w:t>
        <w:br/>
        <w:t xml:space="preserve">      Z Vs. Reino Unido, el Tribunal Europeo de Derechos Humanos,  siguiendo</w:t>
        <w:br/>
        <w:t xml:space="preserve">      el concepto amplio de la familia,  reconoció  que  un  transexual,  su</w:t>
        <w:br/>
        <w:t xml:space="preserve">      pareja mujer y un niño pueden configurar una familia, al señalar que:</w:t>
        <w:br/>
        <w:br/>
        <w:t xml:space="preserve">      Al decidir si una relación puede considerarse  como  ‘vida  familiar’,</w:t>
        <w:br/>
        <w:t xml:space="preserve">      una serie de factores pueden ser relevantes, incluyendo si  la  pareja</w:t>
        <w:br/>
        <w:t xml:space="preserve">      vive junta, la duración de su  relación  y  si  se  ha  demostrado  el</w:t>
        <w:br/>
        <w:t xml:space="preserve">      compromiso  mutuo  al  tener   hijos   conjuntamente   o   por   otros</w:t>
        <w:br/>
        <w:t xml:space="preserve">      medios[310]”.</w:t>
        <w:br/>
        <w:br/>
        <w:br/>
        <w:t xml:space="preserve">   7. Para mayor claridad, y teniendo asimismo en vista el recurso futuro  a</w:t>
        <w:br/>
        <w:t xml:space="preserve">      la jurisprudencia o las decisiones de otros órganos de  protección  de</w:t>
        <w:br/>
        <w:t xml:space="preserve">      los derechos humanos, reseñaré brevemente los hechos de  cada  uno  de</w:t>
        <w:br/>
        <w:t xml:space="preserve">      los casos citados, así como las conclusiones de derecho del TEDH.</w:t>
        <w:br/>
        <w:br/>
        <w:br/>
        <w:t xml:space="preserve">      El caso Schalk y Kopf vs. Austria</w:t>
        <w:br/>
        <w:br/>
        <w:br/>
        <w:t xml:space="preserve">   8. Los hechos del caso pueden resumirse así: Los demandantes, nacidos  en</w:t>
        <w:br/>
        <w:t xml:space="preserve">      1962 y 1960, respectivamente, son una pareja del mismo sexo  que  vive</w:t>
        <w:br/>
        <w:t xml:space="preserve">      en Viena. En 2002 iniciaron trámites para contraer matrimonio,  y  las</w:t>
        <w:br/>
        <w:t xml:space="preserve">      autoridades austríacas entendieron  que  carecían  de  capacidad  para</w:t>
        <w:br/>
        <w:t xml:space="preserve">      ello, porque ambos eran hombres, y según el  artículo  44  del  Código</w:t>
        <w:br/>
        <w:t xml:space="preserve">      Civil sólo puede contraerse matrimonio  entre  dos  personas  de  sexo</w:t>
        <w:br/>
        <w:t xml:space="preserve">      opuesto (párrs. 7 a 9).  En  Austria  existe  una  Ley  sobre  uniones</w:t>
        <w:br/>
        <w:t xml:space="preserve">      registradas (Eingetragene Partnerschaft-Gesetz), que da a las  parejas</w:t>
        <w:br/>
        <w:t xml:space="preserve">      de un mismo sexo “un mecanismo formal para reconocer sus relaciones  y</w:t>
        <w:br/>
        <w:t xml:space="preserve">      darles efecto jurídico” con caracteres análogos a los  del  matrimonio</w:t>
        <w:br/>
        <w:t xml:space="preserve">      en muchos aspectos (tales  como  “el  derecho  sucesorio,  el  derecho</w:t>
        <w:br/>
        <w:t xml:space="preserve">      laboral, social y de seguros sociales, el derecho fiscal,  el  derecho</w:t>
        <w:br/>
        <w:t xml:space="preserve">      relativo al procedimiento administrativo, el  derecho  relativo  a  la</w:t>
        <w:br/>
        <w:t xml:space="preserve">      protección de datos y a la función pública, las cuestiones relativas a</w:t>
        <w:br/>
        <w:t xml:space="preserve">      pasaportes y registro,  y  el  derecho  relativo  a  los  extranjeros”</w:t>
        <w:br/>
        <w:t xml:space="preserve">      (párrs. 16 a 22). No obstante, subsisten diferencias en  varios  otros</w:t>
        <w:br/>
        <w:t xml:space="preserve">      aspectos, en particular en lo tocante a la posibilidad de adoptar o de</w:t>
        <w:br/>
        <w:t xml:space="preserve">      recurrir a la inseminación artificial.</w:t>
        <w:br/>
        <w:br/>
        <w:br/>
        <w:t xml:space="preserve">   9. Las consideraciones de derecho comienzan  (párrs.  24  a  26)  con  un</w:t>
        <w:br/>
        <w:t xml:space="preserve">      análisis de la normativa de la Unión Europea (artículo 9 de  la  Carta</w:t>
        <w:br/>
        <w:t xml:space="preserve">      de Derechos Fundamentales[311] y varias directivas), y  en  particular</w:t>
        <w:br/>
        <w:t xml:space="preserve">      del derecho de los 47 Estados miembros del Consejo de  Europa  (párrs.</w:t>
        <w:br/>
        <w:t xml:space="preserve">      27 a 34). Sólo seis de ellos prevén que las parejas de un  mismo  sexo</w:t>
        <w:br/>
        <w:t xml:space="preserve">      tengan igualdad de acceso al  matrimonio;  otros  13  tienen  “ciertas</w:t>
        <w:br/>
        <w:t xml:space="preserve">      disposiciones legislativas que permiten que las parejas  de  un  mismo</w:t>
        <w:br/>
        <w:t xml:space="preserve">      sexo registren su  relación”. Un Estado “reconoce a las parejas de  un</w:t>
        <w:br/>
        <w:t xml:space="preserve">      mismo sexo que cohabitan a ciertos efectos limitados, pero no  les  de</w:t>
        <w:br/>
        <w:t xml:space="preserve">      la posibilidad  de  registro”.  Con  referencia  a  las  consecuencias</w:t>
        <w:br/>
        <w:t xml:space="preserve">      materiales, parentales y  de  otra  índole,  el  TEDH  dice  que  “las</w:t>
        <w:br/>
        <w:t xml:space="preserve">      consecuencias jurídicas de las uniones registradas  varían  desde  las</w:t>
        <w:br/>
        <w:t xml:space="preserve">      que son casi equivalentes al matrimonio hasta  las  que  dan  derechos</w:t>
        <w:br/>
        <w:t xml:space="preserve">      relativamente limitados”. El  TEDH  pasa  entonces  a  considerar  los</w:t>
        <w:br/>
        <w:t xml:space="preserve">      principios generales y su aplicación al caso  concreto,  y  finalmente</w:t>
        <w:br/>
        <w:t xml:space="preserve">      examina la aplicabilidad del artículo 14 considerado conjuntamente con</w:t>
        <w:br/>
        <w:t xml:space="preserve">      el artículo 8 y la alegación de que había sido violado.</w:t>
        <w:br/>
        <w:br/>
        <w:br/>
        <w:t xml:space="preserve">  10. Principios generales. El TEDH recuerda que,  según  su  jurisprudencia</w:t>
        <w:br/>
        <w:t xml:space="preserve">      establecida, “el artículo 12 asegura  el  derecho  fundamental  de  un</w:t>
        <w:br/>
        <w:t xml:space="preserve">      hombre y una mujer a casarse y fundar una familia”,  un  derecho  cuyo</w:t>
        <w:br/>
        <w:t xml:space="preserve">      ejercicio da lugar a “consecuencias personales, sociales y jurídicas”.</w:t>
        <w:br/>
        <w:t xml:space="preserve">      Si  bien  está  sujeto  a  las  leyes  nacionales   de   los   Estados</w:t>
        <w:br/>
        <w:t xml:space="preserve">      Contratantes, “las limitaciones que por  esa  vía  se  introduzcan  no</w:t>
        <w:br/>
        <w:t xml:space="preserve">      deben restringir ni reducir el derecho de un  modo  o  en  una  medida</w:t>
        <w:br/>
        <w:t xml:space="preserve">      tales que se afecte la esencia misma del derecho” (párr. 49). Por otro</w:t>
        <w:br/>
        <w:t xml:space="preserve">      lado, el TEDH “aún no había tenido la oportunidad de examinar  si  dos</w:t>
        <w:br/>
        <w:t xml:space="preserve">      personas que son del mismo sexo pueden invocar un derecho a  casarse”,</w:t>
        <w:br/>
        <w:t xml:space="preserve">      pero  “podían  derivarse  ciertos  principios”  de  su  jurisprudencia</w:t>
        <w:br/>
        <w:t xml:space="preserve">      relativa a transexuales, en la  que  inicialmente  consideró  que  “el</w:t>
        <w:br/>
        <w:t xml:space="preserve">      apego al concepto tradicional de matrimonio que subyace al artículo 12</w:t>
        <w:br/>
        <w:t xml:space="preserve">      constituía una razón suficiente para que el Estado demandado  siguiera</w:t>
        <w:br/>
        <w:t xml:space="preserve">      adoptando criterios biológicos para determinar el sexo de una  persona</w:t>
        <w:br/>
        <w:t xml:space="preserve">      a los efectos  del  matrimonio”  (párrs.  50-51).  Esa  jurisprudencia</w:t>
        <w:br/>
        <w:t xml:space="preserve">      cambió a partir del caso Christine Goodwin[312], en el  que,  teniendo</w:t>
        <w:br/>
        <w:t xml:space="preserve">      en cuenta los “importantes cambios  sociales  en  la  institución  del</w:t>
        <w:br/>
        <w:t xml:space="preserve">      matrimonio” ocurridos después de la adopción del Convenio, citando  el</w:t>
        <w:br/>
        <w:t xml:space="preserve">      artículo 9 de la Carta Europea  y  tomando  nota  de  que  había  “una</w:t>
        <w:br/>
        <w:t xml:space="preserve">      aceptación generalizada del matrimonio de transexuales  en  su  género</w:t>
        <w:br/>
        <w:t xml:space="preserve">      asignado”, consideró que “los términos del artículo 12 no  tenían  que</w:t>
        <w:br/>
        <w:t xml:space="preserve">      seguir entendiéndose  en  el  sentido  de  determinar  el  género  por</w:t>
        <w:br/>
        <w:t xml:space="preserve">      criterios puramente biológicos”. En consecuencia, “la imposibilidad de</w:t>
        <w:br/>
        <w:t xml:space="preserve">      que una transexual postoperatoria se  casara  en  su  género  asignado</w:t>
        <w:br/>
        <w:t xml:space="preserve">      violaba el artículo 12” (párr. 52). En otros  dos  casos  relativos  a</w:t>
        <w:br/>
        <w:t xml:space="preserve">      matrimonios integrados por una mujer y una transexual que había pasado</w:t>
        <w:br/>
        <w:t xml:space="preserve">      del sexo masculino al sexo femenino[313], el  TEDH  había  determinado</w:t>
        <w:br/>
        <w:t xml:space="preserve">      (párr. 53) que la queja relativa a la exigencia legal de que  pusieran</w:t>
        <w:br/>
        <w:t xml:space="preserve">      fin a su matrimonio para que la transexual pudiera “obtener  el  pleno</w:t>
        <w:br/>
        <w:t xml:space="preserve">      reconocimiento jurídico de su cambio de género”  era  “manifiestamente</w:t>
        <w:br/>
        <w:t xml:space="preserve">      infundada”. El TEDH observó que “el derecho interno sólo  permitía  el</w:t>
        <w:br/>
        <w:t xml:space="preserve">      matrimonio entre personas de género opuesto, ya fuese derivado  de  la</w:t>
        <w:br/>
        <w:t xml:space="preserve">      atribución al nacer o de un procedimiento de reconocimiento de género,</w:t>
        <w:br/>
        <w:t xml:space="preserve">      mientras que no se permitían los matrimonios de un mismo sexo”, y  que</w:t>
        <w:br/>
        <w:t xml:space="preserve">      “el  artículo  12  consagraba  el  concepto  tradicional  de  que   el</w:t>
        <w:br/>
        <w:t xml:space="preserve">      matrimonio era entre un hombre y una mujer”. Si  bien  “reconoció  que</w:t>
        <w:br/>
        <w:t xml:space="preserve">      varios Estados Contratantes habían extendido el ámbito del  matrimonio</w:t>
        <w:br/>
        <w:t xml:space="preserve">      para comprender  a  parejas  de  un  mismo  sexo”,  señaló  que  “ello</w:t>
        <w:br/>
        <w:t xml:space="preserve">      reflejaba la visión propia [de dichos Estados] acerca  del  papel  del</w:t>
        <w:br/>
        <w:t xml:space="preserve">      matrimonio en sus sociedades” pero “no derivaba de una  interpretación</w:t>
        <w:br/>
        <w:t xml:space="preserve">      del derecho fundamental consagrado en el Convenio  en  1950”.  Por  lo</w:t>
        <w:br/>
        <w:t xml:space="preserve">      tanto, “estaba dentro del margen de apreciación del Estado la forma de</w:t>
        <w:br/>
        <w:t xml:space="preserve">      regular  los  efectos  del  cambio  de  género  en   los   matrimonios</w:t>
        <w:br/>
        <w:t xml:space="preserve">      preexistentes”.  Por  otro  lado,  si  los  demandantes  optaban   por</w:t>
        <w:br/>
        <w:t xml:space="preserve">      divorciarse, tenían la posibilidad de entrar en una unión civil,  cosa</w:t>
        <w:br/>
        <w:t xml:space="preserve">      que “contribuía a la proporcionalidad del régimen de reconocimiento de</w:t>
        <w:br/>
        <w:t xml:space="preserve">      género que impugnaban”.</w:t>
        <w:br/>
        <w:br/>
        <w:br/>
        <w:t xml:space="preserve">  11. Aplicación al caso concreto. El TEDH dijo que el derecho a casarse  es</w:t>
        <w:br/>
        <w:t xml:space="preserve">      otorgado por el artículo 12 a “el hombre y la mujer” (“men and women”,</w:t>
        <w:br/>
        <w:t xml:space="preserve">      “l´homme et la femme”) y  que,  si  bien  dicho  artículo  considerado</w:t>
        <w:br/>
        <w:t xml:space="preserve">      aisladamente  podría  interpretarse  en  el  sentido  de  “excluir  el</w:t>
        <w:br/>
        <w:t xml:space="preserve">      matrimonio entre  dos  hombres  o  dos  mujeres”,  considerado  en  el</w:t>
        <w:br/>
        <w:t xml:space="preserve">      contexto debía tenerse presente que, “en contraste,  todos  los  demás</w:t>
        <w:br/>
        <w:t xml:space="preserve">      artículos sustantivos del Convenio otorgan los derechos y libertades a</w:t>
        <w:br/>
        <w:t xml:space="preserve">      “toda persona” o disponen que “nadie” podrá  ser  sometido  a  ciertos</w:t>
        <w:br/>
        <w:t xml:space="preserve">      tipos de tratos prohibidos”. La elección de las palabras “el hombre  y</w:t>
        <w:br/>
        <w:t xml:space="preserve">      la  mujer”  debía  considerarse  “deliberada”,  especialmente  en  “el</w:t>
        <w:br/>
        <w:t xml:space="preserve">      contexto histórico” del decenio de  1950,  cuando  “el  matrimonio  se</w:t>
        <w:br/>
        <w:t xml:space="preserve">      entendía en el sentido tradicional de unión entre contrayentes de sexo</w:t>
        <w:br/>
        <w:t xml:space="preserve">      diferente”. En lo tocante a “la conexión entre el derecho a casarse  y</w:t>
        <w:br/>
        <w:t xml:space="preserve">      el derecho a fundar una familia”, la conclusión a que había llegado el</w:t>
        <w:br/>
        <w:t xml:space="preserve">      TEDH en el caso Christine Goodwin de  que  “la  imposibilidad  de  una</w:t>
        <w:br/>
        <w:t xml:space="preserve">      pareja para concebir o actuar como padres de un niño” no  excluía  per</w:t>
        <w:br/>
        <w:t xml:space="preserve">      se el derecho a casarse,  “no  permitía  llegar  a  conclusión  alguna</w:t>
        <w:br/>
        <w:t xml:space="preserve">      acerca de la cuestión del matrimonio entre personas de un mismo  sexo”</w:t>
        <w:br/>
        <w:t xml:space="preserve">      (párr. 56). Si bien “el Convenio es un instrumento viviente  que  debe</w:t>
        <w:br/>
        <w:t xml:space="preserve">      interpretarse en  las  condiciones  actuales”,  y  “el  matrimonio  ha</w:t>
        <w:br/>
        <w:t xml:space="preserve">      sufrido importantes cambios sociales”, el TEDH observó que “no hay  un</w:t>
        <w:br/>
        <w:t xml:space="preserve">      consenso europeo acerca del matrimonio  entre  personas  de  un  mismo</w:t>
        <w:br/>
        <w:t xml:space="preserve">      sexo”, que sólo está permitido en seis de los 47 Estados partes en  el</w:t>
        <w:br/>
        <w:t xml:space="preserve">      Convenio (párr. 58). El caso que se consideraba debía distinguirse del</w:t>
        <w:br/>
        <w:t xml:space="preserve">      caso Christine Goodwin, en el que se había reconocido que  había  “una</w:t>
        <w:br/>
        <w:t xml:space="preserve">      convergencia de estándares acerca del matrimonio de transexuales en su</w:t>
        <w:br/>
        <w:t xml:space="preserve">      género asignado” y  se  trataba  del  “matrimonio  entre  personas  de</w:t>
        <w:br/>
        <w:t xml:space="preserve">      distinto género”, si éste no se toma sólo en sentido biológico  (párr.</w:t>
        <w:br/>
        <w:t xml:space="preserve">      59). [Con ello, el TEDH estaba coincidiendo con la afirmación  de  las</w:t>
        <w:br/>
        <w:t xml:space="preserve">      organizaciones no gubernamentales intervinientes en el caso, según las</w:t>
        <w:br/>
        <w:t xml:space="preserve">      cuales “si bien el tribunal  había  subrayado  frecuentemente  que  el</w:t>
        <w:br/>
        <w:t xml:space="preserve">      Convenio era un instrumento viviente que debía  interpretarse  en  las</w:t>
        <w:br/>
        <w:t xml:space="preserve">      condiciones  actuales,  sólo  había   utilizado   ese   enfoque   para</w:t>
        <w:br/>
        <w:t xml:space="preserve">      desarrollar su jurisprudencia cuando había percibido una  convergencia</w:t>
        <w:br/>
        <w:t xml:space="preserve">      de estándares entre los Estados miembros”.]</w:t>
        <w:br/>
        <w:br/>
        <w:br/>
        <w:t xml:space="preserve">  12. Influencia del artículo 9 de la Carta Europea. En cuanto al artículo 9</w:t>
        <w:br/>
        <w:t xml:space="preserve">      de  la  Carta  Europea  (ilustrado  por  su  comentario  oficial),  la</w:t>
        <w:br/>
        <w:t xml:space="preserve">      eliminación deliberada de la referencia a  “un  hombre  y  una  mujer”</w:t>
        <w:br/>
        <w:t xml:space="preserve">      ampliaba su alcance en relación  con  los  artículos  concordantes  de</w:t>
        <w:br/>
        <w:t xml:space="preserve">      otros instrumentos de derechos humanos, pero “la referencia al derecho</w:t>
        <w:br/>
        <w:t xml:space="preserve">      interno reflejaba la diversidad de  las  reglamentaciones  nacionales,</w:t>
        <w:br/>
        <w:t xml:space="preserve">      que van desde permitir el matrimonio entre personas del  mismo  género</w:t>
        <w:br/>
        <w:t xml:space="preserve">      hasta la prohibición explícita” y dejaba  librada  a  los  Estados  la</w:t>
        <w:br/>
        <w:t xml:space="preserve">      decisión al respecto[314] (párr. 60). Teniendo en cuenta el artículo 9</w:t>
        <w:br/>
        <w:t xml:space="preserve">      de la Carta, el TEDH concluyó que “ya no consideraría que el derecho a</w:t>
        <w:br/>
        <w:t xml:space="preserve">      casarse  consagrado  en  el  artículo  12  debe  limitarse   en   toda</w:t>
        <w:br/>
        <w:t xml:space="preserve">      circunstancia al matrimonio entre dos personas de sexo  opuesto”,  por</w:t>
        <w:br/>
        <w:t xml:space="preserve">      lo cual dicho artículo era aplicable al caso,  pero  subrayó  que  “la</w:t>
        <w:br/>
        <w:t xml:space="preserve">      cuestión de si se ha de permitir o no el matrimonio entre personas  de</w:t>
        <w:br/>
        <w:t xml:space="preserve">      un mismo  sexo  está  librado  a  la  reglamentación  por  el  derecho</w:t>
        <w:br/>
        <w:t xml:space="preserve">      nacional” de cada Estado (párr. 61). Observó que “el matrimonio  tiene</w:t>
        <w:br/>
        <w:t xml:space="preserve">      connotaciones  sociales  y  culturales  profundamente  arraigadas  que</w:t>
        <w:br/>
        <w:t xml:space="preserve">      pueden diferir ampliamente de una sociedad a otra”, y que el TEDH  “no</w:t>
        <w:br/>
        <w:t xml:space="preserve">      puede apresurarse a anteponer su propio criterio al de las autoridades</w:t>
        <w:br/>
        <w:t xml:space="preserve">      nacionales, que están mejor ubicadas para responder a las  necesidades</w:t>
        <w:br/>
        <w:t xml:space="preserve">      de la  sociedad”  (párr.  62).  En  consecuencia,  determinó  que  “el</w:t>
        <w:br/>
        <w:t xml:space="preserve">      artículo 12 no  impon[ía]  al  Gobierno  demandado  la  obligación  de</w:t>
        <w:br/>
        <w:t xml:space="preserve">      otorgar el derecho a casarse a una pareja  de  personas  de  un  mismo</w:t>
        <w:br/>
        <w:t xml:space="preserve">      sexo, como los demandantes” (párr. 63), y  que  no  se  había  violado</w:t>
        <w:br/>
        <w:t xml:space="preserve">      dicho artículo (párr. 64).</w:t>
        <w:br/>
        <w:br/>
        <w:br/>
        <w:t xml:space="preserve">  13.  Aplicabilidad  del  artículo  14  considerado  conjuntamente  con  el</w:t>
        <w:br/>
        <w:t xml:space="preserve">      artículo 8. Según el TEDH, “el artículo 14[315] complementa las  demás</w:t>
        <w:br/>
        <w:t xml:space="preserve">      disposiciones sustantivas del Convenio  y  sus  Protocolos.  No  tiene</w:t>
        <w:br/>
        <w:t xml:space="preserve">      existencia independiente, pues surte efecto únicamente en relación con</w:t>
        <w:br/>
        <w:t xml:space="preserve">      “[e]l goce de los derechos y  libertades”  salvaguardados  por  dichas</w:t>
        <w:br/>
        <w:t xml:space="preserve">      disposiciones” (párr. 89). En distintas sentencias (la última  de  los</w:t>
        <w:br/>
        <w:t xml:space="preserve">      cuales[316] era de 2001), el TEDH había determinado que “la noción  de</w:t>
        <w:br/>
        <w:t xml:space="preserve">      familia” en el artículo 12 comprendía también a las uniones de  hecho,</w:t>
        <w:br/>
        <w:t xml:space="preserve">      “cuando las partes viven juntas sin estar casadas”, pero en  cuanto  a</w:t>
        <w:br/>
        <w:t xml:space="preserve">      las parejas de un mismo sexo sólo  había  reconocido  que  constituían</w:t>
        <w:br/>
        <w:t xml:space="preserve">      “vida privada” pero no “vida familiar”  (párrs.  91-92).  En  el  caso</w:t>
        <w:br/>
        <w:t xml:space="preserve">      Schalk y Kopf vs. Austria, el TEDH cambia esa jurisprudencia (como  se</w:t>
        <w:br/>
        <w:t xml:space="preserve">      indica acertadamente en el párr. 174 de la sentencia a que se  refiere</w:t>
        <w:br/>
        <w:t xml:space="preserve">      el presente voto),  por  considerar  que  después  de  2001  se  había</w:t>
        <w:br/>
        <w:t xml:space="preserve">      producido “una rápida evolución de las actitudes  sociales  hacia  las</w:t>
        <w:br/>
        <w:t xml:space="preserve">      parejas de un mismo  sexo  en  numerosos  Estados  miembros”,  y  “una</w:t>
        <w:br/>
        <w:t xml:space="preserve">      considerable  cantidad”  de  éstos  había   “otorgado   reconocimiento</w:t>
        <w:br/>
        <w:t xml:space="preserve">      jurídico  a  las  parejas  de  un  mismo  sexo”.  Asimismo  en  varias</w:t>
        <w:br/>
        <w:t xml:space="preserve">      disposiciones  de  la  Unión  Europea  se  reflejaba  “una   creciente</w:t>
        <w:br/>
        <w:t xml:space="preserve">      tendencia a incluir a las parejas de un mismo sexo  en  la  noción  de</w:t>
        <w:br/>
        <w:t xml:space="preserve">      ‘familia’” (párr. 93). “Habida  cuenta  de  esa  evolución,”  el  TEDH</w:t>
        <w:br/>
        <w:t xml:space="preserve">      consideró “artificial mantener la opinión de que, en contraste con una</w:t>
        <w:br/>
        <w:t xml:space="preserve">      pareja de sexos opuestos, una pareja de un mismo sexo no  puede  gozar</w:t>
        <w:br/>
        <w:t xml:space="preserve">      de  ‘vida  familiar’  a  los  efectos  del   artículo   8”,   y   que,</w:t>
        <w:br/>
        <w:t xml:space="preserve">      “[c]onsiguientemente, la relación entre los  demandantes,  una  pareja</w:t>
        <w:br/>
        <w:t xml:space="preserve">      del mismo sexo que cohabita y vive en una unión de hecho estable, está</w:t>
        <w:br/>
        <w:t xml:space="preserve">      comprendida en la noción de  ‘vida  familiar’,  como  lo  estaría  una</w:t>
        <w:br/>
        <w:t xml:space="preserve">      relación de una pareja de sexos opuestos en la misma situación” (párr.</w:t>
        <w:br/>
        <w:t xml:space="preserve">      94).</w:t>
        <w:br/>
        <w:br/>
        <w:br/>
        <w:t xml:space="preserve">  14. Alegación de violación del artículo 14 considerado  conjuntamente  con</w:t>
        <w:br/>
        <w:t xml:space="preserve">      el artículo 8. Habiendo  determinado  así  que  los  hechos  del  caso</w:t>
        <w:br/>
        <w:t xml:space="preserve">      estaban comprendidos “tanto en la noción de ‘vida privada’ como en  la</w:t>
        <w:br/>
        <w:t xml:space="preserve">      de ‘vida familiar’”, y que era aplicable el  artículo  14  considerado</w:t>
        <w:br/>
        <w:t xml:space="preserve">      conjuntamente con el artículo 8 (párr. 95), el TEDH pasó a  considerar</w:t>
        <w:br/>
        <w:t xml:space="preserve">      si había sido violado (párrs. 96-110). Para llegar a tal determinación</w:t>
        <w:br/>
        <w:t xml:space="preserve">      tendría que encontrar “una diferencia  en  el  trato  de  personas  en</w:t>
        <w:br/>
        <w:t xml:space="preserve">      situaciones relevantemente análogas”, que será “discriminatoria si  no</w:t>
        <w:br/>
        <w:t xml:space="preserve">      tiene una justificación objetiva y razonable; en otras palabras, si no</w:t>
        <w:br/>
        <w:t xml:space="preserve">      persigue un fin legítimo  o  si  no  hay  una  razonable  relación  de</w:t>
        <w:br/>
        <w:t xml:space="preserve">      proporcionalidad entre los medios empleados el fin perseguido”. A  ese</w:t>
        <w:br/>
        <w:t xml:space="preserve">      respecto, los Estados “gozan de un margen de apreciación” (párr.  97).</w:t>
        <w:br/>
        <w:t xml:space="preserve">      Por un lado, “igual que  las  diferencias  basadas  en  el  sexo,  las</w:t>
        <w:br/>
        <w:t xml:space="preserve">      diferencias  basadas  en  la   orientación   sexual   requieren   como</w:t>
        <w:br/>
        <w:t xml:space="preserve">      justificación razones particularmente serias”, pero  habitualmente  se</w:t>
        <w:br/>
        <w:t xml:space="preserve">      reconoce a los Estados “un amplio margen” en  lo  tocante  a  “medidas</w:t>
        <w:br/>
        <w:t xml:space="preserve">      generales de estrategia económica o social” (párr. 97), y uno  de  los</w:t>
        <w:br/>
        <w:t xml:space="preserve">      factores  pertinentes  para  determinar  el  alcance  del  margen   de</w:t>
        <w:br/>
        <w:t xml:space="preserve">      apreciación puede ser “la existencia o inexistencia de un  espacio  de</w:t>
        <w:br/>
        <w:t xml:space="preserve">      coincidencia (common ground)”. El TEDH partió de “la  premisa  de  que</w:t>
        <w:br/>
        <w:t xml:space="preserve">      las parejas de un mismo sexo son tan capaces como las parejas de sexos</w:t>
        <w:br/>
        <w:t xml:space="preserve">      diferentes de mantener relaciones estables de compromiso”, por lo cual</w:t>
        <w:br/>
        <w:t xml:space="preserve">      están en “una situación relevantemente análoga a la de una  pareja  de</w:t>
        <w:br/>
        <w:t xml:space="preserve">      sexos diferentes en  lo  tocante  a  su  necesidad  de  reconocimiento</w:t>
        <w:br/>
        <w:t xml:space="preserve">      jurídico y  protección  de  su  relación”  (párr.  99).  No  obstante,</w:t>
        <w:br/>
        <w:t xml:space="preserve">      determinó que, si bien no se había permitido que  los  demandantes  se</w:t>
        <w:br/>
        <w:t xml:space="preserve">      casaran, una ley posterior  a  la  presentación  de  la  demanda  pero</w:t>
        <w:br/>
        <w:t xml:space="preserve">      anterior a la sentencia (la Ley sobre  uniones  registradas[317],  que</w:t>
        <w:br/>
        <w:t xml:space="preserve">      entró en vigor el 1 de enero de 2010) había brindado un reconocimiento</w:t>
        <w:br/>
        <w:t xml:space="preserve">      legal alternativo (párr. 102). Si bien “existe un incipiente  consenso</w:t>
        <w:br/>
        <w:t xml:space="preserve">      europeo hacia el reconocimiento de las parejas del mismo sexo”, que se</w:t>
        <w:br/>
        <w:t xml:space="preserve">      desarrolló “rápidamente durante el último  decenio”,  todavía  no  son</w:t>
        <w:br/>
        <w:t xml:space="preserve">      mayoría los Estados que dan otorgan ese  reconocimiento  jurídico.  Se</w:t>
        <w:br/>
        <w:t xml:space="preserve">      trata de una esfera en que “los derechos están en evolución y  no  hay</w:t>
        <w:br/>
        <w:t xml:space="preserve">      un consenso establecido”, de modo que “los Estados deben gozar también</w:t>
        <w:br/>
        <w:t xml:space="preserve">      de un margen de apreciación en cuanto a la fecha en que introducen los</w:t>
        <w:br/>
        <w:t xml:space="preserve">      cambios legislativos” (párr. 105). En conclusión, luego de analizar la</w:t>
        <w:br/>
        <w:t xml:space="preserve">      condición jurídica de las uniones registradas y  las  diferencias  que</w:t>
        <w:br/>
        <w:t xml:space="preserve">      subsistían con respecto a los matrimonios, el TEDH dijo  que  no  veía</w:t>
        <w:br/>
        <w:t xml:space="preserve">      “ninguna indicación de que el Estado  demandado  hubiese  excedido  su</w:t>
        <w:br/>
        <w:t xml:space="preserve">      margen de apreciación  al  seleccionar  los  derechos  y  obligaciones</w:t>
        <w:br/>
        <w:t xml:space="preserve">      conferidos por las uniones registradas” (párr. 109) y determinó que no</w:t>
        <w:br/>
        <w:t xml:space="preserve">      se había violado el  artículo  14  considerado  conjuntamente  con  el</w:t>
        <w:br/>
        <w:t xml:space="preserve">      artículo 8 (párr. 110).</w:t>
        <w:br/>
        <w:br/>
        <w:br/>
        <w:t xml:space="preserve">        El caso X, Y y Z vs. Reino Unido</w:t>
        <w:br/>
        <w:br/>
        <w:br/>
        <w:t xml:space="preserve">  15. Los hechos del caso pueden resumirse así: El primer  demandante,  "X",</w:t>
        <w:br/>
        <w:t xml:space="preserve">      nació, con cuerpo femenino, en 1955, pero desde  los  cuatro  años  se</w:t>
        <w:br/>
        <w:t xml:space="preserve">      sentía  sexualmente  inadecuada  y  le  atraían  roles   de   conducta</w:t>
        <w:br/>
        <w:t xml:space="preserve">      “masculinos”.  Esa  discrepancia  le  hizo  sufrir  depresión  suicida</w:t>
        <w:br/>
        <w:t xml:space="preserve">      durante su adolescencia. En 1975, inició  un  tratamiento  hormonal  y</w:t>
        <w:br/>
        <w:t xml:space="preserve">      comenzó a vivir y trabajar como hombre. Desde 1979 ha vivido en  unión</w:t>
        <w:br/>
        <w:t xml:space="preserve">      permanente y estable con la segunda demandante, “Y”, una mujer  nacida</w:t>
        <w:br/>
        <w:t xml:space="preserve">      en 1959, y poco después de iniciar dicha  convivencia,  se  sometió  a</w:t>
        <w:br/>
        <w:t xml:space="preserve">      cirugía de reasignación de género. La  tercera  demandante,  “Z”[318],</w:t>
        <w:br/>
        <w:t xml:space="preserve">      fue dada a luz en 1992 por “Y” mediante inseminación artificial por un</w:t>
        <w:br/>
        <w:t xml:space="preserve">      donante (IAD). Posteriormente, “Y” dio a luz otro hijo  por  el  mismo</w:t>
        <w:br/>
        <w:t xml:space="preserve">      método. El planteamiento ante el TEDH se debió a que  las  autoridades</w:t>
        <w:br/>
        <w:t xml:space="preserve">      del Reino Unido habían denegado la petición de “X”  de  ser  inscripto</w:t>
        <w:br/>
        <w:t xml:space="preserve">      como padre de “Z” en el registro civil.</w:t>
        <w:br/>
        <w:br/>
        <w:br/>
        <w:t xml:space="preserve">  16. Consideraciones de derecho. El TEDH recordó, citando varias sentencias</w:t>
        <w:br/>
        <w:t xml:space="preserve">      anteriores, que “la noción de ‘vida familiar’ en el artículo 8  no  se</w:t>
        <w:br/>
        <w:t xml:space="preserve">      limita únicamente a las familias basadas  en  el  matrimonio  y  puede</w:t>
        <w:br/>
        <w:t xml:space="preserve">      abarcar otras relaciones de hecho”, y  añadió  que  “[a]l  decidir  si</w:t>
        <w:br/>
        <w:t xml:space="preserve">      puede considerarse que una relación constituye ‘vida familiar’, pueden</w:t>
        <w:br/>
        <w:t xml:space="preserve">      ser pertinentes varios factores, entre ellos, si la pareja vive junta,</w:t>
        <w:br/>
        <w:t xml:space="preserve">      la duración de su relación y si han  demostrado  su  compromiso  mutuo</w:t>
        <w:br/>
        <w:t xml:space="preserve">      teniendo hijos conjuntamente o por  otros  medios  (párr.  36)”.  Como</w:t>
        <w:br/>
        <w:t xml:space="preserve">      punto de partida, consideró que  “debe  tenerse  en  consideración  el</w:t>
        <w:br/>
        <w:t xml:space="preserve">      justo equilibrio (fair balance) que debe lograrse entre los  intereses</w:t>
        <w:br/>
        <w:t xml:space="preserve">      en competencia del individuo y de la comunidad en conjunto” y que  “el</w:t>
        <w:br/>
        <w:t xml:space="preserve">      Estado goza de cierto margen de apreciación” (párr. 41). En lo tocante</w:t>
        <w:br/>
        <w:t xml:space="preserve">      al punto concreto del reconocimiento como padre (párr.  44),  el  TEDH</w:t>
        <w:br/>
        <w:t xml:space="preserve">      observó que  “no  hay  un  estándar  común  europeo  con  respecto  al</w:t>
        <w:br/>
        <w:t xml:space="preserve">      otorgamiento de derechos parentales a los transexuales” y que no se ha</w:t>
        <w:br/>
        <w:t xml:space="preserve">      demostrado “que existe un enfoque generalmente  compartido  entre  las</w:t>
        <w:br/>
        <w:t xml:space="preserve">      Altas  Partes  Contratantes  acerca  de  la  manera  en  que   debería</w:t>
        <w:br/>
        <w:t xml:space="preserve">      reflejarse en el derecho la relación social entre  un  niño  concebido</w:t>
        <w:br/>
        <w:t xml:space="preserve">      mediante IAD y la persona que desempeña el  papel  de  padre”.  Añadió</w:t>
        <w:br/>
        <w:t xml:space="preserve">      que, “si bien la tecnología de la procreación médicamente asistida  ha</w:t>
        <w:br/>
        <w:t xml:space="preserve">      estado disponible en Europa durante varios  decenios,  muchas  de  las</w:t>
        <w:br/>
        <w:t xml:space="preserve">      cuestiones que plantea, en particular con respecto a la cuestión de la</w:t>
        <w:br/>
        <w:t xml:space="preserve">      filiación, siguen  siendo  objeto  de  debate.  Por  ejemplo,  no  hay</w:t>
        <w:br/>
        <w:t xml:space="preserve">      consenso entre los Estados miembros del Consejo  de  Europa  sobre  la</w:t>
        <w:br/>
        <w:t xml:space="preserve">      cuestión de si los intereses de un niño concebido de  tal  manera  son</w:t>
        <w:br/>
        <w:t xml:space="preserve">      mejor contemplados preservando el anonimato del donante del esperma  o</w:t>
        <w:br/>
        <w:t xml:space="preserve">      si el niño debería tener derecho a conocer la identidad del  donante”.</w:t>
        <w:br/>
        <w:t xml:space="preserve">      De allí se deriva que las cuestiones planteadas en  el  caso  “afectan</w:t>
        <w:br/>
        <w:t xml:space="preserve">      esferas en las que  hay  muy  poco  espacio  de  coincidencia  (common</w:t>
        <w:br/>
        <w:t xml:space="preserve">      ground)” entre los Estados  miembros  del  Consejo  de  Europa  y,  en</w:t>
        <w:br/>
        <w:t xml:space="preserve">      general, el derecho parece estar en  una  etapa  de  transición,  debe</w:t>
        <w:br/>
        <w:t xml:space="preserve">      reconocerse al Estado demandado una  amplio  margen  de  apreciación”.</w:t>
        <w:br/>
        <w:t xml:space="preserve">      Finalmente dijo que, “habida cuenta de que la  transexualidad  plantea</w:t>
        <w:br/>
        <w:t xml:space="preserve">      complejas cuestiones científicas, jurídicas, morales y  sociales,  con</w:t>
        <w:br/>
        <w:t xml:space="preserve">      respecto a las cuales no existe  un  enfoque  generalmente  compartido</w:t>
        <w:br/>
        <w:t xml:space="preserve">      entre los  Estados  Contratantes,  el  Tribunal  opina  que  no  puede</w:t>
        <w:br/>
        <w:t xml:space="preserve">      considerarse, en  este  contexto,  que  el  artículo  8  implique  una</w:t>
        <w:br/>
        <w:t xml:space="preserve">      obligación del Estado demandado de reconocer como padre de un  niño  a</w:t>
        <w:br/>
        <w:t xml:space="preserve">      una persona que no sea el padre biológico”. Por lo tanto  (párr.  52),</w:t>
        <w:br/>
        <w:t xml:space="preserve">      “el hecho de  que  la  legislación  del  Reino  Unido  no  otorgue  un</w:t>
        <w:br/>
        <w:t xml:space="preserve">      reconocimiento jurídico  especial  a  la  relación  entre  X  y  Z  no</w:t>
        <w:br/>
        <w:t xml:space="preserve">      configura un incumplimiento del deber de respetar la vida familiar  en</w:t>
        <w:br/>
        <w:t xml:space="preserve">      el sentido de dicha disposición”.</w:t>
        <w:br/>
        <w:br/>
        <w:br/>
        <w:t xml:space="preserve">  17. Desde luego, las extensas citas de sentencias del TEDH  no  significan</w:t>
        <w:br/>
        <w:t xml:space="preserve">      que  la  Corte   Interamericana   deba   tomarlas   como   precedentes</w:t>
        <w:br/>
        <w:t xml:space="preserve">      obligatorios.  Como  ya  se  dijo  (supra,  párr. 3),  tienen   “valor</w:t>
        <w:br/>
        <w:t xml:space="preserve">      persuasivo” en la medida en que el razonamiento contenido en ellas sea</w:t>
        <w:br/>
        <w:t xml:space="preserve">      intrínsecamente convincente, cosa que dependerá, en buena medida,  “de</w:t>
        <w:br/>
        <w:t xml:space="preserve">      la jerarquía de la corte de que emanen, y de la personalidad del  juez</w:t>
        <w:br/>
        <w:t xml:space="preserve">      que redactó el fallo”[319]. Habida cuenta de la jerarquía del  TEDH  y</w:t>
        <w:br/>
        <w:t xml:space="preserve">      la similitud entre sus funciones y las de la Corte Interamericana, las</w:t>
        <w:br/>
        <w:t xml:space="preserve">      sentencias que se citan en el presente voto razonado tienen  una  gran</w:t>
        <w:br/>
        <w:t xml:space="preserve">      importancia, como se verá en el capítulo II.</w:t>
        <w:br/>
        <w:br/>
        <w:br/>
        <w:t>II. NO ES NECESARIO NI PRUDENTE INVOCAR EL ARTÍCULO 17.1</w:t>
        <w:br/>
        <w:br/>
        <w:t xml:space="preserve">  18. Como ya he indicado, no considero necesario ni prudente  declarar  una</w:t>
        <w:br/>
        <w:t xml:space="preserve">      violación del artículo 17 que pudiera tomarse como un  pronunciamiento</w:t>
        <w:br/>
        <w:t xml:space="preserve">      implícito sobre la interpretación de las  distintas  disposiciones  de</w:t>
        <w:br/>
        <w:t xml:space="preserve">      dicho artículo. En efecto,  el  artículo  17  contiene  una  serie  de</w:t>
        <w:br/>
        <w:t xml:space="preserve">      disposiciones conexas entre sí, que comienzan con  la  declaración  de</w:t>
        <w:br/>
        <w:t xml:space="preserve">      principio de que “[l]a familia es el elemento natural y fundamental de</w:t>
        <w:br/>
        <w:t xml:space="preserve">      la  sociedad”  a  la  que  sigue,  dentro  del  mismo  párrafo  1,  la</w:t>
        <w:br/>
        <w:t xml:space="preserve">      disposición según la cual  la  familia  “debe  ser  protegida  por  la</w:t>
        <w:br/>
        <w:t xml:space="preserve">      sociedad y el Estado”, y más adelante varias disposiciones que podrían</w:t>
        <w:br/>
        <w:t xml:space="preserve">      interpretarse (punto sobre el cual en este  voto  no  se  hace  ningún</w:t>
        <w:br/>
        <w:t xml:space="preserve">      pronunciamiento) en el sentido de que presuponen  que  la  familia  se</w:t>
        <w:br/>
        <w:t xml:space="preserve">      basa en el matrimonio o la unión de hecho heterosexual. El  derecho  a</w:t>
        <w:br/>
        <w:t xml:space="preserve">      no “ser objeto de  injerencias  arbitrarias  o  abusivas  en  su  vida</w:t>
        <w:br/>
        <w:t xml:space="preserve">      privada” ni “en la de su familia”, consagrado en el artículo 11.2,  es</w:t>
        <w:br/>
        <w:t xml:space="preserve">      un aspecto específico y autónomo del deber general de  protección,  de</w:t>
        <w:br/>
        <w:t xml:space="preserve">      modo que no es necesario invocar al artículo 17.1 acumulativamente con</w:t>
        <w:br/>
        <w:t xml:space="preserve">      el 11.2. La determinación de que unos mismos hechos  violan  un  deber</w:t>
        <w:br/>
        <w:t xml:space="preserve">      general y un deber específico (o  los  derechos  correspondientes)  no</w:t>
        <w:br/>
        <w:t xml:space="preserve">      cambia la naturaleza ni la gravedad de la violación, y tampoco lleva a</w:t>
        <w:br/>
        <w:t xml:space="preserve">      que se dispongan reparaciones distintas que si  sólo  se  invocara  la</w:t>
        <w:br/>
        <w:t xml:space="preserve">      disposición que consagra el derecho o el deber específico. En  cambio,</w:t>
        <w:br/>
        <w:t xml:space="preserve">      la  invocación  del  artículo  17.1  comprende  a  la  declaración  de</w:t>
        <w:br/>
        <w:t xml:space="preserve">      principio mencionada y, por implicancia, podría abarcar al  resto  del</w:t>
        <w:br/>
        <w:t xml:space="preserve">      artículo 17.</w:t>
        <w:br/>
        <w:br/>
        <w:br/>
        <w:t xml:space="preserve">  19. La declaración de principio relativa a la familia  que  figura  en  el</w:t>
        <w:br/>
        <w:t xml:space="preserve">      artículo 17.1 coincide básicamente con las disposiciones de  numerosas</w:t>
        <w:br/>
        <w:t xml:space="preserve">      constituciones latinoamericanas:</w:t>
        <w:br/>
        <w:br/>
        <w:br/>
        <w:t xml:space="preserve">    Bolivia: Artículo 62. El Estado reconoce y protege a las familias  como</w:t>
        <w:br/>
        <w:t xml:space="preserve">    el núcleo fundamental de la sociedad,  y  garantizará  las  condiciones</w:t>
        <w:br/>
        <w:t xml:space="preserve">    sociales y económicas necesarias para su desarrollo integral. Todos sus</w:t>
        <w:br/>
        <w:t xml:space="preserve">    integrantes tienen igualdad de derechos, obligaciones y oportunidades.</w:t>
        <w:br/>
        <w:t xml:space="preserve">    Artículo 63. I. El matrimonio entre una mujer y un hombre se constituye</w:t>
        <w:br/>
        <w:t xml:space="preserve">    por vínculos jurídicos y se basa en la igualdad de derechos  y  deberes</w:t>
        <w:br/>
        <w:t xml:space="preserve">    de los cónyuges.</w:t>
        <w:br/>
        <w:t xml:space="preserve">    II. Las uniones libres o de hecho que reúnan condiciones de estabilidad</w:t>
        <w:br/>
        <w:t xml:space="preserve">    y singularidad, y sean mantenidas entre  una  mujer  y  un  hombre  sin</w:t>
        <w:br/>
        <w:t xml:space="preserve">    impedimento legal, producirán los  mismos  efectos  que  el  matrimonio</w:t>
        <w:br/>
        <w:t xml:space="preserve">    civil, tanto en  las  relaciones  personales  y  patrimoniales  de  los</w:t>
        <w:br/>
        <w:t xml:space="preserve">    convivientes como en lo que respecta a las hijas e  hijos  adoptados  o</w:t>
        <w:br/>
        <w:t xml:space="preserve">    nacidos de aquéllas.</w:t>
        <w:br/>
        <w:br/>
        <w:br/>
        <w:t xml:space="preserve">    Brasil: Artículo 226. La familia, base de la sociedad, tiene protección</w:t>
        <w:br/>
        <w:t xml:space="preserve">    especial del Estado.</w:t>
        <w:br/>
        <w:t xml:space="preserve">    El artículo continúa con  disposiciones  específicas  relativas,  entre</w:t>
        <w:br/>
        <w:t xml:space="preserve">    otras cosas, al casamiento o matrimonio, y a la “unión estable entre el</w:t>
        <w:br/>
        <w:t xml:space="preserve">    hombre y la mujer como entidad familiar”.</w:t>
        <w:br/>
        <w:br/>
        <w:br/>
        <w:t xml:space="preserve">  Chile:  Artículo  1  (contenido  en   el   Capítulo   I,   Bases   de   la</w:t>
        <w:br/>
        <w:t xml:space="preserve">    institucionalidad). Las personas nacen libres e iguales en  dignidad  y</w:t>
        <w:br/>
        <w:t xml:space="preserve">    derechos</w:t>
        <w:br/>
        <w:t xml:space="preserve">    La familia es el núcleo fundamental de la sociedad.</w:t>
        <w:br/>
        <w:t xml:space="preserve">    El Estado reconoce y ampara a los grupos intermedios a  través  de  los</w:t>
        <w:br/>
        <w:t xml:space="preserve">    cuales se organiza y estructura la sociedad y les garantiza la adecuada</w:t>
        <w:br/>
        <w:t xml:space="preserve">    autonomía para cumplir sus propios fines específicos.</w:t>
        <w:br/>
        <w:t xml:space="preserve">    El Estado está al servicio de la  persona  humana  y  su  finalidad  es</w:t>
        <w:br/>
        <w:t xml:space="preserve">    promover el bien común, para  lo  cual  debe  contribuir  a  crear  las</w:t>
        <w:br/>
        <w:t xml:space="preserve">    condiciones sociales  que  permitan  a  todos  y  a  cada  uno  de  los</w:t>
        <w:br/>
        <w:t xml:space="preserve">    integrantes de la comunidad nacional su mayor realización espiritual  y</w:t>
        <w:br/>
        <w:t xml:space="preserve">    material posible, con pleno respeto a los derechos y garantías que esta</w:t>
        <w:br/>
        <w:t xml:space="preserve">    Constitución establece.</w:t>
        <w:br/>
        <w:t xml:space="preserve">    Es deber del Estado resguardar la seguridad nacional, dar protección  a</w:t>
        <w:br/>
        <w:t xml:space="preserve">    la población y a la familia,  propender  al  fortalecimiento  de  ésta,</w:t>
        <w:br/>
        <w:t xml:space="preserve">    promover la integración armónica de todos los sectores de la  Nación  y</w:t>
        <w:br/>
        <w:t xml:space="preserve">    asegurar el derecho de  las  personas  a  participar  con  igualdad  de</w:t>
        <w:br/>
        <w:t xml:space="preserve">    oportunidades en la vida nacional.</w:t>
        <w:br/>
        <w:br/>
        <w:br/>
        <w:t xml:space="preserve">    Colombia: Artículo 5. El Estado reconoce, sin discriminación alguna, la</w:t>
        <w:br/>
        <w:t xml:space="preserve">    primacía de los derechos inalienables de  la  persona  y  ampara  a  la</w:t>
        <w:br/>
        <w:t xml:space="preserve">    familia como institución básica de la sociedad.</w:t>
        <w:br/>
        <w:t xml:space="preserve">    Artículo 42. La familia es el núcleo fundamental  de  la  sociedad.  Se</w:t>
        <w:br/>
        <w:t xml:space="preserve">    constituye por vínculos naturales o jurídicos, por la decisión libre de</w:t>
        <w:br/>
        <w:t xml:space="preserve">    un hombre y  una  mujer  de  contraer  matrimonio  o  por  la  voluntad</w:t>
        <w:br/>
        <w:t xml:space="preserve">    responsable de conformarla.</w:t>
        <w:br/>
        <w:t xml:space="preserve">    El Estado y  la  sociedad  garantizan  la  protección  integral  de  la</w:t>
        <w:br/>
        <w:t xml:space="preserve">    familia. La ley podrá determinar el patrimonio familiar  inalienable  e</w:t>
        <w:br/>
        <w:t xml:space="preserve">    inembargable. La honra, la dignidad y la intimidad de  la  familia  son</w:t>
        <w:br/>
        <w:t xml:space="preserve">    inviolables.</w:t>
        <w:br/>
        <w:t xml:space="preserve">    Las relaciones familiares se basan en la igualdad de derechos y deberes</w:t>
        <w:br/>
        <w:t xml:space="preserve">    de la pareja y el respeto recíproco entre todos sus integrantes.</w:t>
        <w:br/>
        <w:t xml:space="preserve">    Cualquier forma de violencia en la familia se considera destructiva  de</w:t>
        <w:br/>
        <w:t xml:space="preserve">    su armonía y unidad, y será sancionada conforme a ley.</w:t>
        <w:br/>
        <w:t xml:space="preserve">    Los hijos  habidos  en  el  matrimonio  o  fuera  de  él,  adoptados  o</w:t>
        <w:br/>
        <w:t xml:space="preserve">    procreados naturalmente o con  asistencia  científica,  tienen  iguales</w:t>
        <w:br/>
        <w:t xml:space="preserve">    derechos y deberes. La ley reglamentará la progenitura responsable.</w:t>
        <w:br/>
        <w:t xml:space="preserve">    La pareja tiene derecho a decidir libre y responsablemente el número de</w:t>
        <w:br/>
        <w:t xml:space="preserve">    sus hijos, y deberá obtenerlos y  educarlos  mientras  sean  menores  o</w:t>
        <w:br/>
        <w:t xml:space="preserve">    impedidos.</w:t>
        <w:br/>
        <w:t xml:space="preserve">    Las formas del matrimonio, la edad y la capacidad para contraerlo,  los</w:t>
        <w:br/>
        <w:t xml:space="preserve">    deberes y derechos de los cónyuges, su separación y la  disolución  del</w:t>
        <w:br/>
        <w:t xml:space="preserve">    vínculo, se rigen por la ley civil.</w:t>
        <w:br/>
        <w:t xml:space="preserve">    Los matrimonios religiosos tendrán efectos civiles en los términos  que</w:t>
        <w:br/>
        <w:t xml:space="preserve">    establezca la ley.</w:t>
        <w:br/>
        <w:t xml:space="preserve">    Los efectos civiles de todo matrimonio cesarán por divorcio con arreglo</w:t>
        <w:br/>
        <w:t xml:space="preserve">    a la ley civil.</w:t>
        <w:br/>
        <w:t xml:space="preserve">    También tendrán efectos  civiles  las  sentencias  de  nulidad  de  los</w:t>
        <w:br/>
        <w:t xml:space="preserve">    matrimonios religiosos dictadas por las autoridades  de  la  respectiva</w:t>
        <w:br/>
        <w:t xml:space="preserve">    religión, en los términos que establezca la ley.</w:t>
        <w:br/>
        <w:t xml:space="preserve">    La ley determinará lo relativo al estado civil de las  personas  y  los</w:t>
        <w:br/>
        <w:t xml:space="preserve">    consiguientes derechos y deberes.</w:t>
        <w:br/>
        <w:br/>
        <w:br/>
        <w:t xml:space="preserve">  Costa Rica: Artículo 51. La familia, como elemento natural y fundamento de</w:t>
        <w:br/>
        <w:t xml:space="preserve">    la sociedad,  tiene  derecho  a  la  protección  especial  del  Estado.</w:t>
        <w:br/>
        <w:t xml:space="preserve">    Igualmente tendrán derecho a esa  protección  la  madre,  el  niño,  el</w:t>
        <w:br/>
        <w:t xml:space="preserve">    anciano y el enfermo desvalido.</w:t>
        <w:br/>
        <w:t xml:space="preserve">    Artículo 52. El matrimonio es la base esencial de la familia y descansa</w:t>
        <w:br/>
        <w:t xml:space="preserve">    en la igualdad de derechos de los cónyuges.</w:t>
        <w:br/>
        <w:t xml:space="preserve">    Artículo 53.  Los  padres  tienen  con  sus  hijos  habidos  fuera  del</w:t>
        <w:br/>
        <w:t xml:space="preserve">    matrimonio las mismas obligaciones que con los nacidos en él.</w:t>
        <w:br/>
        <w:t xml:space="preserve">    Toda persona tiene derecho a saber quiénes son sus padres,  conforme  a</w:t>
        <w:br/>
        <w:t xml:space="preserve">    la ley.</w:t>
        <w:br/>
        <w:br/>
        <w:br/>
        <w:t xml:space="preserve">  Cuba: Artículo 35. El Estado protege a la  familia,  la  maternidad  y  el</w:t>
        <w:br/>
        <w:t xml:space="preserve">    matrimonio.</w:t>
        <w:br/>
        <w:t xml:space="preserve">  El Estado reconoce en la familia la célula fundamental de la sociedad y le</w:t>
        <w:br/>
        <w:t xml:space="preserve">    atribuye responsabilidades y funciones esenciales  en  la  educación  y</w:t>
        <w:br/>
        <w:t xml:space="preserve">    formación de las nuevas generaciones.</w:t>
        <w:br/>
        <w:t xml:space="preserve">  Artículo 36. El matrimonio es la unión voluntariamente  concertada  de  un</w:t>
        <w:br/>
        <w:t xml:space="preserve">    hombre y una mujer con aptitud legal para ello, a fin de hacer vida  en</w:t>
        <w:br/>
        <w:t xml:space="preserve">    común. Descansa en la igualdad absoluta de derechos y  deberes  de  los</w:t>
        <w:br/>
        <w:t xml:space="preserve">    cónyuges, los que deben atender al  mantenimiento  del  hogar  y  a  la</w:t>
        <w:br/>
        <w:t xml:space="preserve">    formación integral de los hijos mediante el esfuerzo común, de modo que</w:t>
        <w:br/>
        <w:t xml:space="preserve">    este resulte compatible con el desarrollo de las  actividades  sociales</w:t>
        <w:br/>
        <w:t xml:space="preserve">    de ambos.</w:t>
        <w:br/>
        <w:t xml:space="preserve">  La ley regula la formalización, reconocimiento y disolución del matrimonio</w:t>
        <w:br/>
        <w:t xml:space="preserve">    y los derechos y obligaciones que de dichos actos se derivan.</w:t>
        <w:br/>
        <w:br/>
        <w:br/>
        <w:t xml:space="preserve">  Ecuador: Artículo 67. Se reconoce la familia en  sus  diversos  tipos.  El</w:t>
        <w:br/>
        <w:t xml:space="preserve">    Estado  la  protegerá  como  núcleo  fundamental  de  la   sociedad   y</w:t>
        <w:br/>
        <w:t xml:space="preserve">    garantizará condiciones que favorezcan integralmente la consecución  de</w:t>
        <w:br/>
        <w:t xml:space="preserve">    sus fines. Estas se constituirán por vínculos jurídicos o de hecho y se</w:t>
        <w:br/>
        <w:t xml:space="preserve">    basarán en la igualdad de derechos y oportunidades de sus integrantes.</w:t>
        <w:br/>
        <w:t xml:space="preserve">  El matrimonio es la unión entre hombre y mujer, se  fundará  en  el  libre</w:t>
        <w:br/>
        <w:t xml:space="preserve">    consentimiento de las personas contrayentes y en  la  igualdad  de  sus</w:t>
        <w:br/>
        <w:t xml:space="preserve">    derechos, obligaciones y capacidad legal.</w:t>
        <w:br/>
        <w:t xml:space="preserve">  Artículo 68. La unión estable y monogámica entre dos  personas  libres  de</w:t>
        <w:br/>
        <w:t xml:space="preserve">    vínculo matrimonial que formen un hogar de hecho, por el lapso  y  bajo</w:t>
        <w:br/>
        <w:t xml:space="preserve">    las condiciones y circunstancias que señale la ley, generará los mismos</w:t>
        <w:br/>
        <w:t xml:space="preserve">    derechos y obligaciones que tienen las familias  constituidas  mediante</w:t>
        <w:br/>
        <w:t xml:space="preserve">    matrimonio.</w:t>
        <w:br/>
        <w:t xml:space="preserve">  La adopción corresponderá sólo a parejas de distinto sexo.</w:t>
        <w:br/>
        <w:br/>
        <w:br/>
        <w:t xml:space="preserve">  El Salvador: Artículo 32. La familia es la base fundamental de la sociedad</w:t>
        <w:br/>
        <w:t xml:space="preserve">    y tendrá  la  protección  del  Estado,  quien  dictará  la  legislación</w:t>
        <w:br/>
        <w:t xml:space="preserve">    necesaria y creará  los  organismos  y  servicios  apropiados  para  su</w:t>
        <w:br/>
        <w:t xml:space="preserve">    integración, bienestar y desarrollo social, cultural  y  económico.  El</w:t>
        <w:br/>
        <w:t xml:space="preserve">    fundamento legal de la familia  es  el  matrimonio  y  descansa  en  la</w:t>
        <w:br/>
        <w:t xml:space="preserve">    igualdad jurídica de los cónyuges. El Estado fomentará  el  matrimonio;</w:t>
        <w:br/>
        <w:t xml:space="preserve">    pero la falta de éste no afectará  el  goce  de  los  derechos  que  se</w:t>
        <w:br/>
        <w:t xml:space="preserve">    establezcan en favor de la familia.</w:t>
        <w:br/>
        <w:t xml:space="preserve">  Artículo 33. La ley regulará las relaciones personales y patrimoniales  de</w:t>
        <w:br/>
        <w:t xml:space="preserve">    los cónyuges entre sí y entre ellos  y  sus  hijos,  estableciendo  los</w:t>
        <w:br/>
        <w:t xml:space="preserve">    derechos y deberes recíprocos sobre bases  equitativas;  y  creará  las</w:t>
        <w:br/>
        <w:t xml:space="preserve">    instituciones necesarias para  garantizar  su  aplicabilidad.  Regulará</w:t>
        <w:br/>
        <w:t xml:space="preserve">    asimismo las relaciones familiares resultantes de la unión  estable  de</w:t>
        <w:br/>
        <w:t xml:space="preserve">    un varón y una mujer.</w:t>
        <w:br/>
        <w:br/>
        <w:br/>
        <w:t xml:space="preserve">  Nicaragua: Artículo 70. La familia es el núcleo fundamental de la sociedad</w:t>
        <w:br/>
        <w:t xml:space="preserve">    y tiene derecho a la protección de ésta y del Estado.</w:t>
        <w:br/>
        <w:t xml:space="preserve">  Artículo 71. Es derecho de los nicaragüenses constituir  una  familia.  Se</w:t>
        <w:br/>
        <w:t xml:space="preserve">    garantiza el patrimonio familiar, que es inembargable y exento de  toda</w:t>
        <w:br/>
        <w:t xml:space="preserve">    carga pública. La ley regulará y protegerá estos derechos. …</w:t>
        <w:br/>
        <w:t xml:space="preserve">  Artículo 72. El matrimonio y la unión de hecho  estable  están  protegidos</w:t>
        <w:br/>
        <w:t xml:space="preserve">    por el Estado; descansan en el acuerdo voluntario del hombre y la mujer</w:t>
        <w:br/>
        <w:t xml:space="preserve">    y podrán disolverse por mutuo consentimiento o por la voluntad  de  una</w:t>
        <w:br/>
        <w:t xml:space="preserve">    de las partes. La ley regulará esta materia.</w:t>
        <w:br/>
        <w:t xml:space="preserve">  Artículo  73.  Las  relaciones  familiares  descansan   en   el   respeto,</w:t>
        <w:br/>
        <w:t xml:space="preserve">    solidaridad e igualdad absoluta de derechos y  responsabilidades  entre</w:t>
        <w:br/>
        <w:t xml:space="preserve">    el hombre y la mujer.</w:t>
        <w:br/>
        <w:t xml:space="preserve">  Los padres deben  atender  el  mantenimiento  del  hogar  y  la  formación</w:t>
        <w:br/>
        <w:t xml:space="preserve">    integral de los hijos mediante el esfuerzo común, con iguales  derechos</w:t>
        <w:br/>
        <w:t xml:space="preserve">    y responsabilidades. Los hijos a la vez, están obligados a  respetar  y</w:t>
        <w:br/>
        <w:t xml:space="preserve">    ayudar a sus padres. Estos deberes y derechos se cumplirán  de  acuerdo</w:t>
        <w:br/>
        <w:t xml:space="preserve">    con la legislación de la materia.</w:t>
        <w:br/>
        <w:br/>
        <w:br/>
        <w:t xml:space="preserve">  Paraguay: Artículo 49. De La Protección A La Familia</w:t>
        <w:br/>
        <w:t xml:space="preserve">  La familia es el fundamento de la sociedad. Se promoverá y se  garantizará</w:t>
        <w:br/>
        <w:t xml:space="preserve">    su protección integral. Esta incluye a la unión estable del hombre y de</w:t>
        <w:br/>
        <w:t xml:space="preserve">    la mujer, a los hijos y a la comunidad que se constituya con cualquiera</w:t>
        <w:br/>
        <w:t xml:space="preserve">    de sus progenitores y sus descendientes.</w:t>
        <w:br/>
        <w:t xml:space="preserve">  Artículo 50. Del Derecho A Constituir Familia</w:t>
        <w:br/>
        <w:t xml:space="preserve">  Toda persona tiene derecho a  constituir  familia,  en  cuya  formación  y</w:t>
        <w:br/>
        <w:t xml:space="preserve">    desenvolvimiento la mujer y el hombre tendrán  los  mismos  derechos  y</w:t>
        <w:br/>
        <w:t xml:space="preserve">    obligaciones.</w:t>
        <w:br/>
        <w:t xml:space="preserve">  Artículo 51. Del Matrimonio Y De Los Efectos De Las Uniones De Hecho</w:t>
        <w:br/>
        <w:t xml:space="preserve">  La ley establecerá las formalidades para  la  celebración  del  matrimonio</w:t>
        <w:br/>
        <w:t xml:space="preserve">    entre el hombre y la mujer, los requisitos para contraerlo, las  causas</w:t>
        <w:br/>
        <w:t xml:space="preserve">    de separación, de disolución y sus efectos,  así  como  el  régimen  de</w:t>
        <w:br/>
        <w:t xml:space="preserve">    administración  de  bienes  y  otros  derechos  y  obligaciones   entre</w:t>
        <w:br/>
        <w:t xml:space="preserve">    cónyuges.</w:t>
        <w:br/>
        <w:t xml:space="preserve">  Las uniones de hecho entre el hombre y la mujer, sin impedimentos  legales</w:t>
        <w:br/>
        <w:t xml:space="preserve">    para contraer matrimonio, que reúnan las condiciones de  estabilidad  y</w:t>
        <w:br/>
        <w:t xml:space="preserve">    singularidad, producen efectos similares al matrimonio, dentro  de  las</w:t>
        <w:br/>
        <w:t xml:space="preserve">    condiciones que establezca la ley.</w:t>
        <w:br/>
        <w:t xml:space="preserve">  Artículo 52. De La Unión En Matrimonio</w:t>
        <w:br/>
        <w:t xml:space="preserve">  La unión en matrimonio del hombre y la mujer es  uno  de  los  componentes</w:t>
        <w:br/>
        <w:t xml:space="preserve">    fundamentales en la formación de la familia.</w:t>
        <w:br/>
        <w:br/>
        <w:br/>
        <w:t xml:space="preserve">  Perú: Artículo 4. La comunidad y el Estado protegen especialmente al niño,</w:t>
        <w:br/>
        <w:t xml:space="preserve">    al adolescente, a la madre y  al  anciano  en  situación  de  abandono.</w:t>
        <w:br/>
        <w:t xml:space="preserve">    También protegen a la familia y promueven el  matrimonio.  Reconocen  a</w:t>
        <w:br/>
        <w:t xml:space="preserve">    estos últimos como institutos naturales y fundamentales de la sociedad.</w:t>
        <w:br/>
        <w:br/>
        <w:br/>
        <w:t xml:space="preserve">  La forma de matrimonio y las causas de  separación  y  de  disolución  son</w:t>
        <w:br/>
        <w:t xml:space="preserve">    reguladas por la ley.</w:t>
        <w:br/>
        <w:t xml:space="preserve">  Artículo 5.- La  unión  estable  de  un  varón  y  una  mujer,  libres  de</w:t>
        <w:br/>
        <w:t xml:space="preserve">    impedimento matrimonial, que forman un hogar de hecho, da lugar  a  una</w:t>
        <w:br/>
        <w:t xml:space="preserve">    comunidad de bienes sujeta al régimen de la sociedad de gananciales  en</w:t>
        <w:br/>
        <w:t xml:space="preserve">    cuanto sea aplicable.</w:t>
        <w:br/>
        <w:br/>
        <w:br/>
        <w:t xml:space="preserve">  Uruguay: Artículo 40. La familia es la base de nuestra sociedad. El Estado</w:t>
        <w:br/>
        <w:t xml:space="preserve">    velará por su estabilidad moral y material, para la mejor formación  de</w:t>
        <w:br/>
        <w:t xml:space="preserve">    los hijos dentro de la sociedad.</w:t>
        <w:br/>
        <w:t xml:space="preserve">  Artículo 41. El cuidado y educación de los hijos para que  éstos  alcancen</w:t>
        <w:br/>
        <w:t xml:space="preserve">    su plena capacidad corporal, intelectual y social, es  un  deber  y  un</w:t>
        <w:br/>
        <w:t xml:space="preserve">    derecho de los padres. Quienes tengan a su cargo numerosa prole  tienen</w:t>
        <w:br/>
        <w:t xml:space="preserve">    derecho a auxilios compensatorios, siempre que los necesiten.</w:t>
        <w:br/>
        <w:t xml:space="preserve">  La ley dispondrá las medidas necesarias para que la  infancia  y  juventud</w:t>
        <w:br/>
        <w:t xml:space="preserve">    sean protegidas contra el abandono corporal, intelectual o moral de sus</w:t>
        <w:br/>
        <w:t xml:space="preserve">    padres o tutores, así como contra la explotación y el abuso.</w:t>
        <w:br/>
        <w:t xml:space="preserve">  Artículo 42. Los padres tienen  para  con  los  hijos  habidos  fuera  del</w:t>
        <w:br/>
        <w:t xml:space="preserve">    matrimonio los mismos deberes que respecto a los nacidos en él.</w:t>
        <w:br/>
        <w:t xml:space="preserve">  La maternidad, cualquiera sea la condición o estado  de  la  mujer,  tiene</w:t>
        <w:br/>
        <w:t xml:space="preserve">    derecho a la protección de la sociedad y a su  asistencia  en  caso  de</w:t>
        <w:br/>
        <w:t xml:space="preserve">    desamparo.</w:t>
        <w:br/>
        <w:br/>
        <w:br/>
        <w:t xml:space="preserve">  Venezuela: Artículo 75. El Estado protegerá a las familias como asociación</w:t>
        <w:br/>
        <w:t xml:space="preserve">    natural de la sociedad y como el espacio fundamental para el desarrollo</w:t>
        <w:br/>
        <w:t xml:space="preserve">    integral de las personas. Las relaciones  familiares  se  basan  en  la</w:t>
        <w:br/>
        <w:t xml:space="preserve">    igualdad de derechos y deberes, la solidaridad, el esfuerzo  común,  la</w:t>
        <w:br/>
        <w:t xml:space="preserve">    comprensión mutua y el respeto  recíproco  entre  sus  integrantes.  El</w:t>
        <w:br/>
        <w:t xml:space="preserve">    Estado garantizará protección a la madre, al padre o a quienes  ejerzan</w:t>
        <w:br/>
        <w:t xml:space="preserve">    la jefatura de la familia.</w:t>
        <w:br/>
        <w:t xml:space="preserve">  Los niños, niñas y adolescentes tienen derecho  a  vivir,  ser  criados  o</w:t>
        <w:br/>
        <w:t xml:space="preserve">    criadas y a desarrollarse en el seno de su familia  de  origen.  Cuando</w:t>
        <w:br/>
        <w:t xml:space="preserve">    ello sea imposible o contrario a su interés superior, tendrán derecho a</w:t>
        <w:br/>
        <w:t xml:space="preserve">    una familia sustituta, de conformidad con la  ley.  La  adopción  tiene</w:t>
        <w:br/>
        <w:t xml:space="preserve">    efectos similares a la filiación y se establece  siempre  en  beneficio</w:t>
        <w:br/>
        <w:t xml:space="preserve">    del adoptado o la adoptada, de conformidad con  la  ley.   La  adopción</w:t>
        <w:br/>
        <w:t xml:space="preserve">    internacional es subsidiaria de la nacional.</w:t>
        <w:br/>
        <w:t xml:space="preserve">  Artículo 76. La maternidad y la paternidad son  protegidas  integralmente,</w:t>
        <w:br/>
        <w:t xml:space="preserve">    sea cual fuere el estado civil de la madre o  del  padre.  Las  parejas</w:t>
        <w:br/>
        <w:t xml:space="preserve">    tienen derecho a decidir libre y responsablemente el número de hijos  e</w:t>
        <w:br/>
        <w:t xml:space="preserve">    hijas que deseen concebir y a disponer  de  la  información  y  de  los</w:t>
        <w:br/>
        <w:t xml:space="preserve">    medios que les  aseguren  el  ejercicio  de  este  derecho.  El  Estado</w:t>
        <w:br/>
        <w:t xml:space="preserve">    garantizará asistencia  y  protección  integral  a  la  maternidad,  en</w:t>
        <w:br/>
        <w:t xml:space="preserve">    general a partir del momento de la concepción, durante el embarazo,  el</w:t>
        <w:br/>
        <w:t xml:space="preserve">    parto y el puerperio, y asegurará servicios de  planificación  familiar</w:t>
        <w:br/>
        <w:t xml:space="preserve">    integral basados en valores éticos y científicos.</w:t>
        <w:br/>
        <w:t xml:space="preserve">  El padre y la madre tienen el deber compartido e irrenunciable  de  criar,</w:t>
        <w:br/>
        <w:t xml:space="preserve">    formar, educar, mantener y asistir a sus hijos e hijas, y éstos  tienen</w:t>
        <w:br/>
        <w:t xml:space="preserve">    el deber de asistirlos cuando aquél o aquella no puedan hacerlo por  sí</w:t>
        <w:br/>
        <w:t xml:space="preserve">    mismos. La ley establecerá las  medidas  necesarias  y  adecuadas  para</w:t>
        <w:br/>
        <w:t xml:space="preserve">    garantizar la efectividad de la obligación alimentaria.</w:t>
        <w:br/>
        <w:t xml:space="preserve">  Artículo 77. Se protege el matrimonio entre un hombre y una mujer, el cual</w:t>
        <w:br/>
        <w:t xml:space="preserve">    se funda en el libre consentimiento y en la igualdad  absoluta  de  los</w:t>
        <w:br/>
        <w:t xml:space="preserve">    derechos y deberes de los cónyuges. Las uniones estables de hecho entre</w:t>
        <w:br/>
        <w:t xml:space="preserve">    un hombre y una mujer que cumplan los requisitos establecidos en la ley</w:t>
        <w:br/>
        <w:t xml:space="preserve">    producirán los mismos efectos que el matrimonio.</w:t>
        <w:br/>
        <w:br/>
        <w:t xml:space="preserve">  20. Estoy de acuerdo con  el  criterio  de  interpretación  evolutiva  que</w:t>
        <w:br/>
        <w:t xml:space="preserve">      considera a la Convención Americana como un instrumento  viviente  que</w:t>
        <w:br/>
        <w:t xml:space="preserve">      ha de entenderse de acuerdo con las circunstancias actuales,  pero  en</w:t>
        <w:br/>
        <w:t xml:space="preserve">      el entendido de que para avanzar  en  ese  terreno  es  necesario  que</w:t>
        <w:br/>
        <w:t xml:space="preserve">      exista un consenso, un espacio de coincidencia o una  convergencia  de</w:t>
        <w:br/>
        <w:t xml:space="preserve">      estándares entre los Estados partes (ver supra, párr. 9).  Tal  es  lo</w:t>
        <w:br/>
        <w:t xml:space="preserve">      que ocurre en el caso del  reconocimiento  de  que  la  discriminación</w:t>
        <w:br/>
        <w:t xml:space="preserve">      fundada en la orientación sexual debe entenderse prohibida (párrs.  83</w:t>
        <w:br/>
        <w:t xml:space="preserve">      a 93 de la Sentencia), pues existe no sólo entre los Estados partes de</w:t>
        <w:br/>
        <w:t xml:space="preserve">      la Convención Americana, sino entre todos los Estados miembros  de  la</w:t>
        <w:br/>
        <w:t xml:space="preserve">      OEA, un claro concepto al respecto, expresado en las  resoluciones  de</w:t>
        <w:br/>
        <w:t xml:space="preserve">      la Asamblea General que se citan (nota 97).</w:t>
        <w:br/>
        <w:br/>
        <w:br/>
        <w:t xml:space="preserve">  21. No puede decirse que ocurra lo mismo en relación con la  evolución  de</w:t>
        <w:br/>
        <w:t xml:space="preserve">      la noción de familia y su  calidad  de  base  o  elemento  esencial  o</w:t>
        <w:br/>
        <w:t xml:space="preserve">      natural de la sociedad, que sigue  estando  presente  incluso  en  las</w:t>
        <w:br/>
        <w:t xml:space="preserve">      Constituciones de numerosos Estados partes (supra, párr. 19). El hecho</w:t>
        <w:br/>
        <w:t xml:space="preserve">      incontrovertible de que actualmente exista una pluralidad de conceptos</w:t>
        <w:br/>
        <w:t xml:space="preserve">      de familia, como se recoge en la nota 191  de  la  sentencia[320],  no</w:t>
        <w:br/>
        <w:t xml:space="preserve">      quiere decir que necesariamente todos y cada uno  de  ellos  hayan  de</w:t>
        <w:br/>
        <w:t xml:space="preserve">      corresponder a lo que la Convención  Americana,  incluso  interpretada</w:t>
        <w:br/>
        <w:t xml:space="preserve">      evolutivamente según los parámetros mencionados  (supra,  párrs.  9  y</w:t>
        <w:br/>
        <w:t xml:space="preserve">      18), entiende por familia como “elemento natural y fundamental  de  la</w:t>
        <w:br/>
        <w:t xml:space="preserve">      sociedad”, o a lo que los  Estados  partes  que  tienen  disposiciones</w:t>
        <w:br/>
        <w:t xml:space="preserve">      análogas entienden por tal. Tampoco quiere decir que todos los Estados</w:t>
        <w:br/>
        <w:t xml:space="preserve">      partes deban reconocer a todos los conceptos  o  modelos  de  familia.</w:t>
        <w:br/>
        <w:t xml:space="preserve">      Precisamente, en su Observación General N° 19, el Comité  de  Derechos</w:t>
        <w:br/>
        <w:t xml:space="preserve">      Humanos, en el mismo párrafo en que observa que :</w:t>
        <w:br/>
        <w:br/>
        <w:br/>
        <w:t xml:space="preserve">      “el concepto de familia puede diferir en algunos aspectos de un Estado</w:t>
        <w:br/>
        <w:t xml:space="preserve">      a otro, y aun entre regiones dentro de un mismo Estado, de manera  que</w:t>
        <w:br/>
        <w:t xml:space="preserve">      no es posible dar una definición uniforme del concepto”.</w:t>
        <w:br/>
        <w:br/>
        <w:t xml:space="preserve">  22. Destaca que:</w:t>
        <w:br/>
        <w:br/>
        <w:t xml:space="preserve">      “cuando la legislación y la práctica de  un  Estado  consideren  a  un</w:t>
        <w:br/>
        <w:t xml:space="preserve">      grupo de personas como  una  familia,  éste  debe  ser  objeto  de  la</w:t>
        <w:br/>
        <w:t xml:space="preserve">      protección prevista en el  artículo  23.   Por  consiguiente,  en  sus</w:t>
        <w:br/>
        <w:t xml:space="preserve">      informes, los Estados Partes deberían exponer la interpretación  o  la</w:t>
        <w:br/>
        <w:t xml:space="preserve">      definición que se da del concepto de familia y de su  alcance  en  sus</w:t>
        <w:br/>
        <w:t xml:space="preserve">      sociedades  y  en  sus  ordenamientos  jurídicos.   Cuando  existieran</w:t>
        <w:br/>
        <w:t xml:space="preserve">      diversos conceptos  de  familia  dentro  de  un  Estado,  "nuclear"  y</w:t>
        <w:br/>
        <w:t xml:space="preserve">      "extendida",  debería  precisarse  la  existencia  de  esos   diversos</w:t>
        <w:br/>
        <w:t xml:space="preserve">      conceptos de familia, con indicación del grado de protección de una  y</w:t>
        <w:br/>
        <w:t xml:space="preserve">      otra.  En vista de la existencia de diversos tipos  de  familia,  como</w:t>
        <w:br/>
        <w:t xml:space="preserve">      las de parejas que no han contraído  matrimonio  y  sus  hijos  y  las</w:t>
        <w:br/>
        <w:t xml:space="preserve">      familias monoparentales, los Estados Partes deberían  también  indicar</w:t>
        <w:br/>
        <w:t xml:space="preserve">      en qué medida la legislación y las prácticas  nacionales  reconocen  y</w:t>
        <w:br/>
        <w:t xml:space="preserve">      protegen a  esos  tipos  de  familia  y  a  sus  miembros”.  (Cursivas</w:t>
        <w:br/>
        <w:t xml:space="preserve">      añadidas)</w:t>
        <w:br/>
        <w:br/>
        <w:br/>
        <w:t xml:space="preserve">  23. En otras palabras, es una de las esferas en que resulta más  necesario</w:t>
        <w:br/>
        <w:t xml:space="preserve">      reconocer un margen de apreciación nacional, para lo  cual  habrá  que</w:t>
        <w:br/>
        <w:t xml:space="preserve">      hacer una indagación que no corresponde llevar a cabo en  el  presente</w:t>
        <w:br/>
        <w:t xml:space="preserve">      caso, sino que deberá hacerse cuando el punto sea objeto  de  un  caso</w:t>
        <w:br/>
        <w:t xml:space="preserve">      planteado ante esta Corte y se escuchen los argumentos que al respecto</w:t>
        <w:br/>
        <w:t xml:space="preserve">      formulen las partes y eventualmente los amici curiai que se presenten.</w:t>
        <w:br/>
        <w:br/>
        <w:br/>
        <w:t xml:space="preserve">  24. Todo ello me reafirma en la convicción  de  que  no  es  necesario  ni</w:t>
        <w:br/>
        <w:t xml:space="preserve">      prudente que en este caso se declare una violación del párrafo  1  del</w:t>
        <w:br/>
        <w:t xml:space="preserve">      artículo 17 que pudiera  tomarse  como  un  pronunciamiento  implícito</w:t>
        <w:br/>
        <w:t xml:space="preserve">      sobre la  interpretación  de  las  distintas  disposiciones  de  dicho</w:t>
        <w:br/>
        <w:t xml:space="preserve">      artículo.</w:t>
        <w:br/>
        <w:br/>
        <w:br/>
        <w:br/>
        <w:br/>
        <w:br/>
        <w:t xml:space="preserve">                                                         Alberto Pérez Pérez</w:t>
        <w:br/>
        <w:t xml:space="preserve">                                                                        Juez</w:t>
        <w:br/>
        <w:br/>
        <w:br/>
        <w:t>Pablo Saavedra Alessandri</w:t>
        <w:br/>
        <w:t xml:space="preserve">        Secretario</w:t>
        <w:br/>
        <w:br/>
        <w:br/>
        <w:br/>
        <w:t>-----------------------</w:t>
        <w:br/>
        <w:t>[1]   De conformidad con  el  artículo  19.1  del  Reglamento  de  la  Corte</w:t>
        <w:br/>
        <w:t>Interamericana aplicable al presente caso (infra nota 2), que establece  que</w:t>
        <w:br/>
        <w:t>“[e]n los casos a que hace referencia el artículo 44 de la  Convención,  los</w:t>
        <w:br/>
        <w:t>Jueces no podrán participar en su conocimiento y deliberación,  cuando  sean</w:t>
        <w:br/>
        <w:t>nacionales  del  Estado  demandado”,  el  Juez  Eduardo   Vio   Grossi,   de</w:t>
        <w:br/>
        <w:t>nacionalidad chilena, no participó en la tramitación del  presente  caso  ni</w:t>
        <w:br/>
        <w:t>en la deliberación y firma de esta Sentencia.</w:t>
        <w:br/>
        <w:br/>
        <w:t>[2]   Reglamento de la Corte aprobado por el Tribunal en  su  LXXXV  Período</w:t>
        <w:br/>
        <w:t>Ordinario de Sesiones celebrado del 16 al 28 de noviembre de 2009;  el  cual</w:t>
        <w:br/>
        <w:t>aplica al presente caso, de conformidad con el artículo 79 del mismo.  Según</w:t>
        <w:br/>
        <w:t>el  artículo  79.2  de  dicho  Reglamento,  “[c]uando  la  Comisión  hubiese</w:t>
        <w:br/>
        <w:t>adoptado el informe al que se refiere el artículo 50 de  la  Convención  con</w:t>
        <w:br/>
        <w:t>anterioridad a la entrada en vigor del presente Reglamento, la  presentación</w:t>
        <w:br/>
        <w:t>del caso ante la Corte se regirá por los artículos 33 y  34  del  Reglamento</w:t>
        <w:br/>
        <w:t>anteriormente vigente. En lo que respecta a la  recepción  de  declaraciones</w:t>
        <w:br/>
        <w:t>se aplicarán las disposiciones del presente Reglamento”. Por  tanto,  en  lo</w:t>
        <w:br/>
        <w:t>que se refiere a la presentación del caso, son aplicables los  artículos  33</w:t>
        <w:br/>
        <w:t>y 34 del Reglamento aprobado por la Corte en su XLIX  Período  Ordinario  de</w:t>
        <w:br/>
        <w:t>Sesiones.</w:t>
        <w:br/>
        <w:br/>
        <w:t>[3]   A solicitud de la Comisión Interamericana se reserva la  identidad  de</w:t>
        <w:br/>
        <w:t>las tres hijas de la señora Karen Atala Riffo,  a  quienes  se  identificará</w:t>
        <w:br/>
        <w:t>con las letras “M., V. y  R.”  (expediente  de  fondo,  tomo  I,  folio  1).</w:t>
        <w:br/>
        <w:t>Asimismo, a solicitud de los representantes, y con el objeto de proteger  el</w:t>
        <w:br/>
        <w:t>derecho a la intimidad y vida familiar de M. V. y R.,  procede  mantener  en</w:t>
        <w:br/>
        <w:t>reserva todas las declaraciones ante fedatario  público  remitidas  por  las</w:t>
        <w:br/>
        <w:t>partes y “relativas a la situación familiar” de la señora Atala y las  niñas</w:t>
        <w:br/>
        <w:t>M., V. y R. (expediente de fondo, tomo III, folio 1162).</w:t>
        <w:br/>
        <w:br/>
        <w:t>[4]   En la petición inicial la señora Atala indicó que la  Fundación  Ideas</w:t>
        <w:br/>
        <w:t>era  representada  por  Francisco  Estévez  Valencia  y  nombró   como   sus</w:t>
        <w:br/>
        <w:t>representantes ante la Comisión Interamericana a Verónica Undurraga  Valdés,</w:t>
        <w:br/>
        <w:t>Claudio Moraga Klenner, Felipe  González  Morales  y  Domingo  Lovera  Parmo</w:t>
        <w:br/>
        <w:t>(expediente de anexos a la demanda, tomo III, folios 1533 y 1572).</w:t>
        <w:br/>
        <w:br/>
        <w:t>[5]   En el Informe de Fondo No. 139/09 la Comisión concluyó que  el  Estado</w:t>
        <w:br/>
        <w:t>de Chile “violó el derecho de Karen Atala a vivir  libre  de  discriminación</w:t>
        <w:br/>
        <w:t>consagrado en el artículo 24 de la Convención Americana, en relación con  el</w:t>
        <w:br/>
        <w:t>artículo  1.1  del  mismo  instrumento”.  Asimismo,  “vulneró  los  derechos</w:t>
        <w:br/>
        <w:t>consagrados en los artículos 11(2), 17(1), 17(4), 19, y 8(1) y 25(1)  de  la</w:t>
        <w:br/>
        <w:t>Convención  Americana  en  relación  con  el   artículo   1(1)   del   mismo</w:t>
        <w:br/>
        <w:t>instrumento, en perjuicio de  las  personas  mencionadas  en  las  secciones</w:t>
        <w:br/>
        <w:t>respectivas”. La Comisión recomendó al Estado: i)  “[r]eparar  integralmente</w:t>
        <w:br/>
        <w:t>a Karen Atala y a M., V. y  R.  por  las  violaciones  de  derechos  humanos</w:t>
        <w:br/>
        <w:t>establecidas en el […] informe, tomando en consideración  su  perspectiva  y</w:t>
        <w:br/>
        <w:t>necesidades” y ii) “[a]doptar legislación, políticas públicas,  programas  y</w:t>
        <w:br/>
        <w:t>directivas para prohibir y  erradicar  la  discriminación  con  base  en  la</w:t>
        <w:br/>
        <w:t>orientación sexual en todas las esferas del  ejercicio  del  poder  público,</w:t>
        <w:br/>
        <w:t>incluyendo  la  administración  de  justicia.  Estas   medidas   deben   ser</w:t>
        <w:br/>
        <w:t>acompañadas de recursos humanos y financieros adecuados para  garantizar  su</w:t>
        <w:br/>
        <w:t>implementación y programas de capacitación  para  funcionarios  involucrados</w:t>
        <w:br/>
        <w:t>en garantizar estos derechos”. Informe de Fondo  No.  139/09,  Caso  12.502,</w:t>
        <w:br/>
        <w:t>Karen Atala e hijas, 18 de diciembre de 2009  (expediente  de  anexos  a  la</w:t>
        <w:br/>
        <w:t>demanda, tomo I, apéndice 2, folios 22 a 67).</w:t>
        <w:br/>
        <w:br/>
        <w:t>[6]   Tal como se precisa posteriormente (infra párrs. 12, 13 y  67  a  71),</w:t>
        <w:br/>
        <w:t>en relación con  la  representación  de  las  niñas  M.,  V.  y  R.,  en  la</w:t>
        <w:br/>
        <w:t>Resolución de 29 de noviembre de 2011 la Corte señaló que en  ninguna  parte</w:t>
        <w:br/>
        <w:t>del expediente había una manifestación precisa por parte de  las  niñas  M.,</w:t>
        <w:br/>
        <w:t>V. y R. respecto a si estaban de acuerdo con la  representación  que  ejerce</w:t>
        <w:br/>
        <w:t>cualquiera de sus padres y de si deseaban ser  consideradas  como  presuntas</w:t>
        <w:br/>
        <w:t>víctimas en el presente caso. Teniendo en cuenta  lo  anterior,  se  realizó</w:t>
        <w:br/>
        <w:t>una diligencia judicial para escuchar  directamente  a  las  niñas  M.  y  R</w:t>
        <w:br/>
        <w:t>(infra párr. 13).</w:t>
        <w:br/>
        <w:br/>
        <w:t>[7]   La  señora  Karen  Atala  Riffo  designó  como  sus  representantes  a</w:t>
        <w:br/>
        <w:t>Macarena Sáez de la organización “Libertades Públicas A.G.”, a  Helena  Olea</w:t>
        <w:br/>
        <w:t>de la “Corporación Humanas, Centro Regional de Derechos Humanos  y  Justicia</w:t>
        <w:br/>
        <w:t>de Género”, y a Jorge  Contesse  del  “Centro  de  Derechos  Humanos  de  la</w:t>
        <w:br/>
        <w:t>Universidad Diego Portales”.</w:t>
        <w:br/>
        <w:br/>
        <w:t>[8]   Cfr. Caso Atala Riffo e hijas Vs. Chile. Resolución del Presidente  de</w:t>
        <w:br/>
        <w:t>la Corte  Interamericana  de  Derechos  Humanos  de  7  de  julio  de  2011.</w:t>
        <w:br/>
        <w:t>Disponible    en:    http://www.corteidh.or.cr/docs/asuntos/atala.pdf    Los</w:t>
        <w:br/>
        <w:t>representantes  solicitaron  una  modificación  en  la  modalidad   de   dos</w:t>
        <w:br/>
        <w:t>declaraciones, lo cual fue aceptado por el pleno  de  la  Corte.  Cfr.  Caso</w:t>
        <w:br/>
        <w:t>Atala Riffo e hijas Vs. Chile. Resolución  de  la  Corte  Interamericana  de</w:t>
        <w:br/>
        <w:t>Derechos   Humanos   de   21   de   agosto   de   2011.    Disponible    en:</w:t>
        <w:br/>
        <w:t>http://corteidh.or.cr/docs/asuntos/atala_21_08_11.pdf</w:t>
        <w:br/>
        <w:br/>
        <w:t>[9]   A esta audiencia comparecieron: a)  por  la  Comisión  Interamericana:</w:t>
        <w:br/>
        <w:t>Rodrigo Escobar Gil, Comisionado, Silvia Serrano y  Rosa  Celorio,  asesoras</w:t>
        <w:br/>
        <w:t>legales; b) por los representantes: Helena  Olea  Rodríguez,  Macarena  Sáez</w:t>
        <w:br/>
        <w:t>Torres, Jorge Contesse Singh, José  Ignacio  Escobar  Opazo,  Francisco  Cox</w:t>
        <w:br/>
        <w:t>Vial y Catalina Lagos Tschorne, y c) por el Estado:  Miguel  Ángel  González</w:t>
        <w:br/>
        <w:t>Morales y  Paulina  González  Vergara,  Agentes;  Gustavo  Ayares  Ossandón,</w:t>
        <w:br/>
        <w:t>Embajador de Chile en Colombia; Ricardo Hernández Menéndez, Consejero de  la</w:t>
        <w:br/>
        <w:t>Embajada de Chile en Colombia; Milenko  Bertrand-Galindo  Arriagada,  Felipe</w:t>
        <w:br/>
        <w:t>Bravo Alliende y Alberto Vergara Arteaga.</w:t>
        <w:br/>
        <w:br/>
        <w:t>[10]   Sin  perjuicio  de  lo  anterior,  el  Tribunal   constató   que   la</w:t>
        <w:br/>
        <w:t>documentación probatoria allegada por el señor  Bustamante,  concerniente  a</w:t>
        <w:br/>
        <w:t>peritajes  psicológicos  de  las  tres  niñas  y  declaraciones  de   varias</w:t>
        <w:br/>
        <w:t>personas,  fue  aportada  por  las  partes  como  anexos  a   sus   escritos</w:t>
        <w:br/>
        <w:t>principales, los cuales incluían una copia  de  los  documentos  principales</w:t>
        <w:br/>
        <w:t>del proceso de tuición.</w:t>
        <w:br/>
        <w:br/>
        <w:t>[11]  El escrito fue presentado por Leopoldo Llanos  Sagristá,  Ministro  de</w:t>
        <w:br/>
        <w:t>la Corte de Apelaciones de Temuco, Chile,  y  Presidente  de  la  Asociación</w:t>
        <w:br/>
        <w:t>Nacional de Magistrados del Poder Judicial de Chile.</w:t>
        <w:br/>
        <w:br/>
        <w:t>[12]   El  escrito  fue  presentado  por  Geraldina  González  de  la  Vega,</w:t>
        <w:br/>
        <w:t>Consultora Jurídica, y Alejandro Juárez Zepeda, Coordinador General.</w:t>
        <w:br/>
        <w:br/>
        <w:t>[13]  El escrito fue presentado por Márcia  Nina  Bernardes,  Profesora  del</w:t>
        <w:br/>
        <w:t>Departamento de Derecho y Coordinadora del Núcleo de Derechos Humanos de  la</w:t>
        <w:br/>
        <w:t>Pontificia Universidad Católica de Rio de Janeiro; Andrea  Schettini,  Luiza</w:t>
        <w:br/>
        <w:t>Athayde, Maria Fernanda Marques, Isabella Benevides, Isabella Maioli,  Julia</w:t>
        <w:br/>
        <w:t>Rosa, Juliana Streva, Karen  Oliveira  y  María  Eduarda  Vianna,  y  Felipe</w:t>
        <w:br/>
        <w:t>Saldanha.</w:t>
        <w:br/>
        <w:br/>
        <w:t>[14]  El escrito fue presentado por Jorge Nicolás Lafferriere  y  Úrsula  C.</w:t>
        <w:br/>
        <w:t>Basset, Co-Directores del seminario.</w:t>
        <w:br/>
        <w:br/>
        <w:t>[15]  Úrsula C. Basset es  Miembro  del  Comité  Ejecutivo  de  la  Academia</w:t>
        <w:br/>
        <w:t>Internacional  para  la  Jurisprudencia  sobre  la  Familia  y  del   Comité</w:t>
        <w:br/>
        <w:t>Ejecutivo de la Sociedad Internacional de Derecho de Familia.</w:t>
        <w:br/>
        <w:br/>
        <w:t>[16]        Carlo Casini es Diputado del Parlamento Europeo,  Presidente  de</w:t>
        <w:br/>
        <w:t>la Comisión de Asuntos Constitucionales del Parlamento Europeo y  Presidente</w:t>
        <w:br/>
        <w:t>del  Movimiento  por  la  Vida  Italiano.  Antonio  Gioacchino  Spagnolo  es</w:t>
        <w:br/>
        <w:t>Profesor ordinario de Bioética y Director del Instituto de  Bioética  de  la</w:t>
        <w:br/>
        <w:t>Universidad Católica del Sagrado Corazón con sede en Roma. Joseph Meaney  es</w:t>
        <w:br/>
        <w:t>Director de Coordinación Internacional de Vida Humana Internacional.</w:t>
        <w:br/>
        <w:br/>
        <w:t>[17]  El escrito fue firmado por Hugo Calienes  Bedoya,  Rector  y  Director</w:t>
        <w:br/>
        <w:t>del Instituto de  Bioética  de  la  USAT,  y  por  Carlos  Tejeda  Lombardi,</w:t>
        <w:br/>
        <w:t>Director de la Escuela de Derecho de la USAT, Rafael Santa  María  D´Angelo,</w:t>
        <w:br/>
        <w:t>Coordinador del Área de Historia y  Filosofía  del  Derecho,  Javier  Colina</w:t>
        <w:br/>
        <w:t>Seminario, Asesor Legal de la USAT, Rosa Sánchez Barragán, Coordinadora  del</w:t>
        <w:br/>
        <w:t>Área de Derecho Civil, Erika Valdivieso López,  Decana  de  la  Facultad  de</w:t>
        <w:br/>
        <w:t>Derecho  de  la  USAT,  Angélica  Burga  Coronel,  Profesora  de  Protección</w:t>
        <w:br/>
        <w:t>Jurídica de los Derechos, Ana María Olguin Britto, Directora  del  Instituto</w:t>
        <w:br/>
        <w:t>de Ciencias para el Matrimonio y  la  Familia  de  la  USAT,  y  Tania  Diaz</w:t>
        <w:br/>
        <w:t>Delgado, todos ellos profesores de la Facultad de Derecho  y  del  Instituto</w:t>
        <w:br/>
        <w:t>de Ciencias para el Matrimonio y Familia de la  Universidad  Católica  Santo</w:t>
        <w:br/>
        <w:t>Toribio de Mogrovejo.</w:t>
        <w:br/>
        <w:br/>
        <w:t>[18]  Elba Nuñez Ibáñez es  Coordinadora  Regional  del  Comité  de  América</w:t>
        <w:br/>
        <w:t>Latina y el Caribe para la Defensa de los Derechos  de  la  Mujer.  Gabriela</w:t>
        <w:br/>
        <w:t>Filoni es Responsable del Programa de Litigio del Comité de  América  Latina</w:t>
        <w:br/>
        <w:t>y el Caribe para la Defensa de los Derechos de  la  Mujer.  Jeannette  Llaja</w:t>
        <w:br/>
        <w:t>pertenece al Comité de América Latina y el Caribe para  la  Defensa  de  los</w:t>
        <w:br/>
        <w:t>Derechos de la Mujer de Perú. Gastón  Chillier  es  Director  Ejecutivo  del</w:t>
        <w:br/>
        <w:t>Centro de Estudios Legales y Sociales.</w:t>
        <w:br/>
        <w:br/>
        <w:t>[19]  El escrito fue presentado  por  Marcela  Sánchez  Buitrago,  Directora</w:t>
        <w:br/>
        <w:t>Ejecutiva de Colombia Diversa y Mauricio Noguera  Rojas  y  Santiago  Medina</w:t>
        <w:br/>
        <w:t>Villareal, en  representación  de  Colombia  Diversa;  y  Viviana  Bohórquez</w:t>
        <w:br/>
        <w:t>Monsalve, en  representación  del  Centro  de  Derechos  Humanos  y  Litigio</w:t>
        <w:br/>
        <w:t>Internacional.</w:t>
        <w:br/>
        <w:br/>
        <w:t>[20]  El escrito fue presentado por Lynne Marie Kohm, en representación  del</w:t>
        <w:br/>
        <w:t>Centro para la Justicia Global, los Derechos Humanos y el Estado de  Derecho</w:t>
        <w:br/>
        <w:t>perteneciente a la Facultad de Derecho de Regent University.</w:t>
        <w:br/>
        <w:br/>
        <w:t>[21]  El escrito fue presentado por Lisa Davis, Clinical Professor  of  Law,</w:t>
        <w:br/>
        <w:t>de la International Women’s Human Rights Clinic at the  City  University  of</w:t>
        <w:br/>
        <w:t>New York School of Law; Jessica Stern, de la International Gay  and  Lesbian</w:t>
        <w:br/>
        <w:t>Human Rights Commission; y Dorothy L. Fernández, Justin D. Hoogs,  Megan  C.</w:t>
        <w:br/>
        <w:t>Kieffer, Rachel M. Wertheimer y Erin I.  Herlihy,  de  Morrison  &amp;  Foerster</w:t>
        <w:br/>
        <w:t>LLP.   En   este   escrito   participaron   Amnistía   Internacional;    ARC</w:t>
        <w:br/>
        <w:t>Internacional;  Centro  de  Derechos  Constitucionales;  Consejo   para   la</w:t>
        <w:br/>
        <w:t>Igualdad Mundial, Human Rights Watch; Lawyers for Children Inc; Sociedad  de</w:t>
        <w:br/>
        <w:t>Ayuda Legal de  Nueva  York;  Legal  Momentum;  MADRE;  Centro  Nacional  de</w:t>
        <w:br/>
        <w:t>Derechos Lésbicos; Iniciativa Nacional de Derechos  Económicos  y  Sociales;</w:t>
        <w:br/>
        <w:t>la Asociación  de  Abogados  de  la  Ciudad  de  Nueva  York;  Women’s  Link</w:t>
        <w:br/>
        <w:t>Worldwide y la Consultoría para los Derechos  Humanos  y  el  Desplazamiento</w:t>
        <w:br/>
        <w:t>(CODHES).</w:t>
        <w:br/>
        <w:br/>
        <w:t>[22]  Andrea Minichiello Williams es Directora General de  “Christian  Legal</w:t>
        <w:br/>
        <w:t>Center / Christian Legal Fellowship”. Ruth Ross es  Directora  Ejecutiva  de</w:t>
        <w:br/>
        <w:t>“Christian  Legal  Fellowship”.  Mark  Mudri  es  Facilitador  Regional   de</w:t>
        <w:br/>
        <w:t xml:space="preserve">“Advocates Oceanía”. </w:t>
        <w:br/>
        <w:br/>
        <w:t>[23]  El escrito  fue  presentado  por  Estefanía  Vela  Barba  y  Alejandro</w:t>
        <w:br/>
        <w:t>Madrazo Lajous, del Área de Derechos Sexuales y Reproductivos  del  Programa</w:t>
        <w:br/>
        <w:t>de Derecho a la Salud de la División de Estudios  Jurídicos  del  Centro  de</w:t>
        <w:br/>
        <w:t>Investigación y Docencia Económicas.</w:t>
        <w:br/>
        <w:br/>
        <w:t>[24]   Caso  Atala  Riffo  e  hijas  Vs.  Chile.  Resolución  de  la   Corte</w:t>
        <w:br/>
        <w:t>Interamericana de Derechos Humanos de 29 de noviembre  de  2011.  Disponible</w:t>
        <w:br/>
        <w:t>en: http://www.corteidh.or.cr/docs/asuntos/atala_29_11_111.pdf</w:t>
        <w:br/>
        <w:br/>
        <w:t>[25]  Mediante escrito  de  23  de  febrero  de  2012,  el  Estado  presentó</w:t>
        <w:br/>
        <w:t>observaciones en torno a la confidencialidad del acta mencionada.</w:t>
        <w:br/>
        <w:br/>
        <w:t>[26]  Cfr. Caso  de  la  “Panel  Blanca”  (Paniagua  Morales  y  otros)  Vs.</w:t>
        <w:br/>
        <w:t>Guatemala. Reparaciones y Costas. Sentencia de 25 de mayo de 2001.  Serie  C</w:t>
        <w:br/>
        <w:t>No.  76,  párr.  50  y  Caso  Chocrón  Chocrón  Vs.   Venezuela.   Excepción</w:t>
        <w:br/>
        <w:t>Preliminar, Fondo, Reparaciones y Costas. Sentencia de 1 de julio  de  2011.</w:t>
        <w:br/>
        <w:t>Serie C No. 227, párr. 26.</w:t>
        <w:br/>
        <w:br/>
        <w:t>[27]  Cfr. Caso  de  la  “Panel  Blanca”  (Paniagua  Morales  y  otros)  Vs.</w:t>
        <w:br/>
        <w:t>Guatemala. Fondo. Sentencia de 8 de marzo de 1998. Serie C No. 37, párr.  76</w:t>
        <w:br/>
        <w:t>y Caso Chocrón Chocrón, supra nota 26, párr. 26.</w:t>
        <w:br/>
        <w:br/>
        <w:t>[28]  Cfr. Caso Velásquez Rodríguez Vs. Honduras. Fondo. Sentencia de 29  de</w:t>
        <w:br/>
        <w:t>julio de 1988. Serie C No. 4, párr. 140 y Caso Fontevecchia  y  D`Amico  Vs.</w:t>
        <w:br/>
        <w:t>Argentina. Fondo, Reparaciones y Costas. Sentencia de  29  de  noviembre  de</w:t>
        <w:br/>
        <w:t>2011. Serie C No. 238, párr. 13.</w:t>
        <w:br/>
        <w:br/>
        <w:t>[29]  Cfr. Caso Velásquez  Rodríguez,  supra  nota  28,  párr.  146  y  Caso</w:t>
        <w:br/>
        <w:t>Fontevecchia y D`Amico, supra nota 28, párr. 14.</w:t>
        <w:br/>
        <w:br/>
        <w:t>[30]  Cfr. Caso Escué Zapata Vs. Colombia.  Fondo,  Reparaciones  y  Costas.</w:t>
        <w:br/>
        <w:t>Sentencia de 4 de julio de 2007. Serie C No. 165, párr.  26  y  Caso  Chitay</w:t>
        <w:br/>
        <w:t>Nech y otros Vs. Guatemala. Excepciones Preliminares, Fondo, Reparaciones  y</w:t>
        <w:br/>
        <w:t>Costas. Sentencia de 25 de mayo de 2010. Serie C No. 212, párr. 54.</w:t>
        <w:br/>
        <w:br/>
        <w:t>[31]   Cfr.  Caso  Loayza  Tamayo  Vs.  Perú.  Fondo.  Sentencia  de  17  de</w:t>
        <w:br/>
        <w:t>septiembre de 1997. Serie C No. 33, párr. 43  y  Caso  Familia  Barrios  Vs.</w:t>
        <w:br/>
        <w:t>Venezuela. Fondo, Reparaciones y Costas. Sentencia de  24  de  noviembre  de</w:t>
        <w:br/>
        <w:t>2011. Serie C No. 238, párr. 25.</w:t>
        <w:br/>
        <w:br/>
        <w:t>[32]  Cfr. Caso Loayza Tamayo, supra  nota  31,  párr.  43  y  Caso  Chocrón</w:t>
        <w:br/>
        <w:t>Chocrón, supra nota 26, párr. 34.</w:t>
        <w:br/>
        <w:br/>
        <w:t>[33]  Cfr.  Caso  Reverón  Trujillo  Vs.  Venezuela.  Excepción  Preliminar,</w:t>
        <w:br/>
        <w:t>Fondo, Reparaciones y Costas. Sentencia de 30 de junio de 2009. Serie C  No.</w:t>
        <w:br/>
        <w:t>197, párr. 42 y Caso Familia Barrios, supra nota 31, párr. 28.</w:t>
        <w:br/>
        <w:br/>
        <w:t>[34]   Cfr.   Certificado  de  matrimonio  de  22  de  septiembre  de   2011</w:t>
        <w:br/>
        <w:t>(expediente de fondo, tomo XII, folio 5926).</w:t>
        <w:br/>
        <w:br/>
        <w:t>[35]  Cfr. Informes psicológicos de M., V. y R. de 15 de noviembre  de  2002</w:t>
        <w:br/>
        <w:t>(expediente de anexos a la demanda, tomo V, anexo 23, folios  2680,  2683  y</w:t>
        <w:br/>
        <w:t>2686).</w:t>
        <w:br/>
        <w:br/>
        <w:t>[36]  Cfr.  Sentencia del Juzgado de Letras de Villarrica de 29  de  octubre</w:t>
        <w:br/>
        <w:t>de 2003 (expediente de anexos a la demanda, tomo V, anexo 12, folio 2581).</w:t>
        <w:br/>
        <w:br/>
        <w:t>[37]  Al respecto, el Juzgado de Villarrica  estableció  que  “en  junio  de</w:t>
        <w:br/>
        <w:t>2002 [la señora Atala] inició una relación afectiva con [la señora] Emma  de</w:t>
        <w:br/>
        <w:t>Ramón[,] quien desde noviembre de 2002 se desempeñ[ó] como coordinadora  del</w:t>
        <w:br/>
        <w:t>archivo regional de la Araucanía en la ciudad de Temuco  [y  por  tanto,  se</w:t>
        <w:br/>
        <w:t>t]ras[ladó] al hogar común e incorpor[ó] a[l]  núcleo  familiar”.  Sentencia</w:t>
        <w:br/>
        <w:t>del Juzgado de Letras de Villarrica de 29 de octubre de 2003 (expediente  de</w:t>
        <w:br/>
        <w:t>anexos a la demanda, tomo V, anexo 12, folio 2582).</w:t>
        <w:br/>
        <w:br/>
        <w:t>[38]  La tuición o custodia de los menores de edad  en  Chile  se  encuentra</w:t>
        <w:br/>
        <w:t>regulada por el artículo 225 del Código Civil, el cual dispone que: “Si  los</w:t>
        <w:br/>
        <w:t>padres viven  separados,  a  la  madre  toca  el  cuidado  personal  de  los</w:t>
        <w:br/>
        <w:t>hijos. No obstante,  mediante  escritura  pública,  o  acta  extendida  ante</w:t>
        <w:br/>
        <w:t>cualquier  oficial  del  Registro  Civil,  subinscrita  al  margen   de   la</w:t>
        <w:br/>
        <w:t>inscripción de nacimiento del hijo dentro de los treinta días  siguientes  a</w:t>
        <w:br/>
        <w:t>su otorgamiento, ambos padres, actuando de común acuerdo, podrán  determinar</w:t>
        <w:br/>
        <w:t>que el cuidado personal de uno  o  más  hijos  corresponda  al  padre.  Este</w:t>
        <w:br/>
        <w:t>acuerdo podrá revocarse, cumpliendo las mismas solemnidades. En  todo  caso,</w:t>
        <w:br/>
        <w:t>cuando el  interés  del  hijo  lo  haga  indispensable,  sea  por  maltrato,</w:t>
        <w:br/>
        <w:t>descuido u  otra  causa  calificada,  el  juez  podrá  entregar  su  cuidado</w:t>
        <w:br/>
        <w:t>personal al otro de los padres. Pero no podrá confiar  el  cuidado  personal</w:t>
        <w:br/>
        <w:t>al padre o madre que  no  hubiese  contribuido  a  la  mantención  del  hijo</w:t>
        <w:br/>
        <w:t>mientras estuvo bajo el cuidado del otro padre,  pudiendo  hacerlo. Mientras</w:t>
        <w:br/>
        <w:t>una subinscripción relativa al cuidado personal no sea  cancelada  por  otra</w:t>
        <w:br/>
        <w:t>posterior, todo acuerdo o resolución será inoponible a terceros”.  Sentencia</w:t>
        <w:br/>
        <w:t>de la Corte Suprema de Justicia de Chile de 31 de mayo de  2004  (expediente</w:t>
        <w:br/>
        <w:t>de anexos a la demanda, tomo V, folio 2671).</w:t>
        <w:br/>
        <w:br/>
        <w:t>[39]  Demanda de tuición interpuesta ante el Juzgado de  Letras  de  Menores</w:t>
        <w:br/>
        <w:t>de Villarrica de 14 de enero de 2003 (expediente de  anexos  a  la  demanda,</w:t>
        <w:br/>
        <w:t>tomo V, anexo 1, folios 2499, 2500, 2503 y 2504).</w:t>
        <w:br/>
        <w:br/>
        <w:t>[40]  Contestación  a  la  demanda  de  tuición  de  28  de  enero  de  2003</w:t>
        <w:br/>
        <w:t>(expediente de anexos a la demanda, tomo V,  anexo  2,  folios  2507,  2513,</w:t>
        <w:br/>
        <w:t>2516, 2521 y 2522).</w:t>
        <w:br/>
        <w:br/>
        <w:t>[41]  Auto del Juzgado de Menores de Villarrica  de  28  de  enero  de  2003</w:t>
        <w:br/>
        <w:t>(expediente de anexos a la demanda, tomo I, folios 113 y 114).</w:t>
        <w:br/>
        <w:br/>
        <w:t>[42]  Cfr. Nota de prensa aparecida en el periódico “La  Cuarta”  el  28  de</w:t>
        <w:br/>
        <w:t>febrero de 2003 titulada “Abogado exige tuición de sus hijas  porque  esposa</w:t>
        <w:br/>
        <w:t>jueza sería lesbiana” y Nota de prensa aparecida en el Diario  “Las  últimas</w:t>
        <w:br/>
        <w:t>noticias” de 1 de marzo de 2003 titulada “Abogado  exige  tuición  de  hijas</w:t>
        <w:br/>
        <w:t>porque su ex mujer es lesbiana  (expediente de anexos a la demanda, tomo  V,</w:t>
        <w:br/>
        <w:t>anexos 3 y 4, folios 2529 a 2532).</w:t>
        <w:br/>
        <w:br/>
        <w:t>[43]  Cfr. Informe preparado por el Ministro Lenin  Lillo  Hunzinker  de  la</w:t>
        <w:br/>
        <w:t>Corte de Apelaciones de Temuco de 2 de abril de 2003 (expediente  de  fondo,</w:t>
        <w:br/>
        <w:t>tomo XII, folio 5927).</w:t>
        <w:br/>
        <w:br/>
        <w:t>[44]   En  particular,  el  representante   allegó   la   siguiente   prueba</w:t>
        <w:br/>
        <w:t>documental: i)  informes psicológicos de V. y R. de diciembre de  2002;  ii)</w:t>
        <w:br/>
        <w:t>informe psicológico de M. de diciembre de 2002; iii) informe psicológico  de</w:t>
        <w:br/>
        <w:t>las menores de edad y su madre; iv) constancia emitida por la enfermera  del</w:t>
        <w:br/>
        <w:t>centro clínico al que asistían las menores de  edad,  en  la  cual  se  deja</w:t>
        <w:br/>
        <w:t>constancia de que “no se han observado huellas o signos físicos de  maltrato</w:t>
        <w:br/>
        <w:t>en” las tres niñas; v) copia de los informes de escolaridad de M. y V.;  vi)</w:t>
        <w:br/>
        <w:t>tarjeta de navidad elaborada por M.; vii) copia de las resoluciones  exentas</w:t>
        <w:br/>
        <w:t>“en las que se reconocen a las menores de [edad] como cargas  familiares  de</w:t>
        <w:br/>
        <w:t>la demandada”; viii) certificado de la “Isapre Más Vida”; ix) copia  de  las</w:t>
        <w:br/>
        <w:t>calificaciones obtenidas por la señora Atala en  su  desempeño  profesional;</w:t>
        <w:br/>
        <w:t>x) copia de la escritura  pública  de  transacción  de  alimentos  entre  la</w:t>
        <w:br/>
        <w:t>señora Atala y el padre de su hijo  mayor;  xi)  copia  del  certificado  de</w:t>
        <w:br/>
        <w:t>salud, “certificando la  ausencia  de  herpes  genitales”;  xii)  copia  del</w:t>
        <w:br/>
        <w:t>certificado de salud de Emma De Ramón, “certificando la ausencia  de  herpes</w:t>
        <w:br/>
        <w:t>genitales” de Karen Atala; xiii) copia del examen  negativo  de  VIH  de  la</w:t>
        <w:br/>
        <w:t>señora Atala; xiv) copia del examen negativo de VIH de la señora  De  Ramón,</w:t>
        <w:br/>
        <w:t>y  xv)  copia  notarial  del  nombramiento  como  coordinadora  del  archivo</w:t>
        <w:br/>
        <w:t>regional de la Araucanía de la señora De Ramón. Cfr. Escrito  del  apoderado</w:t>
        <w:br/>
        <w:t>de la señora Atala de 11 de  marzo  de  2003  (expediente  de  anexos  a  la</w:t>
        <w:br/>
        <w:t>demanda, tomo I, folios 192 a 193).</w:t>
        <w:br/>
        <w:br/>
        <w:t>[45]  El apoderado solicitó: i) informe del médico  psiquiatra  que  realizó</w:t>
        <w:br/>
        <w:t>la terapia matrimonial entre  la  señora  Atala  y  el  demandante;  ii)  se</w:t>
        <w:br/>
        <w:t>oficiara al departamento de  recursos  humanos  del  sitio  de  trabajo  del</w:t>
        <w:br/>
        <w:t>demandante; iii) se solicitara información a  la  Organización  Panamericana</w:t>
        <w:br/>
        <w:t>de la Salud para que informara sobre “la fecha en que la homosexualidad  fue</w:t>
        <w:br/>
        <w:t>eliminada  del  catálogo  de  conductas  patrológicas”;  iv)  se  solicitara</w:t>
        <w:br/>
        <w:t>información al Servicio Nacional de la Mujer para que informara respecto  al</w:t>
        <w:br/>
        <w:t>“concepto de familia incorporado en el Informe de la  Comisión  Nacional  de</w:t>
        <w:br/>
        <w:t>Familia”; v) se solicitara al Ministerio General  de  Gobierno  la  remisión</w:t>
        <w:br/>
        <w:t>del plan para superar la discriminación en Chile, y  vi)  se  solicitara  al</w:t>
        <w:br/>
        <w:t>Director del Departamento de Derechos Humanos del Ministerio  de  Relaciones</w:t>
        <w:br/>
        <w:t>Exteriores para que informara “respecto de las obligaciones  internacionales</w:t>
        <w:br/>
        <w:t>asumidas por el […] Estado de Chile en  materia  de  no  discriminación  por</w:t>
        <w:br/>
        <w:t>orientación o identidad sexual”. Escrito del apoderado de  la  señora  Atala</w:t>
        <w:br/>
        <w:t>de 11 de marzo de 2003 (expediente de anexos a la demanda,  tomo  I,  folios</w:t>
        <w:br/>
        <w:t>193 a 195).</w:t>
        <w:br/>
        <w:br/>
        <w:t>[46]  Cfr. Escrito de la apoderada del señor López Allendes de 11  de  marzo</w:t>
        <w:br/>
        <w:t>de 2003 (expediente de anexos a la demanda, tomo I, folios 197 a 199).</w:t>
        <w:br/>
        <w:br/>
        <w:t>[47]  Cfr. Acta del Juzgado de Menores de Villarrica de 3 de abril  de  2003</w:t>
        <w:br/>
        <w:t>(expediente de anexos a la demanda, tomo I, folios 327 a 334).</w:t>
        <w:br/>
        <w:br/>
        <w:t>[48]  Cfr. Acta del Juzgado de Menores de Villarrica de 8 de abril  de  2003</w:t>
        <w:br/>
        <w:t>(expediente de anexos a la demanda, tomo I, folios 350 y 351).</w:t>
        <w:br/>
        <w:br/>
        <w:t>[49]  Cfr. Acta del Juzgado de Menores de Villarrica de 10 de abril de  2003</w:t>
        <w:br/>
        <w:t>(expediente de anexos a la demanda, tomo I, folios 352 a 373).</w:t>
        <w:br/>
        <w:br/>
        <w:t>[50]  Cfr. Acta del Juzgado de Menores de Villarrica de 14 de abril de  2003</w:t>
        <w:br/>
        <w:t>(expediente de anexos a la demanda, tomo I, folios 374 a 393).</w:t>
        <w:br/>
        <w:br/>
        <w:t>[51]  Testimonio de  Edith Paola Retamal Arevalo de  14  de  abril  de  2003</w:t>
        <w:br/>
        <w:t>(expediente de anexos a la demanda, tomo I, folio 390).</w:t>
        <w:br/>
        <w:br/>
        <w:t>[52]  Cfr. Pruebas testimoniales producidas  mediante  declaraciones  orales</w:t>
        <w:br/>
        <w:t>rendidas el 14 de abril de 2003 ante el Juzgado  de  Menores  de  Villarrica</w:t>
        <w:br/>
        <w:t>por Erecilda Teresa Solis Ruíz (expediente de anexos a la demanda,  tomo  I,</w:t>
        <w:br/>
        <w:t>folio 370), Ana Delia Pacheco Guzmán (expediente de  anexos  a  la  demanda,</w:t>
        <w:br/>
        <w:t>tomo I, folio 375), y Graciela del Carmen Curín Jara (expediente  de  anexos</w:t>
        <w:br/>
        <w:t>a la demanda, tomo I, folio 377).</w:t>
        <w:br/>
        <w:br/>
        <w:t>[53]  Cfr. Prueba testimonial producida mediante  declaración  oral  rendida</w:t>
        <w:br/>
        <w:t>el 14 de abril de 2003 ante el Juzgado de  Menores  de  Villarrica  por  Ana</w:t>
        <w:br/>
        <w:t>Delia Pacheco Guzmán (expediente de anexos  a  la  demanda,  tomo  I,  folio</w:t>
        <w:br/>
        <w:t>376).</w:t>
        <w:br/>
        <w:br/>
        <w:t>[54]  Cfr. Demanda de Tuición Provisoria del señor López Allendes de  10  de</w:t>
        <w:br/>
        <w:t>marzo de 2003 (expediente de anexos a la demanda,  tomo  V,  folios  2546  a</w:t>
        <w:br/>
        <w:t>2552).</w:t>
        <w:br/>
        <w:br/>
        <w:t>[55]  Respuesta al Incidente de Tuición Provisoria de 13 de  marzo  de  2003</w:t>
        <w:br/>
        <w:t>(expediente de anexos a la demanda, tomo V, folios 2554 a 2557).</w:t>
        <w:br/>
        <w:br/>
        <w:t>[56]  Resolución de la demanda de  tuición  provisoria  por  el  Juzgado  de</w:t>
        <w:br/>
        <w:t>Menores de Villarrica de 2 de mayo  de  2003  (expediente  de  anexos  a  la</w:t>
        <w:br/>
        <w:t>demanda, tomo V, anexo 10, folios 2559 a 2567). En el marco del  proceso  de</w:t>
        <w:br/>
        <w:t>tuición  provisional,  el   Juzgado   de   Menores   recabó   como   pruebas</w:t>
        <w:br/>
        <w:t>testimoniales las declaraciones de: i) un padrino de una de las  niñas;  ii)</w:t>
        <w:br/>
        <w:t>una psicóloga; iii) una amiga de la familia; iv) una empleada de casa, y  v)</w:t>
        <w:br/>
        <w:t>una niñera (expediente de fondo, tomo XII, folios 5919 a 5921).  Además,  el</w:t>
        <w:br/>
        <w:t>Juzgado  consideró  como  pruebas  documentales  varias   publicaciones   de</w:t>
        <w:br/>
        <w:t>periódicos, un informe socioeconómico, un set  de  fotografías,  un  informe</w:t>
        <w:br/>
        <w:t>emitido por la psiquiatra de la señora Atala, un informe  de  una  psicóloga</w:t>
        <w:br/>
        <w:t>encargada de la  terapia  de  las  niñas  y  el  informe  de  una  enfermera</w:t>
        <w:br/>
        <w:t>universitaria  (expediente  de  fondo,  tomo  XII,  folios  5918  a   5921).</w:t>
        <w:br/>
        <w:t>Asimismo, el Juzgado consideró que “exist[ían] los antecedentes  suficientes</w:t>
        <w:br/>
        <w:t>para alterar el deber del cuidado personal, establecido legalmente, [por  lo</w:t>
        <w:br/>
        <w:t>que] se acced[ió] a la petición del demandante”.</w:t>
        <w:br/>
        <w:br/>
        <w:t>[57]  Cfr. Constancia de 15 de mayo de  2003  (expediente  de  anexos  a  la</w:t>
        <w:br/>
        <w:t>demanda, tomo II, folio 572).</w:t>
        <w:br/>
        <w:br/>
        <w:t>[58]  Al respecto, el Código Orgánico de Tribunales dispone:</w:t>
        <w:br/>
        <w:br/>
        <w:t>Art. 194. Los jueces pueden perder su competencia para conocer  determinados</w:t>
        <w:br/>
        <w:t>negocios por implicancia o por recusación declaradas, en caso necesario,  en</w:t>
        <w:br/>
        <w:t>virtud de causas legales.</w:t>
        <w:br/>
        <w:br/>
        <w:t>Art. 195. Son causas de implicancia: […] 8. Haber  el  juez  manifestado  su</w:t>
        <w:br/>
        <w:t>dictamen sobre la cuestión pendiente con conocimiento  de  los  antecedentes</w:t>
        <w:br/>
        <w:t>necesarios para pronunciar sentencia.</w:t>
        <w:br/>
        <w:br/>
        <w:t>Disponible en: http://www.oas.org/juridico/spanish/chi_res9.pdf (última</w:t>
        <w:br/>
        <w:t xml:space="preserve">visita el 22 de febrero de 2012).    </w:t>
        <w:br/>
        <w:br/>
        <w:t>[59]  Solicitud de inhibición del Juez Luis Humberto Toledo Obando de 13  de</w:t>
        <w:br/>
        <w:t>mayo de 2003 (expediente de anexos a la demanda, tomo V, folio 2573).</w:t>
        <w:br/>
        <w:br/>
        <w:t>[60]  Decisión del Juzgado de Menores de Villarrica de 14 de  mayo  de  2003</w:t>
        <w:br/>
        <w:t>(expediente de anexos a la demanda, tomo II, folio  569).  El  Artículo  120</w:t>
        <w:br/>
        <w:t>del Código de Procedimiento Civil de Chile vigente  para  la  fecha  de  los</w:t>
        <w:br/>
        <w:t>hechos establecía  que:  “Una  vez  aceptada  como  bastante  la  causal  de</w:t>
        <w:br/>
        <w:t>inhabilitación, o declarada ésta con  arreglo  al  inciso  2º  del  artículo</w:t>
        <w:br/>
        <w:t>anterior, se pondrá dicha declaración en conocimiento del  funcionario  cuya</w:t>
        <w:br/>
        <w:t>implicancia o recusación se haya pedido, para que se abstenga de  intervenir</w:t>
        <w:br/>
        <w:t>en el asunto de  que  se  trata  mientras  no  se  resuelva  el  incidente”.</w:t>
        <w:br/>
        <w:t>Disponible en: http://www.leychile.cl/Navegar?idNorma=172986 (último  acceso</w:t>
        <w:br/>
        <w:t>20 de febrero de 2012), dirección electrónica suministrada por el Estado  en</w:t>
        <w:br/>
        <w:t>su escrito de alegatos finales (expediente de fondo, tomo XII, folio 5914).</w:t>
        <w:br/>
        <w:br/>
        <w:t>[61]  Sentencia del Juzgado de Menores de Villarrica de  29  de  octubre  de</w:t>
        <w:br/>
        <w:t>2003 (expediente de anexos a la demanda, tomo V, folio 2607).</w:t>
        <w:br/>
        <w:t>[62]  Sentencia del Juzgado de Menores de Villarrica de  29  de  octubre  de</w:t>
        <w:br/>
        <w:t>2003 (expediente de anexos a la demanda, tomo V, folios 2591, 2594 y  2595).</w:t>
        <w:br/>
        <w:br/>
        <w:br/>
        <w:t>[63]  Sentencia del Juzgado de Menores de Villarrica de  29  de  octubre  de</w:t>
        <w:br/>
        <w:t>2003 (expediente de anexos a la demanda, tomo V, folios  2596,  2597,  2599,</w:t>
        <w:br/>
        <w:t>2600, 2601 y 2605).</w:t>
        <w:br/>
        <w:br/>
        <w:t>[64]  Cfr. Auto del Juzgado de Menores de Villarrica de 5  de  noviembre  de</w:t>
        <w:br/>
        <w:t>2003 (expediente de anexos a la demanda, tomo II, folio 933).</w:t>
        <w:br/>
        <w:br/>
        <w:t>[65]  Cfr. Recurso de apelación interpuesto por el señor López  Allendes  de</w:t>
        <w:br/>
        <w:t>11 de noviembre de 2003 (expediente de anexos a la demanda, tomo  V,  folios</w:t>
        <w:br/>
        <w:t>2614 a 2632) y solicitud de orden de no innovar  interpuesta  por  el  señor</w:t>
        <w:br/>
        <w:t>López Allendes de 22 de  noviembre  de  2003  (expediente  de  anexos  a  la</w:t>
        <w:br/>
        <w:t>demanda, tomo V, folios 2634 a 2636).</w:t>
        <w:br/>
        <w:br/>
        <w:t>[66]  Cfr. Concesión de  orden  de  no  innovar  emitida  por  la  Corte  de</w:t>
        <w:br/>
        <w:t>Apelaciones de Temuco de 24 de noviembre de 2003 (expediente de anexos a  la</w:t>
        <w:br/>
        <w:t>demanda, tomo V, folio 2638).</w:t>
        <w:br/>
        <w:br/>
        <w:t>[67]  El 7 de enero de 2004 la  relatora  de  la  Corte  de  Apelaciones  de</w:t>
        <w:br/>
        <w:t>Temuco certificó que “el Ministro  señor  Archibaldo  Loyola,  se  manifestó</w:t>
        <w:br/>
        <w:t>inhabilitado para conocer de la presente  causa  y  que  el  Ministro  señor</w:t>
        <w:br/>
        <w:t>Lenin Lillo Hunzinker  manifestó  afectarle  la  causal  de  recusación  del</w:t>
        <w:br/>
        <w:t>artículo 196 No. 10 del Código Orgánico de Tribunales,  toda  vez  que  tomó</w:t>
        <w:br/>
        <w:t>conocimiento de la presente causa, a propósito de la  investigación  que  le</w:t>
        <w:br/>
        <w:t>correspondió dirigir en  visita  extraordinaria  al  Juzgado  de  Letras  de</w:t>
        <w:br/>
        <w:t>Menores de Villarrica”. Cfr. Certificado de 7 de enero de  2004  (expediente</w:t>
        <w:br/>
        <w:t>de anexos a la demanda, tomo V, folio 2640).</w:t>
        <w:br/>
        <w:br/>
        <w:t>[68]  Cfr. Sentencia de la Corte Suprema de Justicia de Chile de 2 de  julio</w:t>
        <w:br/>
        <w:t>de 2004 (expediente de anexos a la demanda, tomo V, folio 2645).</w:t>
        <w:br/>
        <w:br/>
        <w:t>[69]  Cfr. Sentencia de la Corte de Apelaciones de Temuco de 30 de marzo  de</w:t>
        <w:br/>
        <w:t>2004 (expediente de anexos a la demanda, tomo V, folio 2643).</w:t>
        <w:br/>
        <w:br/>
        <w:t>[70]  Recurso de queja y solicitud de orden de no innovar  interpuestos  por</w:t>
        <w:br/>
        <w:t>el señor López Allendes de 5 de abril de 2004 (expediente  de  anexos  a  la</w:t>
        <w:br/>
        <w:t>demanda, tomo V, folios 2652 a 2655).</w:t>
        <w:br/>
        <w:br/>
        <w:t>[71]  Recurso de queja y solicitud de orden de no innovar  interpuestos  por</w:t>
        <w:br/>
        <w:t>el señor López Allendes de 5 de abril de 2004 (expediente  de  anexos  a  la</w:t>
        <w:br/>
        <w:t>demanda, tomo V, folio 2654).</w:t>
        <w:br/>
        <w:br/>
        <w:t>[72]  Cfr. Concesión de orden de no innovar por la Corte  Suprema  de  Chile</w:t>
        <w:br/>
        <w:t>de 7 de abril de 2004 (expediente de anexos a  la  demanda,  tomo  V,  folio</w:t>
        <w:br/>
        <w:t>2666).</w:t>
        <w:br/>
        <w:br/>
        <w:t>[73]  Cfr. Sentencia de la Cuarta Sala de la Corte Suprema  de  Justicia  de</w:t>
        <w:br/>
        <w:t>Chile de 31 de mayo de 2004 (expediente de anexos  a  la  demanda,  tomo  V,</w:t>
        <w:br/>
        <w:t>anexo 22, folios 2669 a 2677).</w:t>
        <w:br/>
        <w:t>[74]  Sentencia de la Corte Suprema de Justicia de Chile de 31  de  mayo  de</w:t>
        <w:br/>
        <w:t>2004 (expediente de anexos a la demanda, tomo V, folios  2670,  2671,  2672,</w:t>
        <w:br/>
        <w:t>2673).</w:t>
        <w:br/>
        <w:br/>
        <w:t>[75]  En particular, indicaron que “no es un recurso procesal  que  habilite</w:t>
        <w:br/>
        <w:t>a este Tribunal para resolver todas las cuestiones de  hecho  y  de  derecho</w:t>
        <w:br/>
        <w:t>planteadas por las partes en el pleito. Es plenamente sabido que de  acuerdo</w:t>
        <w:br/>
        <w:t>al artículo 545 del Código Orgánico de Tribunales el recurso de queja es  un</w:t>
        <w:br/>
        <w:t>recurso disciplinario, cuya exclusiva finalidad  es  la  corrección  de  las</w:t>
        <w:br/>
        <w:t>faltas  o  abusos  graves  cometidos  en  la  dictación  de  una  resolución</w:t>
        <w:br/>
        <w:t>jurisdiccional, a través,  a)  de  la  invalidación  de  ella  y  b)  de  la</w:t>
        <w:br/>
        <w:t>aplicación de medidas disciplinarias a los  jueces  que  incurrieron  en  la</w:t>
        <w:br/>
        <w:t>grave falta o abuso contenida en la resolución  anulada.  Que,  entonces,  y</w:t>
        <w:br/>
        <w:t>descartando por imperativo legal que el recurso de  queja  pueda  significar</w:t>
        <w:br/>
        <w:t>en esta Corte Suprema la apertura de una tercera  instancia  –  que  nuestro</w:t>
        <w:br/>
        <w:t>sistema procesal  no  acepta-  o  que  fuese  un  medio  apto  para  imponer</w:t>
        <w:br/>
        <w:t>opiniones  o  interpretaciones  discutibles,  corresponde  examinar  si  los</w:t>
        <w:br/>
        <w:t>jueces impugnados han incurrido en alguna falta o abuso grave al entregar  a</w:t>
        <w:br/>
        <w:t>su madre, doña Jacqueline Karen Atala Riffo el cuidado  de  sus  tres  hijas</w:t>
        <w:br/>
        <w:t>menores, [M., V. y R.]”. Sentencia de la Corte Suprema de Justicia de  Chile</w:t>
        <w:br/>
        <w:t>de 31 de mayo de 2004, voto en contra de los Ministros  José  Benquis  C.  y</w:t>
        <w:br/>
        <w:t>Orlando Álvarez H. (expediente de anexos a la demanda, tomo V,  folios  2673</w:t>
        <w:br/>
        <w:t>y 2674).</w:t>
        <w:br/>
        <w:br/>
        <w:t>[76]  Sentencia de la Corte Suprema de Justicia de Chile de 31  de  mayo  de</w:t>
        <w:br/>
        <w:t>2004, voto en contra de los Ministros José Benquis C. y Orlando  Álvarez  H.</w:t>
        <w:br/>
        <w:t>(expediente de anexos a la demanda, tomo V, folio 2675).  En dicho marco  de</w:t>
        <w:br/>
        <w:t>análisis, los jueces consideraron que: i) “no aparecen de los autos  tenidos</w:t>
        <w:br/>
        <w:t>a la vista que exist[ieran] antecedentes de los que pudiera especularse  que</w:t>
        <w:br/>
        <w:t>la madre […] hubiese maltratado o  descuidado  a  sus  hijas”,  y  ii)  “los</w:t>
        <w:br/>
        <w:t>dictámenes que obran en los autos agregados, tanto los psicólogos  como  las</w:t>
        <w:br/>
        <w:t>asistentes sociales, infieren que la homosexualidad de la madre  no  vulnera</w:t>
        <w:br/>
        <w:t>los derechos de las niñas, ni priva a  aquella  de  ejercer  su  derecho  de</w:t>
        <w:br/>
        <w:t>madre, ya que desde una perspectiva sicológica o siquiátrica,  a  juicio  de</w:t>
        <w:br/>
        <w:t>dichos expertos, se trata de  una  persona  absolutamente  normal”.  Por  lo</w:t>
        <w:br/>
        <w:t>tanto, los jueces concluyeron que el “restarle  a  la  madre,  sólo  por  su</w:t>
        <w:br/>
        <w:t>opción sexual, la tuición de  sus  hijas  menores  de  edad  –  como  lo  ha</w:t>
        <w:br/>
        <w:t>requerido el padre sobre la base de  apreciaciones  netamente  subjetivas  –</w:t>
        <w:br/>
        <w:t>involucra imponer tanto a aquellas como a la madre una sanción innominada  y</w:t>
        <w:br/>
        <w:t>al margen de la ley, amén de discriminatoria”.</w:t>
        <w:br/>
        <w:br/>
        <w:t>[77]  Cfr. Caso Acevedo Jaramillo y otros Vs.  Perú.  Interpretación  de  la</w:t>
        <w:br/>
        <w:t>Sentencia  de  Excepciones  Preliminares,  Fondo,  Reparaciones  y   Costas.</w:t>
        <w:br/>
        <w:t>Sentencia de 24 de noviembre de 2006. Serie C  No.  157,  párr.  66  y  Caso</w:t>
        <w:br/>
        <w:t>Cabrera García y Montiel Flores Vs.  México.  Excepción  Preliminar,  Fondo,</w:t>
        <w:br/>
        <w:t>Reparaciones y Costas. Sentencia de 26 de noviembre de  2010.  Serie  C  No.</w:t>
        <w:br/>
        <w:t>220, párr. 16.</w:t>
        <w:br/>
        <w:br/>
        <w:t>[78]  En el  Preámbulo  de  la  Convención  Americana  se  sostiene  que  la</w:t>
        <w:br/>
        <w:t>protección  internacional  es  “de  naturaleza  convencional  coadyuvante  o</w:t>
        <w:br/>
        <w:t>complementaria  de  la  que  ofrece  el  derecho  interno  de  los   Estados</w:t>
        <w:br/>
        <w:t>americanos”. Ver también La Expresión  "Leyes"  en  el  Artículo  30  de  la</w:t>
        <w:br/>
        <w:t>Convención Americana sobre Derechos Humanos. Opinión Consultiva OC-6/86  del</w:t>
        <w:br/>
        <w:t>9 de mayo de 1986. Serie A No. 6,  párr.  26  y  Caso  Velásquez  Rodríguez,</w:t>
        <w:br/>
        <w:t>supra nota 28, párr. 61.</w:t>
        <w:br/>
        <w:br/>
        <w:t>[79]  Caso Nogueira de Carvalho y otro vs. Brasil. Excepciones  Preliminares</w:t>
        <w:br/>
        <w:t>y Fondo. Sentencia de 28 de noviembre de 2006. Serie C No. 161, párr.  80  y</w:t>
        <w:br/>
        <w:t>Caso Cabrera García y Montiel Flores, supra nota 77, párr. 16.</w:t>
        <w:br/>
        <w:br/>
        <w:t>[80]   Mediante  escrito  de  3  de  febrero  de  2012  el  Estado  presentó</w:t>
        <w:br/>
        <w:t>observaciones respecto a la participación de la psiquiatra  Espinoza  en  la</w:t>
        <w:br/>
        <w:t>diligencia. Al respecto, el 6 de febrero de  2012,  siguiendo  instrucciones</w:t>
        <w:br/>
        <w:t>del Presidente de la Corte, se  informó  a  las  partes  que  la  psiquiatra</w:t>
        <w:br/>
        <w:t>Espinoza fue designada para realizar  un  acompañamiento,  en  caso  de  ser</w:t>
        <w:br/>
        <w:t>necesario, a la delegación de la Secretaría. Asimismo, en el  acta  que  fue</w:t>
        <w:br/>
        <w:t>transmitida a las partes se indicó que, si bien se había previsto  el  apoyo</w:t>
        <w:br/>
        <w:t>de la psiquiatra Espinoza como apoyo de contención, ello no fue necesario.</w:t>
        <w:br/>
        <w:t>[81]  El artículo 24 de la Convención (Igualdad ante la Ley) estipula que:</w:t>
        <w:br/>
        <w:br/>
        <w:t xml:space="preserve">      Todas las personas son iguales ante la ley.  En  consecuencia,  tienen</w:t>
        <w:br/>
        <w:t xml:space="preserve">      derecho, sin discriminación, a igual protección de la ley.</w:t>
        <w:br/>
        <w:br/>
        <w:br/>
        <w:t>[82]  El artículo 1.1 de la Convención Americana (Obligación de Respetar</w:t>
        <w:br/>
        <w:t>los Derechos) dispone que:</w:t>
        <w:br/>
        <w:br/>
        <w:t xml:space="preserve">      Los Estados Partes en esta Convención se comprometen  a 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[83]  Cfr. Propuesta de Modificación a la  Constitución  Política  de  Costa</w:t>
        <w:br/>
        <w:t>Rica relacionada con la Naturalización. Opinión Consultiva  OC-4/84  del  19</w:t>
        <w:br/>
        <w:t>de enero de 1984. Serie A No. 4, párr 53 y Caso  Comunidad  Indígena  Xákmok</w:t>
        <w:br/>
        <w:t>Kásek. Vs. Paraguay. Fondo,  Reparaciones  y  Costas.  Sentencia  de  24  de</w:t>
        <w:br/>
        <w:t>agosto de 2010 Serie C No. 214, párr. 268.</w:t>
        <w:br/>
        <w:br/>
        <w:t>[84]  Cfr. Opinión Consultiva OC-4/84, supra nota 83, párr. 55.</w:t>
        <w:br/>
        <w:br/>
        <w:t>[85]  Cfr. Condición Jurídica y Derechos de  los  Migrantes  Indocumentados.</w:t>
        <w:br/>
        <w:t>Opinión Consultiva OC-18/03 del 17 de septiembre de 2003. Serie  A  No.  18,</w:t>
        <w:br/>
        <w:t>párr. 101 y Caso Comunidad Indígena Xákmok Kásek, supra nota 83, párr. 269.</w:t>
        <w:br/>
        <w:br/>
        <w:t>[86]  Cfr. Opinión Consultiva OC-18/03, supra nota  85,  párr.  103  y  Caso</w:t>
        <w:br/>
        <w:t>Comunidad Indígena Xákmok Kásek, supra nota 83, párr. 271.</w:t>
        <w:br/>
        <w:br/>
        <w:t>[87]  Cfr. Opinión Consultiva OC-18/03,  supra  nota  85,  párr.  104;  Caso</w:t>
        <w:br/>
        <w:t>Comunidad Indígena Xákmok Kásek,  supra  nota  83,  párr.  271,  y  Naciones</w:t>
        <w:br/>
        <w:t>Unidas,  Comité  de  Derechos  Humanos,  Observación  General  No.  18,   No</w:t>
        <w:br/>
        <w:t>discriminación, 10 de noviembre de 1989, CCPR/C/37, párr. 6.</w:t>
        <w:br/>
        <w:br/>
        <w:t>[88]  El Artículo 1.1 de la  Convención Internacional sobre  la  Eliminación</w:t>
        <w:br/>
        <w:t>de todas las  Formas  de  Discriminación  Racial  señala:  “En  la  presente</w:t>
        <w:br/>
        <w:t>Convención la expresión "discriminación racial"  denotará  toda  distinción,</w:t>
        <w:br/>
        <w:t>exclusión, restricción o preferencia  basada  en  motivos  de  raza,  color,</w:t>
        <w:br/>
        <w:t>linaje u origen nacional o étnico que  tenga  por  objeto  o  por  resultado</w:t>
        <w:br/>
        <w:t>anular o menoscabar el reconocimiento, goce o ejercicio, en  condiciones  de</w:t>
        <w:br/>
        <w:t>igualdad, de los derechos humanos y libertades fundamentales en las  esferas</w:t>
        <w:br/>
        <w:t>política, económica, social, cultural o en cualquier otra esfera de la  vida</w:t>
        <w:br/>
        <w:t>pública”.</w:t>
        <w:br/>
        <w:br/>
        <w:t>[89]  El Artículo 1.1 de la  Convención Internacional sobre  la  Eliminación</w:t>
        <w:br/>
        <w:t>de todas las Formas  de  Discriminación  contra  la  Mujer  señala:  “A  los</w:t>
        <w:br/>
        <w:t>efectos de la presente Convención, la expresión  ‘discriminación  contra  la</w:t>
        <w:br/>
        <w:t>mujer’ denotará toda distinción, exclusión o restricción basada en  el  sexo</w:t>
        <w:br/>
        <w:t>que tenga por objeto o resultado  menoscabar  o  anular  el  reconocimiento,</w:t>
        <w:br/>
        <w:t>goce o ejercicio por la mujer, independientemente de su estado civil,  sobre</w:t>
        <w:br/>
        <w:t>la base de la igualdad del hombre y la mujer, de los derechos humanos y  las</w:t>
        <w:br/>
        <w:t>libertades  fundamentales  en  las  esferas  política,  económica,   social,</w:t>
        <w:br/>
        <w:t>cultural y civil o en cualquier otra esfera”.</w:t>
        <w:br/>
        <w:br/>
        <w:t>[90]  Naciones Unidas, Comité de Derechos Humanos, Observación  General  No.</w:t>
        <w:br/>
        <w:t>18, No discriminación, supra nota 87, párr. 6.</w:t>
        <w:br/>
        <w:br/>
        <w:t>[91]  Cfr. Opinión Consultiva OC-4/84, supra nota 83, párrs. 53 y 54 y  Caso</w:t>
        <w:br/>
        <w:t>Barbani Duarte y Otros Vs. Uruguay. Fondo, Reparaciones y Costas.  Sentencia</w:t>
        <w:br/>
        <w:t>de 13 de octubre de 2011. Serie C No. 234, párr. 174.</w:t>
        <w:br/>
        <w:br/>
        <w:t>[92]  Mutatis mutandi, Caso Apitz Barbera y otros  (“Corte  Primera  de  los</w:t>
        <w:br/>
        <w:t>Contencioso Administrativo”) Vs.  Venezuela.  Excepción  preliminar,  Fondo,</w:t>
        <w:br/>
        <w:t>Reparaciones y Costas. Sentencia de 5 de agosto de 2008. Serie  C  No.  182,</w:t>
        <w:br/>
        <w:t>párr. 209 y Caso Barbani Duarte y otros, supra nota 91, párr. 174.</w:t>
        <w:br/>
        <w:br/>
        <w:t>[93]  Cfr. El Derecho a la Información sobre la Asistencia  Consular  en  el</w:t>
        <w:br/>
        <w:t>Marco de las Garantías del Debido  Proceso  Legal.  Opinión  Consultiva  OC-</w:t>
        <w:br/>
        <w:t>16/99 de 1 de octubre de 1999. Serie A No.  16,  párr.  114  y  Caso  de  la</w:t>
        <w:br/>
        <w:t>Masacre de Mapiripán Vs. Colombia. Fondo, Reparaciones y  Costas.  Sentencia</w:t>
        <w:br/>
        <w:t>de 15 de septiembre de 2005. Serie C No. 134,  párr.  106.  En  el  Tribunal</w:t>
        <w:br/>
        <w:t>Europeo ver T.E.D.H., Caso Tyrer v. Reino Unido,  (No.  5856/72),  Sentencia</w:t>
        <w:br/>
        <w:t>de 25 de abril de 1978, párr. 31.</w:t>
        <w:br/>
        <w:br/>
        <w:t>[94]  Cfr. Opinión Consultiva OC-16/99, supra nota 93, párr. 114 y  Caso  de</w:t>
        <w:br/>
        <w:t>la Masacre de Mapiripán Vs. Colombia, supra nota 93, párr. 106.</w:t>
        <w:br/>
        <w:br/>
        <w:t>[95]  Cfr.  La  Colegiación  Obligatoria  de  Periodistas  (Arts.  13  y  29</w:t>
        <w:br/>
        <w:t>Convención Americana sobre Derechos  Humanos).  Opinión  Consultiva  OC-5/85</w:t>
        <w:br/>
        <w:t>del 13 de noviembre de 1985. Serie A No. 5, párr. 52, y Caso de  la  Masacre</w:t>
        <w:br/>
        <w:t>de Mapiripán, supra nota 93, párr. 106.</w:t>
        <w:br/>
        <w:br/>
        <w:t>[96]  Cfr. Opinión Consultiva OC-16/99, supra nota 93, pára. 115.</w:t>
        <w:br/>
        <w:br/>
        <w:t>[97]  Cfr. AG/RES. 2653 (XLI-O/11), Derechos humanos, orientación  sexual  e</w:t>
        <w:br/>
        <w:t>identidad de género, aprobada en la cuarta sesión plenaria, celebrada  el  7</w:t>
        <w:br/>
        <w:t>de junio de  2011  (“LA  ASAMBLEA  GENERAL  […]  RESUELVE:  1.  Condenar  la</w:t>
        <w:br/>
        <w:t>discriminación  contra  personas  por  motivos  de  orientación   sexual   e</w:t>
        <w:br/>
        <w:t>identidad de género, e instar a los Estados dentro de los parámetros de  las</w:t>
        <w:br/>
        <w:t>instituciones jurídicas de su ordenamiento interno, a  adoptar  las  medidas</w:t>
        <w:br/>
        <w:t>necesarias para prevenir,  sancionar  y  erradicar  dicha  discriminación”);</w:t>
        <w:br/>
        <w:t>AG/RES. 2600 (XL-O/10), Derechos humanos, orientación sexual e identidad  de</w:t>
        <w:br/>
        <w:t>Género, aprobada en la cuarta sesión plenaria, celebrada el 8  de  junio  de</w:t>
        <w:br/>
        <w:t>2010 (“LA ASAMBLEA GENERAL […] RESUELVE: 1. Condenar los actos de  violencia</w:t>
        <w:br/>
        <w:t>y las violaciones  de  derechos  humanos  contra  personas  a  causa  de  su</w:t>
        <w:br/>
        <w:t>orientación sexual  e  identidad  de  género,  e  instar  a  los  Estados  a</w:t>
        <w:br/>
        <w:t>investigar  los  mismos  y  asegurar  que  los  responsables  enfrenten  las</w:t>
        <w:br/>
        <w:t>consecuencias ante la justicia. 2. Alentar a los Estados a que  tomen  todas</w:t>
        <w:br/>
        <w:t>las medidas necesarias para asegurar que no se cometan actos de violencia  u</w:t>
        <w:br/>
        <w:t>otras violaciones  de  derechos  humanos  contra  personas  a  causa  de  su</w:t>
        <w:br/>
        <w:t>orientación sexual e identidad  de  género  y  asegurando  el  acceso  a  la</w:t>
        <w:br/>
        <w:t>justicia de las víctimas en  condiciones  de  igualdad.  3.  Alentar  a  los</w:t>
        <w:br/>
        <w:t>Estados Miembros a que consideren medios  para  combatir  la  discriminación</w:t>
        <w:br/>
        <w:t>contra personas a causa de su orientación sexual e  identidad  de  género”);</w:t>
        <w:br/>
        <w:t>AG/RES. 2504 (XXXIX-O/09), Derechos humanos, orientación sexual e  identidad</w:t>
        <w:br/>
        <w:t>de género, aprobada en la cuarta sesión plenaria, celebrada el  4  de  junio</w:t>
        <w:br/>
        <w:t>de 2009 (“LA ASAMBLEA GENERAL  […]  RESUELVE:  1.   Condenar  los  actos  de</w:t>
        <w:br/>
        <w:t>violencia y las violaciones de derechos  humanos  relacionadas,  perpetrados</w:t>
        <w:br/>
        <w:t>contra individuos a causa de su orientación sexual e  identidad  de  género.</w:t>
        <w:br/>
        <w:t>2. Instar a  los  Estados  a  asegurar  que  se  investiguen  los  actos  de</w:t>
        <w:br/>
        <w:t>violencia  y  las  violaciones  de  derechos  humanos   perpetrados   contra</w:t>
        <w:br/>
        <w:t>individuos a causa de su orientación sexual e identidad  de  género,  y  que</w:t>
        <w:br/>
        <w:t>los responsables enfrenten las consecuencias ante la justicia”),  y  AG/RES.</w:t>
        <w:br/>
        <w:t>2435 (XXXVIII-O/08), Derechos humanos, orientación sexual  e   identidad  de</w:t>
        <w:br/>
        <w:t>género, aprobada en la cuarta sesión plenaria, celebrada el 3  de  junio  de</w:t>
        <w:br/>
        <w:t>2008 (“LA ASAMBLEA GENERAL […] RESUELVE: 1. Manifestar preocupación por  los</w:t>
        <w:br/>
        <w:t>actos de violencia y  las  violaciones  de  derechos  humanos  relacionadas,</w:t>
        <w:br/>
        <w:t>cometidos contra individuos a causa de su orientación sexual e identidad  de</w:t>
        <w:br/>
        <w:t>género”).</w:t>
        <w:br/>
        <w:br/>
        <w:t>[98]  Artículo 14 del Convenio Europeo de Derechos Humanos: “El goce de  los</w:t>
        <w:br/>
        <w:t>derechos y  libertades  reconocidos  en  el  presente  Convenio  ha  de  ser</w:t>
        <w:br/>
        <w:t>asegurado sin distinción alguna, especialmente por razones  de  sexo,  raza,</w:t>
        <w:br/>
        <w:t>color, lengua, religión, opiniones políticas  u  otras,  origen  nacional  o</w:t>
        <w:br/>
        <w:t>social, pertenencia a una minoría nacional, fortuna, nacimiento o  cualquier</w:t>
        <w:br/>
        <w:t>otra situación”.</w:t>
        <w:br/>
        <w:br/>
        <w:t>[99]  Cfr. T.E.D.H., Caso  Salgueiro  da  Silva  Mouta  Vs.  Portugal,  (No.</w:t>
        <w:br/>
        <w:t>33290/96), Sentencia de 21 de diciembre de  1999.  Final,  21  de  marzo  de</w:t>
        <w:br/>
        <w:t>2000, párr. 28; Caso  L.  y  V.  Vs.  Austria  (No.  39392/98  y  39829/98),</w:t>
        <w:br/>
        <w:t>Sentencia de 9 de enero de 2003. Final, 9 de abril de 2003, párr.  45;  Caso</w:t>
        <w:br/>
        <w:t>S. L. Vs. Austria, (No. 45330/99), Sentencia de 9 de enero de  2003.  Final,</w:t>
        <w:br/>
        <w:t>9 de abril de 2003, párr. 37, y  Caso  E.B.  Vs.  Francia,  (No.  43546/02),</w:t>
        <w:br/>
        <w:t>Sentencia de 22 de enero de 2008, párr. 50.</w:t>
        <w:br/>
        <w:br/>
        <w:t>[100]       Cfr. T.E.D.H., Caso Salgueiro da Silva  Mouta,  supra  nota  99,</w:t>
        <w:br/>
        <w:t>párr. 28 (“the applicant`s sexual orientation […] [is] a  concept  which  is</w:t>
        <w:br/>
        <w:t>undoubtedly covered by Article 14 of the Convention.  The  Court  reiterates</w:t>
        <w:br/>
        <w:t>in that connection that the list set out in that provision  is  illustrative</w:t>
        <w:br/>
        <w:t>and not exhaustive, as is shown by the words [`]any ground such as[´]).  Ver</w:t>
        <w:br/>
        <w:t>también T.E.D.H., Caso Fretté Vs. Francia, (No. 36515/97), Sentencia  de  26</w:t>
        <w:br/>
        <w:t>de febrero de 2002. Final, 26 de mayo de  2002,  párr.  32;  T.E.D.H.,  Caso</w:t>
        <w:br/>
        <w:t>Kozak Vs. Polonia, (No. 13102/02), Sentencia de 2 de marzo de  2010.  Final,</w:t>
        <w:br/>
        <w:t>2 de junio de 2010, párr. 92; Caso J.M. Vs.  Reino  Unido,  (No.  37060/06),</w:t>
        <w:br/>
        <w:t>Sentencia de 28 de septiembre de 2010.  Final,  28  de  diciembre  de  2010,</w:t>
        <w:br/>
        <w:t>párr. 55, y Caso Alekseyev Vs. Russia, (No. 4916/07, 25924/08  y  14599/09),</w:t>
        <w:br/>
        <w:t>Sentencia de 21 de octubre de 2010. Final, 11 de abril de  2011,  párr.  108</w:t>
        <w:br/>
        <w:t>(“The Court reiterates that sexual  orientation  is  a  concept  covered  by</w:t>
        <w:br/>
        <w:t>Article 14”).</w:t>
        <w:br/>
        <w:br/>
        <w:t>[101]       Cfr. T.E.D.H.,  Caso  Clift  Vs.  Reino  Unido,  (No.  7205/07),</w:t>
        <w:br/>
        <w:t>Sentencia de 13 de julio de 2010. Final, 22 de noviembre de 2010,  párr.  57</w:t>
        <w:br/>
        <w:t>(“the Court has considered to constitute [`]other status[´]  characteristics</w:t>
        <w:br/>
        <w:t>which, like some of the specific examples listed  in  the  Article,  can  be</w:t>
        <w:br/>
        <w:t>said to be personal in the sense that they  are  innate  or  inherent).  Sin</w:t>
        <w:br/>
        <w:t>embargo, el Tribunal Europeo no decidió limitar  con  esto  el  concepto  de</w:t>
        <w:br/>
        <w:t>“otra condición” a que las características sean inherentes o innatas  de  la</w:t>
        <w:br/>
        <w:t>persona. Cfr. T.E.D.H., Caso Clift, supra nota 101, párr. 58  (“However,  in</w:t>
        <w:br/>
        <w:t>finding violations of Article 14 in a number of other cases, the  Court  has</w:t>
        <w:br/>
        <w:t>accepted that “status” existed where the distinction  relied  upon  did  not</w:t>
        <w:br/>
        <w:t>involve a characteristic which could be said to be innate or  inherent,  and</w:t>
        <w:br/>
        <w:t>thus [`]personal[´] in the sense discussed above”).</w:t>
        <w:br/>
        <w:br/>
        <w:t>[102]       Artículo 2.1 del  Pacto  Internacional  de  Derechos  Civiles  y</w:t>
        <w:br/>
        <w:t>Políticos:  Cada  uno  de  los  Estados  Partes  en  el  presente  Pacto  se</w:t>
        <w:br/>
        <w:t>compromete a  respetar  y  a  garantizar  a  todos  los  individuos  que  se</w:t>
        <w:br/>
        <w:t>encuentren en su territorio y estén sujetos a su jurisdicción  los  derechos</w:t>
        <w:br/>
        <w:t>reconocidos en el presente Pacto, sin  distinción  alguna  de  raza,  color,</w:t>
        <w:br/>
        <w:t>sexo, idioma, religión, opinión política o de otra índole,  origen  nacional</w:t>
        <w:br/>
        <w:t>o social, posición económica, nacimiento o cualquier otra condición  social.</w:t>
        <w:br/>
        <w:br/>
        <w:br/>
        <w:t>[103]       Artículo 2.2 del  Pacto  Internacional  de  Derechos  Civiles  y</w:t>
        <w:br/>
        <w:t>Políticos: Los  Estados  Partes  en  el  presente  Pacto  se  comprometen  a</w:t>
        <w:br/>
        <w:t>garantizar el  ejercicio  de  los  derechos  que  en  él  se  enuncian,  sin</w:t>
        <w:br/>
        <w:t>discriminación alguna por motivos de raza, color,  sexo,  idioma,  religión,</w:t>
        <w:br/>
        <w:t>opinión política o de  otra  índole,  origen  nacional  o  social,  posición</w:t>
        <w:br/>
        <w:t>económica, nacimiento o cualquier otra condición social.</w:t>
        <w:br/>
        <w:br/>
        <w:t>[104]        Naciones  Unidas,  Comité  de  Derechos  Humanos,  Toonen   Vs.</w:t>
        <w:br/>
        <w:t>Australia, Comunicación No. 488/1992, CCPR/C/50/D/488/1992, 4  de  abril  de</w:t>
        <w:br/>
        <w:t>1992, párr. 8.7 (“The State party has sought the Committee's guidance as  to</w:t>
        <w:br/>
        <w:t>whether sexual orientation may be  considered  an  "other  status"  for  the</w:t>
        <w:br/>
        <w:t>purposes of article  26.  The  same  issue  could  arise  under  article  2,</w:t>
        <w:br/>
        <w:t>paragraph 1, of the Covenant.  The  Committee  confines  itself  to  noting,</w:t>
        <w:br/>
        <w:t>however, that in its view, the reference to "sex" in articles  2,  paragraph</w:t>
        <w:br/>
        <w:t>1, and 26 is to be taken as including sexual orientation”). Asimismo, ver  X</w:t>
        <w:br/>
        <w:t>Vs. Colombia, Comunicación No. 1361/2005, CCPR/C/89/D/1361/2005, 14 de  mayo</w:t>
        <w:br/>
        <w:t>2007, párr. 7.2. (“The Committee recalls its earlier jurisprudence that  the</w:t>
        <w:br/>
        <w:t>prohibition  against  discrimination  under  article   26   comprises   also</w:t>
        <w:br/>
        <w:t>discrimination based on sexual orientation”). En el  mismo  sentido,  Comité</w:t>
        <w:br/>
        <w:t>de Derechos Humanos, Edward Young v. Australia, Comunicación  No.  941/2000,</w:t>
        <w:br/>
        <w:t>CCPR/C/78/D/941/2000, 18 de septiembre de 2003, párr.  10.4.  Véase  también</w:t>
        <w:br/>
        <w:t>Naciones  Unidas,  Comité  de  Derechos  Humanos,   Observaciones   finales,</w:t>
        <w:br/>
        <w:t>Polonia, CCPR/C/79/Add.110, 25 de julio de 1999, párr. 23.</w:t>
        <w:br/>
        <w:br/>
        <w:t>[105]       Cfr., inter alia, Naciones Unidas, Comité de  Derechos  Humanos,</w:t>
        <w:br/>
        <w:t>Observaciones finales, Chile,  CCPR/C/CHL/CO/5,  17  abril  2007,  párr.  16</w:t>
        <w:br/>
        <w:t>(“Aunque observa con satisfacción la abrogación  de  las  disposiciones  que</w:t>
        <w:br/>
        <w:t>penalizaban las  relaciones  homosexuales  entre  adultos  responsables,  el</w:t>
        <w:br/>
        <w:t>Comité continúa preocupado ante la  discriminación  de  la  que  son  objeto</w:t>
        <w:br/>
        <w:t>ciertas personas debido  a  su  orientación  sexual,  entre  otros  ámbitos,</w:t>
        <w:br/>
        <w:t>frente a los tribunales y en el acceso a la salud  (artículos  2  y  26  del</w:t>
        <w:br/>
        <w:t>Pacto). El Estado parte debería garantizar a todas las personas la  igualdad</w:t>
        <w:br/>
        <w:t>de  los  derechos  establecidos  en  el  Pacto,  independientemente  de   su</w:t>
        <w:br/>
        <w:t>orientación sexual, incluyendo igualdad ante la ley y en  el  acceso  a  los</w:t>
        <w:br/>
        <w:t>servicios  de  salud.  Debería  también  poner  en  práctica  programas   de</w:t>
        <w:br/>
        <w:t>sensibilización  con  el  fin  de  combatir   los   prejuicios   sociales”);</w:t>
        <w:br/>
        <w:t>Observaciones finales, Barbados, CCPR/C/BRB/CO/3, 14 de mayo de 2007,  párr.</w:t>
        <w:br/>
        <w:t>13 (“El Comité expresa su preocupación por la discriminación que sufren  los</w:t>
        <w:br/>
        <w:t>homosexuales en el Estado Parte y, en particular,  por  la  penalización  de</w:t>
        <w:br/>
        <w:t>los actos sexuales consensuales entre adultos del mismo  sexo  (art.  26)”);</w:t>
        <w:br/>
        <w:t>Observaciones finales, Estados Unidos de América, CCPR/C/USA/CO/3/Rev.1,  18</w:t>
        <w:br/>
        <w:t>de diciembre de 2006, párr. 25 (“También observa  con  preocupación  que  en</w:t>
        <w:br/>
        <w:t>muchos Estados no se  ha  prohibido  la  discriminación  en  el  empleo  por</w:t>
        <w:br/>
        <w:t>motivos de orientación sexual (arts.  2  y  26).  El  Estado  Parte  debería</w:t>
        <w:br/>
        <w:t>aceptar su obligación jurídica  en  virtud  de  los  artículos  2  y  26  de</w:t>
        <w:br/>
        <w:t>garantizar a todas las personas los derechos amparados  por  el  Pacto,  así</w:t>
        <w:br/>
        <w:t>como la igualdad  ante  la  ley  y  la  igual  protección  de  la  ley,  sin</w:t>
        <w:br/>
        <w:t>discriminación por motivos de orientación sexual”);  Observaciones  finales,</w:t>
        <w:br/>
        <w:t>El Salvador, CCPR/CO/78/SLV, 22 de agosto de  2003,  párr.  16  (“El  Comité</w:t>
        <w:br/>
        <w:t>expresa su preocupación por los casos de personas atacadas, y  aun  muertas,</w:t>
        <w:br/>
        <w:t>con motivo de su orientación sexual (artículo 9),  por  el  bajo  número  de</w:t>
        <w:br/>
        <w:t>investigaciones  en  relación  con  estos  actos   ilícitos,   y   por   las</w:t>
        <w:br/>
        <w:t>disposiciones  existentes  (como  las  “Ordenanzas   Contravencionales”   de</w:t>
        <w:br/>
        <w:t>carácter local) utilizadas para discriminar contra las personas en razón  de</w:t>
        <w:br/>
        <w:t>su orientación sexual (artículo 26)”).</w:t>
        <w:br/>
        <w:br/>
        <w:t>[106]       Cfr. Naciones Unidas, Comité de Derechos Económicos, Sociales  y</w:t>
        <w:br/>
        <w:t>Culturales, Observación General No. 20. La no discriminación y los  derechos</w:t>
        <w:br/>
        <w:t>económicos,  sociales  y  culturales   (artículo  2,  párrafo  2  del  Pacto</w:t>
        <w:br/>
        <w:t>Internacional   de   Derechos    Económicos,   Sociales    y    Culturales),</w:t>
        <w:br/>
        <w:t>E/C.12/GC/20, 2 de julio de 2009, párr. 32 (“En  `cualquier  otra  condición</w:t>
        <w:br/>
        <w:t>social´, tal y como se recoge en el artículo 2.2 del Pacto,  se  incluye  la</w:t>
        <w:br/>
        <w:t>orientación  sexual”).  Cfr.  Comité  de  Derechos  Económicos,  Sociales  y</w:t>
        <w:br/>
        <w:t>Culturales,  Observación  General   No.   18.   El   derecho   al   trabajo,</w:t>
        <w:br/>
        <w:t>E/C.12/GC/18, 6 de febrero de 2006, párr. 12 (“en virtud del párrafo  2  del</w:t>
        <w:br/>
        <w:t>artículo 2, así como del artículo 3, el Pacto proscribe toda  discriminación</w:t>
        <w:br/>
        <w:t>en el acceso al empleo y en la conservación del mismo  por  motivos  de  […]</w:t>
        <w:br/>
        <w:t>orientación sexual”); Observación No. 15. El derecho al agua  (artículos  11</w:t>
        <w:br/>
        <w:t>y  12  del  Pacto  Internacional  de   Derechos   Económicos,   Sociales   y</w:t>
        <w:br/>
        <w:t>Culturales), E/C.12/2002/11, 20 de  enero  de  2003,  párr.  13  (“el  Pacto</w:t>
        <w:br/>
        <w:t>proscribe toda discriminación  por  motivos  de  […]  orientación  sexual”);</w:t>
        <w:br/>
        <w:t>Observación General No. 14. El  derecho  al  disfrute  del  más  alto  nivel</w:t>
        <w:br/>
        <w:t>posible  de  salud  (artículo  12  del  Pacto  Internacional   de   Derechos</w:t>
        <w:br/>
        <w:t>Económicos, Sociales y Culturales), E/C.12/2000/4, 11  de  agosto  de  2000,</w:t>
        <w:br/>
        <w:t>párr. 18 (“En virtud de lo dispuesto en el párrafo 2 del artículo 2 y en  el</w:t>
        <w:br/>
        <w:t>artículo 3, el Pacto prohíbe toda discriminación en lo referente  al  acceso</w:t>
        <w:br/>
        <w:t>a la atención de la salud y los factores determinantes básicos de la  salud,</w:t>
        <w:br/>
        <w:t>así como a los medios y  derechos  para  conseguirlo,  por  motivos  de  […]</w:t>
        <w:br/>
        <w:t>orientación sexual”).</w:t>
        <w:br/>
        <w:br/>
        <w:t>[107]        Cfr.  Naciones  Unidas,  Comité  de  los  Derechos  del   Niño,</w:t>
        <w:br/>
        <w:t>Observación  General  No.  3.  El  VIH/SIDA  y  los   derechos   del   niño,</w:t>
        <w:br/>
        <w:t>CRC/GC/2003/3,  17  de  marzo  de  2003,  párr.  8   (“es   preocupante   la</w:t>
        <w:br/>
        <w:t>discriminación basada en las preferencias  sexuales”);  Observación  General</w:t>
        <w:br/>
        <w:t>No. 4. La salud y el desarrollo de los adolescentes en  el  contexto  de  la</w:t>
        <w:br/>
        <w:t>Convención sobre los Derechos del Niño, CRC/GC/2003/4, 21 de julio de  2003,</w:t>
        <w:br/>
        <w:t>párr. 6 (“Los Estados Partes tienen la obligación de garantizar a todos  los</w:t>
        <w:br/>
        <w:t>seres humanos de menos  de  18  años  el  disfrute  de  todos  los  derechos</w:t>
        <w:br/>
        <w:t>enunciados   en   la   Convención,   sin   distinción   alguna   (art.   2),</w:t>
        <w:br/>
        <w:t>independientemente de "la raza, el color, el sexo, el idioma,  la  religión,</w:t>
        <w:br/>
        <w:t>la opinión pública o de otra índole, el origen nacional,  étnico  o  social,</w:t>
        <w:br/>
        <w:t>la posición económica, los impedimentos físicos, el nacimiento  o  cualquier</w:t>
        <w:br/>
        <w:t>otra condición del niño". Deb[e] añadirse también la orientación sexual”).</w:t>
        <w:br/>
        <w:br/>
        <w:t>[108]       Cfr. Naciones Unidas,  Comité  contra  la  Tortura,  Observación</w:t>
        <w:br/>
        <w:t>General  No.  2.  Aplicación  del  artículo  2  por  los   Estados   Partes,</w:t>
        <w:br/>
        <w:t>CAT/C/GC/2, 24 de enero de 2008,  párrs.  20  y  21  (“El  principio  de  no</w:t>
        <w:br/>
        <w:t>discriminación es básico y general en la protección de los derechos  humanos</w:t>
        <w:br/>
        <w:t>y fundamental para la interpretación y aplicación de la Convención. […]  Los</w:t>
        <w:br/>
        <w:t>Estados Partes deben velar porque, en el marco de las obligaciones  que  han</w:t>
        <w:br/>
        <w:t>contraído en virtud de la Convención, sus leyes se apliquen en  la  práctica</w:t>
        <w:br/>
        <w:t>a todas las personas, cualesquiera que se[a] su […] orientación sexual”).</w:t>
        <w:br/>
        <w:br/>
        <w:t>[109]        Cfr.Naciones  Unidas,  Comité  para  la   Eliminación   de   la</w:t>
        <w:br/>
        <w:t>Discriminación de la Mujer, Recomendación General No. 27 sobre  las  mujeres</w:t>
        <w:br/>
        <w:t>de edad y la protección  de  sus  derechos  humanos,  CEDAW/C/GC/27,  16  de</w:t>
        <w:br/>
        <w:t>diciembre de 2010, párr. 13 (“La discriminación que sufren  las  mujeres  de</w:t>
        <w:br/>
        <w:t>edad  con  frecuencia  es  de  carácter  multidimensional,  al  sumarse   la</w:t>
        <w:br/>
        <w:t>discriminación por […] orientación  sexual”)  y  Proyecto  de  Recomendación</w:t>
        <w:br/>
        <w:t>General No. 28 relativa al artículo 2 de la Convención sobre la  eliminación</w:t>
        <w:br/>
        <w:t>de todas las formas de discriminación contra la mujer, CEDAW/C/GC/28, 16  de</w:t>
        <w:br/>
        <w:t>diciembre de 2010, párr. 18 (“La discriminación de la mujer por  motivos  de</w:t>
        <w:br/>
        <w:t>sexo y género está unida de manera indivisible a otros factores que  afectan</w:t>
        <w:br/>
        <w:t>a la mujer, como la raza, el origen étnico, la religión o las creencias,  la</w:t>
        <w:br/>
        <w:t>salud, el estatus, la edad, la clase, la casta, la orientación sexual”).</w:t>
        <w:br/>
        <w:br/>
        <w:t>[110]         Naciones   Unidas,   Declaración   sobre   derechos   humanos,</w:t>
        <w:br/>
        <w:t>orientación sexual e identidad  de  género,  Asamblea  General  de  Naciones</w:t>
        <w:br/>
        <w:t>Unidas, A/63/635, 22 de diciembre de 2008, párr. 3.</w:t>
        <w:br/>
        <w:br/>
        <w:t>[111]       Naciones Unidas, Declaración conjunta  para  poner  alto  a  los</w:t>
        <w:br/>
        <w:t>actos de violencia, y a las violaciones de  derechos  humanos  relacionadas,</w:t>
        <w:br/>
        <w:t>dirigidos contra las personas por  su  orientación  sexual  e  identidad  de</w:t>
        <w:br/>
        <w:t>género, presentada por Colombia en el 16º período de  sesiones  del  Consejo</w:t>
        <w:br/>
        <w:t>de Derechos Humanos de las Naciones Unidas, 22 de marzo de 2011.  Disponible</w:t>
        <w:br/>
        <w:t>en:      http://www.iglhrc.org/binary-data/ATTACHMENT/file/000/000/494-1.pdf</w:t>
        <w:br/>
        <w:t>(último acceso el 22 de febrero de 2012).</w:t>
        <w:br/>
        <w:br/>
        <w:t>[112]        Naciones  Unidas,  Consejo  de  Derechos  Humanos,   Resolución</w:t>
        <w:br/>
        <w:t>respecto a derechos humanos,  orientación  sexual  e  identidad  de  género,</w:t>
        <w:br/>
        <w:t>A/HRC/17/L.9/Rev.1, 15 de junio de 2011.</w:t>
        <w:br/>
        <w:br/>
        <w:t>[113]       Cfr., entre otros informes, Informe del Relator  Especial  sobre</w:t>
        <w:br/>
        <w:t>el derecho de toda persona al disfrute del más alto nivel posible  de  salud</w:t>
        <w:br/>
        <w:t>física y mental, E/CN.4/2004/49, 16 de febrero  de  2004,  párrs.  32  y  38</w:t>
        <w:br/>
        <w:t>(“Las  normas  internacionales  de  los  derechos  humanos   prohíben   toda</w:t>
        <w:br/>
        <w:t>discriminación en el acceso a la atención de  la  salud  y  a  sus  factores</w:t>
        <w:br/>
        <w:t>determinantes básicos, así como a los medios para conseguirlos, por  motivos</w:t>
        <w:br/>
        <w:t>de orientación sexual [...]. Las normas jurídicas internacionales  relativas</w:t>
        <w:br/>
        <w:t>a los derechos humanos excluyen por completo la discriminación  por  razones</w:t>
        <w:br/>
        <w:t>de orientación sexual”). Véase también el Informe de  la  Relatora  Especial</w:t>
        <w:br/>
        <w:t>sobre la libertad de religión o de creencias,  A/HRC/6/5,  20  de  julio  de</w:t>
        <w:br/>
        <w:t>2007,  párr.  28;  Informe   del   Relator   Especial   sobre   las   formas</w:t>
        <w:br/>
        <w:t>contemporáneas  de  racismo,  discriminación  racial,  xenofobia  y   formas</w:t>
        <w:br/>
        <w:t>conexas de intolerancia,  Misión  en  Brasil,  E/CN.4/2006/16/Add.3,  28  de</w:t>
        <w:br/>
        <w:t>febrero de 2006,  párr.  40;  Informe  de  la  Relatora  Especial  sobre  la</w:t>
        <w:br/>
        <w:t>violencia contra la mujer, sus causas y consecuencias,  Integración  de  los</w:t>
        <w:br/>
        <w:t>derechos humanos de la mujer y la perspectiva de  género:  violencia  contra</w:t>
        <w:br/>
        <w:t>la mujer, Interrelaciones entre la violencia contra la mujer y el  VIH/SIDA,</w:t>
        <w:br/>
        <w:t xml:space="preserve"> E/CN.4/2005/72, 17 de enero  de  2005,  párrs.  27  y  58;  Informe  de  la</w:t>
        <w:br/>
        <w:t>Relatora   Especial   sobre   ejecuciones   extrajudiciales,   sumarias    o</w:t>
        <w:br/>
        <w:t>arbitrarias, Los derechos civiles y políticos, en particular las  cuestiones</w:t>
        <w:br/>
        <w:t>relacionadas  con   las   desapariciones   y   las   ejecuciones   sumarias,</w:t>
        <w:br/>
        <w:t>E/CN.4/2003/3, 13 de enero de 2003, párrs. 66 y 67; Informe  provisional  de</w:t>
        <w:br/>
        <w:t>la Relatora Especial de la Comisión de Derechos  Humanos  sobre  ejecuciones</w:t>
        <w:br/>
        <w:t>extrajudiciales, sumarias o arbitrarias,  A/57/138,  2  de  julio  de  2002,</w:t>
        <w:br/>
        <w:t>párr. 37; Informe de la Representante Especial del Secretario General  sobre</w:t>
        <w:br/>
        <w:t>la cuestión de los defensores de los derechos  humanos,  E/CN.4/2001/94,  26</w:t>
        <w:br/>
        <w:t>de enero de 2001, párr. 89. g); Relator Especial sobre la  independencia  de</w:t>
        <w:br/>
        <w:t>los magistrados y abogados, Los derechos civiles y políticos, en  particular</w:t>
        <w:br/>
        <w:t>las cuestiones relacionadas con: la independencia  del  poder  judicial,  la</w:t>
        <w:br/>
        <w:t>administración   de   justicia,   la   impunidad,    Misión    en    Brasil,</w:t>
        <w:br/>
        <w:t>E/CN.4/2005/60/Add.3, 22 de febrero de 2005, párr. 28; Informe  del  Relator</w:t>
        <w:br/>
        <w:t>Especial sobre la cuestión de la tortura y otros  tratos  o  penas  crueles,</w:t>
        <w:br/>
        <w:t>inhumanos o degradantes, A/56/156, 3 de julio  de  2001,  párrs.  17  a  25;</w:t>
        <w:br/>
        <w:t>Informe  sobre  los  derechos  civiles  y  políticos,  en   particular   las</w:t>
        <w:br/>
        <w:t>cuestiones relacionadas con la tortura y la  detención,  E/CN.4/2002/76,  27</w:t>
        <w:br/>
        <w:t>de diciembre de 2001,  pág.  14;  Informe  del  Relator  Especial  sobre  la</w:t>
        <w:br/>
        <w:t>cuestión de  la  tortura  y  otros  tratos  o  penas  crueles,  inhumanos  o</w:t>
        <w:br/>
        <w:t>degradantes, E/CN.4/2004/56, 23 de diciembre de 2003, párr. 64; Informe  del</w:t>
        <w:br/>
        <w:t>Relator Especial sobre la venta de niños,  la  prostitución  infantil  y  la</w:t>
        <w:br/>
        <w:t>utilización de niños en la pornografía, E/CN.4/2004/9, 5 de enero  de  2004,</w:t>
        <w:br/>
        <w:t>párr. 118, y Grupo de Trabajo sobre la  Detención  Arbitraria,  Opinión  No.</w:t>
        <w:br/>
        <w:t>7/2002 (Egipto), E/CN.4/2003/8/Add.1, 24 de enero de 2003,  pág.  72,  párr.</w:t>
        <w:br/>
        <w:t>28.  En  el  marco  del   derecho   comparado   algunos   Estados   prohíben</w:t>
        <w:br/>
        <w:t>explícitamente   la   discriminación   por   orientación   sexual   en   sus</w:t>
        <w:br/>
        <w:t>Constituciones (por ejemplo Bolivia, Ecuador, Kosovo,  Portugal,  Sudáfrica,</w:t>
        <w:br/>
        <w:t>Suecia y Suiza, entre otros Estados) o a través de leyes, como  por  ejemplo</w:t>
        <w:br/>
        <w:t>en materia de derecho  familiar,  dirigidas  a  otorgarles  a  las  personas</w:t>
        <w:br/>
        <w:t>homosexuales los mismos derechos que  a  las  personas  heterosexuales.  Por</w:t>
        <w:br/>
        <w:t>ejemplo, en Argentina, a través de los artículos  2  y  4   de  la  Ley  No.</w:t>
        <w:br/>
        <w:t>26.618 del 21 de julio de 2010, se estableció  que:  “El  matrimonio  tendrá</w:t>
        <w:br/>
        <w:t>los mismos requisitos y efectos, con independencia de que  los  contrayentes</w:t>
        <w:br/>
        <w:t>sean del  mismo  o  de  diferente  sexo”  y  que  "en  casos  de  matrimonio</w:t>
        <w:br/>
        <w:t>constituidos por ambos cónyuges del mismo sexo, a falta de acuerdo, el  juez</w:t>
        <w:br/>
        <w:t>resolverá [sobre la tuición] teniendo  en  cuenta  el  interés  del  menor”.</w:t>
        <w:br/>
        <w:t>Uruguay aprobó la Ley No. 18.246 (Diario Oficial  No.  27402,  10  enero  de</w:t>
        <w:br/>
        <w:t>2008),  que  reconoce  las  uniones  civiles  ("uniones  concubinarias")  de</w:t>
        <w:br/>
        <w:t>parejas del mismo sexo.  En  2009,  mediante  la  Ley  No.  18.590,  (Diario</w:t>
        <w:br/>
        <w:t>Oficial No. 27837, 26 octubre 2009), se autorizó la  adopción  conjunta  por</w:t>
        <w:br/>
        <w:t>parte de parejas en unión civil.</w:t>
        <w:br/>
        <w:br/>
        <w:t>[114]       De acuerdo  a  diversas  fuentes  del  derecho  internacional  y</w:t>
        <w:br/>
        <w:t>comparado esta  discriminación  contra  la  comunidad  de  Lesbianas,  Gays,</w:t>
        <w:br/>
        <w:t>Transexuales,  Bisexuales  e  Intersexuales   (en   adelante   “LGTBI”)   es</w:t>
        <w:br/>
        <w:t>inaceptable porque: i) la orientación sexual constituye un aspecto  esencial</w:t>
        <w:br/>
        <w:t>en la  identidad  de  una  persona  (infra  párr.  139).  Asimismo:  ii)  la</w:t>
        <w:br/>
        <w:t>comunidad LGTBI ha sido discriminada históricamente y es  común  el  uso  de</w:t>
        <w:br/>
        <w:t>estereotipos en el trato hacia dicha comunidad.  Cfr.  Informe  del  Relator</w:t>
        <w:br/>
        <w:t>Especial sobre el derecho de toda persona al disfrute  del  más  alto  nivel</w:t>
        <w:br/>
        <w:t>posible de salud física y mental, E/CN.4/2004/49, 16  de  febrero  de  2004,</w:t>
        <w:br/>
        <w:t>párr. 33 (“la discriminación y la estigmatización siguen  representando  una</w:t>
        <w:br/>
        <w:t>grave amenaza contra la salud sexual y reproductiva de muchos  grupos,  como</w:t>
        <w:br/>
        <w:t>[…] las minorías sexuales”); Informe del Relator Especial sobre la  cuestión</w:t>
        <w:br/>
        <w:t>de la tortura y otros tratos  o  penas  crueles,  inhumanos  o  degradantes,</w:t>
        <w:br/>
        <w:t>E/CN.4/2004/56, 23  de  diciembre  de  2003,  párr.  64  (“Las  actitudes  y</w:t>
        <w:br/>
        <w:t>creencias derivadas de mitos y miedos relacionados  con  el  VIH/SIDA  y  la</w:t>
        <w:br/>
        <w:t>sexualidad contribuyen a la estigmatización y la discriminación  contra  las</w:t>
        <w:br/>
        <w:t>minorías sexuales. Además, la  percepción  de  que  los  miembros  de  estas</w:t>
        <w:br/>
        <w:t>minorías no respetan  las  barreras  sexuales  o  cuestionan  los  conceptos</w:t>
        <w:br/>
        <w:t>predominantes del papel  atribuido  a  cada  sexo  parece  contribuir  a  su</w:t>
        <w:br/>
        <w:t>vulnerabilidad a la tortura como manera de ‘castigar’ su  comportamiento  no</w:t>
        <w:br/>
        <w:t>aceptado”). Por otra parte:  iii)  constituyen  una  minoría  a  la  que  le</w:t>
        <w:br/>
        <w:t>resulta mucho más difícil remover las discriminaciones en  ámbitos  como  el</w:t>
        <w:br/>
        <w:t>legislativo, así como evitar repercusiones negativas  en  la  interpretación</w:t>
        <w:br/>
        <w:t>de normas por funcionarios de las ramas ejecutiva o  legislativa,  y  en  el</w:t>
        <w:br/>
        <w:t>acceso a la justicia. Cfr. Relator Especial sobre la  independencia  de  los</w:t>
        <w:br/>
        <w:t>magistrados y abogados, Los derechos civiles y políticos, en particular  las</w:t>
        <w:br/>
        <w:t>cuestiones  relacionadas  con:  la  independencia  del  poder  judicial,  la</w:t>
        <w:br/>
        <w:t>administración   de   justicia,   la   impunidad,    Misión    en    Brasil,</w:t>
        <w:br/>
        <w:t>E/CN.4/2005/60/Add.3,  22  de  febrero  de  2005,  párr.   28   (“Travestis,</w:t>
        <w:br/>
        <w:t>transexuales  y  homosexuales  son  también  con  frecuencia   víctimas   de</w:t>
        <w:br/>
        <w:t>episodios  de  violencia  y  discriminación.  Cuando  recurren  al   sistema</w:t>
        <w:br/>
        <w:t>judicial, se encuentran, a menudo, con los mismos prejuicios y  estereotipos</w:t>
        <w:br/>
        <w:t>de la sociedad reproducidos allí”),  y  Corte  Constitucional  de  Colombia,</w:t>
        <w:br/>
        <w:t>Sentencia C-481 de 9 de septiembre de 1998. Finalmente: iv)  la  orientación</w:t>
        <w:br/>
        <w:t>sexual no constituye un criterio racional para  la  distribución  o  reparto</w:t>
        <w:br/>
        <w:t>racional y equitativo de bienes, derechos  o  cargas  sociales.  Cfr.  Corte</w:t>
        <w:br/>
        <w:t>Constitucional de Colombia, Sentencia C-481 de  9  de  septiembre  de  1998,</w:t>
        <w:br/>
        <w:t>párr. 25. En esta sentencia,  respecto  al  derecho  de  los  profesores  de</w:t>
        <w:br/>
        <w:t>colegios públicos a no ser despedidos por su condición homosexual, la  Corte</w:t>
        <w:br/>
        <w:t>Constitucional colombiana señaló que separar a un  profesor  de  su  trabajo</w:t>
        <w:br/>
        <w:t>por esa razón se funda “en un prejuicio sin  asidero  empírico  alguno,  que</w:t>
        <w:br/>
        <w:t>denota la injusta estigmatización que ha afectado a esta población y que  se</w:t>
        <w:br/>
        <w:t>ha invocado para imponerle cargas o privarla de derechos, en  detrimento  de</w:t>
        <w:br/>
        <w:t>sus posibilidades de participación en ámbitos  tan  relevantes  de  la  vida</w:t>
        <w:br/>
        <w:t>social y económica” (párr. 29). Por su parte, la  sentencia  C-507  de  1999</w:t>
        <w:br/>
        <w:t>declaró inconstitucional una norma que establecía como  falta  disciplinaria</w:t>
        <w:br/>
        <w:t>el homosexualismo en las fuerzas militares. En la sentencia  C-373  de  2002</w:t>
        <w:br/>
        <w:t>la Corte Constitucional de Colombia declaró inconstitucional una  norma  que</w:t>
        <w:br/>
        <w:t>disponía como causal de inhabilidad para ejercer  el  cargo  de  notario  el</w:t>
        <w:br/>
        <w:t>haber sido sancionado disciplinariamente por la falta de “homosexualismo”.</w:t>
        <w:br/>
        <w:br/>
        <w:t>[115]       Cfr.  T.E.D.H.,  Caso  E.B,  supra  nota  99,  párrs.  88  y  89</w:t>
        <w:br/>
        <w:t>(“notwithstanding the precautions taken by the  Nancy  Administrative  Court</w:t>
        <w:br/>
        <w:t>of Appeal, and  subsequently  by  the  Conseil  d'Etat,  to  justify  taking</w:t>
        <w:br/>
        <w:t>account of the applicant's [‘]lifestyle[´], the  inescapable  conclusion  is</w:t>
        <w:br/>
        <w:t>that her sexual orientation was consistently at the centre of  deliberations</w:t>
        <w:br/>
        <w:t>in her regard and omnipresent at  every  stage  of  the  administrative  and</w:t>
        <w:br/>
        <w:t>judicial  proceedings.  The  Court  considers  that  the  reference  to  the</w:t>
        <w:br/>
        <w:t>applicant's homosexuality was, if  not  explicit,  at  least  implicit.  The</w:t>
        <w:br/>
        <w:t>influence of the applicant's avowed homosexuality on the assessment  of  her</w:t>
        <w:br/>
        <w:t>application has been established and, having regard to the foregoing, was  a</w:t>
        <w:br/>
        <w:t>decisive factor leading to the  decision  to  refuse  her  authorisation  to</w:t>
        <w:br/>
        <w:t>adopt”).</w:t>
        <w:br/>
        <w:br/>
        <w:t>[116]       Cfr. T.E.D.H., Caso Salgueiro da Silva  Mouta,  supra  nota  99,</w:t>
        <w:br/>
        <w:t>párrs. 28 y 31 y Caso E.B., supra nota 99, párr. 85.</w:t>
        <w:br/>
        <w:br/>
        <w:t>[117]       Demanda de tuición interpuesta ante  el  Juzgado  de  Letras  de</w:t>
        <w:br/>
        <w:t>Menores de Villarrica de 14 de enero de 2003  (expediente  de  anexos  a  la</w:t>
        <w:br/>
        <w:t>demanda, tomo V, anexo 1, folio 2500).</w:t>
        <w:br/>
        <w:br/>
        <w:t>[118]       Sentencia de la Corte Suprema de Justicia  de  Chile  de  31  de</w:t>
        <w:br/>
        <w:t>mayo de 2004 (expediente de anexos a la  demanda,  tomo  V,  folios  2669  a</w:t>
        <w:br/>
        <w:t>2677).</w:t>
        <w:br/>
        <w:br/>
        <w:t>[119]       El Juzgado señaló que “según lo  dispone  el  artículo  225  del</w:t>
        <w:br/>
        <w:t>Código Civil, si los padres viven separados, a  la  madre  toca  el  cuidado</w:t>
        <w:br/>
        <w:t>personal de los hijos, y en todo caso, cuando el interés del  hijo  lo  haga</w:t>
        <w:br/>
        <w:t>indispensable, sea por maltrato, descuido u otra causa calificada,  el  Juez</w:t>
        <w:br/>
        <w:t>podrá entregar el cuidado personal al otro de los padres”.  Agregó  que  “se</w:t>
        <w:br/>
        <w:t>impone al Juez la ingrata labor judicial  de  dirimir  cual  de  los  padres</w:t>
        <w:br/>
        <w:t>resulta más apto para hacer efectivo el Derecho de Tuición,  que  tiene  las</w:t>
        <w:br/>
        <w:t>menores [de edad], para lo cual debe recurrir a parámetros objetivos –  como</w:t>
        <w:br/>
        <w:t>es el mérito del proceso –  y  a  un  juicio  de  probabilidad,  resolviendo</w:t>
        <w:br/>
        <w:t>incidentalmente por la urgencia que el bienestar que las niñas amerita,  con</w:t>
        <w:br/>
        <w:t>cuál de los dos padres es conveniente que  permanezcan".  Resolución  de  la</w:t>
        <w:br/>
        <w:t>demanda de tuición provisoria por el Juzgado de Menores de Villarrica  de  2</w:t>
        <w:br/>
        <w:t>de mayo de 2003 (expediente de anexos a la demanda, tomo V,  folios  2559  a</w:t>
        <w:br/>
        <w:t>2567).</w:t>
        <w:br/>
        <w:br/>
        <w:t>[120]       Sentencia de la Corte Suprema de Justicia  de  Chile  de  31  de</w:t>
        <w:br/>
        <w:t>mayo de 2004 (expediente de anexos a la demanda, tomo V, folio 2670).</w:t>
        <w:br/>
        <w:br/>
        <w:t>[121]       Resolución de la demanda de tuición provisoria  por  el  Juzgado</w:t>
        <w:br/>
        <w:t>de Menores de Villarrica de 2 de mayo de 2003 (expediente  de  anexos  a  la</w:t>
        <w:br/>
        <w:t>demanda, tomo V, folio 2566).</w:t>
        <w:br/>
        <w:br/>
        <w:t>[122]       Cfr. Condición Jurídica y Derechos  Humanos  del  Niño.  Opinión</w:t>
        <w:br/>
        <w:t>Consultiva OC-17/02 de 28 de agosto de 2002. Serie A No. 17,  párr.  56.  En</w:t>
        <w:br/>
        <w:t>igual sentido, ver: Preámbulo de la Convención Americana.</w:t>
        <w:br/>
        <w:br/>
        <w:t>[123]       Opinión Consultiva OC-17/02, supra nota 122, párr. 60.</w:t>
        <w:br/>
        <w:br/>
        <w:br/>
        <w:br/>
        <w:t>[124]       Cfr., inter alia, en Australia: In the Marriage of C.  and  J.A.</w:t>
        <w:br/>
        <w:t>Doyle, (1992) 15 Fam. L.R. 274,  274,  277   (“el  estilo  de  vida  de  los</w:t>
        <w:br/>
        <w:t>progenitores  no  es  relevante  sin  considerar  sus  consecuencias  en  el</w:t>
        <w:br/>
        <w:t>bienestar del niño”); en las Filipinas:  Corte  Suprema  de  las  Filipinas,</w:t>
        <w:br/>
        <w:t>Joycelyn Pablo-Gualberto v. Crisanto Rafaelito Gualberto,  G.R.  No.  156254</w:t>
        <w:br/>
        <w:t>de 28 de junio de 2005, señalando que la preferencia sexual en sí  misma  no</w:t>
        <w:br/>
        <w:t>es muestra de la incompetencia parental de ejercer la  custodia  de  menores</w:t>
        <w:br/>
        <w:t>(“sexual preference or moral laxity alone does not  prove  parental  neglect</w:t>
        <w:br/>
        <w:t>or incompetence. [...] To deprive the wife  of  custody,  the  husband  must</w:t>
        <w:br/>
        <w:t>clearly establish that her moral lapses have had an adverse  effect  on  the</w:t>
        <w:br/>
        <w:t>welfare  of  the  child  or  have  distracted  the  offending  spouse   from</w:t>
        <w:br/>
        <w:t>exercising proper parental care”); en  Sudáfrica:  Corte  Constitucional  de</w:t>
        <w:br/>
        <w:t>Sudáfrica, Du  Toit  and  Another  v  Minister  of  Welfare  and  Population</w:t>
        <w:br/>
        <w:t>Development and Others (CCT40/01) [2002] ZACC 20; 2002 (10) BCLR 1006;  2003</w:t>
        <w:br/>
        <w:t>(2) SA 198 (CC) (10 September 2002), permitiendo la adopción de  menores  de</w:t>
        <w:br/>
        <w:t>edad por parejas del mismo sexo por considerar que no  afectará  el  interés</w:t>
        <w:br/>
        <w:t>superior del niño, y Corte Constitucional de  Sudáfrica,  J  and  Another  v</w:t>
        <w:br/>
        <w:t>Director General, Department of Home Affairs and  Others  (CCT46/02)  [2003]</w:t>
        <w:br/>
        <w:t>ZACC 3; 2003 (5) BCLR 463; 2003 (5) SA 621 (CC) (28 March 2003).</w:t>
        <w:br/>
        <w:br/>
        <w:t>[125]       En similar perspectiva,  en  un  caso  sobre  el  retiro  de  la</w:t>
        <w:br/>
        <w:t>custodia de una menor de edad por las creencias religiosas de la  madre,  el</w:t>
        <w:br/>
        <w:t>Tribunal Europeo de Derechos Humanos criticó la falta de prueba  concreta  y</w:t>
        <w:br/>
        <w:t>directa que demostrara el impacto que las creencias religiosas tenían en  la</w:t>
        <w:br/>
        <w:t>crianza y en la vida diaria de los  niños,  por  lo  que  consideró  que  el</w:t>
        <w:br/>
        <w:t>tribunal interno  había  fallado  en  abstracto  y  bajo  el  fundamento  de</w:t>
        <w:br/>
        <w:t>consideraciones generales sin establecer una relación entre las  condiciones</w:t>
        <w:br/>
        <w:t>de vida de los niños y de la madre. Cfr. T.E.D.H., Caso  Palau-Martínez  Vs.</w:t>
        <w:br/>
        <w:t>Francia, (No. 64927/01), Sentencia de 16 de diciembre de 2003. Final, 16  de</w:t>
        <w:br/>
        <w:t>marzo de 2004, párrs. 42 y 43.</w:t>
        <w:br/>
        <w:br/>
        <w:t>[126]       Al respecto, la perita Jernow manifestó  que  “el  análisis  del</w:t>
        <w:br/>
        <w:t>interés  superior  del  niño  […]  no  puede  basarse  en   presunciones   o</w:t>
        <w:br/>
        <w:t>estereotipos infundados sobre la capacidad parental” (expediente  de  fondo,</w:t>
        <w:br/>
        <w:t>tomo XI, folios 5069). Asimismo,  el  perito  Wintemute  manifestó  que  “la</w:t>
        <w:br/>
        <w:t>discriminación basada en la raza, la religión,  el  sexo  o  la  orientación</w:t>
        <w:br/>
        <w:t>sexual del padre o la madre de un niño nunca es en el interés  superior  del</w:t>
        <w:br/>
        <w:t>niño. Lo que respeta el  interés  superior  del  niño  es  una  decisión  de</w:t>
        <w:br/>
        <w:t>custodia que tenga en cuenta las cualidades de los dos padres, sin  examinar</w:t>
        <w:br/>
        <w:t>consideraciones que son irrelevantes, y que muchas  veces  están  ligadas  a</w:t>
        <w:br/>
        <w:t>prejuicios sociales. […] Una decisión  de  custodia  no  discriminatoria  no</w:t>
        <w:br/>
        <w:t>debería referirse a la orientación sexual del padre o de la  madre.  Debería</w:t>
        <w:br/>
        <w:t>enfocarse solamente en las capacidades parentales del padre o de  la  madre,</w:t>
        <w:br/>
        <w:t>el tipo de hogar que pueden brindar, etc. No debería haber la  necesidad  de</w:t>
        <w:br/>
        <w:t>si quiera mencionar la orientación sexual” (expediente de  fondo,  tomo  XI,</w:t>
        <w:br/>
        <w:t>folios 5355 y 5358). En similar sentido,  el  perito  García  Méndez  en  la</w:t>
        <w:br/>
        <w:t>audiencia pública resaltó que “la conducta  sexual  que  los  tribunales  en</w:t>
        <w:br/>
        <w:t>general han tenido en cuenta en casos  de  esta  naturaleza,  son  conductas</w:t>
        <w:br/>
        <w:t>sexuales que se refieren a la promiscuidad, […]  sin  ningún  otro  tipo  de</w:t>
        <w:br/>
        <w:t>consideración”.</w:t>
        <w:br/>
        <w:br/>
        <w:t>[127]       Sobre el concepto de estereotipos, mutatis  mutandi,  cfr.  Caso</w:t>
        <w:br/>
        <w:t>González y otras (“Campo  Algodonero”)  Vs.  México.  Excepción  Preliminar,</w:t>
        <w:br/>
        <w:t>Fondo, Reparaciones y Costas. Sentencia de 16 de noviembre de 2009. Serie  C</w:t>
        <w:br/>
        <w:t>No. 205, párr. 401.</w:t>
        <w:br/>
        <w:br/>
        <w:t>[128]       Sentencia de la Corte Suprema de Justicia  de  Chile  de  31  de</w:t>
        <w:br/>
        <w:t>mayo de 2004 (expediente de anexos a la demanda, tomo V, folio 2672).</w:t>
        <w:br/>
        <w:br/>
        <w:t>[129]       Sentencia de la Corte Suprema de Justicia  de  Chile  de  31  de</w:t>
        <w:br/>
        <w:t>mayo de 2004 (expediente de anexos a la demanda, tomo V, folio 2672).</w:t>
        <w:br/>
        <w:br/>
        <w:t>[130]       Sentencia de la Corte Suprema de Justicia  de  Chile  de  31  de</w:t>
        <w:br/>
        <w:t>mayo de 2004 (expediente de anexos a la demanda, tomo V, folio 2672).</w:t>
        <w:br/>
        <w:br/>
        <w:t>[131]       Sentencia de la Corte Suprema de Justicia  de  Chile  de  31  de</w:t>
        <w:br/>
        <w:t>mayo de 2004 (expediente de anexos a la demanda, tomo V, folio 2672).</w:t>
        <w:br/>
        <w:br/>
        <w:t>[132]        La  Corte  Suprema  consideró  que  las  condiciones  descritas</w:t>
        <w:br/>
        <w:t>constituyen “causa calificada”  de  conformidad  con  el  artículo  225  del</w:t>
        <w:br/>
        <w:t>Código Civil, para justificar la entrega de la tuición al  padre,  dado  que</w:t>
        <w:br/>
        <w:t>la situación actual configuraba “un cuadro que irroga el  riesgo  de  daños,</w:t>
        <w:br/>
        <w:t>los que podrían tornarse irreversibles, para los intereses de  las  menores,</w:t>
        <w:br/>
        <w:t>cuya protección debe preferir a toda otra consideración”.  Sentencia  de  la</w:t>
        <w:br/>
        <w:t>Corte Suprema de Justicia de Chile de 31 de  mayo  de  2004  (expediente  de</w:t>
        <w:br/>
        <w:t>anexos a la demanda, tomo V, folios 2672 y 2673).</w:t>
        <w:br/>
        <w:br/>
        <w:t>[133]       Testimonio de 10 de abril de 2003 (expediente  de  anexos  a  la</w:t>
        <w:br/>
        <w:t>demanda, tomo I, folio 360).</w:t>
        <w:br/>
        <w:br/>
        <w:t>[134]       Testimonio de 3 de abril de 2003  (expediente  de  anexos  a  la</w:t>
        <w:br/>
        <w:t>demanda, tomo I, folio 327).</w:t>
        <w:br/>
        <w:br/>
        <w:t>[135]       Testimonio de 3 de abril de 2003  (expediente  de  anexos  a  la</w:t>
        <w:br/>
        <w:t>demanda, tomo I, folio 328).</w:t>
        <w:br/>
        <w:br/>
        <w:t>[136]       Testimonio de 3 de abril de 2003  (expediente  de  anexos  a  la</w:t>
        <w:br/>
        <w:t>demanda, tomo I, folio 329).</w:t>
        <w:br/>
        <w:br/>
        <w:t>[137]       Testimonio de la  asistente  social  de  14  de  abril  de  2003</w:t>
        <w:br/>
        <w:t>(expediente de anexos a la demanda, tomo I, folio 390).</w:t>
        <w:br/>
        <w:br/>
        <w:t>[138]       Declaraciones juradas de mayo de 2003 (expediente  de  anexos  a</w:t>
        <w:br/>
        <w:t>la demanda, tomo I, folios 458 a 465).</w:t>
        <w:br/>
        <w:br/>
        <w:t>[139]       Sentencia de la Corte Suprema de Justicia  de  Chile  de  31  de</w:t>
        <w:br/>
        <w:t>mayo de 2004 (expediente de anexos a la demanda, tomo V, folio 2672).</w:t>
        <w:br/>
        <w:br/>
        <w:t>[140]       Cfr. Corte Suprema de Justicia de  Estados  Unidos  de  América,</w:t>
        <w:br/>
        <w:t>Palmore v. Sidoti, 466 US 429, 433  (25  de  abril  de  1984),  anulando  la</w:t>
        <w:br/>
        <w:t>decisión de un tribunal de otorgarle la custodia de  un  menor  de  edad  al</w:t>
        <w:br/>
        <w:t>padre por considerar que la nueva relación de la madre con su  nueva  pareja</w:t>
        <w:br/>
        <w:t>de otra raza implicaría un sufrimiento para el niño por  la  estigmatización</w:t>
        <w:br/>
        <w:t>social de la relación de la madre. (“La cuestión,  sin  embargo,  es  si  la</w:t>
        <w:br/>
        <w:t>existencia de prejuicios  privados  y  la  posible  vulneración  que  pueden</w:t>
        <w:br/>
        <w:t>causar, son consideraciones admisibles para el  retiro  de  un  niño  de  la</w:t>
        <w:br/>
        <w:t>custodia de la madre natural. Tenemos pocas dificultades para  concluir  que</w:t>
        <w:br/>
        <w:t>no los son. La Constitución no puede  controlar  esos  prejuicios  [,]  pero</w:t>
        <w:br/>
        <w:t>tampoco los pueden  tolerar. Las  parcialidades  particulares  pueden  estar</w:t>
        <w:br/>
        <w:t>fuera  del  alcance  de  la  ley,  pero  la  ley   no   puede,   directa   o</w:t>
        <w:br/>
        <w:t>indirectamente, permitir su aplicación”).</w:t>
        <w:br/>
        <w:br/>
        <w:t>[141]        En  este  sentido,  en  un  caso   sobre   discriminación   por</w:t>
        <w:br/>
        <w:t>orientación religiosa en el contexto  de  una  decisión  judicial  sobre  la</w:t>
        <w:br/>
        <w:t>custodia de menores  de  edad,  el  Tribunal  Europeo  de  Derechos  Humanos</w:t>
        <w:br/>
        <w:t>rechazó el argumento de un tribunal  nacional,  según  el  cual  el  interés</w:t>
        <w:br/>
        <w:t>superior de dos menores de edad podría verse afectado por el riesgo  de  una</w:t>
        <w:br/>
        <w:t>estigmatización social por las  creencias  de  la  madre,  perteneciente  al</w:t>
        <w:br/>
        <w:t>grupo religioso de los Testigos de Jehova. Cfr. T.E.D.H., Caso Hoffmann  Vs.</w:t>
        <w:br/>
        <w:t>Austria, (No. 12875/87), Sentencia de 23 de junio de 1993, párrs. 15 y 33  a</w:t>
        <w:br/>
        <w:t>36.</w:t>
        <w:br/>
        <w:br/>
        <w:t>[142]       Sentencia de la Corte Suprema de Justicia  de  Chile  de  31  de</w:t>
        <w:br/>
        <w:t>mayo de 2004 (expediente de anexos a la demanda, tomo V, folio 2672).</w:t>
        <w:br/>
        <w:br/>
        <w:t>[143]       Cfr. T.E.D.H., Karner Vs. Austria, (No. 40016/98), Sentencia  de</w:t>
        <w:br/>
        <w:t>24 de julio de 2003. Final, 24 de octubre de 2003, párr. 37  (“very  weighty</w:t>
        <w:br/>
        <w:t>reasons would have to be  put  forward  before  the  Court  could  regard  a</w:t>
        <w:br/>
        <w:t>difference  in  treatment  based  exclusively  on  the  ground  of  sex   as</w:t>
        <w:br/>
        <w:t>compatible with the Convention”), y T.E.D.H., Caso Kozak,  supra  nota  100,</w:t>
        <w:br/>
        <w:t>párr. 92.</w:t>
        <w:br/>
        <w:br/>
        <w:t>[144]       Cfr. T.E.D.H, Caso E.B, supra  nota  99,  párr.  74  (The  Court</w:t>
        <w:br/>
        <w:t>observes, moreover, that the Government, on whom the  burden  of  proof  lay</w:t>
        <w:br/>
        <w:t>[…], were unable to produce statistical  information  on  the  frequency  of</w:t>
        <w:br/>
        <w:t>reliance on that ground according to  the  –  declared  or  known  –  sexual</w:t>
        <w:br/>
        <w:t>orientation of the persons applying for adoption, which alone could  provide</w:t>
        <w:br/>
        <w:t>an accurate picture of administrative practice and establish the absence  of</w:t>
        <w:br/>
        <w:t>discrimination  when  relying  on  that  ground);  Caso  D.H.  y  otros  Vs.</w:t>
        <w:br/>
        <w:t>República Checa, (No. 57325/00), Sentencia  de  13  de  noviembre  de  2007,</w:t>
        <w:br/>
        <w:t>párr. 177 (As to  the  burden  of  proof  in  this  sphere,  the  Court  has</w:t>
        <w:br/>
        <w:t>established that once the applicant has shown a difference in treatment,  it</w:t>
        <w:br/>
        <w:t>is for the Government to show that it was justified);  Caso  Orsus  y  otros</w:t>
        <w:br/>
        <w:t>Vs. Croacia, (No. 15766/03), Sentencia de 16 de marzo  de  2010,  párr.  150</w:t>
        <w:br/>
        <w:t>(discrimination potentially contrary to the Convention may result from a  de</w:t>
        <w:br/>
        <w:t>facto situation. Where an applicant produces prima facie evidence  that  the</w:t>
        <w:br/>
        <w:t>effect of a measure or practice is discriminatory, the burden of proof  will</w:t>
        <w:br/>
        <w:t>shift on to the respondent  State,  to  whom  it  falls  to  show  that  the</w:t>
        <w:br/>
        <w:t>difference in treatment is not discriminatory); Caso Andrejeva Vs.  Letonia,</w:t>
        <w:br/>
        <w:t>(No. 55707/00), Sentencia de 18 de febrero de 2009, párr. 84 (Lastly, as  to</w:t>
        <w:br/>
        <w:t>the burden of proof in relation to Article 14 of the Convention,  the  Court</w:t>
        <w:br/>
        <w:t>has held that once the applicant has shown a difference in treatment, it  is</w:t>
        <w:br/>
        <w:t>for the Government to show that it was justified);  Caso  Serife  Yigit  Vs.</w:t>
        <w:br/>
        <w:t>Turquía, (No. 3976/05), Sentencia de 2 de noviembre de 2010,  párr.  71  (As</w:t>
        <w:br/>
        <w:t>to the burden of proof in this sphere, the Court has established  that  once</w:t>
        <w:br/>
        <w:t>the applicant has shown a difference in treatment, it is for the  Government</w:t>
        <w:br/>
        <w:t>to show that  it  was  justified),  y  Caso  Muñoz  Díaz  Vs.  España,  (No.</w:t>
        <w:br/>
        <w:t>49151/07), Sentencia de 8 de marzo de 2010, párr. 50.</w:t>
        <w:br/>
        <w:t>[145] Cfr. Suprema Corte de Justicia de  la  Nación  de  México,  Acción  de</w:t>
        <w:br/>
        <w:t>inconstitucionalidad A.I. 2/2010, 16 de agosto de 2010, párr. 336.</w:t>
        <w:br/>
        <w:br/>
        <w:t>[146]       Suprema Corte de Justicia de la  Nación  de  México,  Acción  de</w:t>
        <w:br/>
        <w:t>inconstitucionalidad A.I. 2/2010, 16 de agosto de 2010, párr. 338.</w:t>
        <w:br/>
        <w:br/>
        <w:t>[147] Cfr. T.E.D.H., Caso M. y C. Vs. Rumania, (No. 29032/04), Sentencia  de</w:t>
        <w:br/>
        <w:t xml:space="preserve"> 27 de septiembre de 2011. Final, 27 de diciembre  de  2011,  párr.  147,  y</w:t>
        <w:br/>
        <w:t>Caso Palau-Martinez, supra nota 125, donde el  Tribunal  Europeo  estableció</w:t>
        <w:br/>
        <w:t>que una decisión judicial sobre la entrega de  la  custodia  de  menores  de</w:t>
        <w:br/>
        <w:t>edad a una institución estatal no debe tener  en  cuenta  en  abstracto  los</w:t>
        <w:br/>
        <w:t>posibles efectos de una determinada condición de los padres en el  bienestar</w:t>
        <w:br/>
        <w:t>del menor de edad, cuando dicha  condición  se  encuentra  protegida  contra</w:t>
        <w:br/>
        <w:t>tratos discriminatorios.</w:t>
        <w:br/>
        <w:br/>
        <w:t>[148]       Cfr. declaración rendida por el perito  Rodrigo  Uprimny  en  la</w:t>
        <w:br/>
        <w:t>audiencia pública realizada el 23 de agosto de 2011, haciendo referencia  a:</w:t>
        <w:br/>
        <w:t>American Psychology Association, Policy  Statement  on  Sexual  Orientation,</w:t>
        <w:br/>
        <w:t>Parents, &amp; Children, Adopted by the APA Council of Representatives  July  28</w:t>
        <w:br/>
        <w:t>/ 30, 2004. (“No existen pruebas científicas de que la efectividad  parental</w:t>
        <w:br/>
        <w:t>esté relacionada con la orientación sexual de los progenitores:  las  madres</w:t>
        <w:br/>
        <w:t>y los padres homosexuales son tan propensos como las  madres  y  los  padres</w:t>
        <w:br/>
        <w:t>heterosexuales a proporcionar un entorno sano y propicio para sus  hijos  [y</w:t>
        <w:br/>
        <w:t>…] la ciencia ha demostrado que la adaptación, el desarrollo y el  bienestar</w:t>
        <w:br/>
        <w:t>psicológico de los niños no están relacionados con la orientación sexual  de</w:t>
        <w:br/>
        <w:t>los progenitores, y que los hijos de padres homosexuales tienen  las  mismas</w:t>
        <w:br/>
        <w:t>probabilidades de desarrollarse que  los  de  los  padres  heterosexuales”).</w:t>
        <w:br/>
        <w:t>Disponible                                                               en:</w:t>
        <w:br/>
        <w:t>http://www.apa.org/about/governance/council/policy/parenting.aspx    (última</w:t>
        <w:br/>
        <w:t>visita el 19 de febrero de 2012). Asimismo, ver declaración escrita  rendida</w:t>
        <w:br/>
        <w:t>por la perita Allison Jernow el 16 de septiembre de  2011,  mencionando  los</w:t>
        <w:br/>
        <w:t>siguientes estudios: R. McNair, D. Dempsey, S.  Wise,  A.  Perlesz,  Lesbian</w:t>
        <w:br/>
        <w:t>Parenting: Issues Strengths and Challenges,  en:  Family  Matters  Vol.  63,</w:t>
        <w:br/>
        <w:t>2002, Pág. 40; A. Brewaeys, I. Ponjaert, E.V. Van Hall, S.  Golombok,  Donor</w:t>
        <w:br/>
        <w:t>insemination: child development and family  functioning  in  lesbian  mother</w:t>
        <w:br/>
        <w:t>families, en: Human Reproduction Vol. 12, 1997,  Pág.  1349  y  1350;  Fiona</w:t>
        <w:br/>
        <w:t>Tasker, Susan Golombok, Adults  Raised  as  Children  in  Lesbian  Families,</w:t>
        <w:br/>
        <w:t>American Journal Orthopsychiatry Vol. 65, 1995, Pág.  203;  K.  Vanfraussen,</w:t>
        <w:br/>
        <w:t>I.  Ponjaert-Kristofferson,  A.  Breways,  Familiy  Functioning  in  Lesbian</w:t>
        <w:br/>
        <w:t>Families  Created  by  Donor   Insemination,   en:   American   Journal   of</w:t>
        <w:br/>
        <w:t>Orthopsychiatry Vol. 73, 2003, Pág. 78; Marina Rupp, The  living  conditions</w:t>
        <w:br/>
        <w:t>of children in same-sex civil partnerships, Ministerio Federal  de  Justicia</w:t>
        <w:br/>
        <w:t>de Alemania, 2009, Pág. 27; Henry M.W. Bos, Frank van Balen, Dymphna C.  van</w:t>
        <w:br/>
        <w:t>den Boom, Experience of parenthood,  couple  relationship,  social  support,</w:t>
        <w:br/>
        <w:t>and child-rearing goals in planned lesbian mother families, en:  Journal  of</w:t>
        <w:br/>
        <w:t>Child Psychology and Psychiatry Vol. 45, 2004,  Pág.  755;  Rafael  Portugal</w:t>
        <w:br/>
        <w:t>Fernandez, Alberto Arauxo Vilar, Aportaciones desde la  salud  mental  a  la</w:t>
        <w:br/>
        <w:t>teoría de la adopción en parejas homosexuales, en: Avances en  salud  mental</w:t>
        <w:br/>
        <w:t>relacional Vol.  3,  2004.  En  este  estudio  se  indica  que  “tampoco  se</w:t>
        <w:br/>
        <w:t>encuentran diferencias significativas entre  homosexuales  y  heterosexuales</w:t>
        <w:br/>
        <w:t>en cuanto a la calidad con que ejercen su función como  padres”  y  que  “la</w:t>
        <w:br/>
        <w:t>investigación realizada hasta el momento señala de  manera  unánime  que  no</w:t>
        <w:br/>
        <w:t>hay diferencias significativas entre los hijos criados  por  homosexuales  y</w:t>
        <w:br/>
        <w:t>los hijos criados  por  heterosexuales  en  identidad  sexual,  tipificación</w:t>
        <w:br/>
        <w:t>sexual, orientación sexual, relaciones sexuales con  compañeros  y  adultos,</w:t>
        <w:br/>
        <w:t>relaciones de amistad,  popularidad”;  Stéphane  Nadaud,  «Quelques  repères</w:t>
        <w:br/>
        <w:t>pour comprendre la question homoparentale», en: M. Gross,  Homoparentalités,</w:t>
        <w:br/>
        <w:t>état des lieux, Ed. érès «La vie  de  l’enfant»,  Toulouse,  2005,  y  Fiona</w:t>
        <w:br/>
        <w:t>Tasker, Susan Golombok, Adults Raised as Children in Lesbian  Families,  en:</w:t>
        <w:br/>
        <w:t>American Journal Orthopsychiatry Vol. 65, 1995, Pág. 203.  Cfr.  declaración</w:t>
        <w:br/>
        <w:t>escrita rendida por la perita Allison Jernow de 16  de  septiembre  de  2011</w:t>
        <w:br/>
        <w:t>(expediente de fondo, tomo XI, folio 5079 y 5080).</w:t>
        <w:br/>
        <w:br/>
        <w:t>[149] Cfr. declaración escrita rendida por la perita Allison  Jernow  el  16</w:t>
        <w:br/>
        <w:t>de septiembre de 2011, mencionando los casos  Re  K  and  B  and  Six  Other</w:t>
        <w:br/>
        <w:t>Applications, Ontario Supreme Court, 24 de mayo de 1995, párr. 89; Boots  v.</w:t>
        <w:br/>
        <w:t>Sharrow, Ontario Supreme Court of Justice, 2004 Can LII 5031, 7 de enero  de</w:t>
        <w:br/>
        <w:t>2004; Bubis v. Jones, Ontario Supreme Court,  2000  Can  LII  22571,  10  de</w:t>
        <w:br/>
        <w:t>abril de 2000, Tribunal Superior de Justicia  (Brasil),  Ministerio  Público</w:t>
        <w:br/>
        <w:t>del Estado de Rio Grande do Sul v. LMGB,  27  de  abril  de  2010,  y  Corte</w:t>
        <w:br/>
        <w:t>Distrital de Porto Alegre (Brasil), Adopción  de  VLN,  No.  1605872,  3  de</w:t>
        <w:br/>
        <w:t>julio de 2006. Cfr.  declaración  escrita  rendida  por  la  perita  Allison</w:t>
        <w:br/>
        <w:t>Jernow de 16 de septiembre de 2011 (expediente  de  fondo,  tomo  XI,  folio</w:t>
        <w:br/>
        <w:t>5082 y 5083).</w:t>
        <w:br/>
        <w:br/>
        <w:t>[150] Cfr. declaración escrita rendida por la perita Allison  Jernow  el  16</w:t>
        <w:br/>
        <w:t>de septiembre de 2011 en la cual se cita: Brief of Amici  Curiae  presentado</w:t>
        <w:br/>
        <w:t>por American Psychological Association, Arkansas Psychological  Association,</w:t>
        <w:br/>
        <w:t>National Association of Social Workers and National  Association  of  Social</w:t>
        <w:br/>
        <w:t>Workers, Arkansas Chapter,  in  Department  of  Human  Services  v.  Matthew</w:t>
        <w:br/>
        <w:t>Howard, Supreme Court of Arkansas (December 2005) at  10-11  (“The  APA  has</w:t>
        <w:br/>
        <w:t>described the studies  as  'impressively  consistent  in  their  failure  to</w:t>
        <w:br/>
        <w:t>identity any deficits in the development of children raised in a lesbian  or</w:t>
        <w:br/>
        <w:t>gay household […] the abilities of gay and lesbian persons  as  parents  and</w:t>
        <w:br/>
        <w:t>the positive outcome  for  their  children  are  not  areas  where  credible</w:t>
        <w:br/>
        <w:t>scientific researchers disagree'”). Cfr. declaración escrita rendida por  la</w:t>
        <w:br/>
        <w:t>perita Allison Jernow de 16 de septiembre  de  2011  (expediente  de  fondo,</w:t>
        <w:br/>
        <w:t>tomo XI, folio 5081).</w:t>
        <w:br/>
        <w:br/>
        <w:t>[151] Cfr. declaración escrita rendida por la perita Allison  Jernow  el  16</w:t>
        <w:br/>
        <w:t>de septiembre de 2011 (“Where speculation about potential future harm  to  a</w:t>
        <w:br/>
        <w:t>child´s development is soundly  refuted  by  all  available  social  science</w:t>
        <w:br/>
        <w:t>research, such speculation cannot possibly establish the  evidentiary  basis</w:t>
        <w:br/>
        <w:t>for a custody determination”). Cfr. Cfr. declaración escrita rendida por  la</w:t>
        <w:br/>
        <w:t>perita Allison Jernow de 16 de septiembre  de  2011  (expediente  de  fondo,</w:t>
        <w:br/>
        <w:t>tomo XI, folio 5083).</w:t>
        <w:br/>
        <w:br/>
        <w:t>[152] La Corte Suprema hizo referencia a los testimonios  de  las  empleadas</w:t>
        <w:br/>
        <w:t>domésticas sobre la  supuesta  confusión  de  roles  experimentada  por  las</w:t>
        <w:br/>
        <w:t>niñas. Cfr. Sentencia de la Corte Suprema de Justicia  de  Chile  de  31  de</w:t>
        <w:br/>
        <w:t>mayo de 2004, considerado décimo quinto (expediente de anexos a la  demanda,</w:t>
        <w:br/>
        <w:t>tomo V, folio 2672).</w:t>
        <w:br/>
        <w:br/>
        <w:t>[153] Sentencia de la Corte Suprema de Justicia de Chile de 31  de  mayo  de</w:t>
        <w:br/>
        <w:t>2004 (expediente de anexos a la demanda, tomo V, folio 2672).</w:t>
        <w:br/>
        <w:br/>
        <w:t>[154]       Sentencia de la Corte Suprema de Justicia  de  Chile  de  31  de</w:t>
        <w:br/>
        <w:t>mayo de 2004 (expediente de anexos a la demanda, tomo V, folio 2672).</w:t>
        <w:br/>
        <w:br/>
        <w:t>[155]       Resolución de la demanda de tuición provisoria  por  el  Juzgado</w:t>
        <w:br/>
        <w:t>de Menores de Villarrica de 2 de mayo de 2003 (expediente  de  anexos  a  la</w:t>
        <w:br/>
        <w:t>demanda, tomo V, folio 2567).</w:t>
        <w:br/>
        <w:br/>
        <w:t>[156]       Cfr. T.E.D.H., Caso Laskey, Jaggard y  Brown  Vs.  Reino  Unido,</w:t>
        <w:br/>
        <w:t>(No. 21627/93; 21826/93; 21974/93), Sentencia de  19  de  febrero  de  1997,</w:t>
        <w:br/>
        <w:t>párr. 36 (“There can be  no  doubt  that  sexual  orientation  and  activity</w:t>
        <w:br/>
        <w:t>concern an intimate aspect of private life”). Ver también Caso  Dudgeon  Vs.</w:t>
        <w:br/>
        <w:t>Reino Unido, (No. 7525/76), Sentencia de 22 de octubre de 1981, párr. 52,  y</w:t>
        <w:br/>
        <w:t>Caso A.D.T. Vs. Reino Unido, (No. 35765/97), Sentencia de  31  de  Julio  de</w:t>
        <w:br/>
        <w:t>2000. Final, 31 de octubre de 2000, párr. 23 (“the Court  recalls  that  the</w:t>
        <w:br/>
        <w:t>mere  existence  of  legislation  prohibiting  male  homosexual  conduct  in</w:t>
        <w:br/>
        <w:t>private may continuously and directly affect a person's private life”).</w:t>
        <w:br/>
        <w:br/>
        <w:t>[157]       Cfr. declaración escrita rendida por el perito Robert  Wintemute</w:t>
        <w:br/>
        <w:t>el 16 de septiembre de 2011 (expediente de fondo,  tomo  XI,  folios  5360).</w:t>
        <w:br/>
        <w:t>Asimismo, señaló que la Corte Suprema de Canadá en el Caso  Egan  v.  Canadá</w:t>
        <w:br/>
        <w:t>estableció que “[la] orientación sexual es más que simplemente un  ‘estatus’</w:t>
        <w:br/>
        <w:t>que un individuo posee: es algo que es demostrado por medio de  la  conducta</w:t>
        <w:br/>
        <w:t>de un individuo por la elección de una  pareja.  Justamente  como  la  Carta</w:t>
        <w:br/>
        <w:t>[Canadiense de Derechos y Libertades] protege las creencias religiosas y  la</w:t>
        <w:br/>
        <w:t>práctica religiosa como aspectos de la libertad  de  religión,  así  también</w:t>
        <w:br/>
        <w:t>debería reconocerse que la orientación sexual abarca aspectos  de  ´estatus’</w:t>
        <w:br/>
        <w:t>y ´conducta’ y que ambos  deberían  recibir  protección”.  Egan  v.  Canada,</w:t>
        <w:br/>
        <w:t>[1995] 2 SCR, 513, 518 (expediente de fondo, tomo XI, folios 5360).</w:t>
        <w:br/>
        <w:br/>
        <w:t>[158]       Cfr. T.E.D.H.,  Caso  Pretty  Vs.  Reino  Unido  (No.  2346/02),</w:t>
        <w:br/>
        <w:t>Sentencia de 29 de abril de 2002. Final, 29  de  julio  de  2002,  párr.  61</w:t>
        <w:br/>
        <w:t>(“the concept of [‘]private life[’] is  a  broad  term  not  susceptible  to</w:t>
        <w:br/>
        <w:t>exhaustive definition. It covers the physical  and  psychological  integrity</w:t>
        <w:br/>
        <w:t>of a person […].  It  can  sometimes  embrace  aspects  of  an  individual's</w:t>
        <w:br/>
        <w:t>physical and social identity […]. Elements  such  as,  for  example,  gender</w:t>
        <w:br/>
        <w:t>identification, name and sexual orientation and sexual life fall within  the</w:t>
        <w:br/>
        <w:t>personal sphere protected by Article 8 […]. Article 8 also protects a  right</w:t>
        <w:br/>
        <w:t>to  personal  development,  and  the  right   to   establish   and   develop</w:t>
        <w:br/>
        <w:t>relationships with other human beings and the outside  world  […].  Although</w:t>
        <w:br/>
        <w:t>no previous case has established as such any right to self-determination  as</w:t>
        <w:br/>
        <w:t>being contained in Article 8 of the Convention,  the  Court  considers  that</w:t>
        <w:br/>
        <w:t>the notion of personal autonomy is an  important  principle  underlying  the</w:t>
        <w:br/>
        <w:t>interpretation of its guarantees”); Caso Schalk y  Kopf  Vs.  Austria,  (No.</w:t>
        <w:br/>
        <w:t>30141/04), Sentencia de  24 de junio de  2010,  22  de  noviembre  de  2010,</w:t>
        <w:br/>
        <w:t>párr. 90 (“It is undisputed […] that the relationship of a  same-sex  couple</w:t>
        <w:br/>
        <w:t>like the applicants' falls within the notion of  [‘]private  life[’]  within</w:t>
        <w:br/>
        <w:t>the meaning of Article 8”); Caso Dudgeon, supra nota  156,  párr.  41  (“the</w:t>
        <w:br/>
        <w:t>maintenance in force of the impugned legislation  constitutes  a  continuing</w:t>
        <w:br/>
        <w:t>interference with the applicant’s right to  respect  for  his  private  life</w:t>
        <w:br/>
        <w:t>(which includes his sexual life) within the meaning of Article 8  par.  1”);</w:t>
        <w:br/>
        <w:t>Caso Burghartz Vs. Suiza, (No. 16213/90), Sentencia  de  22  de  febrero  de</w:t>
        <w:br/>
        <w:t>1994, párr. 24, y Caso Laskey, Jaggard y Brown, supra nota 156, párr. 36.</w:t>
        <w:br/>
        <w:br/>
        <w:t>[159]       Cfr. T.E.D.H.,  Caso  Peck  Vs.  Reino  Unido,  (No.  44647/98),</w:t>
        <w:br/>
        <w:t>Sentencia de 28 de enero de 2003. Final, 28  de  abril  de  2003,  párr.  57</w:t>
        <w:br/>
        <w:t>(“Private life is a broad term not  susceptible  to  exhaustive  definition.</w:t>
        <w:br/>
        <w:t>The Court has already held that  elements  such  as  gender  identification,</w:t>
        <w:br/>
        <w:t>name, sexual orientation and sexual  life  are  important  elements  of  the</w:t>
        <w:br/>
        <w:t>personal sphere protected by Article 8. That Article also protects  a  right</w:t>
        <w:br/>
        <w:t>to identity and  personal  development,  and  the  right  to  establish  and</w:t>
        <w:br/>
        <w:t>develop relationships with other human beings and the outside world  and  it</w:t>
        <w:br/>
        <w:t>may include activities of a  professional  or  business  nature.  There  is,</w:t>
        <w:br/>
        <w:t>therefore, a zone of interaction of a person with others, even in  a  public</w:t>
        <w:br/>
        <w:t>context, which may fall within the scope of  [‘]private  life[’]”),  citando</w:t>
        <w:br/>
        <w:t>T.E.D.H., Caso P.G. y J.H. Vs. Reino Unido (No. 44787/98), Sentencia  de  25</w:t>
        <w:br/>
        <w:t>de septiembre de 2001. Final  25  de  diciembre  de  2001,  párr.  56.  Cfr.</w:t>
        <w:br/>
        <w:t>T.E.D.H., Caso Niemietz Vs. Alemania, (No. 13710/88),  Sentencia  de  16  de</w:t>
        <w:br/>
        <w:t>diciembre de 1992, párr. 29 (“The Court does not  consider  it  possible  or</w:t>
        <w:br/>
        <w:t>necessary to attempt an exhaustive definition of the  notion  of  [‘]private</w:t>
        <w:br/>
        <w:t>life[’]. However, it would be too restrictive to  limit  the  notion  to  an</w:t>
        <w:br/>
        <w:t>[‘]inner circle[’] in which the individual may live his  own  personal  life</w:t>
        <w:br/>
        <w:t>as he chooses and to  exclude  therefrom  entirely  the  outside  world  not</w:t>
        <w:br/>
        <w:t>encompassed within that circle. Respect for private life must also  comprise</w:t>
        <w:br/>
        <w:t>to a certain degree the right to establish and  develop  relationships  with</w:t>
        <w:br/>
        <w:t>other  human  beings.  There  appears,  furthermore,  to  be  no  reason  of</w:t>
        <w:br/>
        <w:t>principle why this understanding of the notion of [‘]private life[’]  should</w:t>
        <w:br/>
        <w:t>be taken to exclude activities of a professional or  business  nature  since</w:t>
        <w:br/>
        <w:t>it is, after all, in the course of their working lives that the majority  of</w:t>
        <w:br/>
        <w:t>people have a significant, if not the greatest,  opportunity  of  developing</w:t>
        <w:br/>
        <w:t>relationships with the outside world”).</w:t>
        <w:br/>
        <w:br/>
        <w:t>[160]       Mutatis mutandi, Caso  Chaparro  Álvarez  y  Lapo  Íñiguez.  Vs.</w:t>
        <w:br/>
        <w:t>Ecuador. Excepciones Preliminares, Fondo, Reparaciones y  Costas.  Sentencia</w:t>
        <w:br/>
        <w:t>de 21 de noviembre de 2007. Serie C No. 170, párr. 52.</w:t>
        <w:br/>
        <w:br/>
        <w:t>[161]       Corte Constitucional de Colombia, Sentencia T-499  de  2003.  La</w:t>
        <w:br/>
        <w:t>Corte Constitucional ha definido  el  derecho  al  libre  desarrollo  de  la</w:t>
        <w:br/>
        <w:t>personalidad, consagrado en el artículo 16 de la  Constitución  Política  de</w:t>
        <w:br/>
        <w:t>Colombia, como el derecho de las personas a “optar por su  plan  de  vida  y</w:t>
        <w:br/>
        <w:t>desarrollar  su  personalidad   conforme   a   sus   intereses,   deseos   y</w:t>
        <w:br/>
        <w:t>convicciones, siempre y cuando no afecte derechos de  terceros,  ni  vulnere</w:t>
        <w:br/>
        <w:t>el orden constitucional” (Corte Constitucional, Sentencia C-309 de 1997),  y</w:t>
        <w:br/>
        <w:t>“la capacidad de las personas para definir, en forma autónoma, las  opciones</w:t>
        <w:br/>
        <w:t>vitales  que  habrán  de  guiar  el   curso   de   su   existencia”   (Corte</w:t>
        <w:br/>
        <w:t>Constitucional, Sentencia SU-642 de 1998).</w:t>
        <w:br/>
        <w:br/>
        <w:t>[162]       Suprema Corte de Justicia de la  Nación  de  México,  Acción  de</w:t>
        <w:br/>
        <w:t>inconstitucionalidad A.I. 2/2010, 16 de agosto de 2010, párrs. 263 y 264.</w:t>
        <w:br/>
        <w:br/>
        <w:t>[163]       Cfr. T.E.D.H., Caso Clift, supra nota 101, párr. 57 (“Court  has</w:t>
        <w:br/>
        <w:t>considered to constitute ‘other status’ characteristics which, like some  of</w:t>
        <w:br/>
        <w:t>the specific examples listed in the Article, can be said to be  personal  in</w:t>
        <w:br/>
        <w:t>the sense that they are innate or  inherent.  Thus  in  Salgueiro  da  Silva</w:t>
        <w:br/>
        <w:t>Mouta, […] it found that sexual orientation  was  [‘]undoubtedly  covered[’]</w:t>
        <w:br/>
        <w:t>by Article 14”).</w:t>
        <w:br/>
        <w:br/>
        <w:t>[164]       Sentencia de la Corte Suprema de Justicia  de  Chile  de  31  de</w:t>
        <w:br/>
        <w:t>mayo de 2004 (expediente de anexos a la demanda, tomo V, folio 2673).</w:t>
        <w:br/>
        <w:br/>
        <w:t>[165]       Resolución de la demanda de tuición provisoria  por  el  Juzgado</w:t>
        <w:br/>
        <w:t>de Menores de Villarrica de 2 de mayo de 2003 (expediente  de  anexos  a  la</w:t>
        <w:br/>
        <w:t>demanda, tomo V, folio 2567).</w:t>
        <w:br/>
        <w:br/>
        <w:t>[166]       Opinión Consultiva OC-17/02, supra nota 122,  párrs.  69  y  70.</w:t>
        <w:br/>
        <w:t>Ver asimismo: T.E.D.H., Caso Keegan Vs. Irlanda, (No.  16969/90),  Sentencia</w:t>
        <w:br/>
        <w:t>de 26 de mayo de 1994, párr. 44, y Caso Kroon  y  otros  Vs.  Países  Bajos,</w:t>
        <w:br/>
        <w:t>(No. 18535/91), Sentencia de 27 de octubre de 1994, párr. 30.</w:t>
        <w:br/>
        <w:br/>
        <w:t>[167]       Cfr. T.E.D.H., Caso Salgueiro da Silva  Mouta,  supra  nota  99,</w:t>
        <w:br/>
        <w:t>párrs. 34 a 36.</w:t>
        <w:br/>
        <w:br/>
        <w:t>[168]       T.E.D.H., Caso Karner, supra nota 143, párr.  41  (“The  aim  of</w:t>
        <w:br/>
        <w:t>protecting the family in the traditional sense  is  rather  abstract  and  a</w:t>
        <w:br/>
        <w:t>broad variety of concrete measures may be used to implement it.  […]  as  is</w:t>
        <w:br/>
        <w:t>the position where there is a  difference  in  treatment  based  on  sex  or</w:t>
        <w:br/>
        <w:t>sexual  orientation,  the  principle  of  proportionality  does  not  merely</w:t>
        <w:br/>
        <w:t>require that the measure chosen is in principle  suited  for  realizing  the</w:t>
        <w:br/>
        <w:t>aim sought. It must also be shown that it was necessary in order to  achieve</w:t>
        <w:br/>
        <w:t>that aim to exclude certain categories of people”).</w:t>
        <w:br/>
        <w:br/>
        <w:t>[169]       En similar sentido, la Suprema Corte de Justicia  de  México  ha</w:t>
        <w:br/>
        <w:t>señalado que  el  reconocimiento  jurídico  de  la  existencia  de  familias</w:t>
        <w:br/>
        <w:t>homoparentales que existen, vía reproducción o adopción,  no  desatiende  el</w:t>
        <w:br/>
        <w:t>interés superior  del  niño.  Por  el  contrario,  de  dicho  reconocimiento</w:t>
        <w:br/>
        <w:t>derivan una serie de derechos a favor del menor de edad  y  de  obligaciones</w:t>
        <w:br/>
        <w:t>de quienes son sus padres, pues es una realidad que dichas familias  existen</w:t>
        <w:br/>
        <w:t>y, como tales, deben ser protegidas por el legislador: son  tan  respetables</w:t>
        <w:br/>
        <w:t>unas como otras. Cfr. Suprema Corte de Justicia  de  la  Nación  de  México,</w:t>
        <w:br/>
        <w:t>Acción de inconstitucionalidad A.I. 2/2010, 16  de  agosto  de  2010,  párr.</w:t>
        <w:br/>
        <w:t>333.</w:t>
        <w:br/>
        <w:br/>
        <w:t>[170]       El artículo 19 de la Convención Americana establece que  “[t]odo</w:t>
        <w:br/>
        <w:t>niño tiene derecho a las medidas de protección que  su  condición  de  menor</w:t>
        <w:br/>
        <w:t>requieren por parte de su familia, de la sociedad y del Estado”.</w:t>
        <w:br/>
        <w:br/>
        <w:t>[171]        Cfr.  Naciones  Unidas,  Comité  de  los  Derechos  del   Niño,</w:t>
        <w:br/>
        <w:t>Observación General No. 7. Realización  de  los  derechos  del  niño  en  la</w:t>
        <w:br/>
        <w:t>primera infancia, CRC/C/GC/7, 30 de septiembre de 2005, párr. 12.</w:t>
        <w:br/>
        <w:br/>
        <w:t>[172]       Declaración escrita rendida por el perito Miguel Cillero  Bruñol</w:t>
        <w:br/>
        <w:t>el 4 de agosto de 2011 (expediente de fondo, tomo II, folio 929).</w:t>
        <w:br/>
        <w:br/>
        <w:t>[173]       Declaración escrita rendida por el perito  Robert  Wintemute  el</w:t>
        <w:br/>
        <w:t>16 de septiembre de 2011 (expediente de fondo, tomo XI, folio 5355).</w:t>
        <w:br/>
        <w:br/>
        <w:t>[174]       Opinión Consultiva OC-17/02, supra nota 122, párr. 137,  opinión</w:t>
        <w:br/>
        <w:t>2.</w:t>
        <w:br/>
        <w:br/>
        <w:t>[175]       El artículo 11 de la Convención establece que:</w:t>
        <w:br/>
        <w:br/>
        <w:t xml:space="preserve">      1.   Toda  persona  tiene  derecho  al  respeto  de  su  honra  y  al</w:t>
        <w:br/>
        <w:t xml:space="preserve">    reconocimiento de su dignidad.</w:t>
        <w:br/>
        <w:br/>
        <w:t xml:space="preserve">      2.   Nadie puede ser objeto de injerencias arbitrarias o abusivas  en</w:t>
        <w:br/>
        <w:t xml:space="preserve">    su vida privada, en la de su       familia, en su  domicilio  o  en  su</w:t>
        <w:br/>
        <w:t xml:space="preserve">    correspondencia, ni de ataques ilegales a su honra o reputación.</w:t>
        <w:br/>
        <w:br/>
        <w:t xml:space="preserve">      3.   Toda persona tiene derecho a la protección de la ley contra esas</w:t>
        <w:br/>
        <w:t xml:space="preserve">    injerencias o esos ataques.</w:t>
        <w:br/>
        <w:br/>
        <w:t>[176]       El artículo 17 de la Convención dispone en lo pertinente:</w:t>
        <w:br/>
        <w:br/>
        <w:t xml:space="preserve">      1.    La familia es el elemento natural y fundamental de  la  sociedad</w:t>
        <w:br/>
        <w:t>y debe ser protegida por la       sociedad y el Estado.</w:t>
        <w:br/>
        <w:br/>
        <w:t>[177]                  Cfr. Caso de las Masacres de  Ituango  Vs.  Colombia.</w:t>
        <w:br/>
        <w:t>Excepción Preliminar, Fondo, Reparaciones y Costas. Sentencia de 1 de  julio</w:t>
        <w:br/>
        <w:t>de 2006 Serie C No. 148, párr. 194 y  Caso  Fontevecchia  y  D`Amico,  supra</w:t>
        <w:br/>
        <w:t>nota 28, párr. 48.</w:t>
        <w:br/>
        <w:br/>
        <w:t>[178]       Cfr. Caso de las Masacres de Ituango, supra nota 177, párr.  193</w:t>
        <w:br/>
        <w:t>y Caso Rosendo Cantú  y  otras  Vs.  México.  Excepción  Preliminar,  Fondo,</w:t>
        <w:br/>
        <w:t>Reparaciones y Costas. Sentencia de 31 de agosto de 2010. Serie C  No.  216,</w:t>
        <w:br/>
        <w:t>párr. 119.</w:t>
        <w:br/>
        <w:br/>
        <w:t>[179]       Cfr. Caso Rosendo Cantú y otra, supra nota  178,  párr.  119,  y</w:t>
        <w:br/>
        <w:t>Caso Fernández Ortega y otros.  Vs.  México.  Excepción  Preliminar,  Fondo,</w:t>
        <w:br/>
        <w:t>Reparaciones y Costas. Sentencia de 30 de agosto de 2010 Serie  C  No.  215,</w:t>
        <w:br/>
        <w:t>párr. 129, citando T.E.D.H., Caso Dudgeon, supra nota 156, párr. 41, Caso  X</w:t>
        <w:br/>
        <w:t>y Y Vs. Países Bajos, (No. 8978/80), Sentencia  de  26  de  marzo  de  1985,</w:t>
        <w:br/>
        <w:t>para. 22, Caso Niemietz, supra nota 159, párr. 29, y Caso Peck,  supra  nota</w:t>
        <w:br/>
        <w:t>159, párr. 57.</w:t>
        <w:br/>
        <w:br/>
        <w:t>[180]       Cfr. Caso Rosendo Cantú y otra, supra nota  178,  párr.  119,  y</w:t>
        <w:br/>
        <w:t>Caso Fernández Ortega y otros, supra nota 179, párr. 129, citando  T.E.D.H.,</w:t>
        <w:br/>
        <w:t>Caso Niemietz, supra nota 159, párr. 29, y Caso Peck, supra nota 159,  párr.</w:t>
        <w:br/>
        <w:t>57.</w:t>
        <w:br/>
        <w:br/>
        <w:t>[181]       Cfr. Caso  Tristán  Donoso  Vs.  Panamá.  Excepción  Preliminar,</w:t>
        <w:br/>
        <w:t>Fondo, Reparaciones y Costas. Sentencia de 27 de  enero  de  2009.  Serie  C</w:t>
        <w:br/>
        <w:t>No.193,  párr.  56  y  Caso  Escher  y   otros   Vs.   Brasil.   Excepciones</w:t>
        <w:br/>
        <w:t>Preliminares, Fondo, Reparaciones y Costas. Sentencia de 6  de  julio  2009.</w:t>
        <w:br/>
        <w:t>Serie C No. 200, párr. 116.</w:t>
        <w:br/>
        <w:br/>
        <w:t>[182]       Cfr. Opinión Consultiva OC-17/02, supra nota  122,  párr.  66  y</w:t>
        <w:br/>
        <w:t>Caso Chitay Nech y otros, supra nota 30, párr. 157.</w:t>
        <w:br/>
        <w:br/>
        <w:t>[183] Cfr. Opinión Consultiva OC-17/02, supra nota 122, párrs.  71  y  72  y</w:t>
        <w:br/>
        <w:t>Caso Chitay Nech y otros, supra nota 30, párr. 157.</w:t>
        <w:br/>
        <w:br/>
        <w:t>[184]       Cfr. Opinión Consultiva OC-17/02, supra nota 122, párr. 77.</w:t>
        <w:br/>
        <w:br/>
        <w:t>[185] El artículo 12.1 de la Declaración Universal de los  Derechos  Humanos</w:t>
        <w:br/>
        <w:t>establece que “[n]adie será objeto de injerencias  arbitrarias  en  su  vida</w:t>
        <w:br/>
        <w:t>privada, su familia, su domicilio o su correspondencia, ni de ataques  a  su</w:t>
        <w:br/>
        <w:t>honra o a su reputación. Toda persona tiene derecho a la  protección  de  la</w:t>
        <w:br/>
        <w:t>ley contra tales injerencias o ataques”.</w:t>
        <w:br/>
        <w:br/>
        <w:t>[186] El artículo V de la Declaración Americana de Derechos  y  Deberes  del</w:t>
        <w:br/>
        <w:t>Hombre dispone que “[t]oda persona tiene derecho a la protección de  la  Ley</w:t>
        <w:br/>
        <w:t>contra los ataques abusivos a su honra, a su reputación y a su vida  privada</w:t>
        <w:br/>
        <w:t>y familiar”.</w:t>
        <w:br/>
        <w:br/>
        <w:t>[187]  El  artículo  17  del  Pacto  Internacional  de  Derechos  Civiles  y</w:t>
        <w:br/>
        <w:t>Políticos establece que “[n]adie será objeto de  injerencias  arbitrarias  o</w:t>
        <w:br/>
        <w:t>ilegales en su vida privada, su familia, su domicilio o su  correspondencia,</w:t>
        <w:br/>
        <w:t>ni de ataques ilegales a su honra y reputación”.</w:t>
        <w:br/>
        <w:br/>
        <w:t>[188] En este sentido, el artículo 8.1  del  Convenio  Europeo  dispone  que</w:t>
        <w:br/>
        <w:t>“[t]oda persona tiene derecho al respeto de su vida privada y  familiar,  de</w:t>
        <w:br/>
        <w:t>su domicilio y de su correspondencia”. Asimismo,  el  artículo  8.2  dispone</w:t>
        <w:br/>
        <w:t>que “[n]o puede haber injerencia de la autoridad pública en el ejercicio  de</w:t>
        <w:br/>
        <w:t>este derecho sino en tanto en cuanto esta interferencia  esté  prevista  por</w:t>
        <w:br/>
        <w:t>la Ley y constituya  una  medida  que,  en  una  sociedad  democrática,  sea</w:t>
        <w:br/>
        <w:t>necesaria para la seguridad nacional, la  seguridad  pública,  el  bienestar</w:t>
        <w:br/>
        <w:t>económico  del  país,  la  defensa  del  orden  y  la  prevención   de   las</w:t>
        <w:br/>
        <w:t>infracciones penales, la  protección  de  la  salud  o  de  la  moral  o  la</w:t>
        <w:br/>
        <w:t>protección de los derechos y las libertades de los demás”.</w:t>
        <w:br/>
        <w:br/>
        <w:t>[189] Cfr. Opinión Consultiva OC-17/02, supra nota 122, párr. 71.</w:t>
        <w:br/>
        <w:br/>
        <w:t>[190] Cfr. Opinión Consultiva OC-17/02, supra nota 122,  párr.  72,  citando</w:t>
        <w:br/>
        <w:t>T.E.D.H., Caso Buchberger Vs. Austria, (No. 32899/96), Sentencia  de  20  de</w:t>
        <w:br/>
        <w:t>diciembre de 2001. Final, 20 de marzo de 2003, párr. 35; Caso K.  y  T.  Vs.</w:t>
        <w:br/>
        <w:t>Finlandia, (No. 25702/94), Sentencia de 12 de  julio  de  2001,  párr.  151;</w:t>
        <w:br/>
        <w:t>Caso Elsholz Vs. Alemania, (No. 25735/94), G.C., Sentencia de  13  de  julio</w:t>
        <w:br/>
        <w:t>de 2000, párr. 43; Caso Bronda Vs. Italia, (No. 22430/93),  Sentencia  de  9</w:t>
        <w:br/>
        <w:t>junio de 1998, párr. 51,  y  Caso  Johansen  Vs.  Noruega,  (No.  17383/90),</w:t>
        <w:br/>
        <w:t>Sentencia de 7 de agosto de 1996, párr. 52.</w:t>
        <w:br/>
        <w:br/>
        <w:t>[191] Cfr. T.E.D.H., Caso Olsson Vs. Suecia, (No.  10465/83),  Sentencia  de</w:t>
        <w:br/>
        <w:t>24 de marzo de 1988, párr. 81.</w:t>
        <w:br/>
        <w:br/>
        <w:t>[192]        Cfr.  Naciones  Unidas,  Comité  para  la  Eliminación  de   la</w:t>
        <w:br/>
        <w:t>Discriminación contra la Mujer, Recomendación General No.  21  (13º  período</w:t>
        <w:br/>
        <w:t>de sesiones, 1994). La  igualdad  en  el  matrimonio  y  en  las  relaciones</w:t>
        <w:br/>
        <w:t>familiares, párr. 13 (“La forma y  el  concepto  de  familia  varían  de  un</w:t>
        <w:br/>
        <w:t>Estado a otro y hasta de una región a otra en un  mismo  Estado.  Cualquiera</w:t>
        <w:br/>
        <w:t>que sea la  forma  que  adopte  y  cualesquiera  que  sean  el  ordenamiento</w:t>
        <w:br/>
        <w:t>jurídico, la religión,  las  costumbres  o  la  tradición  en  el  país,  el</w:t>
        <w:br/>
        <w:t>tratamiento de la mujer en la familia tanto ante  la  ley  como  en  privado</w:t>
        <w:br/>
        <w:t>debe conformarse con los principios de igualdad y justicia  para  todas  las</w:t>
        <w:br/>
        <w:t>personas, como lo exige el artículo 2 de  la  Convención”);  Comité  de  los</w:t>
        <w:br/>
        <w:t>Derechos del Niño, Observación General No. 7. Realización  de  los  derechos</w:t>
        <w:br/>
        <w:t>del niño en la primera infancia, supra nota 171, párrs. 15 y 19 (“El  Comité</w:t>
        <w:br/>
        <w:t>reconoce que ‘familia’ aquí se refiere a una  variedad  de  estructuras  que</w:t>
        <w:br/>
        <w:t>pueden ocuparse de la atención, el cuidado y  el  desarrollo  de  los  niños</w:t>
        <w:br/>
        <w:t>pequeños y que incluyen a la familia nuclear, la familia  ampliada  y  otras</w:t>
        <w:br/>
        <w:t>modalidades tradicionales y modernas de base comunitaria, siempre  que  sean</w:t>
        <w:br/>
        <w:t>acordes con los derechos y el interés  superior  del  niño.  […]  El  Comité</w:t>
        <w:br/>
        <w:t>observa  que  en  la  práctica  los  modelos  familiares  son  variables   y</w:t>
        <w:br/>
        <w:t>cambiantes en muchas regiones, al igual que la disponibilidad  de  redes  no</w:t>
        <w:br/>
        <w:t>estructuradas de apoyo a los padres, y existe  una  tendencia  global  hacia</w:t>
        <w:br/>
        <w:t>una mayor diversidad en el tamaño de la familia, las funciones parentales  y</w:t>
        <w:br/>
        <w:t>las estructuras para la crianza de los niños”); Comité de Derechos  Humanos,</w:t>
        <w:br/>
        <w:t>Observación General No. 19 (39º  período  de  sesiones,  1990).  La  familia</w:t>
        <w:br/>
        <w:t>(artículo 23), HRI/GEN/1/Rev.9 (Vol.I), párr. 2 (“El Comité observa  que  el</w:t>
        <w:br/>
        <w:t>concepto de familia puede diferir en algunos aspectos de un Estado  a  otro,</w:t>
        <w:br/>
        <w:t>y aun entre regiones dentro de un mismo Estado, de manera que no es  posible</w:t>
        <w:br/>
        <w:t>dar una definición uniforme del concepto”), y  Naciones  Unidas,  Comité  de</w:t>
        <w:br/>
        <w:t>Derechos Humanos, Observación General  No.  16  (32º  período  de  sesiones,</w:t>
        <w:br/>
        <w:t>1988). Derecho a la intimidad (artículo 17), HRI/GEN/1/Rev.9 (Vol.I),  párr.</w:t>
        <w:br/>
        <w:t>5 (“En cuanto al término ‘familia’, los objetivos del Pacto  exigen  que,  a</w:t>
        <w:br/>
        <w:t>los efectos del artículo 17, se lo interprete como un  criterio  amplio  que</w:t>
        <w:br/>
        <w:t>incluya a todas las personas que componen la familia, tal como  se  entienda</w:t>
        <w:br/>
        <w:t>ésta en la sociedad del Estado Parte de que se trate”).</w:t>
        <w:br/>
        <w:br/>
        <w:t>[193]       T.E.D.H., Caso Schalk y Kopf, supra nota  158,  párr.  91  (“the</w:t>
        <w:br/>
        <w:t>notion of family […] is not confined  to  marriage-based  relationships  and</w:t>
        <w:br/>
        <w:t>may encompass other de facto “family” ties  where  the  parties  are  living</w:t>
        <w:br/>
        <w:t>together out of wedlock. A child born out of such  a  relationship  is  ipso</w:t>
        <w:br/>
        <w:t>jure part of that “family” unit from the moment and by the very fact of  his</w:t>
        <w:br/>
        <w:t>birth. Thus there exists between the child and his parents a bond  amounting</w:t>
        <w:br/>
        <w:t>to family life. The Court further  recalls  that  the  mutual  enjoyment  by</w:t>
        <w:br/>
        <w:t>parent and child of each other's company constitutes a  fundamental  element</w:t>
        <w:br/>
        <w:t>of family life, even if the relationship  between  the  parents  has  broken</w:t>
        <w:br/>
        <w:t>down,  and  domestic  measures  hindering  such  enjoyment  amount   to   an</w:t>
        <w:br/>
        <w:t>interference with the right protected by  Article  8  of  the  Convention”),</w:t>
        <w:br/>
        <w:t>citando T.E.D.H., Caso Elsholz, supra  nota  190,  párr.  43;  Caso  Keegan,</w:t>
        <w:br/>
        <w:t>supra nota 166, párr.  44,  y  Caso  Johnston  y  otros  Vs.  Irlanda,  (No.</w:t>
        <w:br/>
        <w:t>9697/82), Sentencia de 18 de  diciembre  de  1986,  párr.  56;  ver  también</w:t>
        <w:br/>
        <w:t>T.E.D.H., Caso Alim Vs. Rusia (No. 39417/07), Sentencia de 27 de  septiembre</w:t>
        <w:br/>
        <w:t>de  2011,  párr.  70;  Caso  Berrehab  Vs.  Países  Bajos,  (No.  10730/84),</w:t>
        <w:br/>
        <w:t>Sentencia de 21 de junio de 1988, párr. 21, y  Caso  L.  Vs.  Países  Bajos,</w:t>
        <w:br/>
        <w:t>(No. 45582/99), Sentencia de 1 de junio de 2004. Final, 1 de  septiembre  de</w:t>
        <w:br/>
        <w:t>2004, párr. 36.</w:t>
        <w:br/>
        <w:br/>
        <w:t>[194]       T.E.D.H., Caso X,  Y  y  Z  Vs.  Reino  Unido,  (No.  21830/93),</w:t>
        <w:br/>
        <w:t>Sentencia de 22 de abril  de  1997,  párr.  36  (“When  deciding  whether  a</w:t>
        <w:br/>
        <w:t>relationship can be said to amount to ‘family life’,  a  number  of  factors</w:t>
        <w:br/>
        <w:t>may be relevant, including whether the couple live together, the  length  of</w:t>
        <w:br/>
        <w:t>their relationship and whether they have demonstrated  their  commitment  to</w:t>
        <w:br/>
        <w:t>each other by having  children  together  or  by  any  other  means”).  Cfr.</w:t>
        <w:br/>
        <w:t>T.E.D.H., Caso Marckx Vs. Bélgica, (No. 6833/74), Sentencia de 13  de  junio</w:t>
        <w:br/>
        <w:t>de 1979, párr. 31; Caso Keegan, supra nota 166, párr. 44,  y  Caso  Kroon  y</w:t>
        <w:br/>
        <w:t>otros, supra nota 166, párr. 30.</w:t>
        <w:br/>
        <w:br/>
        <w:t>[195]       T.E.D.H., Caso Schalk y Kopf, supra nota  158,  párr.  92  (“the</w:t>
        <w:br/>
        <w:t>Court's  case-law  has  only  accepted  that  the   emotional   and   sexual</w:t>
        <w:br/>
        <w:t>relationship of a same-sex couple constitutes ‘private  life’  but  has  not</w:t>
        <w:br/>
        <w:t>found  that  it  constitutes  ‘family  life’,   even   where   a   long-term</w:t>
        <w:br/>
        <w:t>relationship of cohabiting partners was at stake”).</w:t>
        <w:br/>
        <w:br/>
        <w:t>[196]       T.E.D.H., Caso Schalk y Kopf,  supra  nota  158,  párr.  94  (“a</w:t>
        <w:br/>
        <w:t>cohabiting same-sex couple living in a stable de  facto  partnership,  falls</w:t>
        <w:br/>
        <w:t>within the notion of ‘family life’, just as the relationship of a different-</w:t>
        <w:br/>
        <w:t>sex couple in the same situation would”) y Caso P.B.  y  J.S.  Vs.  Austria,</w:t>
        <w:br/>
        <w:t>(No. 18984/02), Sentencia de 22 de julio de 2010. Final. 22  de  octubre  de</w:t>
        <w:br/>
        <w:t>2010, párr. 30.</w:t>
        <w:br/>
        <w:br/>
        <w:t>[197]       T.E.D.H., Caso Schalk y Kopf, supra nota  158,  párr.  94  (“the</w:t>
        <w:br/>
        <w:t>Court considers it artificial to maintain the view that, in  contrast  to  a</w:t>
        <w:br/>
        <w:t>different-sex couple, a same-sex couple cannot enjoy “family life”  for  the</w:t>
        <w:br/>
        <w:t>purposes of Article 8”)y Caso P.B. y J.S., supra nota 196, párr. 30.</w:t>
        <w:br/>
        <w:br/>
        <w:t>[198]       Declaración de la señora  Karen  Atala  Riffo  rendida  ante  la</w:t>
        <w:br/>
        <w:t>Corte Interamericana en la audiencia pública del presente caso.</w:t>
        <w:br/>
        <w:br/>
        <w:t>[199]       Declaración de Emma de Ramón de 4 de agosto de 2011  (expediente</w:t>
        <w:br/>
        <w:t>de fondo, tomo II, folio 762).</w:t>
        <w:br/>
        <w:t>[200]       El artículo 8.1 de la Convención Americana (Garantías</w:t>
        <w:br/>
        <w:t>Judiciales) establece que:</w:t>
        <w:br/>
        <w:br/>
        <w:t xml:space="preserve">      1.    Toda persona tiene derecho a ser oída, con las debidas garantías</w:t>
        <w:br/>
        <w:t xml:space="preserve">      y dentro de un plazo razonable, por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t>[201]       El artículo 25.1 de la Convención Americana (Protección</w:t>
        <w:br/>
        <w:t>Judicial) establece que:</w:t>
        <w:br/>
        <w:br/>
        <w:t xml:space="preserve">      1.    Toda persona tiene derecho a un recurso sencillo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t>[202]       Sentencia de la Corte Suprema de Justicia  de  Chile  de  31  de</w:t>
        <w:br/>
        <w:t>mayo de 2004 (expediente de anexos a la demanda, tomo V, folio 2673).</w:t>
        <w:br/>
        <w:br/>
        <w:t>[203]       Cfr.  El artículo 545 del Código Orgánico de Tribunales  señala:</w:t>
        <w:br/>
        <w:t>“El recurso de queja tiene por exclusiva finalidad  corregir  las  faltas  o</w:t>
        <w:br/>
        <w:t>abusos  graves  cometidos  en  la  dictación  de  resoluciones  de  carácter</w:t>
        <w:br/>
        <w:t>jurisdiccional. Sólo  procederá  cuando  la  falta  o  abuso  se  cometa  en</w:t>
        <w:br/>
        <w:t>sentencia interlocutoria que  ponga  fin  al  juicio  o  haga  imposible  su</w:t>
        <w:br/>
        <w:t>continuación o definitiva, y que no sean  susceptibles  de  recurso  alguno,</w:t>
        <w:br/>
        <w:t>ordinario o extraordinario, sin perjuicio  de  la  atribución  de  la  Corte</w:t>
        <w:br/>
        <w:t>Suprema  para  actuar   de   oficio   en   ejercicio   de   sus   facultades</w:t>
        <w:br/>
        <w:t>disciplinarias. Se exceptúan las sentencias definitivas de primera  o  única</w:t>
        <w:br/>
        <w:t>instancia dictadas por árbitros arbitradores,  en  cuyo  caso  procederá  el</w:t>
        <w:br/>
        <w:t>recurso de queja, además del recurso de casación en la forma. El  fallo  que</w:t>
        <w:br/>
        <w:t>acoge el  recurso  de  queja  contendrá  las  consideraciones  precisas  que</w:t>
        <w:br/>
        <w:t>demuestren la falta o abuso, así como los errores u omisiones manifiestos  y</w:t>
        <w:br/>
        <w:t>graves que los constituyan y que existan en  la  resolución  que  motiva  el</w:t>
        <w:br/>
        <w:t>recurso, y determinará las  medidas  conducentes  a  remediar  tal  falta  o</w:t>
        <w:br/>
        <w:t>abuso. En ningún caso podrá modificar,  enmendar  o  invalidar  resoluciones</w:t>
        <w:br/>
        <w:t>judiciales   respecto   de   las   cuales   la   ley   contempla    recursos</w:t>
        <w:br/>
        <w:t>jurisdiccionales ordinarios o extraordinarios, salvo  que  se  trate  de  un</w:t>
        <w:br/>
        <w:t>recurso de queja interpuesto contra sentencia definitiva de primera o  única</w:t>
        <w:br/>
        <w:t>instancia dictada  por  árbitros  arbitradores.  En  caso  que  un  tribunal</w:t>
        <w:br/>
        <w:t>superior  de  justicia,  haciendo  uso  de  sus  facultades  disciplinarias,</w:t>
        <w:br/>
        <w:t>invalide una resolución jurisdiccional, deberá  aplicar  la  o  las  medidas</w:t>
        <w:br/>
        <w:t>disciplinarias que estime pertinentes. En tal caso, la  sala  dispondrá  que</w:t>
        <w:br/>
        <w:t>se dé cuenta al tribunal pleno de  los  antecedentes  para  los  efectos  de</w:t>
        <w:br/>
        <w:t>aplicar las medidas disciplinarias que procedan, atendida la  naturaleza  de</w:t>
        <w:br/>
        <w:t>las faltas o abusos, la que no podrá ser inferior  a  amonestación  privada”</w:t>
        <w:br/>
        <w:t>(expediente de fondo, tomo XI, folio 5398).</w:t>
        <w:br/>
        <w:br/>
        <w:t>[204]       Cfr.  El artículo 82 de la Constitución Política  establece  que</w:t>
        <w:br/>
        <w:t>“la Corte Suprema  tiene  la  superintendencia  directiva,  correccional,  y</w:t>
        <w:br/>
        <w:t>económica de todos los tribunales de la nación. Se exceptúan de  esta  norma</w:t>
        <w:br/>
        <w:t>el Tribunal Constitucional, el Tribunal  Calificador  de  Elecciones  y  los</w:t>
        <w:br/>
        <w:t>tribunales electorales regionales” (expediente  de  fondo,  tomo  XI,  folio</w:t>
        <w:br/>
        <w:t>5393).</w:t>
        <w:br/>
        <w:br/>
        <w:t>[205]       Cfr.   Informe  escrito  del  perito  Marín  González  sobre  el</w:t>
        <w:br/>
        <w:t>recurso  de  queja  en  Chile  presentado  el  21  de  septiembre  de   2011</w:t>
        <w:br/>
        <w:t>(expediente de fondo, tomo XI, folios 5393 y 5411).</w:t>
        <w:br/>
        <w:br/>
        <w:t>[206]       Cfr.   Informe  escrito  del  perito  Marín  González  sobre  el</w:t>
        <w:br/>
        <w:t>recurso de queja en Chile, supra nota 205, folio 5411.</w:t>
        <w:br/>
        <w:br/>
        <w:t>[207]       Al respecto, el perito Marín citó los motivos legislativos  para</w:t>
        <w:br/>
        <w:t>la aprobación de la ley 19.374 de 1995, mediante  la  cual  se  modificó  el</w:t>
        <w:br/>
        <w:t>recurso de queja, y jurisprudencia de la  Corte  Suprema  de  Justicia  para</w:t>
        <w:br/>
        <w:t>explicar que el legislador chileno modificó el  recurso  de  queja,  con  el</w:t>
        <w:br/>
        <w:t>objetivo de limitar este recurso disciplinario e impedir la  distorsión  del</w:t>
        <w:br/>
        <w:t>sistema  procesal  y  de  la  función  jurisdiccional  de   los   tribunales</w:t>
        <w:br/>
        <w:t>superiores de justicia, con la finalidad de evitar su  práctica  abusiva  y,</w:t>
        <w:br/>
        <w:t>por ende, la revisión de juicios a  través  de  una  tercera  instancia  que</w:t>
        <w:br/>
        <w:t>vulneraba abiertamente el principio de la  bilateralidad  de  la  audiencia.</w:t>
        <w:br/>
        <w:t>Cfr. Informe escrito del perito Marín González sobre el recurso de queja  en</w:t>
        <w:br/>
        <w:t>Chile, supra nota 205, folios 5397, 5398, 5400 y 5411.</w:t>
        <w:br/>
        <w:br/>
        <w:t>[208]       Mario Mosquera Ruíz y Cristián  Maturana  Miquel,  Los  Recursos</w:t>
        <w:br/>
        <w:t>Procesales, 2010, Editorial Jurídica de Chile, Santiago de Chile, pág.  383,</w:t>
        <w:br/>
        <w:t>prueba documental anexada por el  Estado  al  escrito  de  alegatos  finales</w:t>
        <w:br/>
        <w:t>(expediente de fondo, tomo XII, folio 5945).</w:t>
        <w:br/>
        <w:br/>
        <w:t>[209]       Cfr.  Mario  Mosquera  Ruíz  y  Cristián  Maturana  Miquel,  Los</w:t>
        <w:br/>
        <w:t>Recursos Procesales, págs. 383 y 384, supra nota 208, folios 5945 y 5946.</w:t>
        <w:br/>
        <w:br/>
        <w:t>[210]        Cfr.   Mario  Mosquera  Ruíz,  Cristián  Maturana  Miquel,  Los</w:t>
        <w:br/>
        <w:t>Recursos Procesales, pág. 387, supra nota 208, tomo XII, folio 5949.</w:t>
        <w:br/>
        <w:br/>
        <w:t>[211]       Cfr.  Caso Apitz Barbera y otros, supra  nota  92,  párr.  55  y</w:t>
        <w:br/>
        <w:t>Caso Reverón Trujillo, supra nota 33, párr. 67.</w:t>
        <w:br/>
        <w:br/>
        <w:t>[212]        Cfr.   Caso  del  Tribunal  Constitucional  Vs.  Perú.   Fondo,</w:t>
        <w:br/>
        <w:t>Reparaciones y Costas. Sentencia de 31 de enero de 2001.  Serie  C  No.  71,</w:t>
        <w:br/>
        <w:t>párr. 75, y Caso Reverón Trujillo, supra nota  33,  párr.  80.  Ver  también</w:t>
        <w:br/>
        <w:t>T.E.D.H., Caso Campbell y Fell Vs.  Reino  Unido,  (No.  7819/77;  7878/77),</w:t>
        <w:br/>
        <w:t>Sentencia de 28 de junio de 1984, párr. 78, y Caso  Langborger  Vs.  Suecia,</w:t>
        <w:br/>
        <w:t>(No. 11179/84), Sentencia de 22 de junio de  1989,  párr.  32.  Ver  también</w:t>
        <w:br/>
        <w:t>Principios 2, 3 y 4  de  los  Principios  Básicos  de  las  Naciones  Unidas</w:t>
        <w:br/>
        <w:t>relativos a la Independencia de la  Judicatura,  adoptados  por  el  Séptimo</w:t>
        <w:br/>
        <w:t>Congreso de las Naciones Unidas sobre Prevención del  Delito  y  Tratamiento</w:t>
        <w:br/>
        <w:t>del Delincuente, celebrado en Milán del 26 de agosto al 6 de  septiembre  de</w:t>
        <w:br/>
        <w:t>1985, y confirmados por la Asamblea General en sus resoluciones 40/32 de  29</w:t>
        <w:br/>
        <w:t>de noviembre de 1985 y 40/146 de 13 de diciembre de 1985.</w:t>
        <w:br/>
        <w:br/>
        <w:t>[213]       Cfr. Caso Reverón Trujillo, supra nota 33, párr. 146.</w:t>
        <w:br/>
        <w:br/>
        <w:t>[214]       Principio 2 de los Principios Básicos  de  las  Naciones  Unidas</w:t>
        <w:br/>
        <w:t>relativos a la Independencia de la Judicatura, supra nota 212.</w:t>
        <w:br/>
        <w:br/>
        <w:t>[215]       Caso Apitz Barbera y otros, supra nota 92, párr. 56.</w:t>
        <w:br/>
        <w:br/>
        <w:t>[216]       Mutatis mutandi, Caso Gelman Vs. Uruguay. Fondo y  Reparaciones.</w:t>
        <w:br/>
        <w:t>Sentencia de 24 de febrero de 2011 Serie C No. 221, párr. 121.</w:t>
        <w:br/>
        <w:br/>
        <w:t>[217]       El artículo 12 de la Convención  sobre  los  Derechos  del  Niño</w:t>
        <w:br/>
        <w:t>señala: 1. Los Estados Partes garantizarán al niño que esté  en  condiciones</w:t>
        <w:br/>
        <w:t>de formarse un juicio propio el derecho de expresar  su  opinión  libremente</w:t>
        <w:br/>
        <w:t>en todos los asuntos que afectan al niño, teniéndose debidamente  en  cuenta</w:t>
        <w:br/>
        <w:t>las opiniones del niño, en función de la edad y madurez  del  niño.  2.  Con</w:t>
        <w:br/>
        <w:t>tal fin, se dará en particular al niño  oportunidad  de  ser  escuchado,  en</w:t>
        <w:br/>
        <w:t>todo procedimiento judicial o administrativo que  afecte  al  niño,  ya  sea</w:t>
        <w:br/>
        <w:t>directamente o por medio de un representante o de un  órgano  apropiado,  en</w:t>
        <w:br/>
        <w:t>consonancia con las normas de procedimiento de  la  ley  nacional.  (Añadido</w:t>
        <w:br/>
        <w:t>fuera del texto)</w:t>
        <w:br/>
        <w:br/>
        <w:t>[218]       Cfr. Opinión Consultiva OC-17/02, supra nota 122, párr. 99.  Por</w:t>
        <w:br/>
        <w:t>otra parte, el Comité de Derechos del Niño de Naciones  Unidas  ha  definido</w:t>
        <w:br/>
        <w:t>que  el  derecho  a  "ser  escuchado  en  todo  procedimiento   judicial   o</w:t>
        <w:br/>
        <w:t>administrativo que  afecte  al  niño",  implica  que  “esta  disposición  es</w:t>
        <w:br/>
        <w:t>aplicable a todos los procedimientos judiciales pertinentes que  afecten  al</w:t>
        <w:br/>
        <w:t>niño, sin limitaciones”. Naciones Unidas, Comité de los Derechos  del  Niño,</w:t>
        <w:br/>
        <w:t>Observación General No. 12 (2009). El derecho  del  niño  a  ser  escuchado,</w:t>
        <w:br/>
        <w:t>CRC/C/GC/12, 20 de julio  de  2009,  párr.  32.  En  particular,  UNICEF  ha</w:t>
        <w:br/>
        <w:t>indicado que “‘todo procedimiento […] judicial que afecte al niño  cubre  un</w:t>
        <w:br/>
        <w:t>espectro  muy  amplio  de  audiencias  en  cortes,  incluyendo   todos   los</w:t>
        <w:br/>
        <w:t>procedimientos  civiles,  tales  como  los   procedimientos   de   divorcio,</w:t>
        <w:br/>
        <w:t>custodia, cuidado y adopción,  cambio  del  nombre,  solicitudes  judiciales</w:t>
        <w:br/>
        <w:t>respecto  al  lugar  de  residencia,  religión,  educación,  disposición  de</w:t>
        <w:br/>
        <w:t>dinero,  etc.,  decisiones  judiciales  sobre  nacionalidad,  inmigración  y</w:t>
        <w:br/>
        <w:t>estado  de  refugiado,  y  procedimientos  penales;   también   incluye   la</w:t>
        <w:br/>
        <w:t>participación de Estados ante  tribunales  internacionales”.  Traducción  al</w:t>
        <w:br/>
        <w:t>castellano de la Secretaría de la Corte Interamericana.  Unicef,  Manual  de</w:t>
        <w:br/>
        <w:t>Aplicación de la Convención sobre los Derechos  del  Niño  (Tercera  edición</w:t>
        <w:br/>
        <w:t>enteramente revisada) 2007, p. 156.</w:t>
        <w:br/>
        <w:br/>
        <w:t>[219]       Comité de Derechos del Niño, Observación General No.  12,  supra</w:t>
        <w:br/>
        <w:t>nota 218, párr. 74.</w:t>
        <w:br/>
        <w:br/>
        <w:t>[220]       Comité de Derechos del Niño, Observación General No.  12,  supra</w:t>
        <w:br/>
        <w:t>nota 218, párr. 20</w:t>
        <w:br/>
        <w:br/>
        <w:t>[221]       Comité de Derechos del Niño, Observación General No.  12,  supra</w:t>
        <w:br/>
        <w:t>nota 218, párr. 21</w:t>
        <w:br/>
        <w:br/>
        <w:t>[222]       Comité de Derechos del Niño, Observación General No.  12,  supra</w:t>
        <w:br/>
        <w:t>nota 218, párr. 25</w:t>
        <w:br/>
        <w:br/>
        <w:t>[223]       Comité de Derechos del Niño, Observación General No.  12,  supra</w:t>
        <w:br/>
        <w:t>nota 218, párr. 28</w:t>
        <w:br/>
        <w:br/>
        <w:t>[224]       Comité de Derechos del Niño, Observación General No.  12,  supra</w:t>
        <w:br/>
        <w:t>nota 218, párr. 30</w:t>
        <w:br/>
        <w:br/>
        <w:t>[225]       Cfr. Comité de los Derechos del Niño,  Observación  General  No.</w:t>
        <w:br/>
        <w:t>7, supra nota 171, párr. 17.</w:t>
        <w:br/>
        <w:br/>
        <w:t>[226]       Opinión Consultiva OC-17/02, supra nota 122, párr. 102</w:t>
        <w:br/>
        <w:br/>
        <w:t>[227]       Cfr. Comité de los Derechos del Niño,  Observación  General  No.</w:t>
        <w:br/>
        <w:t>12, supra nota 218, párr. 15.</w:t>
        <w:br/>
        <w:br/>
        <w:t>[228]       Cfr. Comité de los Derechos del Niño,  Observación  General  No.</w:t>
        <w:br/>
        <w:t>12, supra nota 218, párrs. 28 y 29.</w:t>
        <w:br/>
        <w:br/>
        <w:t>[229]       Cfr. Comité de los Derechos del Niño,  Observación  General  No.</w:t>
        <w:br/>
        <w:t>12, supra nota 218, párr. 44.</w:t>
        <w:br/>
        <w:br/>
        <w:t>[230]       Cfr. Comité de los Derechos del Niño,  Observación  General  No.</w:t>
        <w:br/>
        <w:t>12, supra nota 218, párrs. 28 y 29.</w:t>
        <w:br/>
        <w:br/>
        <w:t>[231]       Acta del Juzgado Menores de Villarrica de 8  de  abril  de  2003</w:t>
        <w:br/>
        <w:t>(expediente de anexos a la demanda, tomo I, folio 350).</w:t>
        <w:br/>
        <w:br/>
        <w:t>[232]       Resolución de la demanda de tuición provisoria  por  el  Juzgado</w:t>
        <w:br/>
        <w:t>de Menores  de  Villarrica  de  2  de  mayo  de  2003,  considerado  séptimo</w:t>
        <w:br/>
        <w:t>(expediente de anexos a la demanda, tomo V, folio 2565).</w:t>
        <w:br/>
        <w:br/>
        <w:t>[233]       Cfr. Sentencia del Juzgado de Menores de  Villarrica  de  29  de</w:t>
        <w:br/>
        <w:t>octubre de 2003, considerado trigésimo sexto  (expediente  de  anexos  a  la</w:t>
        <w:br/>
        <w:t>demanda, tomo V, folio 2605).</w:t>
        <w:br/>
        <w:br/>
        <w:t>[234]       Cfr. Sentencia del Juzgado de Menores de  Villarrica  de  29  de</w:t>
        <w:br/>
        <w:t>octubre de 2003, considerado trigésimo sexto  (expediente  de  anexos  a  la</w:t>
        <w:br/>
        <w:t>demanda, tomo V, folio 2605).</w:t>
        <w:br/>
        <w:br/>
        <w:t>[235]       Cfr. Sentencia del Juzgado de Menores de  Villarrica  de  29  de</w:t>
        <w:br/>
        <w:t>octubre de 2003, considerado trigésimo sexto  (expediente  de  anexos  a  la</w:t>
        <w:br/>
        <w:t>demanda, tomo V, folio 2589).</w:t>
        <w:br/>
        <w:br/>
        <w:t>[236]       Cfr. Comité de los Derechos del Niño,  Observación  General  No.</w:t>
        <w:br/>
        <w:t>12, supra nota 218, párr. 24.</w:t>
        <w:br/>
        <w:br/>
        <w:t>[237]       Declaración del perito García Méndez  en  la  audiencia  pública</w:t>
        <w:br/>
        <w:t>celebrada en el presente caso el 23 de agosto de 2011.</w:t>
        <w:br/>
        <w:br/>
        <w:t>[238]       Declaración escrita rendida por el perito Cillero  Bruñol  el  4</w:t>
        <w:br/>
        <w:t>de agosto de 2011 (expediente de fondo, tomo II, folios 935, 939, 940).</w:t>
        <w:br/>
        <w:br/>
        <w:t>[239]       Escrito de la Presidente del Comité de Jueces  del  Tribunal  de</w:t>
        <w:br/>
        <w:t>Juicio Oral en lo penal de Villarrica de 17 de marzo de 2003 (expediente  de</w:t>
        <w:br/>
        <w:t>fondo, tomo XIII, folio 7040).</w:t>
        <w:br/>
        <w:br/>
        <w:t>[240]       Cfr. Informe preparado por el Ministro Lenin Lillo de  la  Corte</w:t>
        <w:br/>
        <w:t>de Apelaciones de Temuco de 2 de abril de 2003 (expediente  de  fondo,  tomo</w:t>
        <w:br/>
        <w:t>XII, folio 5927).</w:t>
        <w:br/>
        <w:br/>
        <w:t>[241]       Informe preparado por el Ministro Lenin Lillo  de  la  Corte  de</w:t>
        <w:br/>
        <w:t>Apelaciones de Temuco de 2 de abril de 2003 (expediente de fondo, tomo  XII,</w:t>
        <w:br/>
        <w:t>folio 5927).</w:t>
        <w:br/>
        <w:br/>
        <w:t>[242]       Cfr. Informe preparado por el Ministro Lenin Lillo de  la  Corte</w:t>
        <w:br/>
        <w:t>de Apelaciones de Temuco de 2 de abril de 2003 (expediente  de  fondo,  tomo</w:t>
        <w:br/>
        <w:t>XII, folios 5927 a 5934).</w:t>
        <w:br/>
        <w:br/>
        <w:t>[243]       Informe preparado por el Ministro Lenin Lillo  de  la  Corte  de</w:t>
        <w:br/>
        <w:t>Apelaciones de Temuco de 2 de abril de 2003 (expediente de fondo, tomo  XII,</w:t>
        <w:br/>
        <w:t>folio 5934).</w:t>
        <w:br/>
        <w:br/>
        <w:t>[244]       La Corte de Apelaciones de Temuco  señaló  que  “se  aprueba  la</w:t>
        <w:br/>
        <w:t>visita practicada por el Ministro Lenin Lillo […] y se formulan como  cargos</w:t>
        <w:br/>
        <w:t>en contra de la señora Karen Atala Riffo, los  tres  capítulos  del  informe</w:t>
        <w:br/>
        <w:t>evacuados por el visitador”.  Resolución  de  la  Corte  de  Apelaciones  de</w:t>
        <w:br/>
        <w:t>Temuco de 2 de abril de 2003 (expediente de fondo, tomo XII, folio 5935).</w:t>
        <w:br/>
        <w:br/>
        <w:t>[245]       Resolución de la Corte de Apelaciones de Temuco de 9 de mayo  de</w:t>
        <w:br/>
        <w:t>2003 (expediente de fondo, tomo XII, folio 5937).</w:t>
        <w:br/>
        <w:br/>
        <w:t>[246]       Informe preparado por el Ministro Lenin Lillo  de  la  Corte  de</w:t>
        <w:br/>
        <w:t>Apelaciones de Temuco de 2 de abril de 2003 (expediente de fondo, tomo  XII,</w:t>
        <w:br/>
        <w:t>folio 5934).</w:t>
        <w:br/>
        <w:br/>
        <w:t>[247]       El artículo 544 inciso  4  del  Código  Orgánico  de  Tribunales</w:t>
        <w:br/>
        <w:t>dispone que: “[l]as facultades disciplinarias que corresponden  a  la  Corte</w:t>
        <w:br/>
        <w:t>Suprema o a las Cortes de  Apelaciones,  deberán  especialmente  ejercitarse</w:t>
        <w:br/>
        <w:t>respecto de los funcionarios del orden judicial que  se  encuentren  en  los</w:t>
        <w:br/>
        <w:t>casos que siguen: [...] 4. Cuando por irregularidad de su conducta  moral  o</w:t>
        <w:br/>
        <w:t>por  vicios  que  les   hicieren   desmerecer   en   el   concepto   público</w:t>
        <w:br/>
        <w:t>comprometieren   el   decoro   de    su    ministerio”.    Disponible    en:</w:t>
        <w:br/>
        <w:t>http://www.leychile.cl/Navegar?idNorma=25563 (último acceso  20  de  febrero</w:t>
        <w:br/>
        <w:t>de 2012), dirección electrónica suministrada por el  Estado  (expediente  de</w:t>
        <w:br/>
        <w:t>fondo, tomo XII, folio 5914).</w:t>
        <w:br/>
        <w:br/>
        <w:t>[248]       El artículo 559 del  Código  Orgánico  de  Tribunales  establece</w:t>
        <w:br/>
        <w:t>que:  “[l]os  Tribunales   Superiores   de   Justicia   decretarán   visitas</w:t>
        <w:br/>
        <w:t>extraordinarias por medio de alguno de sus ministros en los juzgados  de  su</w:t>
        <w:br/>
        <w:t>respectivo  territorio  jurisdiccional,  siempre  que  el   mejor   servicio</w:t>
        <w:br/>
        <w:t>judicial          lo           exigiere”.           Disponible           en:</w:t>
        <w:br/>
        <w:t>http://www.leychile.cl/Navegar?idNorma=25563 (último acceso  20  de  febrero</w:t>
        <w:br/>
        <w:t>de 2012) (expediente de fondo, tomo XII, folio 5914).</w:t>
        <w:br/>
        <w:br/>
        <w:t>[249]       El artículo 560 del Código Orgánico de  Tribunales  señala  que:</w:t>
        <w:br/>
        <w:t>“[e]l  tribunal  ordenará  especialmente  estas   visitas   en   los   casos</w:t>
        <w:br/>
        <w:t>siguientes: 1. Cuando se tratare de causas civiles que  puedan  afectar  las</w:t>
        <w:br/>
        <w:t>relaciones internacionales y que sean de competencia de  los  tribunales  de</w:t>
        <w:br/>
        <w:t>justicia; 2. Cuando se tratare de la investigación de hechos o de  pesquisar</w:t>
        <w:br/>
        <w:t>delitos cuyo conocimiento corresponda a la justicia  militar  y  que  puedan</w:t>
        <w:br/>
        <w:t>afectar las relaciones internacionales, o que  produzcan  alarma  pública  y</w:t>
        <w:br/>
        <w:t>exijan pronta represión por su gravedad y perjudiciales consecuencias, y  3.</w:t>
        <w:br/>
        <w:t>Siempre que sea necesario investigar hechos que afecten  a  la  conducta  de</w:t>
        <w:br/>
        <w:t>los jueces en el  ejercicio  de  sus  funciones  y  cuando  hubiere  retardo</w:t>
        <w:br/>
        <w:t>notable en el despacho de los asuntos sometidos al  conocimiento  de  dichos</w:t>
        <w:br/>
        <w:t>jueces”.   Disponible    en:    http://www.leychile.cl/Navegar?idNorma=25563</w:t>
        <w:br/>
        <w:t>(último acceso 20 de febrero de 2012) (expediente de fondo, tomo XII,  folio</w:t>
        <w:br/>
        <w:t>5914).</w:t>
        <w:br/>
        <w:br/>
        <w:t>[250]       Informe preparado por el Ministro Lenin Lillo  de  la  Corte  de</w:t>
        <w:br/>
        <w:t>Apelaciones de Temuco de 2 de abril de 2003 (expediente de fondo, tomo  XII,</w:t>
        <w:br/>
        <w:t>folio 5934).</w:t>
        <w:br/>
        <w:br/>
        <w:t>[251]                  Cfr. Caso de las  Masacres  de  Ituango,  supra  nota</w:t>
        <w:br/>
        <w:t>177, párr. 194 y Caso Fontevecchia y D`Amico, supra nota 28, párr. 48.</w:t>
        <w:br/>
        <w:br/>
        <w:t>[252]       Declaración de la señora  Karen  Atala  Riffo  rendida  ante  la</w:t>
        <w:br/>
        <w:t>Corte Interamericana en la audiencia pública del presente caso.</w:t>
        <w:br/>
        <w:br/>
        <w:t>[253]       Declaración de la señora  Karen  Atala  rendida  ante  la  Corte</w:t>
        <w:br/>
        <w:t>Interamericana en la audiencia pública del presente caso.</w:t>
        <w:br/>
        <w:br/>
        <w:t>[254]       Declaración de la señora  Karen  Atala  rendida  ante  la  Corte</w:t>
        <w:br/>
        <w:t>Interamericana en la audiencia pública del presente caso.</w:t>
        <w:br/>
        <w:br/>
        <w:t>[255]       Informe preparado por el Ministro Lenin Lillo  de  la  Corte  de</w:t>
        <w:br/>
        <w:t>Apelaciones de Temuco de 2 de abril de 2003, supra nota 43, folio 5933.</w:t>
        <w:br/>
        <w:br/>
        <w:t>[256]       Informe preparado por el Ministro Lenin Lillo  de  la  Corte  de</w:t>
        <w:br/>
        <w:t>Apelaciones de Temuco de 2 de abril de 2003, supra nota 43, folio 5934.</w:t>
        <w:br/>
        <w:br/>
        <w:t>[257]       Ver las normas disciplinarias (supra párr. 219).</w:t>
        <w:br/>
        <w:br/>
        <w:t>[258]       En similar sentido, en la jurisprudencia europea, ver  T.E.D.H.,</w:t>
        <w:br/>
        <w:t>Caso Kyprianou Vs. Chipre, (No. 73797/01),  Sentencia  de  27  de  enero  de</w:t>
        <w:br/>
        <w:t>2004,  párr.  119  (“In  applying  the  subjective  test,  the   Court   has</w:t>
        <w:br/>
        <w:t>consistently held  that  the  personal  impartiality  of  a  judge  must  be</w:t>
        <w:br/>
        <w:t>presumed until there is proof to  the  contrary”),  citando  T.E.D.H.,  Caso</w:t>
        <w:br/>
        <w:t>Hauschildt Vs. Dinamarca, (No. 10486/83), Sentencia de 24 de mayo  de  1989,</w:t>
        <w:br/>
        <w:t>párr. 47.</w:t>
        <w:br/>
        <w:br/>
        <w:t>[259]       Cfr. T.E.D.H., Caso Kyprianou, supra nota  258,  párr.  118  (“a</w:t>
        <w:br/>
        <w:t>subjective  approach,  that  is  endeavouring  to  ascertain  the   personal</w:t>
        <w:br/>
        <w:t>conviction or interest of a given judge in a particular case”).</w:t>
        <w:br/>
        <w:br/>
        <w:t>[260]       Cfr. T.E.D.H., Caso Kyprianou, supra nota 258,  párr.  119  (“As</w:t>
        <w:br/>
        <w:t>regards the type of proof required, the Court has, for  example,  sought  to</w:t>
        <w:br/>
        <w:t>ascertain whether a judge  has  displayed  hostility  or  ill  will  or  has</w:t>
        <w:br/>
        <w:t>arranged to have a case assigned to himself for  personal”).  Ver  asimismo,</w:t>
        <w:br/>
        <w:t>T.E.D.H., Caso Bellizzi Vs. Malta, (No. 46575/09), Sentencia de 21 de  junio</w:t>
        <w:br/>
        <w:t>de 2011. Final, 28 de noviembre de 2011, párr.  52  y  Caso  De  Cubber  Vs.</w:t>
        <w:br/>
        <w:t>Bélgica, (No. 9186/80), Sentencia de  26  de  octubre  de  1996,  párr.  25.</w:t>
        <w:br/>
        <w:t>Además, el Tribunal Europeo señaló que  la  imparcialidad  subjetiva  de  un</w:t>
        <w:br/>
        <w:t>juez puede determinarse, según las circunstancias concretas  del  caso,  con</w:t>
        <w:br/>
        <w:t>base en el comportamiento del juez durante el procedimiento,  el  contenido,</w:t>
        <w:br/>
        <w:t>los argumentos y el lenguaje utilizados en la decisión, o los  motivos  para</w:t>
        <w:br/>
        <w:t>llevar a  cabo  la  investigación,  que  indiquen  una  falta  de  distancia</w:t>
        <w:br/>
        <w:t>profesional frente a la decisión. Cfr. T.E.D.H., Caso Kyprianou Vs.  Chipre,</w:t>
        <w:br/>
        <w:t>(No. 73797/01), G.C., Sentencia de 15 de diciembre de  2005,  párrs.  130  a</w:t>
        <w:br/>
        <w:t>133.</w:t>
        <w:br/>
        <w:br/>
        <w:t>[261]       Cfr. T.E.D.H., Caso Micallef Vs. Malta,  (No.  17056/06),  G.C.,</w:t>
        <w:br/>
        <w:t>Sentencia del 15 de octubre de 2009, párr. 98 (“What  is  at  stake  is  the</w:t>
        <w:br/>
        <w:t>confidence which the courts in a democratic  society  must  inspire  in  the</w:t>
        <w:br/>
        <w:t>public. Thus, any judge in respect of whom there is a legitimate  reason  to</w:t>
        <w:br/>
        <w:t>fear a lack of impartiality must withdraw”); T.E.D.H., Caso  Castillo  Algar</w:t>
        <w:br/>
        <w:t>Vs. España, (No. 28194/95 ), Sentencia de 8 de octubre de 1998, párr. 45.</w:t>
        <w:br/>
        <w:br/>
        <w:t>[262]       Sentencia de la Corte de Apelaciones de Temuco de  30  de  marzo</w:t>
        <w:br/>
        <w:t>de 2004 (expediente de anexos a la demanda, tomo V, folio 2643).</w:t>
        <w:br/>
        <w:br/>
        <w:t>[263]       El artículo 63.1 de la Convención Americana dispone:</w:t>
        <w:br/>
        <w:br/>
        <w:t xml:space="preserve">      1.    Cuando decida que  hubo  violación  de  un  derecho  o  libertad</w:t>
        <w:br/>
        <w:t xml:space="preserve">      protegidos en esta Convención, la Corte dispondrá que se garantice  al</w:t>
        <w:br/>
        <w:t xml:space="preserve">      lesionado en el goce de su derecho o libertad conculcados.   Dispondrá</w:t>
        <w:br/>
        <w:t xml:space="preserve">      asimismo, si ello fuera procedente, que se reparen  las  consecuencias</w:t>
        <w:br/>
        <w:t xml:space="preserve">      de la medida o situación que ha configurado  la  vulneración  de  esos</w:t>
        <w:br/>
        <w:t xml:space="preserve">      derechos y el pago de una justa indemnización a la parte lesionada.</w:t>
        <w:br/>
        <w:br/>
        <w:t>[264]       Cfr. Caso  Velásquez  Rodríguez  Vs.  Honduras.  Reparaciones  y</w:t>
        <w:br/>
        <w:t>Costas. Sentencia de 21 de julio de 1989. Serie C No. 7,  párr.  25  y  Caso</w:t>
        <w:br/>
        <w:t>Fontevecchia y D`Amico, supra nota 28, párr. 97.</w:t>
        <w:br/>
        <w:br/>
        <w:t>[265]       Cfr.  Caso  Castillo  Páez  Vs.  Perú.  Reparaciones  y  Costas.</w:t>
        <w:br/>
        <w:t>Sentencia de 27 de noviembre de 1998. Serie  C  No.  43,  párr.  50  y  Caso</w:t>
        <w:br/>
        <w:t>Fontevecchia y D`Amico, supra nota 28, párr. 97.</w:t>
        <w:br/>
        <w:br/>
        <w:t>[266]       Cfr. Caso Velásquez Rodríguez, supra nota 264, párr. 26  y  Caso</w:t>
        <w:br/>
        <w:t>Fontevecchia y D`Amico, supra nota 28, párr. 98.</w:t>
        <w:br/>
        <w:br/>
        <w:t>[267]       Cfr. Caso de la Masacre de Mapiripán, supra nota 93,  párr.  294</w:t>
        <w:br/>
        <w:t>y Caso Barbani Duarte y otros, supra nota 91, párr. 240.</w:t>
        <w:br/>
        <w:br/>
        <w:t>[268] Cfr. Caso Baldeón García  Vs.  Perú.  Fondo,  Reparaciones  y  Costas.</w:t>
        <w:br/>
        <w:t>Sentencia de 6 de abril de 2006. Serie C  No.  183  y  Caso  Fontevecchia  y</w:t>
        <w:br/>
        <w:t>D`Amico, supra nota 28, párr. 101.</w:t>
        <w:br/>
        <w:br/>
        <w:t>[269]  Cfr.  Caso  Bayarri  Vs.  Argentina.  Excepción  Preliminar,   Fondo,</w:t>
        <w:br/>
        <w:t>Reparaciones y Costas. Sentencia de 30 de octubre de 2008. Serie C No.  187,</w:t>
        <w:br/>
        <w:t>párr. 126 y Caso Fontevecchia y D`Amico, supra nota 28, párr. 101.</w:t>
        <w:br/>
        <w:br/>
        <w:t>[270]       Cfr. Caso Acevedo Buendía y otros (“Cesantes y Jubilados  de  la</w:t>
        <w:br/>
        <w:t>Contraloría”) Vs. Perú. Excepción Preliminar, Fondo, Reparaciones y  Costas.</w:t>
        <w:br/>
        <w:t>Sentencia de 1 de julio de 2009 Serie C No. 198,  párr.  112  y  Caso  Mejía</w:t>
        <w:br/>
        <w:t>Idrovo Vs. Ecuador. Excepciones Preliminares, Fondo, Reparaciones y  Costas.</w:t>
        <w:br/>
        <w:t>Sentencia de 5 de julio de 2011. Serie C No. 228, párr. 131.</w:t>
        <w:br/>
        <w:br/>
        <w:t>[271]       Cfr. Caso Acevedo Buendía y otros (“Cesantes y Jubilados  de  la</w:t>
        <w:br/>
        <w:t>Contraloría”), supra nota 270, párr. 114 y Caso Abril Alosilla y  otros  Vs.</w:t>
        <w:br/>
        <w:t>Perú. Fondo Reparaciones y Costas. Sentencia de 4 de Marzo de 2011. Serie  C</w:t>
        <w:br/>
        <w:t xml:space="preserve">No. 223, párr.90. </w:t>
        <w:br/>
        <w:br/>
        <w:t>[272]       Cfr. Caso  Neira  Alegría  y  otros  Vs.  Perú.  Reparaciones  y</w:t>
        <w:br/>
        <w:t>Costas, Sentencia de 19 de septiembre de 1996. Serie C No. 29,  párr.  56  y</w:t>
        <w:br/>
        <w:t>Caso Fontevecchia y D`Amico, supra nota 28, párr. 102.</w:t>
        <w:br/>
        <w:br/>
        <w:t>[273]       Cfr. Caso de los  “Niños  de  la  Calle”  (Villagrán  Morales  y</w:t>
        <w:br/>
        <w:t>otros) Vs. Guatemala, Reparaciones y Costas. Sentencia  de  26  de  mayo  de</w:t>
        <w:br/>
        <w:t>2001. Serie C No. 77, párr. 84 y Caso Familia Barrios, supra nota 31,  párr.</w:t>
        <w:br/>
        <w:t>326.</w:t>
        <w:br/>
        <w:br/>
        <w:t>[274]       Cfr.  Caso  Barrios  Altos  Vs.  Perú.  Reparaciones  y  Costas.</w:t>
        <w:br/>
        <w:t>Sentencia de 30 de noviembre de 2001. Serie C No. 87, párrs. 42 y 45 y  Caso</w:t>
        <w:br/>
        <w:t>Familia Barrios, supra nota 31, párr. 329.</w:t>
        <w:br/>
        <w:br/>
        <w:t>[275]       Cfr. Caso 19 Comerciantes Vs. Colombia.  Fondo,  Reparaciones  y</w:t>
        <w:br/>
        <w:t>Costas. Sentencia de 5 de julio de 2004. Serie C No. 109, párr. 278  y  Caso</w:t>
        <w:br/>
        <w:t>Familia Barrios, supra nota 31, párr. 329.</w:t>
        <w:br/>
        <w:br/>
        <w:t>[276]       Cfr. Caso Barrios Altos, supra nota 274, Punto  Resolutivo  5.d)</w:t>
        <w:br/>
        <w:t>y Caso Fontevecchia y D`Amico, supra nota 28, párr. 108.</w:t>
        <w:br/>
        <w:br/>
        <w:t>[277]       Cfr. Caso Cantoral Benavides Vs. Perú.  Reparaciones  y  Costas.</w:t>
        <w:br/>
        <w:t>Sentencia de 3 de diciembre de 2001. Serie C No. 88, párr. 81 y Caso  de  la</w:t>
        <w:br/>
        <w:t>Masacre  de  Pueblo  Bello  Vs.  Colombia.  Fondo,  Reparaciones  y  Costas.</w:t>
        <w:br/>
        <w:t>Sentencia de 31 de enero de 2006. Serie C No. 140, párr. 254.</w:t>
        <w:br/>
        <w:br/>
        <w:t>[278]       Cfr. Sentencias de primera instancia: Sentencia RIT  No.  C-178-</w:t>
        <w:br/>
        <w:t>2005 emitida por el Juzgado de Familia de Santa Cruz; Sentencia RIT  No.  C-</w:t>
        <w:br/>
        <w:t>917-2005 emitida por el Juzgado de Familia de Temuco; Sentencia RIT  No.  C-</w:t>
        <w:br/>
        <w:t>1075-2008  emitida  por  el  Segundo  Juzgado  de  Familia  de  Santiago,  y</w:t>
        <w:br/>
        <w:t>Sentencia  RIT  No.  C-1049-2010  emitida  por  el  Juzgado  de  Familia  de</w:t>
        <w:br/>
        <w:t>Villarrica. Sentencias emitidas por la Corte Suprema de Justicia  de  Chile:</w:t>
        <w:br/>
        <w:t>Vásquez Martínez, Rol No. 559-2004 de 13  de  diciembre  de  2006;  Albornoz</w:t>
        <w:br/>
        <w:t>Agüero, Rol No. 4183-2006 de 18 de abril de 2007; Massis  con  Sánchez,  Rol</w:t>
        <w:br/>
        <w:t>No. 608-2010 de 24 de junio de 2010; Mesa con De la Rivera,  Rol  No.  4307-</w:t>
        <w:br/>
        <w:t>2010 de 16 de agosto de 2010; Poblete con Díaz,  Rol.  5770-2010  de  18  de</w:t>
        <w:br/>
        <w:t>noviembre de 2010; Barrios Duque, Rol. 1369-09  de  20  de  enero  de  2010;</w:t>
        <w:br/>
        <w:t>Encina Pérez, Rol No. 5279-2009 de 14 de abril de 2010; “Episodio  Chihuío”,</w:t>
        <w:br/>
        <w:t>Rol No. 8314-09 de 27 de enero de 2011; Farías Urzúa, Rol No.  5219-2010  de</w:t>
        <w:br/>
        <w:t>julio de 2011; Iribarren González, Rol No. 9474-2009 de 21 de  diciembre  de</w:t>
        <w:br/>
        <w:t>2011; Silva Camus, Rol No. 1198-2010 de 20 de diciembre  de  2010;  Figueroa</w:t>
        <w:br/>
        <w:t>Mercado, Rol No. 3302-2009 de 18 de mayo de 2010; González Galeano, Rol  No.</w:t>
        <w:br/>
        <w:t>682-2010 de 19 de agosto de 2011; Ríos Soto, Rol  No.  6823-2009  de  25  de</w:t>
        <w:br/>
        <w:t>agosto de 2011; Hermanos Vergara Toledo, Rol No. 789-2009 de 4 de agosto  de</w:t>
        <w:br/>
        <w:t>2010; Prats González, Rol No. 2596-2009 de  8  de  julio  de  2010;  Aldoney</w:t>
        <w:br/>
        <w:t>Vargas, Rol No. 4915-2009 de 5 de mayo de 2011; Linares Solís, Rol No. 2263-</w:t>
        <w:br/>
        <w:t>2010 de 27 de abril de 2011; Ortega Fuentes,  Rol  No.  2080-2008  de  8  de</w:t>
        <w:br/>
        <w:t>abril de 2010; Robotham y Thauby, Rol No. 5436-2010 de 22 de junio de  2011;</w:t>
        <w:br/>
        <w:t>Juan Llaupé y otros, Rol No. 5698-2009 de  25  de  enero  de  2011,  y  Soto</w:t>
        <w:br/>
        <w:t>Cerna, Rol No. 5285-2010 de 11 de junio de 2011. Sentencias emitidas por  el</w:t>
        <w:br/>
        <w:t>Tribunal Constitucional: Rol No. 786-07 de 13 de junio de 2007,  y  Rol  No.</w:t>
        <w:br/>
        <w:t>1309-09 de 20 de abril de 2010 (expediente de fondo, tomo XII, folios  5882,</w:t>
        <w:br/>
        <w:t>5912, 5913, 5914, 5956 a 6325, y  expediente de  fondo,  tomo  XIII,  folios</w:t>
        <w:br/>
        <w:t>6325 a 7039).</w:t>
        <w:br/>
        <w:br/>
        <w:t>[279]        En  similar  sentido,  cfr.  Caso  González  y  otras   ("Campo</w:t>
        <w:br/>
        <w:t>Algodonero"), supra nota 127, párr. 450.</w:t>
        <w:br/>
        <w:br/>
        <w:t>[280]       Entre dichos programas,  el  Estado  mencionó:  la  edición  del</w:t>
        <w:br/>
        <w:t>“Diagnóstico  de  la  Oferta  Pública  en  materia  de   Diversidad   y   no</w:t>
        <w:br/>
        <w:t>Discriminación”, que corresponde a un levantamiento sobre la oferta  pública</w:t>
        <w:br/>
        <w:t>en 12 regiones del país, realizado en el año  2007;  la  realización  de  un</w:t>
        <w:br/>
        <w:t>Encuentro entre Acción Social Gay, Alianza Trans, el Sindicato  Afrodita  de</w:t>
        <w:br/>
        <w:t>Valparaíso y la Secretaría Regional Ministerial de Gobierno, en el marco  de</w:t>
        <w:br/>
        <w:t>la difusión  del  diagnóstico  mencionado;  capacitaciones  en  materias  de</w:t>
        <w:br/>
        <w:t>diversidad y no discriminación a funcionarios a nivel nacional; apoyo  a  la</w:t>
        <w:br/>
        <w:t>realización de eventos públicos organizados por  el  movimiento  LGBT,  como</w:t>
        <w:br/>
        <w:t>por ejemplo la Gay Parade; el Segundo Encuentro Nacional  de  Organizaciones</w:t>
        <w:br/>
        <w:t>Trans Femininas “Dificultades, Avances y Desafiós en la Promoción y  Defensa</w:t>
        <w:br/>
        <w:t>de los Derechos Humanos”, organizado por el sindicato “Amanda  Jofré”  y  la</w:t>
        <w:br/>
        <w:t>Agrupación de Travestis Travesnavia, en el año 2006; la Primera  Jornada  de</w:t>
        <w:br/>
        <w:t>Capacitación “Planificación estratégica a la red  de  la  Diversidad  de  la</w:t>
        <w:br/>
        <w:t>Región del Biobío”, organizada, entre otros, por la  Red  de  Organizaciones</w:t>
        <w:br/>
        <w:t>de Diversidad Sexual en el año 2007; el Primer Encuentro  Nacional  “Género,</w:t>
        <w:br/>
        <w:t>familia y diversidad sexual”, organizado por ACCION GAY el año 2009;  diseño</w:t>
        <w:br/>
        <w:t>del Programa de Diversidad  Sexual  para  el  año  2011,  del  cual  se  han</w:t>
        <w:br/>
        <w:t>implementado  las  siguientes  acciones:  la   realización   del   seminario</w:t>
        <w:br/>
        <w:t>“Diversidad Sexual y Discriminación en Chile”, realizado el 27 de  enero  de</w:t>
        <w:br/>
        <w:t>2011 y la realización  de  12  encuentros  de  la  “Mesa  de  Diálogo  sobre</w:t>
        <w:br/>
        <w:t>Diversidad Sexual”, creada por la División de  Organizaciones  Sociales  con</w:t>
        <w:br/>
        <w:t>el fin de reunir representantes de la  comunidad  gay,  lesbiana,  bisexual,</w:t>
        <w:br/>
        <w:t>transgénero,  transexual  e  intersexual  (GLBTTI),  centros   de   estudios</w:t>
        <w:br/>
        <w:t>superiores,  fundaciones,  corporaciones  e  instituciones  internacionales.</w:t>
        <w:br/>
        <w:t>Cfr. escrito de alegatos finales presentado por  el  Estado  (expediente  de</w:t>
        <w:br/>
        <w:t>fondo, tomo XII, folios 5833 a 5837).</w:t>
        <w:br/>
        <w:br/>
        <w:t>[281]         Cfr.   Caso   Gangaram   Panday   Vs.   Surinam.   Excepciones</w:t>
        <w:br/>
        <w:t>Preliminares. Sentencia de 4 de diciembre de 1991. Serie C No. 12, párr.  50</w:t>
        <w:br/>
        <w:t>y Caso Chocrón Chocrón, supra nota 26, párr. 140.</w:t>
        <w:br/>
        <w:br/>
        <w:t>[282]       Cfr. Caso Gangaram Panday, supra  nota  281,  párr.  50  y  Caso</w:t>
        <w:br/>
        <w:t>Chocrón Chocrón, supra nota 26, párr. 140.</w:t>
        <w:br/>
        <w:br/>
        <w:t>[283]       Cfr. Caso Almonacid Arellano  y  otros  vs.  Chile.  Excepciones</w:t>
        <w:br/>
        <w:t>Preliminares, Fondo, Reparaciones y Costas. Sentencia de  26  de  septiembre</w:t>
        <w:br/>
        <w:t>de 2006. Serie C No. 154, párr. 124 y Caso  Fontevecchia  y  D`Amico,  supra</w:t>
        <w:br/>
        <w:t>nota 28, párr. 93.</w:t>
        <w:br/>
        <w:br/>
        <w:t>[284]       Cfr. Caso Almonacid Arellano y otros, supra nota 283, párr.  124</w:t>
        <w:br/>
        <w:t>y Caso Fontevecchia y D`Amico, supra nota 28, párr. 93.</w:t>
        <w:br/>
        <w:br/>
        <w:t>[285]       Cfr. Sentencia de  9  de  mayo  de  1995  emitida  por  la  Sala</w:t>
        <w:br/>
        <w:t>Constitucional de la  Corte  Suprema  de  Justicia  de  Costa  Rica.  Acción</w:t>
        <w:br/>
        <w:t>Inconstitucional. Voto 2313-95 (Expediente 0421-S-90), considerando VII.</w:t>
        <w:br/>
        <w:br/>
        <w:t>[286]       Cfr. Sentencia emitida el 10 de mayo de  2010  por  el  Tribunal</w:t>
        <w:br/>
        <w:t>Constitucional  de  Bolivia  (Expediente  No.  2006-13381-27-RAC),  apartado</w:t>
        <w:br/>
        <w:t>III.3. sobre “El Sistema Interamericano de Derechos Humanos.  Fundamentos  y</w:t>
        <w:br/>
        <w:t>efectos de las Sentencias emanadas de la Corte  Interamericana  de  Derechos</w:t>
        <w:br/>
        <w:t>Humanos”.</w:t>
        <w:br/>
        <w:br/>
        <w:t>[287]       Cfr. Resolución No. 1920-2003 emitida  el  13  de  noviembre  de</w:t>
        <w:br/>
        <w:t>2003 por la Suprema Corte de Justicia de República Dominicana.</w:t>
        <w:br/>
        <w:br/>
        <w:t>[288]       Cfr. Sentencia emitida el 21 de julio de 2006  por  el  Tribunal</w:t>
        <w:br/>
        <w:t>Constitucional del Perú (Expediente No. 2730-2006-PA/TC),  fundamento  12  y</w:t>
        <w:br/>
        <w:t>sentencia 00007-2007-PI/TC emitida el 19 de junio de 2007 por el  Pleno  del</w:t>
        <w:br/>
        <w:t>Tribunal  Constitucional  del  Perú  (Colegio  de  Abogados  del  Callao  c.</w:t>
        <w:br/>
        <w:t>Congreso de la República), fundamento 26.</w:t>
        <w:br/>
        <w:br/>
        <w:t>[289]       Cfr. Sentencia emitida el 23 de diciembre de 2004 por  la  Corte</w:t>
        <w:br/>
        <w:t>Suprema de Justicia de  la  Nación,  República  Argentina  (Expediente  224.</w:t>
        <w:br/>
        <w:t>XXXIX), “Espósito, Miguel Angel s/ incidente de prescripción  de  la  acción</w:t>
        <w:br/>
        <w:t>penal promovido por su defensa”, considerando 6  y  Sentencia  de  la  Corte</w:t>
        <w:br/>
        <w:t>Suprema de Justicia de la Nación de Argentina, Mazzeo, Julio Lilo  y  otros,</w:t>
        <w:br/>
        <w:t>recurso de casación e inconstitucionalidad. M. 2333. XLII. y otros de 13  de</w:t>
        <w:br/>
        <w:t>Julio de 2007, párr. 20.</w:t>
        <w:br/>
        <w:br/>
        <w:t>[290]       Cfr. Sentencia C-010/00 emitida el 19 de enero de  2000  por  la</w:t>
        <w:br/>
        <w:t>Corte Constitucional de Colombia, párr. 6.</w:t>
        <w:br/>
        <w:br/>
        <w:t>[291]       Cfr. Pleno de la Suprema Corte  de  Justicia  de  la  Nación  de</w:t>
        <w:br/>
        <w:t>México, Expediente Varios 912/2010, decisión de 14 de julio de 2011.</w:t>
        <w:br/>
        <w:br/>
        <w:t>[292]       Cfr. Corte Suprema de Justicia de Panamá, Acuerdo No. 240 de  12</w:t>
        <w:br/>
        <w:t>de mayo de 2010, mediante el cual se da cumplimiento a la  sentencia  de  27</w:t>
        <w:br/>
        <w:t>de enero de 2009, de la Corte Interamericana de Derechos Humanos en el  caso</w:t>
        <w:br/>
        <w:t>Santander Tristan Donoso contra Panama.</w:t>
        <w:br/>
        <w:br/>
        <w:t>[293]       Cfr. Caso López Mendoza  Vs.  Venezuela.  Fondo  Reparaciones  y</w:t>
        <w:br/>
        <w:t>Costas. Sentencia de 1 de septiembre de 2011. Serie C No. 233, párr. 228.</w:t>
        <w:br/>
        <w:br/>
        <w:t>[294]        Cfr.  Caso  Bámaca  Velásquez  vs.  Guatemala.  Reparaciones  y</w:t>
        <w:br/>
        <w:t>Costas. Sentencia de 22 de febrero de 2002. Serie C No. 91, párr. 43 y  Caso</w:t>
        <w:br/>
        <w:t>Fontevecchia y D`Amico, supra nota 28, párr. 114.</w:t>
        <w:br/>
        <w:br/>
        <w:t>[295]       El  Tribunal  ha  establecido  que  el  daño  inmaterial  “puede</w:t>
        <w:br/>
        <w:t>comprender tanto los sufrimientos y las aflicciones causados  a  la  víctima</w:t>
        <w:br/>
        <w:t>directa y a sus allegados, el menoscabo de valores muy  significativos  para</w:t>
        <w:br/>
        <w:t>las personas, así como las alteraciones, de carácter no pecuniario,  en  las</w:t>
        <w:br/>
        <w:t>condiciones de existencia de la víctima o su familia”. Caso  de  los  “Niños</w:t>
        <w:br/>
        <w:t>de la Calle”, supra nota 273, párr. 84 y Caso Fontevecchia y D`Amico,  supra</w:t>
        <w:br/>
        <w:t>nota 28, párr. 120.</w:t>
        <w:br/>
        <w:br/>
        <w:t>[296] Cfr.  Caso  Bámaca  Velásquez,  supra  nota  294,  párr.  43  y  Caso</w:t>
        <w:br/>
        <w:t>Fontevecchia y D`Amico, supra nota 28, párr. 114.</w:t>
        <w:br/>
        <w:br/>
        <w:t>[297]       Cfr. Caso Velásquez Rodríguez, supra nota 264, párr. 27  y  Caso</w:t>
        <w:br/>
        <w:t>Familia Barrios, supra nota 31, párr. 378.</w:t>
        <w:br/>
        <w:t>[298] Cfr. Caso Neira Alegría y otros, supra  nota  272,  párr.  50  y  Caso</w:t>
        <w:br/>
        <w:t>Familia Barrios, supra nota 31, párr. 373.</w:t>
        <w:br/>
        <w:br/>
        <w:t>[299] Cfr. Caso Neira Alegría y otros, supra  nota  272,  párr.  50  y  Caso</w:t>
        <w:br/>
        <w:t>Familia Barrios, supra nota 31, párr. 373.</w:t>
        <w:br/>
        <w:br/>
        <w:t>[300] Cfr. Caso Aloeboetoe y  otros  Vs.  Surinam.  Reparaciones  y  Costas.</w:t>
        <w:br/>
        <w:t>Sentencia de 10 de septiembre de 1993. Serie C No. 15, párr. 87.</w:t>
        <w:br/>
        <w:br/>
        <w:t>[301] Cfr.  Copia valor unidad de  fomento  –  base  de  datos  estadísticos</w:t>
        <w:br/>
        <w:t>(expediente de anexos al escrito de solicitudes, argumentos y pruebas,  tomo</w:t>
        <w:br/>
        <w:t>VI, folio 2925).</w:t>
        <w:br/>
        <w:br/>
        <w:t>[302]  Al  respecto,  se  anexaron  certificados  médicos  sobre  asistencia</w:t>
        <w:br/>
        <w:t>psiquiátrica y terapéutica y prescripción de medicamentos y  una  proyección</w:t>
        <w:br/>
        <w:t>de gastos médicos y  farmacéuticos  futuros  efectuados  por  la  psiquiatra</w:t>
        <w:br/>
        <w:t>Figueroa Morales. Según el certificado extendido  por  esta  psiquiatra,  la</w:t>
        <w:br/>
        <w:t>señora Atala fue atendida en 314 oportunidades, desde junio  de  2003  hasta</w:t>
        <w:br/>
        <w:t>diciembre de  2010,  por  un  valor  total  de  $12.560.000  pesos  chilenos</w:t>
        <w:br/>
        <w:t>equivalentes a US$ 25.120 (veinticinco mil  ciento  veinte  dólares  de  los</w:t>
        <w:br/>
        <w:t>Estados Unidos de América).  Cfr.  Certificado  emitido  por  la  psiquiatra</w:t>
        <w:br/>
        <w:t>Figueroa Morales de 21  de  diciembre  de  2010  (expediente  de  anexos  al</w:t>
        <w:br/>
        <w:t>escrito de  solicitudes,  argumentos  y  pruebas,  tomo  VI,  folio  2762  y</w:t>
        <w:br/>
        <w:t>expediente de fondo, tomo I, folios  242  y  243).  Según  los  certificados</w:t>
        <w:br/>
        <w:t>extendidos por la psiquiatra Figueroa Morales, la señora Atala  realizó  los</w:t>
        <w:br/>
        <w:t>siguientes gastos en medicamentos y consultas: i) desde junio de 2003  hasta</w:t>
        <w:br/>
        <w:t>junio de  2006:  $5.775.000  pesos  chilenos.  Certificado  emitido  por  la</w:t>
        <w:br/>
        <w:t>psiquiatra Figueroa Morales de 27 de junio de 2006 (expediente de anexos  al</w:t>
        <w:br/>
        <w:t>escrito de solicitudes, argumentos y pruebas, tomo VI, folio  2764),  y  ii)</w:t>
        <w:br/>
        <w:t>desde  junio  de  2006  hasta  mayo  de  2008:  $268.000   pesos   chilenos.</w:t>
        <w:br/>
        <w:t>Certificado emitido por la psiquiatra Figueroa Morales  de  19  de  mayo  de</w:t>
        <w:br/>
        <w:t>2008 (expediente de anexos al escrito de solicitudes, argumentos y  pruebas,</w:t>
        <w:br/>
        <w:t>tomo VI, folio 2763). Además, la psiquiatra Figueroa Morales indicó  que  la</w:t>
        <w:br/>
        <w:t>señora Atala “requerirá apoyo psiquiátrico permanente hasta  que  las  hijas</w:t>
        <w:br/>
        <w:t>sean independientes, que significa al menos 7 años más considerando la  edad</w:t>
        <w:br/>
        <w:t>de la hija menor”. Peritaje de Claudia Figueroa Morales de 4  de  agosto  de</w:t>
        <w:br/>
        <w:t>2010 (expediente de fondo, tomo II, folio 797).</w:t>
        <w:br/>
        <w:br/>
        <w:t>[303]       Cfr. Caso Garrido y  Baigorria  vs.  Argentina.  Reparaciones  y</w:t>
        <w:br/>
        <w:t>Costas. Sentencia de 27 de agosto de 1998. Serie C. No. 39, párr. 79 y  Caso</w:t>
        <w:br/>
        <w:t>Fontevecchia y D`Amico, supra nota 28, párr. 124.</w:t>
        <w:br/>
        <w:br/>
        <w:t>[304]       Los representantes tasaron en US$  200  (doscientos  dólares  de</w:t>
        <w:br/>
        <w:t>los Estados Unidos de América) cada hora de  su  trabajo.  Asimismo,  en  su</w:t>
        <w:br/>
        <w:t>escrito de alegatos finales precisaron  que  solicitaban  lo  siguiente  por</w:t>
        <w:br/>
        <w:t>gastos y costas contadas en horas de trabajo: i)  “[c]ostas  de  tramitación</w:t>
        <w:br/>
        <w:t>del Recurso de Queja  en  Chile:  US$20.000”  (veinte  mil  dólares  de  los</w:t>
        <w:br/>
        <w:t>Estados Unidos de América); ii) ”[c]ostas de presentación de  denuncia  ante</w:t>
        <w:br/>
        <w:t>la Comisión Interamericana de Derechos Humanos” ("50  horas  de  preparación</w:t>
        <w:br/>
        <w:t>de denuncia"; "50 horas de preparación de audiencia  ante  la  CIDH",  y  "1</w:t>
        <w:br/>
        <w:t>hora de audiencia ante la CIDH": US$20.200 (veinte  mil  doscientos  dólares</w:t>
        <w:br/>
        <w:t>de los Estados Unidos de América);  iii)  “[c]ostas  incurridas  durante  el</w:t>
        <w:br/>
        <w:t>proceso de solución amistosa” ("50 horas de  preparación  para  5  reuniones</w:t>
        <w:br/>
        <w:t>[...] con representantes del Estado"; "66 horas de traslados entre  Santiago</w:t>
        <w:br/>
        <w:t>y Washington -3 viajes ida y vuelta de 11 horas c/tramo", y  "150  horas  de</w:t>
        <w:br/>
        <w:t>preparación de 10 escritos (15 horas por cada escrito) presentados  ante  la</w:t>
        <w:br/>
        <w:t>CIDH": US$53.200 (cincuenta y tres mil doscientos  dólares  de  los  Estados</w:t>
        <w:br/>
        <w:t>Unidos de América);  iv)  “[c]ostas  incurridas  en  la  preparación  de  la</w:t>
        <w:br/>
        <w:t>demanda ante la Corte Interamericana de  Derechos  Humanos”  ("80  horas  de</w:t>
        <w:br/>
        <w:t>preparación  de  la  demanda"  y  "457  horas  de  trabajo  al  momento   de</w:t>
        <w:br/>
        <w:t>presentarse el escrito de alegatos finales): US$91.400  (noventa  y  un  mil</w:t>
        <w:br/>
        <w:t>cuatrocientos dólares de los Estados Unidos  de  América),  y  v)  “[c]ostas</w:t>
        <w:br/>
        <w:t>incurridas en la preparación de la audiencia  y  alegatos  finales  ante  la</w:t>
        <w:br/>
        <w:t>Corte Interamericana de Derechos Humanos” ("120 horas de preparación  de  la</w:t>
        <w:br/>
        <w:t>audiencia"; "100 horas de preparación" del escrito de alegatos  finales",  y</w:t>
        <w:br/>
        <w:t>"viaje a Bogotá de 6 abogados para la audiencia, con  un  costo  de  US$2000</w:t>
        <w:br/>
        <w:t>por persona": US$56.000 (cincuenta y seis mil dólares de los Estados  Unidos</w:t>
        <w:br/>
        <w:t>de América). En relación con la diligencia ordenada por la Corte  y  que  se</w:t>
        <w:br/>
        <w:t>realizó en Santiago de Chile (supra párr. 13), el 6 de febrero de  2012  los</w:t>
        <w:br/>
        <w:t>representantes informaron que la señora Atala “ha tenido  que  sufragar  los</w:t>
        <w:br/>
        <w:t>costos para transportar a la señora Alicia Espinoza, y a sus  hijas  menores</w:t>
        <w:br/>
        <w:t>de edad, quienes no se encontraban en Santiago para  efectos  de  garantizar</w:t>
        <w:br/>
        <w:t>su comparecencia a  [dicha]  diligencia”,  razón  por  la  cual  solicitaron</w:t>
        <w:br/>
        <w:t>“tomar en consideración  los  costos  incurridos  por  la  Señora  Atala  al</w:t>
        <w:br/>
        <w:t>momento de fijar las costas de este  proceso”  (expediente  de  fondo,  tomo</w:t>
        <w:br/>
        <w:t>XII, folios 7513 y 7514). Sin  embargo,  a  esta  última  solicitud  no  fue</w:t>
        <w:br/>
        <w:t>adjuntado ningún comprobante de gastos.</w:t>
        <w:br/>
        <w:br/>
        <w:t>[305] Cfr. Caso Chaparro Álvarez y Lapo Íñiguez, supra nota 160,  párr.  275</w:t>
        <w:br/>
        <w:t>y Caso Fontevecchia y D`Amico, supra nota 28, párr. 127.</w:t>
        <w:br/>
        <w:br/>
        <w:t>[306]       Cfr. Caso Garrido y Baigorria, supra nota 303, párr. 82  y  Caso</w:t>
        <w:br/>
        <w:t>Fontevecchia y D`Amico, supra nota 28, párr. 127.</w:t>
        <w:br/>
        <w:br/>
        <w:t>[307]       En casos análogos al presente también se  invoca  la  norma  que</w:t>
        <w:br/>
        <w:t>prohíbe la discriminación,  cuyo  texto  es  el  siguiente:  Artículo  14  —</w:t>
        <w:br/>
        <w:t>Prohibición de discriminación  -  El  goce  de  los  derechos  y  libertades</w:t>
        <w:br/>
        <w:t>reconocidos en el presente Convenio  ha  de  ser  asegurado  sin  distinción</w:t>
        <w:br/>
        <w:t>alguna, especialmente por razones de sexo, raza,  color,  lengua,  religión,</w:t>
        <w:br/>
        <w:t>opiniones políticas u otras, origen nacional o  social,  pertenencia  a  una</w:t>
        <w:br/>
        <w:t>minoría nacional, fortuna, nacimiento o cualquier otra situación.</w:t>
        <w:br/>
        <w:br/>
        <w:br/>
        <w:t>[308]       Tal vez habría correspondido citar también la  sentencia  en  el</w:t>
        <w:br/>
        <w:t>caso P. VS. vs. España  (demanda  N°  35159/09),  que  se  dictó  el  30  de</w:t>
        <w:br/>
        <w:t>noviembre de 2010 y adquirió carácter definitivo el 11 de abril de 2011.  En</w:t>
        <w:br/>
        <w:t>ese caso, la demandante es una transexual que pasó  del  sexo  masculino  al</w:t>
        <w:br/>
        <w:t>sexo femenino, y previamente había  estado  casada  con  P.Q.F.,  con  quien</w:t>
        <w:br/>
        <w:t>había tenido un hijo en 1998. Cuando se dispuso judicialmente la  separación</w:t>
        <w:br/>
        <w:t>de cuerpos, se homologó el convenio celebrado entre los cónyuges por el  que</w:t>
        <w:br/>
        <w:t>se atribuía la guarda a la madre, se confiaba la  patria  potestad  a  ambos</w:t>
        <w:br/>
        <w:t>conjuntamente y se establecía un amplio  régimen  de  visitas  a  favor  del</w:t>
        <w:br/>
        <w:t>padre. Dos años después, la madre solicitó que se quitara  el  ejercicio  de</w:t>
        <w:br/>
        <w:t>la patria potestad a su ex cónyuge y se suspendiera el régimen  de  visitas,</w:t>
        <w:br/>
        <w:t>así como toda comunicación entre el padre y el hijo. Alegó a tal  efecto  la</w:t>
        <w:br/>
        <w:t>falta de interés del padre con respecto al niño, así como el  hecho  de  que</w:t>
        <w:br/>
        <w:t>el padre seguía un tratamiento hormonal para cambiar de sexo, se  maquillaba</w:t>
        <w:br/>
        <w:t>y habitualmente se vestía de mujer.  Las  sentencias  internas  no  hicieron</w:t>
        <w:br/>
        <w:t>lugar a la petición relativa a la patria potestad y,  en  cuanto  al  resto,</w:t>
        <w:br/>
        <w:t>establecieron en régimen de visitas limitado, que luego  se  fue  ampliando.</w:t>
        <w:br/>
        <w:t>Para ello se fundaron, en cuanto a los hechos, en un  dictamen  psicológico,</w:t>
        <w:br/>
        <w:t>según el cual P. atravesaba “una situación de inestabilidad  emocional”  que</w:t>
        <w:br/>
        <w:t>“implicaba la existencia de un riesgo importante  de  perturbación  efectiva</w:t>
        <w:br/>
        <w:t>de la salud emocional y del desarrollo de la personalidad del menor,  habida</w:t>
        <w:br/>
        <w:t>cuenta de su edad (seis años en el momento del dictamen pericial)  y  de  la</w:t>
        <w:br/>
        <w:t>etapa evolutiva en la que se encontr[aba]”, y, en cuanto al derecho,  en  el</w:t>
        <w:br/>
        <w:t>interés superior del niño. No se basaron en la transexualidad del padre.  El</w:t>
        <w:br/>
        <w:t>TEDH estimó que los tribunales españoles, a diferencia de lo ocurrido en  el</w:t>
        <w:br/>
        <w:t>caso Salgueiro da Silva Mouta c.  Portugal,  no  se  habían  fundado  en  la</w:t>
        <w:br/>
        <w:t>orientación sexual de la demandante, sino que habían tenido  en  cuenta  “la</w:t>
        <w:br/>
        <w:t>inestabilidad   emocional   coyuntural   detectada”   en   ella   y   habían</w:t>
        <w:br/>
        <w:t>“privilegiado el interés del niño,  adoptando  un  régimen  de  visitas  más</w:t>
        <w:br/>
        <w:t>restrictivo, que le permitiera habituarse progresivamente al cambio de  sexo</w:t>
        <w:br/>
        <w:t>de su progenitor”, y posteriormente habían ampliado dicho  régimen  a  pesar</w:t>
        <w:br/>
        <w:t>de que “la condición sexual de la demandante seguía siendo la misma”.</w:t>
        <w:br/>
        <w:br/>
        <w:t>[309]       La  sentencia  en  el  caso  Schalk  y  Kopf  vs.  Austria  (No.</w:t>
        <w:br/>
        <w:t>30141/04) fue dictada por una Sala  del  TDH  el  24  de  junio  de  2010  y</w:t>
        <w:br/>
        <w:t>adquirió carácter definitivo el 22 de noviembre  de  2010,  con  arreglo  al</w:t>
        <w:br/>
        <w:t>art. 44.2 del Convenio (texto establecido por el Protocolo N° 11).</w:t>
        <w:br/>
        <w:br/>
        <w:t>[310]       La sentencia en el caso X, Y y Z vs. Reino Unido (No.  21830/93)</w:t>
        <w:br/>
        <w:t>fue dictada por la Gran Sala el 22 de abril de 1997.</w:t>
        <w:br/>
        <w:br/>
        <w:t>[311]       El texto de dicha  disposición  es  el  siguiente:  “Artículo  9</w:t>
        <w:br/>
        <w:t>-Derecho a  contraer  matrimonio  y  derecho  a  fundar  una  familia  -  Se</w:t>
        <w:br/>
        <w:t>garantizan el derecho a contraer  matrimonio  y  el  derecho  a  fundar  una</w:t>
        <w:br/>
        <w:t>familia según las leyes  nacionales  que  regulen  su  ejercicio”.  Como  se</w:t>
        <w:br/>
        <w:t>advierte, desaparece la referencia a “el hombre y la mujer”,  pero  hay  una</w:t>
        <w:br/>
        <w:t>remisión general a lo que dispongan las leyes nacionales.</w:t>
        <w:br/>
        <w:br/>
        <w:t>[312]       Christine Goodwin vs. Reino Unido (no. 28957/95),  sentencia  de</w:t>
        <w:br/>
        <w:t>la Gran Sala de 11 de julio de 2002.</w:t>
        <w:br/>
        <w:br/>
        <w:t>[313]       Parry vs. el Reino Unido (dec.), no. 42971/05, ECHR  2006-XV,  y</w:t>
        <w:br/>
        <w:t>R. y F. vs. el Reino Unido (dec.), no. 35748/05, 28 de noviembre de 2006.</w:t>
        <w:br/>
        <w:br/>
        <w:t>[314]       Según el comentario, “puede argumentarse que no  hay  obstáculos</w:t>
        <w:br/>
        <w:t>para reconocer las relaciones entre personas del mismo sexo en  el  contexto</w:t>
        <w:br/>
        <w:t>del matrimonio”, pero “no hay una  exigencia  explícita  de  que  las  leyes</w:t>
        <w:br/>
        <w:t>internas faciliten tales matrimonios”</w:t>
        <w:br/>
        <w:t>[315]       Para su texto, véase la nota 1.</w:t>
        <w:br/>
        <w:br/>
        <w:t>[316]       Mata Estevez vs. España (dec.), no. 56501/00, ECHR  2001-VI,  10</w:t>
        <w:br/>
        <w:t>de mayo de 2001.</w:t>
        <w:br/>
        <w:br/>
        <w:t>[317]       Supra, párr. 6.</w:t>
        <w:br/>
        <w:t>[318]       En su voto concurrente, el  magistrado  L-E.  Pettiti  dijo  que</w:t>
        <w:br/>
        <w:t>“[s]i se planteara otro caso como éste, indudablemente  sería  deseable  que</w:t>
        <w:br/>
        <w:t>la  Comisión  y  la  Corte  sugiriesen  a  las  partes  que  se   instruyera</w:t>
        <w:br/>
        <w:t>específicamente a un abogado para representar exclusivamente  los  intereses</w:t>
        <w:br/>
        <w:t>del niño”.</w:t>
        <w:br/>
        <w:t>[319]        Cfr.  Alberto  Pérez  Pérez,  “Reseña  de  la   vida   jurídica</w:t>
        <w:br/>
        <w:t>angloamericana”, en La Revista de Derecho Jurisprudencia  y  Administración,</w:t>
        <w:br/>
        <w:t>t. 61, págs. 109-120 (la cita corresponde a la página 112).</w:t>
        <w:br/>
        <w:br/>
        <w:t>[320]       El texto de la nota 191 es  el  siguiente  (cursivas  añadidas):</w:t>
        <w:br/>
        <w:t>“Naciones Unidas, Comité para la Eliminación de la Discriminación contra  la</w:t>
        <w:br/>
        <w:t>Mujer, Recomendación General No. 21 (13º  período  de  sesiones,  1994).  La</w:t>
        <w:br/>
        <w:t>igualdad en el matrimonio y en las  relaciones  familiares,  párr.  13  (“La</w:t>
        <w:br/>
        <w:t>forma y el concepto de familia varían de un Estado a otro  y  hasta  de  una</w:t>
        <w:br/>
        <w:t>región a otra en un mismo Estado. Cualquiera que sea la forma que  adopte  y</w:t>
        <w:br/>
        <w:t>cualesquiera que sean el ordenamiento jurídico, la religión, las  costumbres</w:t>
        <w:br/>
        <w:t>o la tradición en el país, el tratamiento de la mujer en  la  familia  tanto</w:t>
        <w:br/>
        <w:t>ante la ley como en privado debe conformarse con los principios de  igualdad</w:t>
        <w:br/>
        <w:t>y justicia para todas las personas, como  lo  exige  el  artículo  2  de  la</w:t>
        <w:br/>
        <w:t>Convención”); Comité de los Derechos del Niño, Observación  General  No.  7.</w:t>
        <w:br/>
        <w:t>Realización de los derechos del niño en la primera infancia, CRC/C/GC/7,  30</w:t>
        <w:br/>
        <w:t>de septiembre de 2005, párrs. 15 y 19 (“El  Comité  reconoce  que  ‘familia’</w:t>
        <w:br/>
        <w:t>aquí se refiere a una variedad de estructuras  que  pueden  ocuparse  de  la</w:t>
        <w:br/>
        <w:t>atención, el cuidado y el desarrollo de los niños pequeños y que incluyen  a</w:t>
        <w:br/>
        <w:t>la familia nuclear, la familia ampliada y otras modalidades tradicionales  y</w:t>
        <w:br/>
        <w:t>modernas de base comunitaria, siempre que sean acordes con  los  derechos  y</w:t>
        <w:br/>
        <w:t>el interés superior del niño. […] El Comité observa que en la  práctica  los</w:t>
        <w:br/>
        <w:t>modelos familiares son variables y cambiantes en muchas regiones,  al  igual</w:t>
        <w:br/>
        <w:t>que la disponibilidad de redes no estructuradas de apoyo  a  los  padres,  y</w:t>
        <w:br/>
        <w:t>existe una tendencia global hacia una mayor diversidad en el  tamaño  de  la</w:t>
        <w:br/>
        <w:t>familia, las funciones parentales y las estructuras para la crianza  de  los</w:t>
        <w:br/>
        <w:t>niños”); Comité  de  Derechos  Humanos,  Observación  General  No.  19  (39º</w:t>
        <w:br/>
        <w:t>período de  sesiones,  1990).  La  familia  (artículo  23),  HRI/GEN/1/Rev.9</w:t>
        <w:br/>
        <w:t>(Vol.I), párr. 2 (“El Comité  observa  que  el  concepto  de  familia  puede</w:t>
        <w:br/>
        <w:t>diferir en algunos aspectos de un  Estado  a  otro,  y  aun  entre  regiones</w:t>
        <w:br/>
        <w:t>dentro de un mismo Estado, de manera que no es posible  dar  una  definición</w:t>
        <w:br/>
        <w:t>uniforme del concepto”). Cfr. Naciones Unidas, Comité de  Derechos  Humanos,</w:t>
        <w:br/>
        <w:t>Observación General No. 16 (32º período de sesiones,  1988).  Derecho  a  la</w:t>
        <w:br/>
        <w:t>intimidad (artículo 17), HRI/GEN/1/Rev.9 (Vol.I), párr.  5  (“En  cuanto  al</w:t>
        <w:br/>
        <w:t>término "familia", los objetivos del Pacto exigen que,  a  los  efectos  del</w:t>
        <w:br/>
        <w:t>artículo 17, se lo interprete como un criterio amplio que  incluya  a  todas</w:t>
        <w:br/>
        <w:t>las personas que componen la familia,  tal  como  se  entienda  ésta  en  la</w:t>
        <w:br/>
        <w:t>sociedad del Estado Parte de que se trate”)”.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