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Caso  de la “Panel Blanca” (Paniagua Morales y otros) Vs. Guatemala</w:t>
        <w:br/>
        <w:br/>
        <w:br/>
        <w:t xml:space="preserve">                      Sentencia de 25 de enero de 1996</w:t>
        <w:br/>
        <w:t xml:space="preserve">                         (Excepciones Preliminares)</w:t>
        <w:br/>
        <w:br/>
        <w:br/>
        <w:t>En el caso Paniagua Morales y otros,</w:t>
        <w:br/>
        <w:br/>
        <w:t>la Corte Interamericana de Derechos Humanos, integrada  por  los  siguientes</w:t>
        <w:br/>
        <w:t>jueces(*):</w:t>
        <w:br/>
        <w:br/>
        <w:br/>
        <w:t xml:space="preserve">      Héctor Fix-Zamudio, Presidente</w:t>
        <w:br/>
        <w:t xml:space="preserve">      Hernán Salgado Pesantes, Vicepresidente</w:t>
        <w:br/>
        <w:t xml:space="preserve">      Alejandro Montiel Argüello, Juez</w:t>
        <w:br/>
        <w:t xml:space="preserve">      Máximo Pacheco Gómez, Juez</w:t>
        <w:br/>
        <w:t xml:space="preserve">      Alirio Abreu Burelli, Juez</w:t>
        <w:br/>
        <w:t xml:space="preserve">      Antônio A. Cançado Trindade, Juez</w:t>
        <w:br/>
        <w:t xml:space="preserve">      Edgar E. Larraondo Salguero, Juez ad hoc;</w:t>
        <w:br/>
        <w:br/>
        <w:br/>
        <w:t>presentes, además,</w:t>
        <w:br/>
        <w:br/>
        <w:br/>
        <w:t xml:space="preserve">      Manuel E. Ventura Robles, Secretario y</w:t>
        <w:br/>
        <w:t xml:space="preserve">      Ana María Reina, Secretaria adjunta</w:t>
        <w:br/>
        <w:br/>
        <w:t>de acuerdo con el artículo 31.6 del Reglamento de  la  Corte  Interamericana</w:t>
        <w:br/>
        <w:t>de Derechos Humanos  (en  adelante  “el  Reglamento”),  dicta  la  siguiente</w:t>
        <w:br/>
        <w:t>sentencia sobre las excepciones preliminares interpuestas  por  el  Gobierno</w:t>
        <w:br/>
        <w:t>de la República de Guatemala (en adelante “el Gobierno” o “Guatemala”).</w:t>
        <w:br/>
        <w:br/>
        <w:br/>
        <w:br/>
        <w:t xml:space="preserve">                                      I</w:t>
        <w:br/>
        <w:br/>
        <w:t>1.    Este caso fue sometido a la Corte Interamericana de  Derechos  Humanos</w:t>
        <w:br/>
        <w:t>(en adelante “la Corte”) por la Comisión Interamericana de Derechos  Humanos</w:t>
        <w:br/>
        <w:t>(en adelante “la Comisión” o “la  Comisión  Interamericana”)  mediante  nota</w:t>
        <w:br/>
        <w:t>del 18 de enero de 1995, recibida el  día  siguiente.   Se  originó  en  una</w:t>
        <w:br/>
        <w:t>petición (No. 10.154) contra Guatemala  recibida  en  la  Secretaría  de  la</w:t>
        <w:br/>
        <w:t>Comisión el 10 de febrero de 1988.</w:t>
        <w:br/>
        <w:br/>
        <w:t>2.    Al presentar el caso ante la Corte, la Comisión invocó  los  artículos</w:t>
        <w:br/>
        <w:t>50 y 51 de la Convención Americana sobre Derechos Humanos (en  adelante  “la</w:t>
        <w:br/>
        <w:t>Convención” o “la Convención Americana”) y el artículo 26 y  siguientes  del</w:t>
        <w:br/>
        <w:t>Reglamento.  La Comisión Interamericana sometió este caso para que la  Corte</w:t>
        <w:br/>
        <w:t>determinara  la  responsabilidad  de  Guatemala  por  supuestos  “actos   de</w:t>
        <w:br/>
        <w:t>secuestro,  detención  arbitraria,  trato  inhumano,  tortura  y   asesinato</w:t>
        <w:br/>
        <w:t>cometidos por agentes del Estado de Guatemala contra once víctimas”  durante</w:t>
        <w:br/>
        <w:t>1987 y 1988 (caso conocido como el de la “Panel Blanca” debido al uso de  un</w:t>
        <w:br/>
        <w:t>vehículo de ese tipo como parte del modus operandi) y para que  declare  que</w:t>
        <w:br/>
        <w:t>Guatemala ha violado las siguientes normas:</w:t>
        <w:br/>
        <w:br/>
        <w:t xml:space="preserve">    Artículo 4 de la Convención  Americana  (Derecho  a  la  Vida)  de  las</w:t>
        <w:br/>
        <w:t xml:space="preserve">    siguientes víctimas: Ana Elizabeth  Paniagua  Morales,  Julián  Salomón</w:t>
        <w:br/>
        <w:t xml:space="preserve">    Gómez Ayala, William Otilio González Rivera, Pablo  Corado  Barrientos,</w:t>
        <w:br/>
        <w:t xml:space="preserve">    Manuel de Jesús González López y Erik Leonardo Chinchilla.</w:t>
        <w:br/>
        <w:br/>
        <w:br/>
        <w:t xml:space="preserve">    Artículos 5 (Derecho  a  la  Integridad  Personal),  7  (Derecho  a  la</w:t>
        <w:br/>
        <w:t xml:space="preserve">    Libertad Personal) de la Convención Americana y  las  obligaciones  que</w:t>
        <w:br/>
        <w:t xml:space="preserve">    establecen los artículos 1, 6 y 8 de la Convención Interamericana  para</w:t>
        <w:br/>
        <w:t xml:space="preserve">    Prevenir y Sancionar la Tortura en perjuicio de Ana Elizabeth  Paniagua</w:t>
        <w:br/>
        <w:t xml:space="preserve">    Morales, Julián Salomón Gómez Ayala, William  Otilio  González  Rivera,</w:t>
        <w:br/>
        <w:t xml:space="preserve">    Pablo Corado  Barrientos,  Manuel  de  Jesús  González  López,  Augusto</w:t>
        <w:br/>
        <w:t xml:space="preserve">    Angárita Ramírez, Doris Torres  Gil,  José  Antonio  Montenegro,  Oscar</w:t>
        <w:br/>
        <w:t xml:space="preserve">    Vásquez y Marco Antonio Montes Letona.</w:t>
        <w:br/>
        <w:br/>
        <w:br/>
        <w:t xml:space="preserve">    Artículos 8 (Garantías Judiciales) y 25  (Protección  Judicial)  de  la</w:t>
        <w:br/>
        <w:t xml:space="preserve">    Convención, los cuales han sido violados y continúan siendo violados en</w:t>
        <w:br/>
        <w:t xml:space="preserve">    perjuicio de todas las víctimas de este caso.</w:t>
        <w:br/>
        <w:br/>
        <w:br/>
        <w:t xml:space="preserve">    Artículo 1.1 (Obligación de Respetar y Garantizar  los  Derechos)  como</w:t>
        <w:br/>
        <w:t xml:space="preserve">    consecuencia del incumplimiento señalado de las  garantías  consagradas</w:t>
        <w:br/>
        <w:t xml:space="preserve">    en la Convención.</w:t>
        <w:br/>
        <w:br/>
        <w:t>Asimismo, la Comisión pidió a la Corte que exigiera al Gobierno  identificar</w:t>
        <w:br/>
        <w:t>y  castigar  a  los  responsables  de  las  violaciones  antes  mencionadas,</w:t>
        <w:br/>
        <w:t>indemnizar a las víctimas de las mismas de conformidad con el artículo  63.1</w:t>
        <w:br/>
        <w:t>de la Convención y  pagar  las  costas  y  gastos  de  las  víctimas  y  sus</w:t>
        <w:br/>
        <w:t>familiares incurridos en la tramitación de este caso ante la Comisión  y  la</w:t>
        <w:br/>
        <w:t>Corte y los honorarios razonables de sus abogados.</w:t>
        <w:br/>
        <w:br/>
        <w:t>3.    La Comisión Interamericana  designó  delegado  a  Claudio  Grossman  y</w:t>
        <w:br/>
        <w:t>abogados a Edith Márquez Rodríguez, David J. Padilla, Elizabeth  Abi-Mershed</w:t>
        <w:br/>
        <w:t>y Osvaldo Kreimer.  Además, la Comisión nombró asistentes a  las  siguientes</w:t>
        <w:br/>
        <w:t>personas, que  señaló  como  representantes  legales  de  los  peticionarios</w:t>
        <w:br/>
        <w:t>originales:  Mark  Martel,  Viviana  Krsticevic,  Ariel  Dulitzky,   Marcela</w:t>
        <w:br/>
        <w:t>Matamoros, Juan Méndez y José Miguel Vivanco.</w:t>
        <w:br/>
        <w:br/>
        <w:t>4.    El 19 de enero de 1995 la Secretaría de  la  Corte  (en  adelante  “la</w:t>
        <w:br/>
        <w:t>Secretaría”) acusó recibo del facsímil de la  Comisión  de  ese  mismo  día,</w:t>
        <w:br/>
        <w:t>mediante el cual sometió el caso a la Corte.   En  esa  fecha,  la  Comisión</w:t>
        <w:br/>
        <w:t>acusó recibo de dicho escrito e indicó que sólo para  efectos  de  registro,</w:t>
        <w:br/>
        <w:t>la transmisión de  la  demanda  se  inició  en  sus  oficinas  antes  de  la</w:t>
        <w:br/>
        <w:t>medianoche del 18 de enero de 1995 (hora de Costa  Rica,  país  sede  de  la</w:t>
        <w:br/>
        <w:t>Corte).  Por nota del 20  de  enero  del  mismo  año  la  Secretaría  de  la</w:t>
        <w:br/>
        <w:t>Comisión ratificó los términos de  su  escrito  anterior  e  indicó  que  la</w:t>
        <w:br/>
        <w:t>primera hoja de la demanda había ingresado a la “01:52 horas y la  última  a</w:t>
        <w:br/>
        <w:t>las 3:17 horas (hora de Costa Rica) del día  19  de  enero  de  1995.”   Por</w:t>
        <w:br/>
        <w:t>carta del 25 de enero de 1995, la Comisión aclaró que  “el  tiempo  indicado</w:t>
        <w:br/>
        <w:t>en la cubierta del facsímil era el registrado por la máquina de  fax  de  la</w:t>
        <w:br/>
        <w:t>Comisión y no del de la Corte” y que además, ese  horario  estaba  una  hora</w:t>
        <w:br/>
        <w:t>adelantado del real porque el Departamento  de  Recursos  Materiales  de  la</w:t>
        <w:br/>
        <w:t>Organización  de  los  Estados   Americanos   (en   adelante   “la   O.E.A”)</w:t>
        <w:br/>
        <w:t>generalmente no ajusta esas máquinas durante el horario de invierno, por  lo</w:t>
        <w:br/>
        <w:t>que, “como la hora de Costa Rica  era  una  hora  más  temprano  que  la  de</w:t>
        <w:br/>
        <w:t>Washington, D.C. [sede de la Comisión], eso significa que la Corte empezó  a</w:t>
        <w:br/>
        <w:t>recibir el escrito de la demanda a las 11:52  (hora  de  Costa  Rica).”   Se</w:t>
        <w:br/>
        <w:t>presentó  como  anexo  de  dicha  carta  un  memorando  del   Director   del</w:t>
        <w:br/>
        <w:t>Departamento de Recursos Humanos de la O.E.A certificando el cambio de  hora</w:t>
        <w:br/>
        <w:t>del facsímil de la Comisión.</w:t>
        <w:br/>
        <w:br/>
        <w:t>5.    El Presidente de la Corte (en adelante “El  Presidente”),  después  de</w:t>
        <w:br/>
        <w:t>haber realizado un examen  preliminar  de  la  demanda  y  una  vez  que  la</w:t>
        <w:br/>
        <w:t>Comisión subsanó los defectos enumerados en la carta de la Secretaría del  9</w:t>
        <w:br/>
        <w:t>de febrero de 1995, autorizó la tramitación del caso.  Por  nota  del  6  de</w:t>
        <w:br/>
        <w:t>marzo de 1995 se notificó oficialmente  la  demanda  al  Gobierno  y  se  le</w:t>
        <w:br/>
        <w:t>otorgó un plazo de dos semanas para nombrar agente y agente alterno; uno  de</w:t>
        <w:br/>
        <w:t>tres meses para contestar la demanda y  uno  de  treinta  días  para  oponer</w:t>
        <w:br/>
        <w:t>excepciones preliminares y por otra comunicación de la  misma  fecha  se  le</w:t>
        <w:br/>
        <w:t>invitó a designar Juez ad hoc.</w:t>
        <w:br/>
        <w:br/>
        <w:t>6.    Por nota del 20 de marzo de 1995 el Gobierno  designó  a  los  señores</w:t>
        <w:br/>
        <w:t>Acisclo Valladares Molina  y  Vicente  Arranz  Sanz  como  agente  y  agente</w:t>
        <w:br/>
        <w:t>alterno respectivamente y el 19 de abril del mismo año, nombró Juez  ad  hoc</w:t>
        <w:br/>
        <w:t>a Edgar Enrique Larraondo Salguero.  El 29 de agosto de  1995,  el  Gobierno</w:t>
        <w:br/>
        <w:t>nombró al señor Alfonso Novales Aguirre como Juez ad hoc en sustitución  del</w:t>
        <w:br/>
        <w:t>señor Larraondo Salguero.  La Corte, por resolución del 11 de septiembre  de</w:t>
        <w:br/>
        <w:t>1995 decidió “[n]o admitir la pretendida sustitución del Juez ad  hoc  Edgar</w:t>
        <w:br/>
        <w:t>Enrique Larraondo Salguero por el Licenciado Alfonso Novales Aguirre”.</w:t>
        <w:br/>
        <w:br/>
        <w:t>7.    De  conformidad  con  el  artículo  31  del  Reglamento,  el  Gobierno</w:t>
        <w:br/>
        <w:t>presentó el 3 de abril de 1995 un escrito en el cual  interpuso  excepciones</w:t>
        <w:br/>
        <w:t>preliminares (véase infra párr. 23).</w:t>
        <w:br/>
        <w:br/>
        <w:t>8.    En ese mismo escrito el Gobierno solicitó  a  la  Corte  que,  por  el</w:t>
        <w:br/>
        <w:t>carácter  de  las  excepciones  preliminares,  decidiera   expresamente   la</w:t>
        <w:br/>
        <w:t>suspensión del procedimiento sobre el fondo.   Al  respecto,  la  Corte  por</w:t>
        <w:br/>
        <w:t>resolución del 17 de mayo de 1995, declaró improcedente  dicha  solicitud  y</w:t>
        <w:br/>
        <w:t>continuó con la tramitación del caso  en  sus  distintas  etapas  procesales</w:t>
        <w:br/>
        <w:t>debido a  que  la  suspensión  solicitada  no  respondía  a  una  “situación</w:t>
        <w:br/>
        <w:t>excepcional” y no se presentaron argumentos que la justificaran.</w:t>
        <w:br/>
        <w:br/>
        <w:t>9.    La Secretaría, de conformidad con el  artículo  31.3  del  Reglamento,</w:t>
        <w:br/>
        <w:t>notificó las excepciones preliminares y otorgó a la  Comisión  un  plazo  de</w:t>
        <w:br/>
        <w:t>treinta días para que presentara sus alegatos.  La Comisión los presentó  el</w:t>
        <w:br/>
        <w:t>4 de mayo de 1995, en escrito mediante el cual refutó las  excepciones  “por</w:t>
        <w:br/>
        <w:t>carecer de fundamento de hecho y de derecho”.</w:t>
        <w:br/>
        <w:br/>
        <w:t>10.   El Presidente, por resolución del 20 de mayo de  1995,  y  de  acuerdo</w:t>
        <w:br/>
        <w:t>con el artículo 31.6 del Reglamento, convocó a las partes  a  una  audiencia</w:t>
        <w:br/>
        <w:t>pública a celebrarse el 14 de septiembre de 1995 para conocer sus puntos  de</w:t>
        <w:br/>
        <w:t>vista sobre las excepciones preliminares opuestas.  La Comisión solicitó  la</w:t>
        <w:br/>
        <w:t>posposición de dicha audiencia y el Presidente, mediante resolución  del  30</w:t>
        <w:br/>
        <w:t>de junio de 1995, acogió la solicitud y señaló el 16 de septiembre  de  1995</w:t>
        <w:br/>
        <w:t>para la realización de dicha audiencia.</w:t>
        <w:br/>
        <w:br/>
        <w:t>11.   El 2 de junio de 1995 el  Gobierno  presentó  su  contestación  de  la</w:t>
        <w:br/>
        <w:t>demanda.</w:t>
        <w:br/>
        <w:br/>
        <w:t>12.   La audiencia pública tuvo lugar en la  sede  de  la  Corte  el  16  de</w:t>
        <w:br/>
        <w:t>septiembre de 1995, a la cual comparecieron:</w:t>
        <w:br/>
        <w:br/>
        <w:t>por el Gobierno de la República de Guatemala:</w:t>
        <w:br/>
        <w:br/>
        <w:t xml:space="preserve">    Acisclo Valladares Molina, agente</w:t>
        <w:br/>
        <w:t xml:space="preserve">    Vicente Arranz Sanz, agente alterno</w:t>
        <w:br/>
        <w:t xml:space="preserve">    Denis Alonzo Mazariegos, asistente</w:t>
        <w:br/>
        <w:t xml:space="preserve">    Ramiro Ordóñez Jonama, asistente</w:t>
        <w:br/>
        <w:t xml:space="preserve">    Alfonso Novales Aguirre, asistente</w:t>
        <w:br/>
        <w:t xml:space="preserve">    Cruz Munguía Sosa, asistente;</w:t>
        <w:br/>
        <w:br/>
        <w:t>por la Comisión Interamericana de Derechos Humanos:</w:t>
        <w:br/>
        <w:br/>
        <w:t xml:space="preserve">    Claudio Grossman, delegado</w:t>
        <w:br/>
        <w:t xml:space="preserve">    David J. Padilla, abogado</w:t>
        <w:br/>
        <w:t xml:space="preserve">    Elizabeth Abi-Mershed, abogada</w:t>
        <w:br/>
        <w:t xml:space="preserve">    Mark Martel, asistente</w:t>
        <w:br/>
        <w:t xml:space="preserve">    Ariel Dulitzsky, asistente</w:t>
        <w:br/>
        <w:t xml:space="preserve">    Marcela Matamoros, asistente.</w:t>
        <w:br/>
        <w:br/>
        <w:br/>
        <w:t xml:space="preserve">                                     II</w:t>
        <w:br/>
        <w:br/>
        <w:t>13.   En los siguientes párrafos, y de acuerdo  con  la  demanda  presentada</w:t>
        <w:br/>
        <w:t>ante la Corte con sus  anexos,  se  resumen  los  hechos,  circunstancias  y</w:t>
        <w:br/>
        <w:t>trámite de este caso ante la Comisión.</w:t>
        <w:br/>
        <w:br/>
        <w:t>14.   Según la demanda, en cada uno de los delitos que se alegan en ella  el</w:t>
        <w:br/>
        <w:t>“modus operandi” era el siguiente: miembros de la  Guardia  de  Hacienda  de</w:t>
        <w:br/>
        <w:t>Guatemala, fuertemente armados, detenían por la  fuerza  a  personas  y  las</w:t>
        <w:br/>
        <w:t>obligaban  a  subir  a  una  panel  (camioneta)  blanca.   Estos  secuestros</w:t>
        <w:br/>
        <w:t>tuvieron lugar en la ciudad de Guatemala entre fines de diciembre de 1987  y</w:t>
        <w:br/>
        <w:t>febrero de 1988, con excepción de un  secuestro  y  ejecución  ocurridos  en</w:t>
        <w:br/>
        <w:t>junio de 1987.  En todos los  casos  alegados,  agentes  de  la  Guardia  de</w:t>
        <w:br/>
        <w:t>Hacienda detuvieron a las personas sin ninguna orden  judicial.  Algunos  de</w:t>
        <w:br/>
        <w:t>los detenidos fueron llevados a las instalaciones de la Guardia de  Hacienda</w:t>
        <w:br/>
        <w:t>y torturados; otros fueron  ejecutados  después  de  ser  torturados  y  sus</w:t>
        <w:br/>
        <w:t>cuerpos abandonados pocos días después de su detención en las calles  de  la</w:t>
        <w:br/>
        <w:t>ciudad de Guatemala y sus alrededores.</w:t>
        <w:br/>
        <w:br/>
        <w:t>15.   El 11 de febrero de 1988,  la  Comisión  transmitió  al  Gobierno  las</w:t>
        <w:br/>
        <w:t>partes pertinentes de la petición en la que se denunciaba  el  secuestro  de</w:t>
        <w:br/>
        <w:t>Ana Elizabeth Paniagua Morales y le solicitó información.  El 16 de  febrero</w:t>
        <w:br/>
        <w:t>del mismo año, el  Gobierno  contestó  confirmando  la  desaparición  de  la</w:t>
        <w:br/>
        <w:t>víctima  y  el  hallazgo  de  su  cadáver  e  informó  que  las  autoridades</w:t>
        <w:br/>
        <w:t>competentes  estaban  investigando  el  caso,  pero  que  la  familia  había</w:t>
        <w:br/>
        <w:t>rehusado brindar información para contribuir a encontrar a los  responsables</w:t>
        <w:br/>
        <w:t>del crimen.</w:t>
        <w:br/>
        <w:br/>
        <w:t>16.   El 13 de febrero de 1989, los peticionarios  enviaron  a  la  Comisión</w:t>
        <w:br/>
        <w:t>información  adicional  sobre  las  circunstancias  del  secuestro  de   Ana</w:t>
        <w:br/>
        <w:t>Elizabeth Paniagua Morales y denunciaron el asesinato del  joven  estudiante</w:t>
        <w:br/>
        <w:t>Erik  Leonardo  Chinchilla,  ocurrido  el  17  de  febrero  de  1988  y  con</w:t>
        <w:br/>
        <w:t>posterioridad le solicitaron que incluyera a dicha víctima en el caso.</w:t>
        <w:br/>
        <w:br/>
        <w:t>17 .  El 28 de septiembre de 1990, durante su 78º período de sesiones  y  el</w:t>
        <w:br/>
        <w:t>23 de septiembre de 1991,  en  su  80º  período  de  sesiones,  la  Comisión</w:t>
        <w:br/>
        <w:t>celebró audiencias sobre el caso, con  la  presencia  de  representantes  de</w:t>
        <w:br/>
        <w:t>ambas partes.</w:t>
        <w:br/>
        <w:br/>
        <w:t>18.   Los peticionarios,  mediante  carta  del  30  de  diciembre  de  1991,</w:t>
        <w:br/>
        <w:t>remitieron una lista ampliada de víctimas de  conformidad  con  la  posición</w:t>
        <w:br/>
        <w:t>planteada previamente de que el caso involucraba un número indeterminado  de</w:t>
        <w:br/>
        <w:t>víctimas.  Se indicó que otras cinco personas  habían  sido  secuestradas  y</w:t>
        <w:br/>
        <w:t>asesinadas, cinco más secuestradas y detenidas ilícitamente  y  todas  ellas</w:t>
        <w:br/>
        <w:t>habían sido previamente identificadas  como  víctimas  en  la  investigación</w:t>
        <w:br/>
        <w:t>policial y judicial de Guatemala.</w:t>
        <w:br/>
        <w:br/>
        <w:t>19.   Oscar Vásquez -quien era víctima y testigo en este  caso-  y  su  hijo</w:t>
        <w:br/>
        <w:t>fueron asesinados  el  11  de  septiembre  de  1994,  cinco  días  antes  de</w:t>
        <w:br/>
        <w:t>celebrarse la audiencia final sobre el caso ante  la  Comisión.   El  13  de</w:t>
        <w:br/>
        <w:t>diciembre de 1994,  los  peticionarios  enviaron  en  esa  misma  fecha  una</w:t>
        <w:br/>
        <w:t>solicitud de medidas precautorias para  proteger  a  siete  miembros  de  la</w:t>
        <w:br/>
        <w:t>familia de Oscar Vásquez.  Ese mismo día, la Comisión solicitó  al  Gobierno</w:t>
        <w:br/>
        <w:t>que  tomase  todas  las  medidas  necesarias  para  proteger  la  vida,   la</w:t>
        <w:br/>
        <w:t>integridad personal y la libertad de los miembros de  la  familia  nombrados</w:t>
        <w:br/>
        <w:t>en la solicitud.</w:t>
        <w:br/>
        <w:br/>
        <w:t>20.   El 16 de septiembre de 1994,  durante  el  87º  período  ordinario  de</w:t>
        <w:br/>
        <w:t>sesiones de la Comisión, a solicitud de los peticionarios, se  celebró  otra</w:t>
        <w:br/>
        <w:t>audiencia sobre el caso a la que asistieron representantes de ambas  partes.</w:t>
        <w:br/>
        <w:t xml:space="preserve"> El 23 de septiembre de 1994, la Comisión aprobó el  Informe  23/94,  en  el</w:t>
        <w:br/>
        <w:t>que en su parte dispositiva resolvió lo siguiente:</w:t>
        <w:br/>
        <w:br/>
        <w:t xml:space="preserve">           1.    Admitir el presente caso.</w:t>
        <w:br/>
        <w:br/>
        <w:br/>
        <w:t xml:space="preserve">           2.    Declarar que el Gobierno de Guatemala no ha  cumplido  sus</w:t>
        <w:br/>
        <w:t xml:space="preserve">    obligaciones de respetar los derechos y  libertades  contenidos  en  la</w:t>
        <w:br/>
        <w:t xml:space="preserve">    Convención  Americana  sobre  Derechos  Humanos,  y  de  garantizar  su</w:t>
        <w:br/>
        <w:t xml:space="preserve">    ejercicio, según lo dispone el Artículo 1 de dicho instrumento.</w:t>
        <w:br/>
        <w:br/>
        <w:br/>
        <w:t xml:space="preserve">           3.    Declarar que el Gobierno de Guatemala violó  los  derechos</w:t>
        <w:br/>
        <w:t xml:space="preserve">    humanos de las  víctimas  en  el  presente  caso,  consagrados  en  los</w:t>
        <w:br/>
        <w:t xml:space="preserve">    Artículos 4.1, 5.1 y .2, 7, 24 y 25 de la Convención Americana.</w:t>
        <w:br/>
        <w:br/>
        <w:br/>
        <w:t xml:space="preserve">           4.     Recomendar  al  Gobierno  de  Guatemala  que  adopte  las</w:t>
        <w:br/>
        <w:t xml:space="preserve">    siguientes medidas:</w:t>
        <w:br/>
        <w:br/>
        <w:br/>
        <w:t xml:space="preserve">           a.    investigar las violaciones que ocurrieron en  el  presente</w:t>
        <w:br/>
        <w:t xml:space="preserve">           caso, juzgar y sancionar a los responsables;</w:t>
        <w:br/>
        <w:br/>
        <w:br/>
        <w:t xml:space="preserve">           b.    adoptar las medidas necesarias para evitar  la  ocurrencia</w:t>
        <w:br/>
        <w:t xml:space="preserve">           de estas violaciones en el futuro;</w:t>
        <w:br/>
        <w:br/>
        <w:br/>
        <w:t xml:space="preserve">           c.    pagar una justa compensación a los parientes  próximos  de</w:t>
        <w:br/>
        <w:t xml:space="preserve">           las víctimas.</w:t>
        <w:br/>
        <w:br/>
        <w:br/>
        <w:t xml:space="preserve">           5.     Transmitir  este  informe  al  Gobierno  de  Guatemala  y</w:t>
        <w:br/>
        <w:t xml:space="preserve">    otorgarle un término de 60 días para  implementar  las  recomendaciones</w:t>
        <w:br/>
        <w:t xml:space="preserve">    aquí contenidas. El plazo de 60 días se inicia a partir de la fecha  de</w:t>
        <w:br/>
        <w:t xml:space="preserve">    remisión del presente informe. Durante este plazo, el Gobierno no  está</w:t>
        <w:br/>
        <w:t xml:space="preserve">    autorizado para publicar este informe, en virtud de lo dispuesto en  el</w:t>
        <w:br/>
        <w:t xml:space="preserve">    Artículo 47.6 del Reglamento de la Comisión.</w:t>
        <w:br/>
        <w:br/>
        <w:br/>
        <w:t xml:space="preserve">           6.    Remitir este caso a la Corte  Interamericana  de  Derechos</w:t>
        <w:br/>
        <w:t xml:space="preserve">    Humanos en caso de que el Gobierno de Guatemala no ponga  en  ejecución</w:t>
        <w:br/>
        <w:t xml:space="preserve">    todas las recomendaciones contenidas en el presente informe.</w:t>
        <w:br/>
        <w:br/>
        <w:t>21.   Dicho informe fue transmitido por la Comisión al  Gobierno  el  20  de</w:t>
        <w:br/>
        <w:t>octubre de 1994 y se le solicitó que informara sobre las  medidas  adoptadas</w:t>
        <w:br/>
        <w:t>para resolver la situación denunciada, dentro de un plazo de  sesenta  días.</w:t>
        <w:br/>
        <w:t>El Gobierno no respondió dicha solicitud  ni  envió  sus  observaciones  con</w:t>
        <w:br/>
        <w:t>respecto al Informe 23/94 y tampoco solicitó su reconsideración.</w:t>
        <w:br/>
        <w:br/>
        <w:br/>
        <w:t xml:space="preserve">                                     III</w:t>
        <w:br/>
        <w:br/>
        <w:t>22.   La Corte es competente para conocer del presente caso.   Guatemala  es</w:t>
        <w:br/>
        <w:t>Estado Parte en la Convención desde el 25  de  mayo  de  1978  y  aceptó  la</w:t>
        <w:br/>
        <w:t>competencia contenciosa de la Corte el 9 de marzo de 1987.</w:t>
        <w:br/>
        <w:br/>
        <w:br/>
        <w:t xml:space="preserve">                                     IV</w:t>
        <w:br/>
        <w:br/>
        <w:t>23.   El Gobierno alegó como excepciones preliminares las siguientes:</w:t>
        <w:br/>
        <w:br/>
        <w:t xml:space="preserve">    1) Excepción de prescripción extintiva del derecho  de  la  Comisión  a</w:t>
        <w:br/>
        <w:t xml:space="preserve">    someter dicho caso a la  decisión  de  la  Corte,  que  le  concede  el</w:t>
        <w:br/>
        <w:t xml:space="preserve">    artículo 61.1 de la Convención Americana sobre Derechos Humanos, por no</w:t>
        <w:br/>
        <w:t xml:space="preserve">    haber ejercitado ese derecho dentro del plazo de tres meses establecido</w:t>
        <w:br/>
        <w:t xml:space="preserve">    por el artículo 51.1 de la mencionada Convención.</w:t>
        <w:br/>
        <w:br/>
        <w:br/>
        <w:t xml:space="preserve">    2) Excepción de invalidez jurídica absoluta  de  la  demanda  sobre  el</w:t>
        <w:br/>
        <w:t xml:space="preserve">    mencionado caso presentada  a  la  Corte  por  la  Comisión  contra  la</w:t>
        <w:br/>
        <w:t xml:space="preserve">    República de Guatemala  el  19  de  enero  de  1995,  por  evidentes  y</w:t>
        <w:br/>
        <w:t xml:space="preserve">    sustanciales violaciones,</w:t>
        <w:br/>
        <w:br/>
        <w:br/>
        <w:t xml:space="preserve">    2.1- Del artículo 51.1 de la Convención Americana de Derechos  Humanos,</w:t>
        <w:br/>
        <w:t xml:space="preserve">    al haberlo hecho cuando el plazo fijado en el mismo había caducado,  es</w:t>
        <w:br/>
        <w:t xml:space="preserve">    decir, extemporáneamente, y,</w:t>
        <w:br/>
        <w:br/>
        <w:br/>
        <w:t xml:space="preserve">    2.2- Del artículo 26 del Reglamento de la Corte, al no cumplir con  los</w:t>
        <w:br/>
        <w:t xml:space="preserve">    requisitos exigidos por el mismo para la introducción de una causa ante</w:t>
        <w:br/>
        <w:t xml:space="preserve">    la Corte de conformidad con el artículo 61.1 de la Convención.</w:t>
        <w:br/>
        <w:br/>
        <w:br/>
        <w:t xml:space="preserve">                                      V</w:t>
        <w:br/>
        <w:br/>
        <w:t>24.    La  Corte  entra  a  considerar  la  primera  de  dichas  excepciones</w:t>
        <w:br/>
        <w:t>preliminares.  Sostiene el Gobierno que, de acuerdo con el  artículo  51  de</w:t>
        <w:br/>
        <w:t>la Convención Americana, la Comisión tenía un plazo de  tres  meses  contado</w:t>
        <w:br/>
        <w:t>desde la remisión del Informe al cual se refiere  el  artículo  51.1  de  la</w:t>
        <w:br/>
        <w:t>Convención, para ejercitar el derecho de  someter  el  presente  caso  a  la</w:t>
        <w:br/>
        <w:t>decisión de la Corte.  Agrega que el plazo comenzó a correr a partir del  20</w:t>
        <w:br/>
        <w:t>de octubre de  1994,  fecha  en  que  la  Comisión  remitió  el  Informe  al</w:t>
        <w:br/>
        <w:t>Ministerio de Relaciones Exteriores de Guatemala y  que  el  plazo  de  tres</w:t>
        <w:br/>
        <w:t>meses  es  equivalente  a  noventa  días  calendario  y,  por  consiguiente,</w:t>
        <w:br/>
        <w:t>concluye que el plazo para que  la  Comisión  presentara  la  demanda  a  la</w:t>
        <w:br/>
        <w:t>Corte, venció el 17 de enero de 1995 a las  doce  de  la  noche.   Alega  el</w:t>
        <w:br/>
        <w:t>Gobierno que, como dentro de este plazo la Comisión no sometió el caso a  la</w:t>
        <w:br/>
        <w:t>Corte, este derecho prescribió.</w:t>
        <w:br/>
        <w:br/>
        <w:t>25.   Sostiene la Comisión, en relación con esta excepción  preliminar,  que</w:t>
        <w:br/>
        <w:t>la demanda fue presentada dentro de los tres meses contados a partir  de  la</w:t>
        <w:br/>
        <w:t>fecha de la remisión del Informe  23/94  a  Guatemala,  que  fue  el  20  de</w:t>
        <w:br/>
        <w:t>octubre de 1994.  Alega la Comisión que el término “mes” se  refiere  a  mes</w:t>
        <w:br/>
        <w:t>calendario y que interpretar la expresión tres meses del  artículo  51.1  de</w:t>
        <w:br/>
        <w:t>la Convención como noventa días  sería  inconsistente  con  el  texto  y  el</w:t>
        <w:br/>
        <w:t>sentido ordinario de los términos de dicho precepto.</w:t>
        <w:br/>
        <w:br/>
        <w:t>Según la Comisión, debe interpretarse dicho  artículo  51.1  en  consonancia</w:t>
        <w:br/>
        <w:t>con el  espíritu  de  la  disposición,  es  decir,  brindar  al  Estado  una</w:t>
        <w:br/>
        <w:t>oportunidad para resolver el asunto cumpliendo con  las  recomendaciones  de</w:t>
        <w:br/>
        <w:t>la Comisión.  Concluye la Comisión que el lapso de tres meses,  iniciado  el</w:t>
        <w:br/>
        <w:t>20 de octubre de 1994, expiró el 20 de enero de 1995 y, en consecuencia,  la</w:t>
        <w:br/>
        <w:t>demanda transmitida a la Corte el día 18 de enero de 1995,  fue  interpuesta</w:t>
        <w:br/>
        <w:t>dentro del plazo.</w:t>
        <w:br/>
        <w:br/>
        <w:t>26.   La Corte no entra a analizar si la demanda fue interpuesta  dentro  de</w:t>
        <w:br/>
        <w:t>los noventa días siguientes al 20 de octubre de 1994, ya que estima que,  de</w:t>
        <w:br/>
        <w:t>conformidad con el artículo 51.1 de la Convención  Americana,  el  plazo  de</w:t>
        <w:br/>
        <w:t>tres meses debe considerarse mes calendario gregoriano, es decir,  de  fecha</w:t>
        <w:br/>
        <w:t>a fecha.</w:t>
        <w:br/>
        <w:br/>
        <w:t>27.   Si bien la cuestión planteada en este caso no  se  ha  presentado  con</w:t>
        <w:br/>
        <w:t>anterioridad, ha sido práctica constante de la Corte computar los plazos  de</w:t>
        <w:br/>
        <w:t>tres meses a que se refiere el artículo 51.1 de la  Convención  de  fecha  a</w:t>
        <w:br/>
        <w:t>fecha (Caso Aloeboetoe y Otros, Sentencia de 4 de diciembre de  1991.  Serie</w:t>
        <w:br/>
        <w:t>C No. 11; Caso Gangaram Panday, Sentencia de 21 de enero de  1994.  Serie  C</w:t>
        <w:br/>
        <w:t>No. 16; Caso Genie Lacayo, Excepciones  Preliminares,  Sentencia  de  27  de</w:t>
        <w:br/>
        <w:t>enero de 1995.  Serie C No. 21; Caso Caballero Delgado y Santana,  Sentencia</w:t>
        <w:br/>
        <w:t>de 8 de diciembre de 1995. Serie C No.  22;  Caso  Neira  Alegría  y  otros,</w:t>
        <w:br/>
        <w:t>Sentencia de 19 de enero de 1995.  Serie C No. 20; Caso Maqueda,  Resolución</w:t>
        <w:br/>
        <w:t>de 17 de enero de 1995.  Serie C No. 18;  Caso El Amparo,  Sentencia  de  18</w:t>
        <w:br/>
        <w:t>de enero de 1995. Serie C No. 19).</w:t>
        <w:br/>
        <w:br/>
        <w:t>28.   En el Caso Caballero Delgado  y  Santana,  (Excepciones  Preliminares,</w:t>
        <w:br/>
        <w:t>Sentencia  de  21  de  enero  de  1994.  Serie   C   No.   17),   la   Corte</w:t>
        <w:br/>
        <w:t>inadvertidamente al referirse a un argumento  de  la  Comisión,  utilizó  la</w:t>
        <w:br/>
        <w:t>expresión “90 días” como equivalente a “tres meses” (párrafo  39)  y  aplicó</w:t>
        <w:br/>
        <w:t>las dos expresiones como sinónimos  (párrafo  43).   Sin  embargo,  en  este</w:t>
        <w:br/>
        <w:t>mismo caso, la Corte aplicó el criterio de los tres  meses  calendario,  tal</w:t>
        <w:br/>
        <w:t>como se desprende del párrafo 39 de aquella sentencia, que aplicó  un  plazo</w:t>
        <w:br/>
        <w:t>de tres meses del 17 de octubre de 1991 al 17 de enero de 1992  (de  haberse</w:t>
        <w:br/>
        <w:t>computado por días y no  por  calendario  gregoriano,  habrían  transcurrido</w:t>
        <w:br/>
        <w:t>noventa  y  tres  días).   También  en  el  Caso  Neira  Alegría  y   otros,</w:t>
        <w:br/>
        <w:t>(Excepciones Preliminares, Sentencia de 11 de diciembre de  1991.   Serie  C</w:t>
        <w:br/>
        <w:t>No. 13, párrs. 32-34), la Corte aplicó el plazo de  tres  meses  del  11  de</w:t>
        <w:br/>
        <w:t>junio de 1990 al 11 de septiembre de 1990 (tres  meses  calendario  formados</w:t>
        <w:br/>
        <w:t>por noventa y tres días).</w:t>
        <w:br/>
        <w:br/>
        <w:t>29.   La Corte considera que, conforme lo establece el artículo 51.1  de  la</w:t>
        <w:br/>
        <w:t>Convención Americana, la Comisión Interamericana  tiene  un  plazo  de  tres</w:t>
        <w:br/>
        <w:t>meses a partir de la remisión del Informe a que se refiere el artículo  50.1</w:t>
        <w:br/>
        <w:t>de la Convención, para someter un caso a la Corte.  La expresión  “plazo  de</w:t>
        <w:br/>
        <w:t>tres meses” debe  entenderse  en  su  sentido  usual.   De  acuerdo  con  el</w:t>
        <w:br/>
        <w:t>Diccionario de la Real Academia de la  Lengua  Española,  “plazo”  “[es  el]</w:t>
        <w:br/>
        <w:t>término o tiempo señalado para una cosa”, y “mes  [es  el]  número  de  días</w:t>
        <w:br/>
        <w:t>consecutivos desde uno  señalado  hasta  otro  de  igual  fecha  en  el  mes</w:t>
        <w:br/>
        <w:t>siguiente.”  Asimismo, la Convención  de  Viena  sobre  el  Derecho  de  los</w:t>
        <w:br/>
        <w:t>Tratados (artículo 31.1) enumera entre los elementos de  interpretación,  el</w:t>
        <w:br/>
        <w:t>sentido corriente de las palabras, además del contexto,  objeto  y  fin  del</w:t>
        <w:br/>
        <w:t>tratado (véase infra párr. 40).</w:t>
        <w:br/>
        <w:br/>
        <w:t>30.   En la mayor parte de las legislaciones de los países  latinoamericanos</w:t>
        <w:br/>
        <w:t>se establece que el primero y el último día de un  plazo  de  meses  o  años</w:t>
        <w:br/>
        <w:t>deberá tener la misma numeración en los respectivos meses.  El plazo  de  un</w:t>
        <w:br/>
        <w:t>mes podrá ser, por consiguiente, de 28, 29,  30  ó  31  días.   La  Ley  del</w:t>
        <w:br/>
        <w:t>Organismo Judicial de Guatemala, aprobada por Decreto 2.89 del 10  de  enero</w:t>
        <w:br/>
        <w:t>de 1989, establece en su Capítulo V, artículo 45, letra c) que “los meses  y</w:t>
        <w:br/>
        <w:t>los años se regularán por el número de días que  les  corresponde  según  el</w:t>
        <w:br/>
        <w:t>calendario gregoriano.  Terminarán los años y los meses, la  víspera  de  la</w:t>
        <w:br/>
        <w:t>fecha en que han principiado a contarse.”</w:t>
        <w:br/>
        <w:br/>
        <w:t>De  acuerdo  con  lo  expuesto,  la  Corte  desecha  la  primera   excepción</w:t>
        <w:br/>
        <w:t>interpuesta por el Gobierno.</w:t>
        <w:br/>
        <w:br/>
        <w:br/>
        <w:t xml:space="preserve">                                     VI</w:t>
        <w:br/>
        <w:br/>
        <w:t>31.    El  Gobierno  sostiene,  en  relación  con   la   segunda   excepción</w:t>
        <w:br/>
        <w:t>preliminar, que la introducción de la demanda por vía  facsimilar  y  la  no</w:t>
        <w:br/>
        <w:t>consignación de los diez  ejemplares  de  la  misma  a  que  se  refiere  el</w:t>
        <w:br/>
        <w:t>artículo 26 del Reglamento,  constituyen  una  omisión  “de  las  exigencias</w:t>
        <w:br/>
        <w:t>legales que deben cumplirse para  la  introducción  de  una  causa  ante  la</w:t>
        <w:br/>
        <w:t>Corte”.</w:t>
        <w:br/>
        <w:br/>
        <w:t>32.    Con  respecto  al  primero  de  los  argumentos  de  esta   excepción</w:t>
        <w:br/>
        <w:t>preliminar,  la  Corte,  previo  estudio  de  sus  antecedentes   sobre   el</w:t>
        <w:br/>
        <w:t>particular, observa lo siguiente: en los casos  relativos  a  Honduras,  las</w:t>
        <w:br/>
        <w:t>demandas ingresaron el  24  de  abril  de  1986  por  télex;  en  los  casos</w:t>
        <w:br/>
        <w:t>Aloeboetoe y otros y Gangaram  Panday  ambas  demandas  ingresaron  por  vía</w:t>
        <w:br/>
        <w:t>facsimilar el 27 de agosto de 1990 y el 1 de abril de 1991 fueron  recibidas</w:t>
        <w:br/>
        <w:t>vía courier las memorias junto con la documentación original; el caso  Neira</w:t>
        <w:br/>
        <w:t>Alegría y otros ingresó el 10 de octubre de 1990 cuando  fue  presentada  la</w:t>
        <w:br/>
        <w:t>demanda junto con el Informe 43/90  del  14  de  mayo  de  1990  y  por  vía</w:t>
        <w:br/>
        <w:t>facsimilar se presentó la memoria el 28 de marzo de  1991;  el  caso  Cayara</w:t>
        <w:br/>
        <w:t>ingresó el 3 de junio de 1991 por vía facsimilar y el 7 de junio de 1991  se</w:t>
        <w:br/>
        <w:t>recibió por courier la documentación original y, el 14 de febrero  de  1992,</w:t>
        <w:br/>
        <w:t>se recibió por la misma vía una segunda demanda junto con  la  documentación</w:t>
        <w:br/>
        <w:t>original.</w:t>
        <w:br/>
        <w:br/>
        <w:t>33.   En el caso Caballero Delgado y Santana se inició el  procedimiento  de</w:t>
        <w:br/>
        <w:t>acuerdo con el Reglamento actual.  En este caso la demanda ingresó  por  vía</w:t>
        <w:br/>
        <w:t>facsimilar el 24 de diciembre de 1992 y el 4 de enero de 1993 se  recibieron</w:t>
        <w:br/>
        <w:t>diez copias de la demanda original con los anexos; el caso Genie Lacayo  fue</w:t>
        <w:br/>
        <w:t>introducido el 6 de enero de 1994 vía facsimilar y el 12 de  enero  de  1994</w:t>
        <w:br/>
        <w:t>se recibió el courier con  diez  copias  de  la  demanda  original  con  los</w:t>
        <w:br/>
        <w:t>anexos; el caso El Amparo ingresó el 16 de enero de 1994 por vía  facsimilar</w:t>
        <w:br/>
        <w:t>y el 21 de enero de  1994  se  recibieron  diez  ejemplares  de  la  demanda</w:t>
        <w:br/>
        <w:t>original con los anexos; el caso Maqueda fue presentado por  vía  facsimilar</w:t>
        <w:br/>
        <w:t>el 25 de mayo de 1994 y el 2 de junio de  1994  fueron  recibidas  las  diez</w:t>
        <w:br/>
        <w:t>copias de la demanda original con los anexos; el caso Castillo Páez  ingresó</w:t>
        <w:br/>
        <w:t>por vía facsimilar el 13 de enero de 1995 y  el  17  de  enero  de  1995  se</w:t>
        <w:br/>
        <w:t>recibieron por vía courier diez  copias  de  la  demanda  original  con  los</w:t>
        <w:br/>
        <w:t>anexos; el caso Loayza Tamayo fue interpuesto por vía facsimilar  el  12  de</w:t>
        <w:br/>
        <w:t>enero de 1995 y el 17 de enero de 1995 fue  recibido  el  courier  con  diez</w:t>
        <w:br/>
        <w:t>copias de la demanda original con los anexos; el caso  Garrido  y  Baigorria</w:t>
        <w:br/>
        <w:t>se introdujo el 29 de mayo de 1995 por vía facsimilar y el  5  de  junio  de</w:t>
        <w:br/>
        <w:t>1995 se recibió por vía courier la demanda original con los anexos; el  caso</w:t>
        <w:br/>
        <w:t>Blake ingresó el 3 de agosto de 1995 por vía facsimilar y el  11  de  agosto</w:t>
        <w:br/>
        <w:t>de 1995 se recibió vía courier la demanda original  con  los  anexos;  y  el</w:t>
        <w:br/>
        <w:t>caso Suárez Rosero fue presentado por vía facsimilar el 22 de  diciembre  de</w:t>
        <w:br/>
        <w:t>1995 y el 5 de enero de 1996 fueron recibidos los documentos originales  con</w:t>
        <w:br/>
        <w:t>los anexos.</w:t>
        <w:br/>
        <w:br/>
        <w:t>34.   De lo anterior se colige  que  ha  sido  una  práctica  constante,  no</w:t>
        <w:br/>
        <w:t>objetada por los gobiernos, la presentación inicial de las demandas ante  la</w:t>
        <w:br/>
        <w:t>Corte mediante télex o facsímil, seguida  de  la  consignación,  pocos  días</w:t>
        <w:br/>
        <w:t>después, de los documentos originales y de las diez copias a que se  refiere</w:t>
        <w:br/>
        <w:t>el artículo 26 del Reglamento.  En ninguno de los casos señalados, el  lapso</w:t>
        <w:br/>
        <w:t>entre la presentación de la demanda por vía facsimilar  y  la  recepción  de</w:t>
        <w:br/>
        <w:t>los documentos originales junto con los  diez  ejemplares  ha  excedido  los</w:t>
        <w:br/>
        <w:t>catorce días continuos.</w:t>
        <w:br/>
        <w:br/>
        <w:t>35.    La  Corte  no  encuentra  motivo  suficiente  para  modificar   dicha</w:t>
        <w:br/>
        <w:t>práctica, por  cuanto  todo  tribunal  debe  seguir  el  ritmo  de  la  vida</w:t>
        <w:br/>
        <w:t>contemporánea  y  valerse  de  los  avances  tecnológicos   y   los   medios</w:t>
        <w:br/>
        <w:t>electrónicos modernos para  facilitar  sus  comunicaciones  con  las  partes</w:t>
        <w:br/>
        <w:t>procesales, de modo que  dichas  comunicaciones  operen  con  la  fluidez  y</w:t>
        <w:br/>
        <w:t>celeridad  debidas.   Esto  se  aplica,  con  mayor  razón,  a  un  tribunal</w:t>
        <w:br/>
        <w:t>internacional de  derechos  humanos,  lo  que  permite  a  éste  actuar  con</w:t>
        <w:br/>
        <w:t>seguridad y dentro de las previsiones normales acordes con  las  vicisitudes</w:t>
        <w:br/>
        <w:t>que conlleva la distancia entre dicho tribunal y las partes.  Si a  ello  se</w:t>
        <w:br/>
        <w:t>une  la  presentación,  pocos  días  después,  del  documento  originalmente</w:t>
        <w:br/>
        <w:t>enviado por vía facsimilar, no podrá invocarse  válidamente  algún  tipo  de</w:t>
        <w:br/>
        <w:t>lesión al derecho  procesal  de  las  partes  que  pueda  justificar  la  no</w:t>
        <w:br/>
        <w:t>utilización del facsímil como vía de comunicación.</w:t>
        <w:br/>
        <w:br/>
        <w:t>36.   Por lo expuesto, la Corte considera que es válida la  presentación  de</w:t>
        <w:br/>
        <w:t>la demanda por vía facsimilar y, en consecuencia, no puede fundamentarse  en</w:t>
        <w:br/>
        <w:t>este hecho la excepción de extemporaneidad opuesta.</w:t>
        <w:br/>
        <w:br/>
        <w:t>37.   Con respecto al segundo argumento de esta excepción preliminar, en  el</w:t>
        <w:br/>
        <w:t>sentido de  que  la  no  presentación  de  la  demanda  en  diez  ejemplares</w:t>
        <w:br/>
        <w:t>representa el incumplimiento de un “requisito  fundamental”  violatorio  del</w:t>
        <w:br/>
        <w:t>artículo 26 del Reglamento que provocaría el rechazo  de  la  demanda,  esta</w:t>
        <w:br/>
        <w:t>Corte considera que, si bien la Comisión no cumplió literalmente  con  dicho</w:t>
        <w:br/>
        <w:t>requisito reglamentario, tal hecho debe analizarse a  la  luz  del  artículo</w:t>
        <w:br/>
        <w:t>26, en concordancia con el artículo 27 del Reglamento.  Según  este  último,</w:t>
        <w:br/>
        <w:t>el Presidente puede, durante el examen preliminar de la  demanda,  solicitar</w:t>
        <w:br/>
        <w:t>al  demandante  que  corrija  los  defectos  derivados  de  la  omisión   de</w:t>
        <w:br/>
        <w:t>“requisitos fundamentales”.  Si se confiere al  Presidente  la  facultad  de</w:t>
        <w:br/>
        <w:t>ordenar  la  corrección  de  “requisitos   fundamentales”   omitidos,   como</w:t>
        <w:br/>
        <w:t>efectivamente ocurrió en este caso, con mayor razón  puede  permitirse  que,</w:t>
        <w:br/>
        <w:t>dentro de ciertos  límites  de  razonabilidad  y  temporalidad,  se  reciban</w:t>
        <w:br/>
        <w:t>posteriormente  las  diez  copias  de  la  demanda,  que,  por   lo   demás,</w:t>
        <w:br/>
        <w:t>constituyen un requisito  formal  cuya  inobservancia  temporal  no  produce</w:t>
        <w:br/>
        <w:t>necesariamente indefensión, desequilibrio o desigualdad procesal  entre  las</w:t>
        <w:br/>
        <w:t>partes.</w:t>
        <w:br/>
        <w:br/>
        <w:t>38.   Cabe en este caso recordar el criterio expresado por la  Corte  en  el</w:t>
        <w:br/>
        <w:t>sentido de que,</w:t>
        <w:br/>
        <w:br/>
        <w:br/>
        <w:t xml:space="preserve">    ... el sistema procesal es un medio para realizar  la  justicia  y  que</w:t>
        <w:br/>
        <w:t xml:space="preserve">    ésta no puede ser sacrificada en aras de meras formalidades.  Dentro de</w:t>
        <w:br/>
        <w:t xml:space="preserve">    ciertos límites de temporalidad y razonabilidad,  ciertas  omisiones  o</w:t>
        <w:br/>
        <w:t xml:space="preserve">    retrasos  en  la  observancia  de  los   procedimientos,   pueden   ser</w:t>
        <w:br/>
        <w:t xml:space="preserve">    dispensados, si se conserva un adecuado equilibrio entre la justicia  y</w:t>
        <w:br/>
        <w:t xml:space="preserve">    la  seguridad  jurídica   (Caso   Cayara,   Excepciones   Preliminares,</w:t>
        <w:br/>
        <w:t xml:space="preserve">    Sentencia de 3 de febrero de 1993. Serie C No. 14, párr. 42).</w:t>
        <w:br/>
        <w:br/>
        <w:t>39.   Esta Corte estima que no hay razones para alterar  la  práctica  según</w:t>
        <w:br/>
        <w:t>la cual la parte accionante presente los diez ejemplares de la  demanda  con</w:t>
        <w:br/>
        <w:t>posterioridad a su ingreso por vía facsimilar, pero siempre  dentro  de  los</w:t>
        <w:br/>
        <w:t>límites de temporalidad y bajo el criterio de razonabilidad  indicados.   La</w:t>
        <w:br/>
        <w:t>consignación de las copias, pocos días después de  introducida  la  demanda,</w:t>
        <w:br/>
        <w:t>representa un tiempo mínimo razonable para  que  el  Presidente  realice  el</w:t>
        <w:br/>
        <w:t>examen preliminar de la demanda durante el  cual  puede  incluso  tomar  las</w:t>
        <w:br/>
        <w:t>medidas procesales para que se subsanen los eventuales defectos de ésta.</w:t>
        <w:br/>
        <w:br/>
        <w:t>40.   Como se dijo anteriormente  (véase  supra  párr.  29),  son  elementos</w:t>
        <w:br/>
        <w:t>consagrados para la interpretación de los tratados el sentido  corriente  de</w:t>
        <w:br/>
        <w:t>sus términos, el contexto y el  objeto  y  fin  de  dichos  tratados.  Tales</w:t>
        <w:br/>
        <w:t>elementos se encuentran vinculados en el artículo 31.1 de la  Convención  de</w:t>
        <w:br/>
        <w:t>Viena sobre el Derecho de  los  Tratados,  al  indicar  que  el  proceso  de</w:t>
        <w:br/>
        <w:t>interpretación es uno.  Atentaría contra el objeto y fin  de  la  Convención</w:t>
        <w:br/>
        <w:t>Americana, y no tomaría en cuenta el  contexto  de  la  misma,  aplicar  las</w:t>
        <w:br/>
        <w:t>normas reglamentarias sin  un  criterio  de  razonabilidad,  ocasionando  un</w:t>
        <w:br/>
        <w:t>desequilibrio entre  las  partes  y  comprometiendo  la  realización  de  la</w:t>
        <w:br/>
        <w:t>justicia.</w:t>
        <w:br/>
        <w:br/>
        <w:t>41.   Tal como señaló la Corte,</w:t>
        <w:br/>
        <w:br/>
        <w:t xml:space="preserve">    [l]a “razonabilidad” implica un juicio de valor y, aplicada a una  ley,</w:t>
        <w:br/>
        <w:t xml:space="preserve">    una conformidad con los principios  del  sentido  común.   Se  utiliza,</w:t>
        <w:br/>
        <w:t xml:space="preserve">    igualmente, referida a parámetros de interpretación de los tratados  y,</w:t>
        <w:br/>
        <w:t xml:space="preserve">    por consiguiente, de la Convención.   Siendo  razonable  lo  justo,  lo</w:t>
        <w:br/>
        <w:t xml:space="preserve">    proporcionado y lo equitativo, por oposición a lo  injusto,  absurdo  y</w:t>
        <w:br/>
        <w:t xml:space="preserve">    arbitrario, es un  calificativo  que  tiene  contenido  axiológico  que</w:t>
        <w:br/>
        <w:t xml:space="preserve">    implica opinión pero, de alguna manera, puede  emplearse  jurídicamente</w:t>
        <w:br/>
        <w:t xml:space="preserve">    como, de hecho, lo hacen  con  frecuencia  los  tribunales,  pues  toda</w:t>
        <w:br/>
        <w:t xml:space="preserve">    actividad estatal debe no solamente ser válida sino razonable  (Ciertas</w:t>
        <w:br/>
        <w:t xml:space="preserve">    atribuciones de la Comisión Interamericana de Derechos  Humanos  (arts.</w:t>
        <w:br/>
        <w:t xml:space="preserve">    41, 42, 44, 46, 47, 50 y 51 de la Convención Americana  sobre  Derechos</w:t>
        <w:br/>
        <w:t xml:space="preserve">    Humanos), Opinión Consultiva OC-13/93 del 16 de julio de 1993.  Serie A</w:t>
        <w:br/>
        <w:t xml:space="preserve">    No. 13, párr. 33).</w:t>
        <w:br/>
        <w:br/>
        <w:t>42.   No se  puede  tomar  en  cuenta  el  sentido  literal  de  las  normas</w:t>
        <w:br/>
        <w:t>reglamentarias  haciendo  abstracción  del  contexto  de  aplicación  de  la</w:t>
        <w:br/>
        <w:t>Convención Americana y del objeto y fin de la misma, a los  cuales  hay  que</w:t>
        <w:br/>
        <w:t>vincular la interpretación de todas las disposiciones aplicables en el  caso</w:t>
        <w:br/>
        <w:t>concreto. “[L]o esencial”, como señaló la Corte, “es que  se  preserven  las</w:t>
        <w:br/>
        <w:t>condiciones necesarias para que los derechos procesales  de  las  partes  no</w:t>
        <w:br/>
        <w:t>sean disminuidos o desequilibrados, y para que se alcancen  los  fines  para</w:t>
        <w:br/>
        <w:t>los cuales han sido diseñados los distintos procedimientos” (Caso  Velásquez</w:t>
        <w:br/>
        <w:t>Rodríguez, Excepciones Preliminares, Sentencia del  26  de  junio  de  1987.</w:t>
        <w:br/>
        <w:t>Serie C No. 1, párr. 33;  Caso Fairén Garbi y  Solís  Corrales,  Excepciones</w:t>
        <w:br/>
        <w:t>Preliminares, Sentencia del 26 de junio de 1987.  Serie C No. 2, párr. 38  y</w:t>
        <w:br/>
        <w:t>Caso Godínez Cruz, Excepciones Preliminares, Sentencia del 26  de  junio  de</w:t>
        <w:br/>
        <w:t>1987.  Serie C No. 3, párr. 36).  Los  defectos  formales  alegados  por  el</w:t>
        <w:br/>
        <w:t>Gobierno no representan perjuicio procesal contra el  mismo  que  justifique</w:t>
        <w:br/>
        <w:t>que en este caso pueda  prevalecer  el  sentido  puramente  literal  de  una</w:t>
        <w:br/>
        <w:t>disposición reglamentaria sobre el interés superior de la realización de  la</w:t>
        <w:br/>
        <w:t>justicia en la aplicación de la Convención Americana.</w:t>
        <w:br/>
        <w:br/>
        <w:t>Por lo anterior, la Corte desestima, por infundada, esta  segunda  excepción</w:t>
        <w:br/>
        <w:t>preliminar.</w:t>
        <w:br/>
        <w:br/>
        <w:br/>
        <w:br/>
        <w:t xml:space="preserve">                                     VII</w:t>
        <w:br/>
        <w:br/>
        <w:br/>
        <w:t>Por tanto,</w:t>
        <w:br/>
        <w:br/>
        <w:br/>
        <w:t>LA CORTE,</w:t>
        <w:br/>
        <w:br/>
        <w:br/>
        <w:t>RESUELVE:</w:t>
        <w:br/>
        <w:br/>
        <w:br/>
        <w:t>por seis votos contra uno,</w:t>
        <w:br/>
        <w:br/>
        <w:t>1.    Desestimar las excepciones preliminares interpuestas por  el  Gobierno</w:t>
        <w:br/>
        <w:t>de la República de Guatemala.</w:t>
        <w:br/>
        <w:br/>
        <w:br/>
        <w:t>2.    Continuar con el conocimiento del presente caso.</w:t>
        <w:br/>
        <w:br/>
        <w:t>Disiente el Juez ad hoc Edgar E. Larraondo Salguero.</w:t>
        <w:br/>
        <w:br/>
        <w:t>Redactada en castellano e inglés, haciendo fe el  texto  en  castellano,  en</w:t>
        <w:br/>
        <w:t>San José, Costa Rica, el día 25 de enero de 1996.</w:t>
        <w:br/>
        <w:br/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t>Hernán Salgado Pesantes     Alejandro Montiel Argüello</w:t>
        <w:br/>
        <w:br/>
        <w:br/>
        <w:t>Máximo Pacheco Gómez   Alirio Abreu Burelli</w:t>
        <w:br/>
        <w:br/>
        <w:br/>
        <w:t>Antônio A. Cançado Trindade Edgar E. Larraondo Salguero</w:t>
        <w:br/>
        <w:t xml:space="preserve">      Juez ad hoc</w:t>
        <w:br/>
        <w:br/>
        <w:t xml:space="preserve">                          Manuel E. Ventura Robles</w:t>
        <w:br/>
        <w:t xml:space="preserve">                                 Secretario</w:t>
        <w:br/>
        <w:br/>
        <w:t>Leída en sesión pública en la sede de la Corte en San José, Costa  Rica,  el</w:t>
        <w:br/>
        <w:t>día 26 de enero de 1996.</w:t>
        <w:br/>
        <w:br/>
        <w:br/>
        <w:br/>
        <w:t>Comuníquese y ejecútese,</w:t>
        <w:br/>
        <w:br/>
        <w:t xml:space="preserve">                                                          Héctor Fix-Zamudio</w:t>
        <w:br/>
        <w:t xml:space="preserve">      Presidente</w:t>
        <w:br/>
        <w:br/>
        <w:br/>
        <w:t>Manuel E. Ventura Robles</w:t>
        <w:br/>
        <w:t xml:space="preserve">      Secretario</w:t>
        <w:br/>
        <w:br/>
        <w:t xml:space="preserve">                       Voto disidente del Juez ad hoc</w:t>
        <w:br/>
        <w:t xml:space="preserve">                    Dr. Edgar Enrique Larraondo Salguero</w:t>
        <w:br/>
        <w:br/>
        <w:br/>
        <w:br/>
        <w:br/>
        <w:t xml:space="preserve">                             Caso:  Panel Blanca</w:t>
        <w:br/>
        <w:t xml:space="preserve">                  (Ana Elizabeth Paniagua Morales y otros)</w:t>
        <w:br/>
        <w:t xml:space="preserve">                              Expediente: 10154</w:t>
        <w:br/>
        <w:br/>
        <w:br/>
        <w:br/>
        <w:br/>
        <w:br/>
        <w:t>VOTO EN CONTRA del respetable criterio de la mayoría de los señores  Jueces,</w:t>
        <w:br/>
        <w:t>por las razones que expongo a continuación:</w:t>
        <w:br/>
        <w:br/>
        <w:t xml:space="preserve">      En derecho procesal la legalidad de las formas consiste en  los  modos</w:t>
        <w:br/>
        <w:t>o maneras en que  deben  desenvolverse  los  actos  de  que  se  compone  el</w:t>
        <w:br/>
        <w:t>proceso, o sea, en el tiempo, lugar y orden previstos por la ley.</w:t>
        <w:br/>
        <w:br/>
        <w:t xml:space="preserve">      Ello es valedero para todo tipo de proceso, cualesquiera  que  sea  su</w:t>
        <w:br/>
        <w:t>naturaleza y jurisdicción, para evitar caer en la anarquía procesal,  puesto</w:t>
        <w:br/>
        <w:t>que el derecho falto de certeza deja de ser derecho.  En  el  presente  caso</w:t>
        <w:br/>
        <w:t>las leyes aplicables:   la  Convención  Americana  sobre  Derechos  Humanos,</w:t>
        <w:br/>
        <w:t>Reglamento de la Comisión Interamericana de Derechos  Humanos  y  Reglamento</w:t>
        <w:br/>
        <w:t>de la Corte Interamericana de Derechos  Humanos  y  su  Estatuto,  contienen</w:t>
        <w:br/>
        <w:t>disposiciones  que  revisten  formalidades   solemnes   referentes   a   las</w:t>
        <w:br/>
        <w:t>actuaciones  ante  la  Corte,  tendientes  a   asegurar   el   respeto   del</w:t>
        <w:br/>
        <w:t>contradictorio, igualdad procesal  y  seguridad  jurídica.   Congruente  con</w:t>
        <w:br/>
        <w:t>ello la Corte en sentencia del 21 de enero de 1994,  en  el  caso  Caballero</w:t>
        <w:br/>
        <w:t>Delgado y Santana, párrafo 52, página 24 dice:</w:t>
        <w:br/>
        <w:br/>
        <w:t xml:space="preserve">      “Debe la Corte, sin embargo, puntualizar que no  existe  razón  alguna</w:t>
        <w:br/>
        <w:t xml:space="preserve">      para que  la  Comisión  no  dé  estricto  cumplimiento  a  las  normas</w:t>
        <w:br/>
        <w:t xml:space="preserve">      procesales porque, como lo ha dicho ya y lo reitera ahora,  es  verdad</w:t>
        <w:br/>
        <w:t xml:space="preserve">      que el objeto y  fin  de  la  Convención  no  pueden  sacrificarse  al</w:t>
        <w:br/>
        <w:t xml:space="preserve">      procedimiento pero éste, en aras de la seguridad jurídica, obliga a la</w:t>
        <w:br/>
        <w:t xml:space="preserve">      Comisión” (lo resaltado es del Juez ad hoc).</w:t>
        <w:br/>
        <w:br/>
        <w:br/>
        <w:t xml:space="preserve">      En  el  caso  sub  judice,  el  Estado  de  Guatemala  interpuso  como</w:t>
        <w:br/>
        <w:t>excepciones  preliminares  la  caducidad  y  prescripción,  las  cuales   se</w:t>
        <w:br/>
        <w:t>originaron por las mismas causas, como son el transcurso  del  tiempo  y  la</w:t>
        <w:br/>
        <w:t>inactividad de la Comisión de cumplir  con  el  plazo  de  3  meses  de  que</w:t>
        <w:br/>
        <w:t>disponía a partir de la  fecha  de  remisión  al  Estado  de  Guatemala  del</w:t>
        <w:br/>
        <w:t>informe de la Comisión, para someter a la decisión de la Corte  el  caso  al</w:t>
        <w:br/>
        <w:t>tenor del artículo 51.1 de la Convención Americana sobre  Derechos  Humanos.</w:t>
        <w:br/>
        <w:t>Con lo cual se extinguió el  derecho  de  la  Comisión  para  demandar,  por</w:t>
        <w:br/>
        <w:t>haberse producido la caducidad de dicho acto procesal.</w:t>
        <w:br/>
        <w:br/>
        <w:t xml:space="preserve">      Siendo que la prescripción se refiere  a  la  sustancia  del  derecho,</w:t>
        <w:br/>
        <w:t>ésta excepción igualmente  procede  cuando  conforme  a  la  Convención,  el</w:t>
        <w:br/>
        <w:t>derecho que se pretende hacer valer, ha  fenecido,  por  negligencia  de  la</w:t>
        <w:br/>
        <w:t>Comisión de someter a la decisión de la Corte el asunto de  mérito,  durante</w:t>
        <w:br/>
        <w:t>el plazo que disponía al efecto, plazo que es de 3 meses, según el  artículo</w:t>
        <w:br/>
        <w:t>antes citado.</w:t>
        <w:br/>
        <w:br/>
        <w:t xml:space="preserve">      El 20 de octubre de 1994,  se  remitió  al  Estado  de  Guatemala,  el</w:t>
        <w:br/>
        <w:t>informe a que se refiere el artículo 51.1 de la Convención, y la demanda  la</w:t>
        <w:br/>
        <w:t>presentó la Comisión de manera extemporánea y anómala toda vez que  se  hizo</w:t>
        <w:br/>
        <w:t>en la madrugada del 19 de enero de 1995, cuando ya había caducado el  plazo,</w:t>
        <w:br/>
        <w:t>el cual venció el 17 de enero de 1995.</w:t>
        <w:br/>
        <w:br/>
        <w:t xml:space="preserve">      Parecería desorbitado pensar, que en  la  justicia  internacional  dos</w:t>
        <w:br/>
        <w:t>días de atraso en la presentación de una demanda es irrelevante cuando  está</w:t>
        <w:br/>
        <w:t>de por medio la protección de los derechos  humanos,  sin  embargo  ello  no</w:t>
        <w:br/>
        <w:t>corresponde a la realidad y  la  misma  Comisión  en  la  audiencia  pública</w:t>
        <w:br/>
        <w:t>efectuada el 16 de septiembre de 1995, acompañó fotocopia  de  la  Sentencia</w:t>
        <w:br/>
        <w:t>del 22 de septiembre de 1993, dictada  por  la  Corte  Europea  de  Derechos</w:t>
        <w:br/>
        <w:t>Humanos, en el  caso del Instituto Di Vigilanza, en donde  se  resolvió  que</w:t>
        <w:br/>
        <w:t>la solicitud para remitir el caso al conocimiento de la Corte (Europea),  es</w:t>
        <w:br/>
        <w:t>inadmisible porque fue hecha fuera del plazo, dado que la  Comisión  excedió</w:t>
        <w:br/>
        <w:t>por un solo día el plazo permitido.  La  Corte  Interamericana  de  Derechos</w:t>
        <w:br/>
        <w:t>Humanos en el caso Cayara, excepciones  preliminares,  sentencia  del  3  de</w:t>
        <w:br/>
        <w:t>febrero de 1993, dijo en el párrafo 38:</w:t>
        <w:br/>
        <w:br/>
        <w:t xml:space="preserve">      “La seguridad jurídica exige, sin embargo, que los Estados sepan a qué</w:t>
        <w:br/>
        <w:t xml:space="preserve">      atenerse y no puede dejarse a la Comisión hacer uso arbitrario de  los</w:t>
        <w:br/>
        <w:t xml:space="preserve">      plazos y menos aún si son de aquellos contemplados  en  la  Convención</w:t>
        <w:br/>
        <w:t xml:space="preserve">      misma”.</w:t>
        <w:br/>
        <w:br/>
        <w:br/>
        <w:t xml:space="preserve">      Hay pues jurisprudencia en abono a la tesis sustentada, sin  que  ello</w:t>
        <w:br/>
        <w:t>implique exceso de formalismo.</w:t>
        <w:br/>
        <w:br/>
        <w:t xml:space="preserve">      La Comisión arguye que el plazo  de  3  meses  a  que  se  refiere  el</w:t>
        <w:br/>
        <w:t>artículo 51.1 de la Convención, debe computarse conforme el número  de  días</w:t>
        <w:br/>
        <w:t>que le corresponden según el mes calendario.  Lo cual no es así  ya  que  la</w:t>
        <w:br/>
        <w:t>expresión MES, en su acepción legal, y en aras de la  certeza  jurídica,  es</w:t>
        <w:br/>
        <w:t>equivalente a 30 días y por ende  el  plazo de 3 meses es igual  a  90.   La</w:t>
        <w:br/>
        <w:t>propia Comisión  Interamericana  de Derechos Humanos  lo  reconoció  en  esa</w:t>
        <w:br/>
        <w:t>forma al aprobar la resolución 43/90 (que está  contenida  en  la  sentencia</w:t>
        <w:br/>
        <w:t>del 11 de diciembre de 1991), caso Neira Alegría y otros,  que  a  la  letra</w:t>
        <w:br/>
        <w:t>dice:</w:t>
        <w:br/>
        <w:br/>
        <w:t xml:space="preserve">      “6.   Transmitir el presente informe al Gobierno  del  Perú  para  que</w:t>
        <w:br/>
        <w:t xml:space="preserve">      éste se pronuncie sobre  las  medidas  adoptadas  para  solucionar  la</w:t>
        <w:br/>
        <w:t xml:space="preserve">      situación denunciada dentro del plazo de 90 días contados a partir  de</w:t>
        <w:br/>
        <w:t xml:space="preserve">      la fecha de remisión.  El Gobierno no está facultado para publicar  el</w:t>
        <w:br/>
        <w:t xml:space="preserve">      presente informe, conforme lo  estipulado  en  el  artículo  47.6  del</w:t>
        <w:br/>
        <w:t xml:space="preserve">      Reglamento de la CIDH.</w:t>
        <w:br/>
        <w:br/>
        <w:br/>
        <w:t xml:space="preserve">      7.     Someter  el  presente  caso  a  la  jurisdicción  de  la  Corte</w:t>
        <w:br/>
        <w:t xml:space="preserve">      Interamericana de Derechos Humanos, a menos que el Gobierno  del  Perú</w:t>
        <w:br/>
        <w:t xml:space="preserve">      solucione el asunto dentro de los tres meses señalados en  el  párrafo</w:t>
        <w:br/>
        <w:t xml:space="preserve">      anterior” (lo resaltado es del Juez ad hoc).</w:t>
        <w:br/>
        <w:br/>
        <w:br/>
        <w:t xml:space="preserve">      Por su parte la Corte también ha reconocido que el plazo de 3 meses  a</w:t>
        <w:br/>
        <w:t>que se contrae el artículo 51.1 de  la  Convención,  es  de  90  días,  como</w:t>
        <w:br/>
        <w:t>consta reiteradamente, entre otros, en los párrafos 35-39-43-47, letra a)  y</w:t>
        <w:br/>
        <w:t>54 de la sentencia del 21  de  enero  de  1994  (caso  Caballero  Delgado  y</w:t>
        <w:br/>
        <w:t>Santana).  No obstante ello, la Corte en esta oportunidad, se separó  de  su</w:t>
        <w:br/>
        <w:t>propia jurisprudencia.</w:t>
        <w:br/>
        <w:br/>
        <w:t xml:space="preserve">       En  consecuencia,  tanto  la   excepción   de   caducidad   como   de</w:t>
        <w:br/>
        <w:t>prescripción,  debieron  ser  admitidos  conforme  el  artículo   31.6   del</w:t>
        <w:br/>
        <w:t>Reglamento de la Corte.</w:t>
        <w:br/>
        <w:br/>
        <w:t xml:space="preserve">      El Estado de Guatemala también interpuso la  excepción  preliminar  de</w:t>
        <w:br/>
        <w:t>invalidez jurídica absoluta de la demanda presentada en  su  contra  por  la</w:t>
        <w:br/>
        <w:t>Comisión, por evidentes y sustanciales violaciones.  Una por haber  caducado</w:t>
        <w:br/>
        <w:t>el plazo fijado por el articulo 51.1 de la Convención; y la otra  porque  la</w:t>
        <w:br/>
        <w:t>Comisión no cumplió con los requisitos  exigidos  por  el  artículo  26  del</w:t>
        <w:br/>
        <w:t>Reglamento de la Corte, para introducir una causa ante ésta  de  conformidad</w:t>
        <w:br/>
        <w:t>con el artículo 61.1 de la Convención, que preceptúa que la demanda se  debe</w:t>
        <w:br/>
        <w:t>presentar ante la Secretaría de la Corte acompañando  diez  (10)  ejemplares</w:t>
        <w:br/>
        <w:t>de dicha demanda.</w:t>
        <w:br/>
        <w:br/>
        <w:t xml:space="preserve">      La  Comisión,  al  presentar  la  demanda  en  contra  del  Estado  de</w:t>
        <w:br/>
        <w:t>Guatemala, en la madrugada del 19  de  enero  de  1995,  procedió  en  forma</w:t>
        <w:br/>
        <w:t>anómala por los siguientes motivos:</w:t>
        <w:br/>
        <w:br/>
        <w:t xml:space="preserve">      a)    La transmitió por fax y posteriormente (7 días  después),  envió</w:t>
        <w:br/>
        <w:t>las diez (10) copias de la  demanda  vía  “courier”.   El  artículo  26  del</w:t>
        <w:br/>
        <w:t>Reglamento de la Corte dice que la introducción de una causa  se  hace  ante</w:t>
        <w:br/>
        <w:t>la Secretaría de la Corte mediante la presentación en diez  (10)  ejemplares</w:t>
        <w:br/>
        <w:t>de la demanda, en los idiomas de trabajo de la  Corte.   Presentada  en  uno</w:t>
        <w:br/>
        <w:t>solo de los idiomas de trabajo no se suspenderá  el  trámite  reglamentario,</w:t>
        <w:br/>
        <w:t>pero la traducción al o a los otros deberá  presentarse  dentro  de  los  45</w:t>
        <w:br/>
        <w:t>días siguientes.  Tal precepto legal  implica  la  presentación  material  y</w:t>
        <w:br/>
        <w:t>física de la demanda acompañando  en el mismo  acto diez  (10)  copias.   En</w:t>
        <w:br/>
        <w:t>el presente caso la ley no contempla la posibilidad de  hacerlo  por  fax  y</w:t>
        <w:br/>
        <w:t>mucho menos remitir a posteriori las copias, ya que éstas se adjuntan  a  la</w:t>
        <w:br/>
        <w:t>demanda  mediante, o sea, por  medio de la presentación de las copias y  sin</w:t>
        <w:br/>
        <w:t>ello no puede  tenerse  por  perfeccionado  el  acto.   Tal  precepto  legal</w:t>
        <w:br/>
        <w:t>únicamente  regula  la  ampliación  del  plazo  a   que   está   sujeta   la</w:t>
        <w:br/>
        <w:t>presentación de  la demanda para el caso en que esta se haya  hecho  en  uno</w:t>
        <w:br/>
        <w:t>solo de los idiomas de trabajo y la traducción al  o  a  los  otros  idiomas</w:t>
        <w:br/>
        <w:t>puede hacerse dentro de los 45 días siguientes.</w:t>
        <w:br/>
        <w:br/>
        <w:t xml:space="preserve">      También discrepo de la fundamentación jurídica de  esta  sentencia  al</w:t>
        <w:br/>
        <w:t>apoyarse por analogía en el artículo 27 del  Reglamento  de  la  Corte,  que</w:t>
        <w:br/>
        <w:t>establece que si de  un  examen  preliminar  de  la  demanda  el  Presidente</w:t>
        <w:br/>
        <w:t>advierte que los requisitos fundamentales no han sido cumplidos,  solicitará</w:t>
        <w:br/>
        <w:t>al demandante que los subsane dentro de un plazo de veinte (20) días.   Pero</w:t>
        <w:br/>
        <w:t>tales defectos consisten en la inobservancia de  los  requisitos  contenidos</w:t>
        <w:br/>
        <w:t>en los numerales del 1 al 5 del artículo 26 del Reglamento;  puesto  que  si</w:t>
        <w:br/>
        <w:t>el espíritu de la ley era otorgar un plazo mayor para acompañar  las  copias</w:t>
        <w:br/>
        <w:t>lo hubiera dicho en forma expresa y otorgado  cuarenta  y  cinco  (45)  días</w:t>
        <w:br/>
        <w:t>(Artículo 26) y no veinte (20) como reza el  artículo  27  en  cuestión,  no</w:t>
        <w:br/>
        <w:t>siendo posible, en consecuencia, una interpretación analógica  al  respecto;</w:t>
        <w:br/>
        <w:t>y</w:t>
        <w:br/>
        <w:br/>
        <w:t xml:space="preserve">      b)    Asimismo, la Comisión presentó la  demanda  en  horas  fuera  de</w:t>
        <w:br/>
        <w:t>oficina de la Corte,  tal  como  consta  en  el  fax,  pues  la  transmisión</w:t>
        <w:br/>
        <w:t>principió a la 01:52 y concluyó a las 3:17 horas (hora  de  la  Corte),  del</w:t>
        <w:br/>
        <w:t>día 19 de enero del año próximo pasado,  es  decir  en  forma  extemporánea,</w:t>
        <w:br/>
        <w:t>máxime que no existe disposición  legal  alguna  dentro  de  las  leyes  que</w:t>
        <w:br/>
        <w:t>regulan la actividad de la Corte que establezca que todos los días  y  horas</w:t>
        <w:br/>
        <w:t>son hábiles y que las disposiciones en ellas contenidas deben  interpretarse</w:t>
        <w:br/>
        <w:t>en forma extensiva, para procurar la adecuada  protección  de  los  Derechos</w:t>
        <w:br/>
        <w:t>Humanos (principio pro actione).</w:t>
        <w:br/>
        <w:br/>
        <w:t xml:space="preserve">      El artículo 31.2  del  Reglamento  de  la  Corte,  preceptúa  que  las</w:t>
        <w:br/>
        <w:t>excepciones  preliminares,  se  presentarán   mediante   escrito   ante   la</w:t>
        <w:br/>
        <w:t>Secretaría de la Corte  con  diez  (10)  ejemplares,  etcétera.   Cito  este</w:t>
        <w:br/>
        <w:t>precepto legal para que se vea la congruencia del Reglamento  en  cuanto  al</w:t>
        <w:br/>
        <w:t>trato que debe dársele tanto a la presentación  de  la  demanda  como  a  la</w:t>
        <w:br/>
        <w:t>interposición de las excepciones, o lo que  es  lo  mismo,  al  derecho  del</w:t>
        <w:br/>
        <w:t>actor y al derecho del demandado, con lo  cual  se  asegura  el  respeto  al</w:t>
        <w:br/>
        <w:t>contradictorio y la igualdad de las partes.</w:t>
        <w:br/>
        <w:br/>
        <w:t xml:space="preserve">      La Corte en el caso Cayara, párrafo 63, página 29, dijo:</w:t>
        <w:br/>
        <w:br/>
        <w:t xml:space="preserve">      “La Corte debe guardar un justo equilibrio entre la protección de  los</w:t>
        <w:br/>
        <w:t xml:space="preserve">      derechos humanos, fin último del sistema, y la  seguridad  jurídica  y</w:t>
        <w:br/>
        <w:t xml:space="preserve">      equidad procesal que aseguran la estabilidad  y  confiabilidad  de  la</w:t>
        <w:br/>
        <w:t xml:space="preserve">      tutela internacional.  En el caso sub judice continuar con un  proceso</w:t>
        <w:br/>
        <w:t xml:space="preserve">      enderezado a lograr la protección de los intereses  de  las  supuestas</w:t>
        <w:br/>
        <w:t xml:space="preserve">      víctimas, estando de por medio infracciones manifiestas a  las  reglas</w:t>
        <w:br/>
        <w:t xml:space="preserve">      procedimentales establecidas en la propia Convención,   acarrearía  la</w:t>
        <w:br/>
        <w:t xml:space="preserve">      pérdida de la autoridad y credibilidad indispensables en  los  órganos</w:t>
        <w:br/>
        <w:t xml:space="preserve">      encargados  de  administrar  el  sistema  de  protección  de  derechos</w:t>
        <w:br/>
        <w:t xml:space="preserve">      humanos”.</w:t>
        <w:br/>
        <w:br/>
        <w:br/>
        <w:t xml:space="preserve">      A este respecto es el caso manifestar  que  el  hecho  que  haya  sido</w:t>
        <w:br/>
        <w:t>hasta hoy  “una  práctica  constante  no  objetada  por  los  gobiernos”  el</w:t>
        <w:br/>
        <w:t>incumplimiento de requisitos básicos referentes a tiempo, lugar y  forma  en</w:t>
        <w:br/>
        <w:t>la presentación inicial de las demandas, ello no implica, bajo ningún  punto</w:t>
        <w:br/>
        <w:t>de vista, que se haya actuado legalmente, puesto que el error no  es  Fuente</w:t>
        <w:br/>
        <w:t>de Derecho.</w:t>
        <w:br/>
        <w:br/>
        <w:t xml:space="preserve">      Por lo que no es dable proceder en forma distinta a  la  regulada  por</w:t>
        <w:br/>
        <w:t>la  Convención   y   Reglamento    de   la    Corte,    dado     que    ello</w:t>
        <w:br/>
        <w:t>equivaldría,  a  “alterar gravemente el equilibrio y la igualdad  procesales</w:t>
        <w:br/>
        <w:t>de las partes”.  Y es este precisamente el “perjuicio procesal”  que  se  le</w:t>
        <w:br/>
        <w:t>provoca al Estado demandado, en este caso a Guatemala.</w:t>
        <w:br/>
        <w:br/>
        <w:t xml:space="preserve">      Por las razones expuestas, disiento de la sentencia  aprobada  por  la</w:t>
        <w:br/>
        <w:t>mayoría de los Honorables señores Jueces, y considero  en  consecuencia  que</w:t>
        <w:br/>
        <w:t>las  excepciones  preliminares  interpuestas  por  el  Estado  de  Guatemala</w:t>
        <w:br/>
        <w:t>debieron admitirse, declarando que la demanda del  diecinueve  de  enero  de</w:t>
        <w:br/>
        <w:t>mil novecientos noventa y cinco, fue interpuesta por la Comisión  de  manera</w:t>
        <w:br/>
        <w:t>anómala  y  fuera  del  plazo  establecido  por  el  artículo  51.1  de   la</w:t>
        <w:br/>
        <w:t>Convención.</w:t>
        <w:br/>
        <w:br/>
        <w:br/>
        <w:t>San José de Costa Rica, 25 de enero de 1996.</w:t>
        <w:br/>
        <w:br/>
        <w:br/>
        <w:br/>
        <w:t xml:space="preserve">      Edgar Enrique Larraondo Salguero</w:t>
        <w:br/>
        <w:t xml:space="preserve">      Juez ad hoc</w:t>
        <w:br/>
        <w:br/>
        <w:br/>
        <w:br/>
        <w:t>Manuel E. Ventura Robles</w:t>
        <w:br/>
        <w:t xml:space="preserve">      Secretario</w:t>
        <w:br/>
        <w:br/>
        <w:br/>
        <w:br/>
        <w:t xml:space="preserve">  (*)      El Juez Oliver Jackman se abstuvo de conocer este caso por haber</w:t>
        <w:br/>
        <w:t>participado en varias etapas del mismo durante su trámite ante  la  Comisión</w:t>
        <w:br/>
        <w:t>Interamericana de Derechos Humanos cuando era miembro de esta.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