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Caso PACHECO TERUEL Y OTROS Vs. HONDURAS</w:t>
        <w:br/>
        <w:br/>
        <w:t xml:space="preserve">      SENTENCIA DE 27 DE ABRIL DE 2012</w:t>
        <w:br/>
        <w:t xml:space="preserve">                       (Fondo, Reparaciones y Costas)</w:t>
        <w:br/>
        <w:br/>
        <w:br/>
        <w:br/>
        <w:br/>
        <w:t>En el caso Pacheco Teruel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Juez;</w:t>
        <w:br/>
        <w:t>Eduardo Vio Grossi, Juez, y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63, 65 y 67  del  Reglamento  de  la</w:t>
        <w:br/>
        <w:t>Corte[1] (en adelante “el Reglamento”), dicta la presente Sentencia  que  se</w:t>
        <w:br/>
        <w:t>estructura en el siguiente orden:</w:t>
        <w:br/>
        <w:br/>
        <w:br/>
        <w:br/>
        <w:br/>
        <w:t xml:space="preserve">     ÍNDICE                                                           PÁGINA</w:t>
        <w:br/>
        <w:br/>
        <w:t>I. INTRODUCCIÓN DE LA CAUSA Y OBJETO DE LA CONTROVERSIA 4</w:t>
        <w:br/>
        <w:br/>
        <w:t>II. PROCEDIMIENTO ANTE LA CORTE   5</w:t>
        <w:br/>
        <w:br/>
        <w:t>III. COMPETENCIA 6</w:t>
        <w:br/>
        <w:br/>
        <w:t>IV. PRUEBA  6</w:t>
        <w:br/>
        <w:br/>
        <w:t>A.    Prueba documental, testimonial y pericial   6</w:t>
        <w:br/>
        <w:t>B.    Admisión de la prueba 7</w:t>
        <w:br/>
        <w:t>V. RECONOCIMIENTO DE RESPONSABILIDAD INTERNACIONAL DEL ESTADO Y</w:t>
        <w:br/>
        <w:t>HOMOLOGACIÓN DEL ACUERDO DE SOLUCIÓN AMISTOSA     8</w:t>
        <w:br/>
        <w:br/>
        <w:t>A.    El acuerdo de solución amistosa  8</w:t>
        <w:br/>
        <w:t>B.    Consideraciones de la Corte 9</w:t>
        <w:br/>
        <w:t>VI. CONTEXTO Y HECHOS DEL CASO    10</w:t>
        <w:br/>
        <w:br/>
        <w:t>A.    El sistema penitenciario en Honduras   10</w:t>
        <w:br/>
        <w:t>B.    Condiciones generales del Centro Penal de San Pedro Sula     12</w:t>
        <w:br/>
        <w:t>C.    Condiciones particulares de la celda No. 19 13</w:t>
        <w:br/>
        <w:t>D.    El incendio en la celda No. 19   14</w:t>
        <w:br/>
        <w:t>E.    Causas del incendio   16</w:t>
        <w:br/>
        <w:t>F.    Situación de los familiares de las víctimas 16</w:t>
        <w:br/>
        <w:t>G.    Proceso judicial ante los tribunales nacionales   17</w:t>
        <w:br/>
        <w:t>VII. CONSIDERACIONES DE LA CORTE RESPECTO DE LOS ARTICULOS 4, 5, 7, 9, 8 Y</w:t>
        <w:br/>
        <w:t>25, EN RELACION CON LOS ARTÍCULOS 1.1 Y 2 DE LA CONVENCIÓN AMERICANA    18</w:t>
        <w:br/>
        <w:br/>
        <w:t>A.    Los derechos violados 18</w:t>
        <w:br/>
        <w:t>B.    Deber de Prevención en condiciones carcelarias    20</w:t>
        <w:br/>
        <w:t>C.    Los familiares de las personas fallecidas   23</w:t>
        <w:br/>
        <w:t>VIII. REPARACIONES (Aplicación del artículo 63.1 de la Convención Americana</w:t>
        <w:br/>
        <w:t>en el marco del acuerdo de solución amistosa)     24</w:t>
        <w:br/>
        <w:br/>
        <w:t>A.    Parte Lesionada  25</w:t>
        <w:br/>
        <w:t>B.    Beneficiarios del acuerdo de solución amistosa    26</w:t>
        <w:br/>
        <w:t>C.    Medidas de reparación integral: garantías de no repetición,</w:t>
        <w:br/>
        <w:t>rehabilitación y satisfacción     27</w:t>
        <w:br/>
        <w:t xml:space="preserve">   1. Garantías de no repetición  27</w:t>
        <w:br/>
        <w:t xml:space="preserve">   2. Rehabilitación   35</w:t>
        <w:br/>
        <w:t xml:space="preserve">   3. Satisfacción     36</w:t>
        <w:br/>
        <w:t xml:space="preserve">   4. Otras medidas solicitadas   36</w:t>
        <w:br/>
        <w:t>D.    Obligación de investigar los hechos que generaron las violaciones e</w:t>
        <w:br/>
        <w:t>identificar, juzgar y, en su caso, sancionar a los responsables    37</w:t>
        <w:br/>
        <w:t>E.    Fondo de oportunidades y compensación  38</w:t>
        <w:br/>
        <w:t xml:space="preserve">   1.  Daño material e inmaterial 38</w:t>
        <w:br/>
        <w:t>F.    Modalidad de cumplimiento de los pagos ordenados  39</w:t>
        <w:br/>
        <w:t>IX. PUNTOS RESOLUTIVOS 40</w:t>
        <w:br/>
        <w:br/>
        <w:br/>
        <w:t>Voto Individual del Juez Eduardo Vio Grossi</w:t>
        <w:br/>
        <w:br/>
        <w:t>Anexo A: Lista de los internos fallecidos</w:t>
        <w:br/>
        <w:t>Anexo B: Lista de los internos en prisión preventiva</w:t>
        <w:br/>
        <w:t>Anexo C: Lista de familiares identificados por la Comisión</w:t>
        <w:br/>
        <w:t>Anexo D: Lista de internos fallecidos cuyos familiares no fueron</w:t>
        <w:br/>
        <w:t>identificados por la Comisión</w:t>
        <w:br/>
        <w:br/>
        <w:br/>
        <w:br/>
        <w:br/>
        <w:br/>
        <w:t>I</w:t>
        <w:br/>
        <w:t>INTRODUCCIÓN DE LA CAUSA Y OBJETO DE LA CONTROVERSIA</w:t>
        <w:br/>
        <w:br/>
        <w:br/>
        <w:t>El 11 de marzo de 2011 la Comisión Interamericana de  Derechos  Humanos  (en</w:t>
        <w:br/>
        <w:t>adelante “la Comisión” o “la Comisión Interamericana”) sometió a  la  Corte,</w:t>
        <w:br/>
        <w:t>de conformidad con los artículos 51 y 61 de la Convención,  el  caso  12.680</w:t>
        <w:br/>
        <w:t>contra el Estado de Honduras (en adelante  “el  Estado”  u  “Honduras”).  La</w:t>
        <w:br/>
        <w:t>petición inicial fue presentada ante la Comisión  Interamericana  el  14  de</w:t>
        <w:br/>
        <w:t>julio  de  2005  por  las  organizaciones  Pastoral  Penitenciaria,  CARITAS</w:t>
        <w:br/>
        <w:t>Sampedrana y Equipo de Reflexión, Investigación y  Comunicación  “ERIC”  (en</w:t>
        <w:br/>
        <w:t>adelante los representantes). El 17 de octubre de 2008  la  Comisión  aprobó</w:t>
        <w:br/>
        <w:t>el Informe de Admisibilidad No. 78/08 y el 22 de octubre de 2010  emitió  el</w:t>
        <w:br/>
        <w:t>Informe de Fondo No. 118/10,  de  conformidad  con  el  artículo  50  de  la</w:t>
        <w:br/>
        <w:t>Convención Americana  (en  adelante  “informe  de  fondo”)[2].  Este  último</w:t>
        <w:br/>
        <w:t>informe fue notificado  a  Honduras  mediante  una  comunicación  de  14  de</w:t>
        <w:br/>
        <w:t>diciembre de 2010, otorgándole un plazo de dos meses para informar sobre  el</w:t>
        <w:br/>
        <w:t>cumplimiento de las  recomendaciones.  La  Comisión  señaló  que,  luego  de</w:t>
        <w:br/>
        <w:t>vencido  el  plazo  sin   que   el   Estado   diera   cumplimiento   a   las</w:t>
        <w:br/>
        <w:t>recomendaciones, sometió el caso al Tribunal en virtud de  la  necesidad  de</w:t>
        <w:br/>
        <w:t>obtener justicia y una justa reparación. La Comisión Interamericana  designó</w:t>
        <w:br/>
        <w:t>como  delegados  a  los  señores  Felipe  González,  Comisionado,  y  a   su</w:t>
        <w:br/>
        <w:t>Secretario Ejecutivo Santiago A. Canton,  y  como  asesores  legales  a  las</w:t>
        <w:br/>
        <w:t>señoras Elizabeth Abi-Mershed, Secretaria Ejecutiva  Adjunta,  Lilly  Ching,</w:t>
        <w:br/>
        <w:t>Isabel Madariaga y al  señor  Andrés  Pizarro,  abogados  de  la  Secretaría</w:t>
        <w:br/>
        <w:t>Ejecutiva.</w:t>
        <w:br/>
        <w:br/>
        <w:t>De acuerdo a la Comisión, el presente  caso  se  relaciona  con  la  alegada</w:t>
        <w:br/>
        <w:t>responsabilidad internacional del Estado por “la muerte de […] 107  internos</w:t>
        <w:br/>
        <w:t>privados de libertad[,] el 17 de mayo de 2004[,] en  la  bartolina  o  celda</w:t>
        <w:br/>
        <w:t>No. 19 del Centro Penal de San Pedro Sula [como] resultado  directo  de  una</w:t>
        <w:br/>
        <w:t>serie   de   deficiencias   estructurales   presentes   en   dicho    centro</w:t>
        <w:br/>
        <w:t>penitenciario,  las  cuales  eran  de  conocimiento   de   las   autoridades</w:t>
        <w:br/>
        <w:t>competentes”. La Comisión indicó que las personas fallecidas eran  “miembros</w:t>
        <w:br/>
        <w:t>de maras’’ a quienes se mantenían aislados del resto  de  la  población  del</w:t>
        <w:br/>
        <w:t>penal y  confinados  a  un  recinto  inseguro  e  insalubre”.  Asimismo,  la</w:t>
        <w:br/>
        <w:t>Comisión indicó que los hechos materia del presente caso “son en  definitiva</w:t>
        <w:br/>
        <w:t>una consecuencia  de  las  deficiencias  estructurales  del  propio  sistema</w:t>
        <w:br/>
        <w:t>penitenciarlo hondureño, las  cuales  han  sido  ampliamente  documentadas”.</w:t>
        <w:br/>
        <w:t>Además, el caso “se enmarca en el  contexto  general  de  las  políticas  de</w:t>
        <w:br/>
        <w:t>seguridad pública y las políticas penitenciarias dirigidas a combatir a  las</w:t>
        <w:br/>
        <w:t>organizaciones  criminales  denominadas   maras.   En   ese   sentido,   las</w:t>
        <w:br/>
        <w:t>situaciones denunciadas […] son comunes a otros  Estados  centroamericanos”.</w:t>
        <w:br/>
        <w:t>Por otro lado, “el Estado no ha emprendido la investigación  de  los  hechos</w:t>
        <w:br/>
        <w:t>denunciados y la sanción de los responsables como un deber  jurídico  propio</w:t>
        <w:br/>
        <w:t>y de forma diligente”.</w:t>
        <w:br/>
        <w:br/>
        <w:t>La Comisión solicitó a la Corte que declare la violación de los artículos  4</w:t>
        <w:br/>
        <w:t>(Derecho a la Vida), 5 (Derecho a la Integridad Personal), 7 (Derecho  a  la</w:t>
        <w:br/>
        <w:t>Libertad Personal), 9  (Principio  de  Legalidad  y  de  Retroactividad),  8</w:t>
        <w:br/>
        <w:t>(Garantías Judiciales) y 25  (Protección  Judicial)  de  la  Convención,  en</w:t>
        <w:br/>
        <w:t>relación con los artículos 1.1 y 2 de la misma. Por otra parte, la  Comisión</w:t>
        <w:br/>
        <w:t>solicitó al Tribunal que ordenara al Estado la adopción de  ciertas  medidas</w:t>
        <w:br/>
        <w:t>de reparación.</w:t>
        <w:br/>
        <w:br/>
        <w:br/>
        <w:t>II</w:t>
        <w:br/>
        <w:t>PROCEDIMIENTO ANTE LA CORTE</w:t>
        <w:br/>
        <w:br/>
        <w:br/>
        <w:t>El sometimiento del caso por parte de la Comisión fue notificado  al  Estado</w:t>
        <w:br/>
        <w:t>y a los representantes el 15 de junio de 2011. El 15 de agosto de  2011  las</w:t>
        <w:br/>
        <w:t>organizaciones representantes  presentaron  ante  la  Corte  su  escrito  de</w:t>
        <w:br/>
        <w:t>solicitudes, argumentos y pruebas (en adelante  “escrito  de  solicitudes  y</w:t>
        <w:br/>
        <w:t>argumentos”), en los términos de los artículos 25 y 40 del  Reglamento.  Los</w:t>
        <w:br/>
        <w:t>representantes coincidieron, en general, con los  alegatos  de  la  Comisión</w:t>
        <w:br/>
        <w:t>Interamericana y solicitaron al Tribunal que  declarara  la  responsabilidad</w:t>
        <w:br/>
        <w:t>internacional del Estado por la violación de los mismos  artículos  alegados</w:t>
        <w:br/>
        <w:t>por la Comisión. Finalmente, solicitaron al Tribunal que ordenara al  Estado</w:t>
        <w:br/>
        <w:t>la  adopción  de  diversas  medidas  de  reparación  y   el   reintegro   de</w:t>
        <w:br/>
        <w:t>determinadas costas y gastos. Por otra parte, los  representantes  señalaron</w:t>
        <w:br/>
        <w:t>que representan a 18 supuestas víctimas fallecidas y sus familiares,  y  que</w:t>
        <w:br/>
        <w:t>nunca habían mantenido contacto con los familiares de los demás 89  internos</w:t>
        <w:br/>
        <w:t>fallecidos.  No obstante, refirieron que  “ante  una  virtual  ejecución  de</w:t>
        <w:br/>
        <w:t>sentencia favorable de [la] Corte, podría[n] representar a posteriori  y  en</w:t>
        <w:br/>
        <w:t>el plano nacional a las víctimas y sus familiares que por  diversos  motivos</w:t>
        <w:br/>
        <w:t>no han sido incluidos en el documento de poder que se adjunt[ó]”[3].</w:t>
        <w:br/>
        <w:br/>
        <w:t>El 21 de octubre de 2011 Honduras presentó ante la Corte su  contestación  a</w:t>
        <w:br/>
        <w:t>los escritos de sometimiento del caso y  de  solicitudes  y  argumentos  (en</w:t>
        <w:br/>
        <w:t>adelante “escrito de contestación” o “contestación”). En dicho  escrito,  el</w:t>
        <w:br/>
        <w:t>Estado controvirtió la totalidad de  las  pretensiones  presentadas  por  la</w:t>
        <w:br/>
        <w:t>Comisión y los representantes, y rechazó  su  responsabilidad  internacional</w:t>
        <w:br/>
        <w:t>por las alegadas violaciones a la Convención Americana  y  las  reparaciones</w:t>
        <w:br/>
        <w:t>solicitadas. El Estado designó a la señora Ethel Deras Enamorado y al  señor</w:t>
        <w:br/>
        <w:t>Ricardo Rodríguez como Agentes para el caso.</w:t>
        <w:br/>
        <w:br/>
        <w:t>Mediante Resolución de 27 de enero  de  2012,  el  Presidente  de  la  Corte</w:t>
        <w:br/>
        <w:t>ordenó, entre otros, recibir diversas declaraciones en el presente  caso[4].</w:t>
        <w:br/>
        <w:t>Asimismo, convocó a  las  partes  a  una  audiencia  pública,  la  cual  fue</w:t>
        <w:br/>
        <w:t>celebrada el 28 de febrero de  2012  durante  el  94  Período  Ordinario  de</w:t>
        <w:br/>
        <w:t>Sesiones de la Corte, el cual tuvo lugar en la sede del Tribunal[5].</w:t>
        <w:br/>
        <w:br/>
        <w:t>Durante la audiencia pública del caso, el 28 de febrero de 2012,  el  Estado</w:t>
        <w:br/>
        <w:t>reconoció su responsabilidad por los  hechos  descritos  en  el  Informe  de</w:t>
        <w:br/>
        <w:t>Fondo de la Comisión y manifestó haber llegado  a  un  acuerdo  de  solución</w:t>
        <w:br/>
        <w:t>amistosa con los  representantes  (infra  párr.  14).  En  consecuencia,  el</w:t>
        <w:br/>
        <w:t>Tribunal, mediante Resolución incidental de 29 de febrero de 2012, dejó  sin</w:t>
        <w:br/>
        <w:t>efecto el plazo previsto para la remisión de los alegatos  finales  escritos</w:t>
        <w:br/>
        <w:t>de las partes y las observaciones finales  de  la  Comisión,  en  vista  del</w:t>
        <w:br/>
        <w:t>acuerdo de  solución  amistosa  alcanzado  entre  los  representantes  y  el</w:t>
        <w:br/>
        <w:t>Estado[6].</w:t>
        <w:br/>
        <w:br/>
        <w:br/>
        <w:t>III</w:t>
        <w:br/>
        <w:t>COMPETENCIA</w:t>
        <w:br/>
        <w:br/>
        <w:br/>
        <w:t>La Corte Interamericana es competente para conocer  del  presente  caso,  en</w:t>
        <w:br/>
        <w:t>los términos de los artículos 62.3 de la Convención Americana, en  razón  de</w:t>
        <w:br/>
        <w:t>que Honduras es Estado Parte de la Convención desde el 8  de  septiembre  de</w:t>
        <w:br/>
        <w:t>1977 y reconoció la competencia contenciosa de la Corte el 9  de  septiembre</w:t>
        <w:br/>
        <w:t>de 1981.</w:t>
        <w:br/>
        <w:br/>
        <w:br/>
        <w:br/>
        <w:br/>
        <w:t>IV</w:t>
        <w:br/>
        <w:t>PRUEBA</w:t>
        <w:br/>
        <w:br/>
        <w:br/>
        <w:t>Con base en lo establecido en los artículos 46, 50, 57 y 58 del  Reglamento,</w:t>
        <w:br/>
        <w:t>así como en su jurisprudencia respecto de la prueba  y  su  apreciación,  la</w:t>
        <w:br/>
        <w:t>Corte examinará y valorará los elementos probatorios documentales  remitidos</w:t>
        <w:br/>
        <w:t>en diversas oportunidades procesales, las  declaraciones  de  las  presuntas</w:t>
        <w:br/>
        <w:t>víctimas y de los testigos, así  como  los  dictámenes  periciales  rendidos</w:t>
        <w:br/>
        <w:t>mediante declaración  jurada  ante  fedatario  público  y  en  la  audiencia</w:t>
        <w:br/>
        <w:t>pública ante la Corte. Para ello, este Tribunal se atendrá a los  principios</w:t>
        <w:br/>
        <w:t>de la sana crítica, dentro del marco normativo correspondiente[7].</w:t>
        <w:br/>
        <w:br/>
        <w:br/>
        <w:br/>
        <w:br/>
        <w:br/>
        <w:t xml:space="preserve">      Prueba documental, testimonial y pericial</w:t>
        <w:br/>
        <w:br/>
        <w:br/>
        <w:br/>
        <w:t>El Tribunal recibió documentos  presentados  por  los  representantes  y  el</w:t>
        <w:br/>
        <w:t>Estado (supra párrs. 1, 4, 5 y 7). Asimismo, durante  la  audiencia  pública</w:t>
        <w:br/>
        <w:t>del caso, los representantes y el Estado presentaron un acuerdo de  solución</w:t>
        <w:br/>
        <w:t>amistosa (infra párr. 14).  Por  otra  parte,  el  Presidente  incorporó  al</w:t>
        <w:br/>
        <w:t>acervo probatorio del presente caso, en lo  que  resultara  pertinente,  los</w:t>
        <w:br/>
        <w:t>peritajes rendidos por el señor Carlos Tiffer Sotomayor y  la  señora  Reina</w:t>
        <w:br/>
        <w:t>Auxiliadora Rivera Joya en el caso Servellón García y  otros  Vs.  Honduras,</w:t>
        <w:br/>
        <w:t>ya que podrían  resultar  útiles  para  la  resolución  del  presente  caso.</w:t>
        <w:br/>
        <w:t>Finalmente, la Corte  recibió  las  declaraciones  rendidas  ante  fedatario</w:t>
        <w:br/>
        <w:t>público por los peritos Marco A. Canteo y Roy Murillo, y  por  los  testigos</w:t>
        <w:br/>
        <w:t>Renán David Galo Meza, Abencio Reyes, Aida Rodríguez, Doris  Esperanza  Paz,</w:t>
        <w:br/>
        <w:t>Manuel Armando Fuentes, Marlene Ardón Santos, Marta Elena Suazo, Olga  María</w:t>
        <w:br/>
        <w:t>Santos, Isis Perdomo, Rómulo Emiliani y Violeta María Discua[8].  En  cuanto</w:t>
        <w:br/>
        <w:t>a  la  prueba  rendida  en  audiencia  pública,   la   Corte   recibió   las</w:t>
        <w:br/>
        <w:t>declaraciones de las señoras María Oneyda Estrada Aguilar  y  Sandra  Lorena</w:t>
        <w:br/>
        <w:t>Ramos Cárcamo, presuntas víctimas, y de los peritos Celso Alvarado  y  Mario</w:t>
        <w:br/>
        <w:t>Luis Coriolano[9].</w:t>
        <w:br/>
        <w:br/>
        <w:br/>
        <w:t xml:space="preserve">      Admisión de la prueba</w:t>
        <w:br/>
        <w:br/>
        <w:br/>
        <w:t>En el presente caso, como en otros, el Tribunal admite  aquellos  documentos</w:t>
        <w:br/>
        <w:t>remitidos por las partes en la debida oportunidad  procesal  que  no  fueron</w:t>
        <w:br/>
        <w:t>controvertidos ni objetados, ni cuya autenticidad fue  puesta  en  duda[10].</w:t>
        <w:br/>
        <w:t>Los documentos solicitados por el Tribunal[11], que fueron aportados por  el</w:t>
        <w:br/>
        <w:t>Estado con posterioridad a la audiencia pública, son incorporados al  acervo</w:t>
        <w:br/>
        <w:t>probatorio  en  aplicación  de  lo  dispuesto  en   el   artículo   58   del</w:t>
        <w:br/>
        <w:t>Reglamento[12].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 o cuando corroboren  aspectos  relacionados  con  el</w:t>
        <w:br/>
        <w:t>caso[13].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Por otra parte, respecto de las declaraciones de las presuntas víctimas,  de</w:t>
        <w:br/>
        <w:t>los testigos y  de  los  dictámenes  rendidos  en  la  audiencia  pública  y</w:t>
        <w:br/>
        <w:t>mediante declaración  jurada,  la  Corte  los  estima  pertinentes  sólo  en</w:t>
        <w:br/>
        <w:t>aquello que se ajuste al objeto que  fue  definido  por  el  Presidente  del</w:t>
        <w:br/>
        <w:t>Tribunal en la Resolución mediante la cual ordenó  recibirlos  (supra  párr.</w:t>
        <w:br/>
        <w:t>6). Éstos serán valorados en conjunto con los  demás  elementos  del  acervo</w:t>
        <w:br/>
        <w:t>probatorio. Asimismo, conforme a la jurisprudencia  de  este  Tribunal,  las</w:t>
        <w:br/>
        <w:t>declaraciones rendidas por las presuntas víctimas no  pueden  ser  valoradas</w:t>
        <w:br/>
        <w:t>aisladamente sino dentro del conjunto de las pruebas  del  proceso,  ya  que</w:t>
        <w:br/>
        <w:t>son útiles en la medida en que pueden proporcionar mayor  información  sobre</w:t>
        <w:br/>
        <w:t>las presuntas violaciones y sus consecuencias[14].</w:t>
        <w:br/>
        <w:br/>
        <w:br/>
        <w:t>V</w:t>
        <w:br/>
        <w:t>RECONOCIMIENTO DE RESPONSABILIDAD INTERNACIONAL DEL ESTADO Y HOMOLOGACIÓN</w:t>
        <w:br/>
        <w:t>DEL ACUERDO DE SOLUCIÓN AMISTOSA</w:t>
        <w:br/>
        <w:br/>
        <w:br/>
        <w:br/>
        <w:t xml:space="preserve">      El acuerdo de solución amistosa</w:t>
        <w:br/>
        <w:br/>
        <w:br/>
        <w:t>El 28 de febrero de 2012, durante la audiencia pública del caso, las  partes</w:t>
        <w:br/>
        <w:t>presentaron al Tribunal  un  acuerdo  de  solución  amistosa[15],  celebrado</w:t>
        <w:br/>
        <w:t>entre el Estado de Honduras y los representantes de las presuntas  víctimas.</w:t>
        <w:br/>
        <w:t>Asimismo, la Comisión  Interamericana  manifestó  su  conformidad  con  este</w:t>
        <w:br/>
        <w:t>acuerdo en la  referida  audiencia  pública.  En  dicho  acuerdo  el  Estado</w:t>
        <w:br/>
        <w:t>reconoció  su  responsabilidad  internacional  respecto  del  contexto,  los</w:t>
        <w:br/>
        <w:t>hechos y las violaciones que fueron descritas en el Informe de Fondo  de  la</w:t>
        <w:br/>
        <w:t>Comisión y se acordaron las medidas de reparación para el caso.</w:t>
        <w:br/>
        <w:br/>
        <w:t>En la audiencia del caso, el Estado dio lectura del  acuerdo  y  realizó  un</w:t>
        <w:br/>
        <w:t>“reconocimiento  público   de   responsabilidad   internacional”,   en   los</w:t>
        <w:br/>
        <w:t>siguientes términos[16]:</w:t>
        <w:br/>
        <w:br/>
        <w:t>[…]</w:t>
        <w:br/>
        <w:br/>
        <w:t xml:space="preserve">      El Estado de Honduras reconoce  que  la  vida  es  un  valor  supremo,</w:t>
        <w:br/>
        <w:t xml:space="preserve">      invaluable e irreparable. Asimismo, reconoce que el ser humano  es  el</w:t>
        <w:br/>
        <w:t xml:space="preserve">      fin supremo de la  sociedad  y  que  [al  Estado]  le  corresponde  la</w:t>
        <w:br/>
        <w:t xml:space="preserve">      protección de los derechos intrínsecos de éste. En definitiva  […]  le</w:t>
        <w:br/>
        <w:t xml:space="preserve">      corresponde asegurar el goce de la justicia a sus  ciudadanos.  Siendo</w:t>
        <w:br/>
        <w:t xml:space="preserve">      el Estado de Honduras signatario de la Carta de la Organización de los</w:t>
        <w:br/>
        <w:t xml:space="preserve">      Estados Americanos, de la Declaración  Americana  de  los  Derechos  y</w:t>
        <w:br/>
        <w:t xml:space="preserve">      Deberes del Hombre,  de  la  Declaración  Universal  de  los  Derechos</w:t>
        <w:br/>
        <w:t xml:space="preserve">      Humanos,  y  de  la  Convención  Americana  sobre  Derechos   Humanos,</w:t>
        <w:br/>
        <w:t xml:space="preserve">      instrumentos del sistema interamericano de protección de los  derechos</w:t>
        <w:br/>
        <w:t xml:space="preserve">      humanos, por medio de los cuales se reconoce al ser humano  todas  las</w:t>
        <w:br/>
        <w:t xml:space="preserve">      garantías fundamentales como […] el derecho a la vida, a la seguridad,</w:t>
        <w:br/>
        <w:t xml:space="preserve">      a la integridad de las personas, entre otros. Como consecuencia de  su</w:t>
        <w:br/>
        <w:t xml:space="preserve">      violación,  [el  Estado]  reconoce  […]  la  responsabilidad  por   el</w:t>
        <w:br/>
        <w:t xml:space="preserve">      fallecimiento de las 107 personas que se encontraban recluidas  en  el</w:t>
        <w:br/>
        <w:t xml:space="preserve">      Centro Penal de la ciudad de San Pedro Sula, Departamento  de  Cortés,</w:t>
        <w:br/>
        <w:t xml:space="preserve">      Honduras, como consecuencia  del  incendio  que  se  produjo  por  las</w:t>
        <w:br/>
        <w:t xml:space="preserve">      condiciones de dicho centro penal, que provocaron  la  trasgresión  de</w:t>
        <w:br/>
        <w:t xml:space="preserve">      los derechos humanos.</w:t>
        <w:br/>
        <w:br/>
        <w:br/>
        <w:t xml:space="preserve">      El Estado de Honduras […] reconoce que la vida humana no tiene  precio</w:t>
        <w:br/>
        <w:t xml:space="preserve">      y lo que en esta oportunidad se ha comprometido a pagar no  compensará</w:t>
        <w:br/>
        <w:t xml:space="preserve">      ni revivirá a aquellos que  perdieron  la  vida.  Sin  embargo,  podrá</w:t>
        <w:br/>
        <w:t xml:space="preserve">      ayudar a sus familiares a  mitigar  algunas  de  las  necesidades  que</w:t>
        <w:br/>
        <w:t xml:space="preserve">      puedan tener, pero no el dolor de la pérdida  de  sus  parientes.  Por</w:t>
        <w:br/>
        <w:t xml:space="preserve">      todo lo anterior, reiter[a]  a  sus  parientes,  amigos  y  pueblo  en</w:t>
        <w:br/>
        <w:t xml:space="preserve">      general, las disculpas por los hechos acaecidos  y  expres[a  su]  más</w:t>
        <w:br/>
        <w:t xml:space="preserve">      sentido pésame por  el  fallecimiento  de  dichas  personas,  en  esta</w:t>
        <w:br/>
        <w:t xml:space="preserve">      oportunidad representadas ante  este  […]  Tribunal  por  la  Pastoral</w:t>
        <w:br/>
        <w:t xml:space="preserve">      Penitenciaria  San  Pedrana  CARITAS  y  el   Equipo   de   Reflexión,</w:t>
        <w:br/>
        <w:t xml:space="preserve">      Investigación y Comunicación (ERIC). El Estado de Honduras reconoce  y</w:t>
        <w:br/>
        <w:t xml:space="preserve">      agradece la intervención de este […] Tribunal, por facilitar  que  las</w:t>
        <w:br/>
        <w:t xml:space="preserve">      partes en conflicto haya[n] llegado a este arreglo […].</w:t>
        <w:br/>
        <w:br/>
        <w:t>En vista del reconocimiento de derechos efectuado por el Estado respecto  de</w:t>
        <w:br/>
        <w:t>las violaciones declaradas en el Informe  de  Fondo,  el  Estado  aceptó  su</w:t>
        <w:br/>
        <w:t>responsabilidad  internacional  por   las   violaciones   a   los   derechos</w:t>
        <w:br/>
        <w:t>consagrados en los artículos 4, 5, 7,  9,  8  y  25,  en  relación  con  los</w:t>
        <w:br/>
        <w:t>artículos 1.1 y 2, todos de la Convención Americana.</w:t>
        <w:br/>
        <w:br/>
        <w:t>Adicionalmente, el acuerdo establece su alcance  “específicamente  [respecto</w:t>
        <w:br/>
        <w:t>del] fallecimiento de ciento siete privados de libertad en la celda  19  del</w:t>
        <w:br/>
        <w:t>Centro Penal de San Pedro Sula, el 17 de mayo de 2004”. Asimismo, en  cuanto</w:t>
        <w:br/>
        <w:t>a la naturaleza y modalidad del acuerdo, “de conformidad con el artículo  63</w:t>
        <w:br/>
        <w:t>del Reglamento de la Corte [pretende] solucionar por  la  vía  amistosa  una</w:t>
        <w:br/>
        <w:t>violación de derechos protegidos por la Convención Americana, de la cual  el</w:t>
        <w:br/>
        <w:t>Estado […] está obligado a  reparar  el  incumplimiento  de  la  misma”.  En</w:t>
        <w:br/>
        <w:t>relación con “la determinación del  beneficiario”,  se  dispone  que  “[p]or</w:t>
        <w:br/>
        <w:t>acuerdo entre las partes[,]  comprende  a  las  víctimas  y  sus  familiares</w:t>
        <w:br/>
        <w:t>descritos en el [I]nforme de [F]ondo de  la  Comisión  Interamericana”.  Por</w:t>
        <w:br/>
        <w:t>otra parte, “[t]omando en cuenta  la  precaria  situación  de  las  finanzas</w:t>
        <w:br/>
        <w:t>públicas,  se  acordó   establecer   un   monto   fijo   como   compensación</w:t>
        <w:br/>
        <w:t>indemnizatoria que comprende  daños  materiales,  daños  morales,  gastos  y</w:t>
        <w:br/>
        <w:t>costas”, el cual solicitaron “se mantenga en  reserva  […]  por  razones  de</w:t>
        <w:br/>
        <w:t>seguridad”. Además, “las partes de manera  conjunta  […]  solicitaron  a  la</w:t>
        <w:br/>
        <w:t>Corte la homologación del […] acuerdo al emitir su sentencia que  ponga  fin</w:t>
        <w:br/>
        <w:t>[al] presente litigio”. El Estado se comprometió, a través  del  acuerdo,  a</w:t>
        <w:br/>
        <w:t>elaborar  “un  cronograma  de  ejecución  y  cumplimiento  de   los   puntos</w:t>
        <w:br/>
        <w:t>acordados, que incluya tiempos, responsables y mecanismos de  ejecución,  el</w:t>
        <w:br/>
        <w:t>cual  formará  parte  del  [acuerdo]”[17].  Finalmente,  “[l]a   [S]entencia</w:t>
        <w:br/>
        <w:t>dictada por la Corte […] deberá ser socializada a los funcionarios  públicos</w:t>
        <w:br/>
        <w:t>responsables de órganos del Estado del sistema penitenciario  nacional  para</w:t>
        <w:br/>
        <w:t>su conocimiento y ejecución”. Los elementos  sustantivos  del  acuerdo,  así</w:t>
        <w:br/>
        <w:t>como las medidas reparatorias ordenadas por el  Tribunal  con  base  en  las</w:t>
        <w:br/>
        <w:t>violaciones declaradas, serán tratados en los Capítulos VII  y  VIII  de  la</w:t>
        <w:br/>
        <w:t>presente Sentencia.</w:t>
        <w:br/>
        <w:br/>
        <w:br/>
        <w:t xml:space="preserve">      Consideraciones de la Corte</w:t>
        <w:br/>
        <w:br/>
        <w:br/>
        <w:br/>
        <w:t>De conformidad con los artículos 62 y 63 del  Reglamento  de  la  Corte,  el</w:t>
        <w:br/>
        <w:t>Tribunal  deberá  determinar  la  procedencia  y   efectos   jurídicos   del</w:t>
        <w:br/>
        <w:t>reconocimiento de responsabilidad internacional y del  acuerdo  de  solución</w:t>
        <w:br/>
        <w:t>amistosa.</w:t>
        <w:br/>
        <w:br/>
        <w:t>En  este  sentido,   el   Tribunal   estima   que   el   reconocimiento   de</w:t>
        <w:br/>
        <w:t>responsabilidad  efectuado  por  el  Estado  constituye   una   contribución</w:t>
        <w:br/>
        <w:t>positiva al desarrollo de este proceso y a la  vigencia  de  los  principios</w:t>
        <w:br/>
        <w:t>que inspiran la Convención  Americana[18].  Asimismo,  la  Corte  considera,</w:t>
        <w:br/>
        <w:t>como en otros casos[19],  que  tal  reconocimiento  produce  plenos  efectos</w:t>
        <w:br/>
        <w:t>jurídicos en el presente caso. Además, valora positivamente  la  realización</w:t>
        <w:br/>
        <w:t>de un acuerdo de solución amistosa entre las  partes,  lo  cual  refleja  la</w:t>
        <w:br/>
        <w:t>voluntad de Honduras por reparar de manera integral los daños ocasionados  a</w:t>
        <w:br/>
        <w:t>las  víctimas  por  las  violaciones  producidas  en  el  presente  caso   y</w:t>
        <w:br/>
        <w:t>representa una gran oportunidad para el Estado en aras de que no se  repitan</w:t>
        <w:br/>
        <w:t>hechos similares. La Corte estima, además, que alcanzar acuerdos  entre  las</w:t>
        <w:br/>
        <w:t>partes contribuye con los fines del Sistema Interamericano de Protección  de</w:t>
        <w:br/>
        <w:t>los  Derechos  Humanos,  especialmente  con  el   propósito   de   encontrar</w:t>
        <w:br/>
        <w:t>soluciones justas a los problemas particulares y estructurales de  un  caso.</w:t>
        <w:br/>
        <w:br/>
        <w:br/>
        <w:t>En razón de lo anterior, de acuerdo  con  los  términos  en  que  el  Estado</w:t>
        <w:br/>
        <w:t>reconoció su responsabilidad en el caso y el objeto del acuerdo de  solución</w:t>
        <w:br/>
        <w:t>amistosa, la Corte considera que ha cesado la controversia sobre los  hechos</w:t>
        <w:br/>
        <w:t>y las violaciones de los artículos 4 (Derecho a la Vida), 5  (Derecho  a  la</w:t>
        <w:br/>
        <w:t>Integridad Personal), 7 (Derecho a la Libertad Personal),  9  (Principio  de</w:t>
        <w:br/>
        <w:t>Legalidad y de Retroactividad), 8 (Garantías Judiciales)  y  25  (Protección</w:t>
        <w:br/>
        <w:t>Judicial) de la Convención, en relación con los artículos  1.1  y  2  de  la</w:t>
        <w:br/>
        <w:t>misma.  No  obstante,  el  Tribunal   estima   conveniente   hacer   algunas</w:t>
        <w:br/>
        <w:t>consideraciones respecto de tales derechos en los Capítulos VII  y  VIII  de</w:t>
        <w:br/>
        <w:t>la Sentencia.</w:t>
        <w:br/>
        <w:br/>
        <w:t>Respecto de las medidas de reparación descritas en el  acuerdo  de  solución</w:t>
        <w:br/>
        <w:t>amistosa convenido por el Estado y los representantes de  las  víctimas,  la</w:t>
        <w:br/>
        <w:t>Corte las homologa, en los términos descritos en la presente  Sentencia  por</w:t>
        <w:br/>
        <w:t>contribuir a la realización del objeto y fin de la Convención Americana.  No</w:t>
        <w:br/>
        <w:t>obstante, la Corte analizará dichas medidas en el Capítulo VIII, con el  fin</w:t>
        <w:br/>
        <w:t>de determinar su alcance y formas de ejecución. Siendo  que  el  acuerdo  de</w:t>
        <w:br/>
        <w:t>solución amistosa pretende reparar a una mayor cantidad de víctimas  de  las</w:t>
        <w:br/>
        <w:t>que fueron señaladas en el Informe de Fondo de la  Comisión  Interamericana,</w:t>
        <w:br/>
        <w:t>la Corte se pronunciará al respecto en el apartado A) del Capítulo VIII  del</w:t>
        <w:br/>
        <w:t>presente Fallo.</w:t>
        <w:br/>
        <w:br/>
        <w:t>En consideración  de  la  gravedad  de  los  hechos  y  de  las  violaciones</w:t>
        <w:br/>
        <w:t>reconocidas por el Estado, el Tribunal procederá a la determinación  puntual</w:t>
        <w:br/>
        <w:t>de los hechos ocurridos y realizará algunas consideraciones sobre  el  deber</w:t>
        <w:br/>
        <w:t>de prevención en condiciones carcelarias y sobre los  estándares  aplicables</w:t>
        <w:br/>
        <w:t>a las medidas de reparación acordadas  por  las  partes,  toda  vez  que  la</w:t>
        <w:br/>
        <w:t>emisión de la Sentencia contribuye a la reparación de los familiares de  las</w:t>
        <w:br/>
        <w:t>víctimas fallecidas en el caso, a evitar que se repitan hechos  similares  y</w:t>
        <w:br/>
        <w:t>a satisfacer los fines de  la  jurisdicción  interamericana  sobre  derechos</w:t>
        <w:br/>
        <w:t>humanos[20].</w:t>
        <w:br/>
        <w:br/>
        <w:br/>
        <w:t>VI</w:t>
        <w:br/>
        <w:t>CONTEXTO Y HECHOS DEL CASO</w:t>
        <w:br/>
        <w:br/>
        <w:br/>
        <w:t>A la luz del reconocimiento de responsabilidad internacional  efectuado  por</w:t>
        <w:br/>
        <w:t>el Estado y con base en la prueba allegada al  expediente,  el  Tribunal  se</w:t>
        <w:br/>
        <w:t>referirá al contexto  y  hechos  que  configuraron  las  violaciones  en  el</w:t>
        <w:br/>
        <w:t>presente caso.</w:t>
        <w:br/>
        <w:br/>
        <w:br/>
        <w:br/>
        <w:br/>
        <w:br/>
        <w:t xml:space="preserve">      El sistema penitenciario en Honduras</w:t>
        <w:br/>
        <w:br/>
        <w:br/>
        <w:t>Es de público conocimiento  y  llama  la  atención  de  la  Corte  que,  con</w:t>
        <w:br/>
        <w:t>anterioridad y posterioridad a los hechos que motivaron  el  presente  caso,</w:t>
        <w:br/>
        <w:t>han ocurrido otros incidentes  de  gravedad  en  centros  penitenciarios  de</w:t>
        <w:br/>
        <w:t>Honduras, entre los cuales los incendios acontecidos: el 5 de abril de  2003</w:t>
        <w:br/>
        <w:t>en la Granja Penal de el Porvenir, La Ceiba, donde fallecieron 69  personas;</w:t>
        <w:br/>
        <w:t>el 14 de febrero de 2012 en la Granja Penal de Comayagua, donde murieron  un</w:t>
        <w:br/>
        <w:t>total de 367 personas, y el 29 de marzo de 2012 en la misma  cárcel  de  San</w:t>
        <w:br/>
        <w:t>Pedro Sula, donde murieron 13 personas más[21].</w:t>
        <w:br/>
        <w:br/>
        <w:t>De  conformidad  con  lo  expuesto  en  diversos   informes   nacionales   e</w:t>
        <w:br/>
        <w:t>internacionales, en la época de  los  hechos  el  sistema  penitenciario  en</w:t>
        <w:br/>
        <w:t>Honduras presentaba deficiencias estructurales. En ese sentido, los  centros</w:t>
        <w:br/>
        <w:t>penales  a  nivel  nacional  “se  enc[ontraban]  sobrepoblados,   provocando</w:t>
        <w:br/>
        <w:t>hacinamiento, insalubridad, contaminación,  inconformidad,  antagonismo  [y]</w:t>
        <w:br/>
        <w:t>enfrentamientos”[22].  Asimismo,  las  instalaciones  eléctricas,  de   agua</w:t>
        <w:br/>
        <w:t>potable y sanitarias, entre  otras,  se  encontraban  colapsadas.  Según  lo</w:t>
        <w:br/>
        <w:t>informado  por  el  Estado,  en  la  actualidad  el  sistema   penitenciario</w:t>
        <w:br/>
        <w:t>hondureño se encuentra en “emergencia penitenciaria”[23].</w:t>
        <w:br/>
        <w:br/>
        <w:t>Estas  deficiencias  se   habrían   agravado   como   consecuencia   de   la</w:t>
        <w:br/>
        <w:t>implementación de reformas penales adoptadas por el Estado en  el  marco  de</w:t>
        <w:br/>
        <w:t>las  políticas  de  “tolerancia  cero”  que  pretendían  erradicar   a   las</w:t>
        <w:br/>
        <w:t>“maras”[24] y pandillas con la finalidad de  controlar  la  violencia.  Como</w:t>
        <w:br/>
        <w:t>parte de estas medidas, mediante el Decreto No. 117-2003 adoptado en  agosto</w:t>
        <w:br/>
        <w:t>de 2003, se reformó el tipo penal de asociación ilícita  contemplado  en  el</w:t>
        <w:br/>
        <w:t>artículo 332 del Código Penal, aumentando  las  penas  para  este  delito  e</w:t>
        <w:br/>
        <w:t>incluyendo en su redacción una mención explícita a las maras como  forma  de</w:t>
        <w:br/>
        <w:t>asociación ilícita[25].</w:t>
        <w:br/>
        <w:br/>
        <w:t>A  partir  de  esa  reforma,  la  policía  inició  una  práctica  común   de</w:t>
        <w:br/>
        <w:t>detenciones por sospecha y arrestos masivos con base  en  la  apariencia  de</w:t>
        <w:br/>
        <w:t>las personas y sin orden previa de autoridad competente[26].</w:t>
        <w:br/>
        <w:br/>
        <w:t>Lo anterior incidió en el incremento de los  niveles  de  sobrepoblación  de</w:t>
        <w:br/>
        <w:t>los centros penales y acentuó  los  problemas  estructurales  existentes  en</w:t>
        <w:br/>
        <w:t>todo el sistema penitenciario,  pero  particularmente  en  aquellos  centros</w:t>
        <w:br/>
        <w:t>destinados a personas acusadas de pertenecer a las maras. En  la  época  los</w:t>
        <w:br/>
        <w:t>hechos, la capacidad total de los 24 centros penales del país era  de  8,280</w:t>
        <w:br/>
        <w:t>plazas. Sin embargo, en el 2004 la población  penitenciaria  era  de  10,931</w:t>
        <w:br/>
        <w:t>internos, y para el 2008, se incrementó a 11,723 internos[27].</w:t>
        <w:br/>
        <w:br/>
        <w:br/>
        <w:br/>
        <w:br/>
        <w:br/>
        <w:t xml:space="preserve">      Condiciones generales del Centro Penal de San Pedro Sula</w:t>
        <w:br/>
        <w:br/>
        <w:br/>
        <w:t>El Centro Penal de San Pedro Sula se encuentra ubicado en una de  las  zonas</w:t>
        <w:br/>
        <w:t>más populares de esa ciudad y con mayor circulación  vehicular.  Al  momento</w:t>
        <w:br/>
        <w:t>de los hechos, constaba de 21 celdas con una capacidad para alojar  a  1,500</w:t>
        <w:br/>
        <w:t>personas aproximadamente. Sin embargo,  el  día  del  incendio  albergaba  a</w:t>
        <w:br/>
        <w:t>2,081 internos.</w:t>
        <w:br/>
        <w:br/>
        <w:t>Los conflictos entre pandillas eran recurrentes dentro del penal. El  20  de</w:t>
        <w:br/>
        <w:t>abril de 2004 un grupo de internos provocó una revuelta en  el  comedor  del</w:t>
        <w:br/>
        <w:t>centro,  impidiendo  el  acceso  de  la  policía  penitenciaria  al  recinto</w:t>
        <w:br/>
        <w:t>general. Ese grupo de internos explotaron bombas molotov en la celda de  los</w:t>
        <w:br/>
        <w:t>internos pertenecientes a una determinada  mara.  A  consecuencia  de  dicho</w:t>
        <w:br/>
        <w:t>acontecimiento, el director del centro penal solicitó autorización  judicial</w:t>
        <w:br/>
        <w:t>para el traslado de los internos afectados a otro centro, con  la  finalidad</w:t>
        <w:br/>
        <w:t>de resguardar su seguridad. Al respecto, mediante Resolución de 21 de  abril</w:t>
        <w:br/>
        <w:t>de 2004, el Juzgado de Ejecución de la Sección Judicial de  San  Pedro  Sula</w:t>
        <w:br/>
        <w:t>autorizó el traslado de los internos y concluyó que el  centro  penal  tenía</w:t>
        <w:br/>
        <w:t>problemas de hacinamiento carcelario, proliferación  de  delitos,  falta  de</w:t>
        <w:br/>
        <w:t>personal idóneo y en cantidad proporcional a la población  existente,  falta</w:t>
        <w:br/>
        <w:t>de clasificación de  internos,  y  corrupción  del  personal  penitenciario,</w:t>
        <w:br/>
        <w:t>entre otros[28].</w:t>
        <w:br/>
        <w:br/>
        <w:t>Además, “[existía] un control  en  el  centro  penal  a  cargo  de  los  […]</w:t>
        <w:br/>
        <w:t>internos,  y  que  hasta  cierto  punto  ha[bía]  sido  permitido  por   las</w:t>
        <w:br/>
        <w:t>autoridades penitenciarias, quienes no han supervisado  la  introducción  de</w:t>
        <w:br/>
        <w:t>armas y bombas, poniendo en riesgo a la  población  penitenciaria  y  a  las</w:t>
        <w:br/>
        <w:t>visitas”[29].</w:t>
        <w:br/>
        <w:br/>
        <w:t>Las condiciones  del  sistema  eléctrico  del  penal  eran  “deplorables”  y</w:t>
        <w:br/>
        <w:t>representaban un riesgo  latente  de  incendio.  La  persona  encargada  del</w:t>
        <w:br/>
        <w:t>mantenimiento de las instalaciones  eléctricas  era  uno  de  los  internos.</w:t>
        <w:br/>
        <w:t>Dicha situación era  de  conocimiento  público  y  de  las  autoridades  del</w:t>
        <w:br/>
        <w:t>centro[30]. Al respecto, dos meses  antes  del  incendio,  el  director  del</w:t>
        <w:br/>
        <w:t>penal dirigió una comunicación a la Gerente  Nor-Occidental  División  Norte</w:t>
        <w:br/>
        <w:t>de la Empresa Nacional de Energía Eléctrica, mediante la cual  solicitó  “su</w:t>
        <w:br/>
        <w:t>[…] colaboración para tratar de mejorar  o  corregir  el  sistema  eléctrico</w:t>
        <w:br/>
        <w:t>dentro del establecimiento penal, ya que est[aba] colapsado  y  [se  corría]</w:t>
        <w:br/>
        <w:t>el riesgo de que se provo[cara]  un  incendio  principalmente  en  los  días</w:t>
        <w:br/>
        <w:t>calurosos del verano”[31].</w:t>
        <w:br/>
        <w:br/>
        <w:t>El ingreso de electrodomésticos era autorizado por el director.  Existía  un</w:t>
        <w:br/>
        <w:t>inventario de estos  aparatos,  no  obstante,  resultaba  impreciso  y  poco</w:t>
        <w:br/>
        <w:t>confiable debido a que eran los propios internos  quienes  informaban  sobre</w:t>
        <w:br/>
        <w:t>la cantidad de aparatos  en  su  poder,  lo  cual  no  era  corroborado  con</w:t>
        <w:br/>
        <w:t>posterioridad por ninguna autoridad[32].</w:t>
        <w:br/>
        <w:br/>
        <w:t>Por otra parte, el sistema  de  agua  potable  del  centro  era  obsoleto  e</w:t>
        <w:br/>
        <w:t>inadecuado para satisfacer la demanda existente y no contaba  con  hidrantes</w:t>
        <w:br/>
        <w:t>de incendios para la conexión de mangueras[33]. Según las declaraciones  del</w:t>
        <w:br/>
        <w:t>director y del administrador del penal,  al  momento  de  los  hechos  dicho</w:t>
        <w:br/>
        <w:t>centro carecía de mecanismos adecuados para prevenir y  afrontar  incendios.</w:t>
        <w:br/>
        <w:t>Además, la única instrucción dispuesta para las  autoridades  penitenciarias</w:t>
        <w:br/>
        <w:t>en casos de emergencia era disparar al suelo en  señal  de  alerta  y,  para</w:t>
        <w:br/>
        <w:t>casos de incendio, llamar a los bomberos.</w:t>
        <w:br/>
        <w:br/>
        <w:t>El Estado no contemplaba programas educativos o  actividades  de  recreación</w:t>
        <w:br/>
        <w:t>para la rehabilitación de los privados  de  libertad  y  los  servicios  que</w:t>
        <w:br/>
        <w:t>prestaba la Iglesia Católica a los internos eran casi inaccesibles para  los</w:t>
        <w:br/>
        <w:t>internos pertenecientes a maras o pandillas.</w:t>
        <w:br/>
        <w:br/>
        <w:br/>
        <w:br/>
        <w:br/>
        <w:br/>
        <w:t xml:space="preserve">      Condiciones particulares de la celda No. 19</w:t>
        <w:br/>
        <w:br/>
        <w:br/>
        <w:t>La celda No. 19 consistía en una construcción de aproximadamente 200  metros</w:t>
        <w:br/>
        <w:t>cuadrados hecha  con  bloques  de  cemento  y  con  ladrillos  repellados  y</w:t>
        <w:br/>
        <w:t>pintados, formando parte de la estructura general  del  centro  penal,  pero</w:t>
        <w:br/>
        <w:t>aislada de las demás celdas. Tenía una entrada única  con  portón  de  metal</w:t>
        <w:br/>
        <w:t>frente al cual se encontraba la entrada al recinto, que era el único  acceso</w:t>
        <w:br/>
        <w:t>al dormitorio de los reclusos. Al momento del incendio, en la celda  No.  19</w:t>
        <w:br/>
        <w:t>estaban recluidos 183 internos presuntos miembros de una mara, cuyas  edades</w:t>
        <w:br/>
        <w:t>oscilaban entre 18 y 40 años. Según el Estado, esta clasificación atendía  a</w:t>
        <w:br/>
        <w:t>la necesidad de evitar enfrentamientos entre pandillas rivales  y  procuraba</w:t>
        <w:br/>
        <w:t>salvaguardar la seguridad de los internos.  Al  menos  45  personas  que  se</w:t>
        <w:br/>
        <w:t>hallaban privadas de libertad en dicha celda guardaban  prisión  preventiva.</w:t>
        <w:br/>
        <w:t>De ese grupo, 22 lo estaban  exclusivamente  por  el  delito  de  asociación</w:t>
        <w:br/>
        <w:t>ilícita (Anexo B).</w:t>
        <w:br/>
        <w:br/>
        <w:t>Asimismo,  el  espacio  físico  para  cada  uno  de  los  internos  era   de</w:t>
        <w:br/>
        <w:t>aproximadamente un metro cuadrado, espacio dentro del  cual  estaban  además</w:t>
        <w:br/>
        <w:t>los aparatos de refrigeración, las  camas  y  otros  objetos.  La  celda  no</w:t>
        <w:br/>
        <w:t>contaba con ventilación ni luz natural, debido a lo cual la iluminación  era</w:t>
        <w:br/>
        <w:t>artificial. Además, sólo existía  una  ruta  de  evacuación  para  casos  de</w:t>
        <w:br/>
        <w:t>contingencia y  no  contaba  con  extinguidores  ni  sistema  de  agua  para</w:t>
        <w:br/>
        <w:t>combatir  incendios[34].</w:t>
        <w:br/>
        <w:br/>
        <w:t>La sobrepoblación existente en el centro penal originaba  una  situación  de</w:t>
        <w:br/>
        <w:t>hacinamiento y falta  de  privacidad  para  recibir  visitas,  que  se  veía</w:t>
        <w:br/>
        <w:t>acentuada entre los internos  que  supuestamente  pertenecían  a  pandillas,</w:t>
        <w:br/>
        <w:t>debido a que las instalaciones destinadas para su  reclusión  eran  recintos</w:t>
        <w:br/>
        <w:t>improvisados en función de su seguridad.</w:t>
        <w:br/>
        <w:br/>
        <w:t>La falta de ventilación y las altas temperaturas hacían necesario el uso  de</w:t>
        <w:br/>
        <w:t>ventiladores.  De  acuerdo  a  uno  de  los  peritajes  requeridos  por   el</w:t>
        <w:br/>
        <w:t>Ministerio Público, al interior de la celda No. 19  existían,  entre  otros,</w:t>
        <w:br/>
        <w:t>tres  aires  acondicionados,  62  ventiladores,  dos  refrigeradores,   diez</w:t>
        <w:br/>
        <w:t>televisores, tres planchas eléctricas, un  equipo  de  sonido,  un  VHS,  un</w:t>
        <w:br/>
        <w:t>microondas, un motor de licuadora, una cortina  de  aire,  un  enfriador  de</w:t>
        <w:br/>
        <w:t>agua y una estufa eléctrica[35]. Además, según  un  informe  del  cuerpo  de</w:t>
        <w:br/>
        <w:t>bomberos,  en  cada  una  de  las  camas  se  encontraban  de  dos  a   tres</w:t>
        <w:br/>
        <w:t>ventiladores  y  existían   cuatro   mini   splits   trabajando   de   forma</w:t>
        <w:br/>
        <w:t>permanente[36].</w:t>
        <w:br/>
        <w:br/>
        <w:t>Por otro lado, el servicio de “agua corriente”  era  inadecuado.  Por  ello,</w:t>
        <w:br/>
        <w:t>los sanitarios debían llenarse con cubetas, además de que no había  lavabos,</w:t>
        <w:br/>
        <w:t>ni  duchas.  Tampoco  se  proporcionaban  productos  de  aseo  personal.  Lo</w:t>
        <w:br/>
        <w:t>anterior generaba un ambiente malsano e  insalubre  y  la  proliferación  de</w:t>
        <w:br/>
        <w:t>insectos.</w:t>
        <w:br/>
        <w:br/>
        <w:t>Asimismo, los internos de la celda No. 19 no  recibían  la  atención  médica</w:t>
        <w:br/>
        <w:t>debida, puesto que los servicios de salud estaban organizados  para  atender</w:t>
        <w:br/>
        <w:t>a la población penal en general y la situación de aislamiento en la  que  se</w:t>
        <w:br/>
        <w:t>encontraban  dificultaba  su  acceso  a   dichos   servicios.   Además,   la</w:t>
        <w:br/>
        <w:t>alimentación que recibían era deficiente.</w:t>
        <w:br/>
        <w:br/>
        <w:t>Los guardias penitenciarios mantenían un ambiente de hostilidad  y  amenazas</w:t>
        <w:br/>
        <w:t>hacia los internos y  en  las  inspecciones  que  realizaban  a  las  celdas</w:t>
        <w:br/>
        <w:t>llegaban  a  cometer  robos  o  destruían  los  objetos  personales  de  los</w:t>
        <w:br/>
        <w:t>reclusos.  Según  testimonios  de  algunos  familiares,  en  ocasiones   los</w:t>
        <w:br/>
        <w:t>internos eran sometidos a castigos colectivos, como ser expuestos al  sol  o</w:t>
        <w:br/>
        <w:t>la lluvia.</w:t>
        <w:br/>
        <w:br/>
        <w:br/>
        <w:br/>
        <w:br/>
        <w:br/>
        <w:t xml:space="preserve">      El incendio en la celda No. 19</w:t>
        <w:br/>
        <w:br/>
        <w:br/>
        <w:br/>
        <w:t>El incendio en la celda No. 19 del Centro Penal de San  Pedro  Sula  ocurrió</w:t>
        <w:br/>
        <w:t>el 17 de mayo de 2004, entre las 1:30 y 2:00 horas de  la  madrugada,  y  se</w:t>
        <w:br/>
        <w:t>originó dentro de la celda, en la parte superior de la puerta de acceso.</w:t>
        <w:br/>
        <w:br/>
        <w:t>A las 1:45 horas los policías penitenciarios que se encontraban de  servicio</w:t>
        <w:br/>
        <w:t>en la posta número 6 frente a la celda No. 19 hicieron  varios  disparos  de</w:t>
        <w:br/>
        <w:t>advertencia. Los testimonios que obran en el  expediente  judicial  rendidos</w:t>
        <w:br/>
        <w:t>por los sobrevivientes del incendio  son  coincidentes  en  que  cuando  los</w:t>
        <w:br/>
        <w:t>guardias penitenciarios se enteraron del  siniestro  y  llegaron  al  portón</w:t>
        <w:br/>
        <w:t>principal de la bartolina, no lo abrieron enseguida, sino que frente  a  los</w:t>
        <w:br/>
        <w:t>gritos  de  auxilio  de  los   internos   sólo   hacían   disparos   y   los</w:t>
        <w:br/>
        <w:t>insultaban[37].</w:t>
        <w:br/>
        <w:br/>
        <w:t>A las 1:55 horas el director del centro llamó al Cuerpo de Bomberos y  a  la</w:t>
        <w:br/>
        <w:t>Central de Policía Nacional solicitando auxilio, mientras que los  custodios</w:t>
        <w:br/>
        <w:t>de servicio ubicaban al “alcaide” encargado de la custodia de las llaves  de</w:t>
        <w:br/>
        <w:t>la celda[38].</w:t>
        <w:br/>
        <w:br/>
        <w:t>Aproximadamente a las 2:30 horas[39], los internos lograron abrir el  portón</w:t>
        <w:br/>
        <w:t>interior[40] de la celda No. 19 utilizando una pesa hecha de cemento con  la</w:t>
        <w:br/>
        <w:t>que  hacían  ejercicio[41]  y  se  dirigieron  al  recinto  exterior  de  la</w:t>
        <w:br/>
        <w:t>bartolina.</w:t>
        <w:br/>
        <w:br/>
        <w:t>Posteriormente el director del centro llegó a la entrada de la celda No.  19</w:t>
        <w:br/>
        <w:t>y ordenó que se abriera el segundo portón. Inmediatamente  después  llegaron</w:t>
        <w:br/>
        <w:t>los bomberos[42].</w:t>
        <w:br/>
        <w:br/>
        <w:t>En dicho incidente perdieron la vida 107 internos, de los cuales,  al  menos</w:t>
        <w:br/>
        <w:t>101 murieron a causa de la inhalación masiva de dióxido de carbono  (asfixia</w:t>
        <w:br/>
        <w:t>por sofocación), y cinco fallecieron en el hospital con  quemaduras  graves.</w:t>
        <w:br/>
        <w:t>No hay pruebas de internos heridos o muertos por arma de fuego.</w:t>
        <w:br/>
        <w:br/>
        <w:br/>
        <w:br/>
        <w:br/>
        <w:br/>
        <w:t xml:space="preserve">      Causas del incendio</w:t>
        <w:br/>
        <w:br/>
        <w:br/>
        <w:t>Según  los  informes  periciales  presentados  durante  las  investigaciones</w:t>
        <w:br/>
        <w:t>seguidas en el expediente judicial No. 1009/04, el origen del  incendio  fue</w:t>
        <w:br/>
        <w:t>la sobrecarga causada por el exceso de aparatos conectados,  lo  que  generó</w:t>
        <w:br/>
        <w:t>un corto circuito en el sistema eléctrico.</w:t>
        <w:br/>
        <w:br/>
        <w:t>Según las declaraciones de varios sobrevivientes[43] y de dos  bomberos  que</w:t>
        <w:br/>
        <w:t>llegaron al lugar de los hechos[44], el día del incendio  no  hubo  servicio</w:t>
        <w:br/>
        <w:t>de agua corriente y sólo había agua para los servicios sanitarios[45].</w:t>
        <w:br/>
        <w:br/>
        <w:br/>
        <w:br/>
        <w:br/>
        <w:br/>
        <w:t xml:space="preserve">      Situación de los familiares de las víctimas</w:t>
        <w:br/>
        <w:br/>
        <w:br/>
        <w:t>El mismo día del incendio, a las 9:30 horas,  se  encontraban  alrededor  de</w:t>
        <w:br/>
        <w:t>200 familiares fuera del centro penal en espera  de  información  sobre  los</w:t>
        <w:br/>
        <w:t>internos. A las 13:00 horas el Obispo Auxiliar de San Pedro  Sula,  Monseñor</w:t>
        <w:br/>
        <w:t>Rómulo Emiliani, leyó la lista de los internos heridos  que  se  encontraban</w:t>
        <w:br/>
        <w:t>hospitalizados, y una hora más tarde  volvió  para  leer  la  lista  de  los</w:t>
        <w:br/>
        <w:t>fallecidos.</w:t>
        <w:br/>
        <w:br/>
        <w:t>La identificación de los cadáveres se prolongó por varios  días.  Al  tercer</w:t>
        <w:br/>
        <w:t>día, los familiares, en su desesperación, “intentaron romper la  cerca  para</w:t>
        <w:br/>
        <w:t>entrar en la morgue”. El reconocimiento de los cuerpos se realizó  de  forma</w:t>
        <w:br/>
        <w:t>apresurada y sin estudios de ADN, “comparando fotos de los muertos  con  sus</w:t>
        <w:br/>
        <w:t>carnets de identidad y otros documentos”.  En  consecuencia,  se  cometieron</w:t>
        <w:br/>
        <w:t>errores en la entrega de cuerpos, lo  cual  agravó  el  sufrimiento  de  los</w:t>
        <w:br/>
        <w:t>familiares.</w:t>
        <w:br/>
        <w:br/>
        <w:t>El Estado dispuso entregar la cantidad de 10,000 Lempiras a  los  familiares</w:t>
        <w:br/>
        <w:t>de los fallecidos, “para asuntos de  traslado  de  cadáveres  y  funerales”.</w:t>
        <w:br/>
        <w:t>Este dinero fue entregado a algunas familias en los tribunales  de  justicia</w:t>
        <w:br/>
        <w:t>y en el hospital[46].</w:t>
        <w:br/>
        <w:br/>
        <w:br/>
        <w:br/>
        <w:br/>
        <w:br/>
        <w:t xml:space="preserve">      Proceso judicial ante los tribunales nacionales</w:t>
        <w:br/>
        <w:br/>
        <w:br/>
        <w:t>Las diligencias de investigación iniciaron el 17 de mayo de 2004. El  11  de</w:t>
        <w:br/>
        <w:t>agosto de 2004 el  Fiscal  General  de  la  República  emitió  requerimiento</w:t>
        <w:br/>
        <w:t>fiscal contra el señor Elías Aceituno Canaca, Director del Centro  Penal  de</w:t>
        <w:br/>
        <w:t>San Pedro Sula al  momento  del  incendio,  por  los  delitos  de  homicidio</w:t>
        <w:br/>
        <w:t>culposo,  lesiones  culposas   y   violación   de   los   deberes   de   los</w:t>
        <w:br/>
        <w:t>funcionarios[47]. El 12 de agosto  de  2004  se  impuso  al  señor  Aceituno</w:t>
        <w:br/>
        <w:t>Canaca la medida cautelar sustitutiva de la detención  judicial  consistente</w:t>
        <w:br/>
        <w:t>en la presentación periódica al juzgado de la causa cada quince  días  y  la</w:t>
        <w:br/>
        <w:t>prohibición de salir del país.</w:t>
        <w:br/>
        <w:br/>
        <w:t>El 1 de septiembre de 2004 el Juez de Letras de la Sección Judicial  de  San</w:t>
        <w:br/>
        <w:t>Pedro Sula dictó el sobreseimiento definitivo a  favor  del  señor  Aceituno</w:t>
        <w:br/>
        <w:t>Canaca, decretando sin lugar la pretensión  fiscal,  al  considerar  que  la</w:t>
        <w:br/>
        <w:t>prueba presentada por la fiscalía  no  era  determinante  para  concluir  su</w:t>
        <w:br/>
        <w:t>responsabilidad por el deterioro de las instalaciones eléctricas,  debido  a</w:t>
        <w:br/>
        <w:t>que éstas se encontraban, como todo  lo  material,  expuestas  al  paso  del</w:t>
        <w:br/>
        <w:t>tiempo. Además, indicó que no era posible “endilgar” responsabilidad  a  una</w:t>
        <w:br/>
        <w:t>persona que hizo lo que estuvo a su alcance para prevenir el  siniestro[48].</w:t>
        <w:br/>
        <w:t>El 6 de septiembre de  2004  el  Ministerio  Público  interpuso  recurso  de</w:t>
        <w:br/>
        <w:t>apelación contra el sobreseimiento definitivo  decretado[49],  y  el  22  de</w:t>
        <w:br/>
        <w:t>noviembre de 2004 la Corte  de  Apelaciones  Seccional  de  San  Pedro  Sula</w:t>
        <w:br/>
        <w:t>declaró que no había lugar  al  recurso  de  apelación  interpuesto  por  el</w:t>
        <w:br/>
        <w:t>Ministerio Público,  confirmando  el  sobreseimiento  definitivo[50].  Dicha</w:t>
        <w:br/>
        <w:t>decisión coincidió en lo fundamental con las  consideraciones  del  tribunal</w:t>
        <w:br/>
        <w:t>de primera instancia[51].</w:t>
        <w:br/>
        <w:br/>
        <w:t>Contra esta decisión de la Corte de  Apelaciones,  el  17  de  diciembre  de</w:t>
        <w:br/>
        <w:t>2004[52] el Ministerio Público interpuso una acción de amparo ante  la  Sala</w:t>
        <w:br/>
        <w:t>Constitucional  de  la  Corte  Suprema  de  Justicia,  expresando  que   “la</w:t>
        <w:br/>
        <w:t>resolución dictada por  el  [a]d  [q]uem  es  violatoria  del  artículo  90,</w:t>
        <w:br/>
        <w:t>párrafo primero  de  la  Constitución  de  la  República,  que  consigna  la</w:t>
        <w:br/>
        <w:t>garantía del debido proceso”[53]. Por su parte, la  Sala  Constitucional  de</w:t>
        <w:br/>
        <w:t>la Corte Suprema de Justicia denegó el recurso de amparo mediante  sentencia</w:t>
        <w:br/>
        <w:t>de 27 de septiembre de 2005[54].</w:t>
        <w:br/>
        <w:br/>
        <w:t>Además del referido proceso judicial, no consta en el  expediente  del  caso</w:t>
        <w:br/>
        <w:t>que el Estado haya emprendido nuevas diligencias o que  haya  seguido  otras</w:t>
        <w:br/>
        <w:t>líneas de investigación, o que se haya planteado la posible  responsabilidad</w:t>
        <w:br/>
        <w:t>penal, administrativa o disciplinaria de otras  autoridades  o  funcionarios</w:t>
        <w:br/>
        <w:t>distintos del entonces director del centro penal.</w:t>
        <w:br/>
        <w:br/>
        <w:br/>
        <w:br/>
        <w:br/>
        <w:t>VII</w:t>
        <w:br/>
        <w:t>CONSIDERACIONES DE LA CORTE RESPECTO DE LOS ARTICULOS 4, 5, 7, 9, 8 Y 25,</w:t>
        <w:br/>
        <w:t>EN RELACION CON LOS ARTÍCULOS 1.1 Y 2 DE LA CONVENCIÓN AMERICANA</w:t>
        <w:br/>
        <w:br/>
        <w:br/>
        <w:t>Sin perjuicio del reconocimiento total de responsabilidad realizado  por  el</w:t>
        <w:br/>
        <w:t>Estado respecto de las violaciones a los derechos que han sido descritas  en</w:t>
        <w:br/>
        <w:t>el Informe de Fondo de la Comisión, la Corte, con base en  el  marco  de  su</w:t>
        <w:br/>
        <w:t>competencia y valorando la relevancia  y  magnitud  de  los  hechos,  estima</w:t>
        <w:br/>
        <w:t>necesario referirse a los derechos violados en el presente caso  y  realizar</w:t>
        <w:br/>
        <w:t>las siguientes consideraciones sobre el deber de prevención  del  Estado  en</w:t>
        <w:br/>
        <w:t>condiciones carcelarias y sobre los familiares de las personas fallecidas.</w:t>
        <w:br/>
        <w:br/>
        <w:br/>
        <w:br/>
        <w:br/>
        <w:br/>
        <w:t xml:space="preserve">      Los derechos violados</w:t>
        <w:br/>
        <w:br/>
        <w:br/>
        <w:br/>
        <w:t>En vista del reconocimiento de hechos y derechos efectuado  por  el  Estado,</w:t>
        <w:br/>
        <w:t>respecto de los cuales ha cesado la controversia,  Honduras  es  responsable</w:t>
        <w:br/>
        <w:t>por las violaciones a los siguientes derechos.</w:t>
        <w:br/>
        <w:br/>
        <w:t>Respecto del deber de garantizar el derecho a la vida, el  Estado  reconoció</w:t>
        <w:br/>
        <w:t>que es responsable de  la  violación  del  artículo  4.1  de  la  Convención</w:t>
        <w:br/>
        <w:t>Americana, por la muerte de las  107  víctimas,  como  consecuencia  de  una</w:t>
        <w:br/>
        <w:t>cadena de omisiones de las autoridades (supra párrs. 29 a 50),  entre  ellas</w:t>
        <w:br/>
        <w:t>las condiciones específicas de la bartolina No. 19 y la negligencia  de  las</w:t>
        <w:br/>
        <w:t>autoridades para prevenir el incendio. Por otra parte, en  relación  con  el</w:t>
        <w:br/>
        <w:t>derecho a la integridad personal, el Estado es responsable de  la  violación</w:t>
        <w:br/>
        <w:t>de los artículos 5.1 y 5.2 de la  Convención  Americana,  en  razón  de  que</w:t>
        <w:br/>
        <w:t>tales detenidos padecían muchas de las condiciones de detención  calificadas</w:t>
        <w:br/>
        <w:t>como tratos crueles, inhumanos y degradantes, así como por la forma  en  que</w:t>
        <w:br/>
        <w:t>murieron dichos internos, lo cual constituyó una violación del derecho a  la</w:t>
        <w:br/>
        <w:t>integridad personal, incompatible con  el  respeto  a  la  dignidad  humana.</w:t>
        <w:br/>
        <w:t>Además, el Estado violó el artículo 5.6 de la Convención, al no  permitir  a</w:t>
        <w:br/>
        <w:t>los internos realizar actividades productivas,  por  considerarlos  miembros</w:t>
        <w:br/>
        <w:t>de la mara Salvatrucha. Finalmente, el Estado violó el artículo  5.4  de  la</w:t>
        <w:br/>
        <w:t>Convención, en perjuicio de los 22 internos que se  encontraban  en  prisión</w:t>
        <w:br/>
        <w:t>preventiva por el delito de asociación ilícita,  quienes  compartían  en  la</w:t>
        <w:br/>
        <w:t>misma celda con internos condenados.  Adicionalmente,  el  Estado  violó  el</w:t>
        <w:br/>
        <w:t>artículo 5.1 de la Convención  en  perjuicio  del  grupo  de  83  familiares</w:t>
        <w:br/>
        <w:t>individualizados, en razón de los sufrimientos inherentes al maltrato a  los</w:t>
        <w:br/>
        <w:t>fallecidos durante el incendio, la demora en los trámites de  identificación</w:t>
        <w:br/>
        <w:t>y reclamo de los cadáveres en la morgue, así como por  la  inacción  de  las</w:t>
        <w:br/>
        <w:t>autoridades  en  esclarecer   y   establecer   responsabilidades   por   los</w:t>
        <w:br/>
        <w:t>hechos[55].</w:t>
        <w:br/>
        <w:br/>
        <w:t xml:space="preserve"> En relación con los artículos 7, 9 y  2  de  la  Convención  Americana,  el</w:t>
        <w:br/>
        <w:t>Estado reconoció  que  el  Decreto  Legislativo  117-2003,  que  reformó  el</w:t>
        <w:br/>
        <w:t>artículo 332 del Código Penal  de  Honduras,  relativo  a  la  llamada  “Ley</w:t>
        <w:br/>
        <w:t>Antimaras”, no precisó los elementos  de  la  acción  que  se  considerarían</w:t>
        <w:br/>
        <w:t>punibles, lo que condujo a que éstos fueran usados de  manera  arbitraria  y</w:t>
        <w:br/>
        <w:t>discrecional por las autoridades encargadas de hacer cumplir  la  ley.  Esta</w:t>
        <w:br/>
        <w:t>norma abrió un amplio margen de discrecionalidad que permitió  la  detención</w:t>
        <w:br/>
        <w:t>arbitraria  de  personas  sobre  la  base  de  percepciones  acerca  de   su</w:t>
        <w:br/>
        <w:t>pertenencia a una mara.  En  ese  sentido,  la  inexistencia  de  mecanismos</w:t>
        <w:br/>
        <w:t>legales o criterios  de  verificación  de  la  efectiva  existencia  de  una</w:t>
        <w:br/>
        <w:t>conducta ilícita implicó que el aludido Decreto no  cumpliera  la  exigencia</w:t>
        <w:br/>
        <w:t>de  extremar  precauciones  para  que  el  poder  punitivo  del  Estado   se</w:t>
        <w:br/>
        <w:t>administrara con respeto de los derechos  fundamentales.  Por  tanto,  dicha</w:t>
        <w:br/>
        <w:t>reforma incumplió el principio de legalidad contenido en el  artículo  9  de</w:t>
        <w:br/>
        <w:t>la Convención. Asimismo, las detenciones practicadas con base en la  reforma</w:t>
        <w:br/>
        <w:t>legal aludida, siguiendo  los  patrones  descritos  precedentemente,  fueron</w:t>
        <w:br/>
        <w:t>arbitrarias en los términos del artículo 7.3  de  la  Convención  Americana,</w:t>
        <w:br/>
        <w:t>todo  lo  anterior  en  relación  con  los  artículos  1.1  y  2  del  mismo</w:t>
        <w:br/>
        <w:t>instrumento[56].</w:t>
        <w:br/>
        <w:br/>
        <w:t>Respecto  de  los  derechos  a  las  garantías  y   protección   judiciales,</w:t>
        <w:br/>
        <w:t>consagrados en los artículos 8 y 25 de la Convención,  el  Estado  reconoció</w:t>
        <w:br/>
        <w:t>que los hechos del presente caso se mantienen en la  impunidad  y  que  ello</w:t>
        <w:br/>
        <w:t>viola el derecho de los familiares de las víctimas y propicia la  repetición</w:t>
        <w:br/>
        <w:t>crónica de las violaciones de derechos humanos. Además,  toda  la  actividad</w:t>
        <w:br/>
        <w:t>procesal desplegada por las autoridades judiciales hondureñas se  dirigió  a</w:t>
        <w:br/>
        <w:t>establecer la responsabilidad penal del entonces director del  Centro  Penal</w:t>
        <w:br/>
        <w:t>de San Pedro Sula al momento del incendio. En este sentido, la  decisión  de</w:t>
        <w:br/>
        <w:t>sobreseimiento  por  parte  de  los  órganos  judiciales  determinó  que  la</w:t>
        <w:br/>
        <w:t>responsabilidad de los hechos recaería en otras  autoridades.  Sin  embargo,</w:t>
        <w:br/>
        <w:t>no se investigó con la debida diligencia a ninguna otra autoridad. Por  otra</w:t>
        <w:br/>
        <w:t>parte, han transcurrido  más  de  siete  años  sin  haberse  deslindado  las</w:t>
        <w:br/>
        <w:t>responsabilidades correspondientes de un hecho que  desde  el  principio  se</w:t>
        <w:br/>
        <w:t>establecieron sus causas, razón por la cual tal plazo  excede  lo  razonable</w:t>
        <w:br/>
        <w:t>para este tipo de investigaciones. Por lo anterior, el Estado no  proveyó  a</w:t>
        <w:br/>
        <w:t>los familiares de las víctimas de un recurso  efectivo  para  esclarecer  lo</w:t>
        <w:br/>
        <w:t>sucedido y determinar las responsabilidades correspondientes, lo cual  violó</w:t>
        <w:br/>
        <w:t>los derechos consagrados en los artículos 8.1 y 25.1 de  la  Convención,  en</w:t>
        <w:br/>
        <w:t>relación con el artículo 1.1 del mismo instrumento[57].</w:t>
        <w:br/>
        <w:br/>
        <w:br/>
        <w:t xml:space="preserve">      Deber de Prevención en condiciones carcelarias</w:t>
        <w:br/>
        <w:br/>
        <w:br/>
        <w:t>63. Este Tribunal ha establecido que, de conformidad con los  artículos  5.1</w:t>
        <w:br/>
        <w:t xml:space="preserve"> y 5.2 de la Convención, toda persona privada de libertad  tiene  derecho  a</w:t>
        <w:br/>
        <w:t xml:space="preserve"> vivir en condiciones de detención compatibles  con  su  dignidad  personal.</w:t>
        <w:br/>
        <w:t xml:space="preserve"> Además, el Estado debe garantizar el derecho a la vida y  a  la  integridad</w:t>
        <w:br/>
        <w:t xml:space="preserve"> personal de los privados de libertad, en razón de que éste se encuentra  en</w:t>
        <w:br/>
        <w:t xml:space="preserve"> posición especial de garante con respecto a  dichas  personas,  porque  las</w:t>
        <w:br/>
        <w:t xml:space="preserve"> autoridades penitenciarias ejercen un control total sobre éstas[58].</w:t>
        <w:br/>
        <w:br/>
        <w:t>64. Ante esta relación e interacción especial de sujeción entre  el  interno</w:t>
        <w:br/>
        <w:t xml:space="preserve"> y el Estado,  este  último  debe  asumir  una  serie  de  responsabilidades</w:t>
        <w:br/>
        <w:t xml:space="preserve"> particulares y tomar diversas iniciativas especiales para garantizar a  los</w:t>
        <w:br/>
        <w:t xml:space="preserve"> reclusos las condiciones necesarias  para  desarrollar  una  vida  digna  y</w:t>
        <w:br/>
        <w:t xml:space="preserve"> contribuir  al  goce  efectivo  de  aquellos  derechos  que  bajo   ninguna</w:t>
        <w:br/>
        <w:t xml:space="preserve"> circunstancia pueden restringirse o de aquéllos cuya restricción no  deriva</w:t>
        <w:br/>
        <w:t xml:space="preserve"> necesariamente de la privación de libertad[59].</w:t>
        <w:br/>
        <w:br/>
        <w:t>65. En el presente caso quedó acreditado que las  condiciones  de  detención</w:t>
        <w:br/>
        <w:t xml:space="preserve"> en la celda No. 19 eran contrarias  a  la  dignidad  humana.  Entre  otros,</w:t>
        <w:br/>
        <w:t xml:space="preserve"> existían condiciones graves de sobrepoblación y hacinamiento, y la celda no</w:t>
        <w:br/>
        <w:t xml:space="preserve"> contaba con ventilación ni luz natural. Asimismo, el servicio de  agua  era</w:t>
        <w:br/>
        <w:t xml:space="preserve"> inadecuado y al momento de los hechos no contaban con agua  corriente.  Los</w:t>
        <w:br/>
        <w:t xml:space="preserve"> internos  en  dicha  celda  no  recibían  la  atención  médica  debida,  su</w:t>
        <w:br/>
        <w:t xml:space="preserve"> alimentación era deficiente y no contaban con áreas  para  las  visitas  ni</w:t>
        <w:br/>
        <w:t xml:space="preserve"> había acceso a programas de recreación y rehabilitación (supra párrs. 37  a</w:t>
        <w:br/>
        <w:t xml:space="preserve"> 41).</w:t>
        <w:br/>
        <w:br/>
        <w:br/>
        <w:t>66. Por otra parte, fue acreditado que el sistema eléctrico  era  deplorable</w:t>
        <w:br/>
        <w:t xml:space="preserve"> y la sobrecarga de  aparatos  generó  un  corto  circuito  que  provocó  el</w:t>
        <w:br/>
        <w:t xml:space="preserve"> incendio (supra párrs. 32, 39 y 49). Al momento de los  hechos,  el  centro</w:t>
        <w:br/>
        <w:t xml:space="preserve"> carecía de mecanismos adecuados para prevenir  y  afrontar  incendios.  Las</w:t>
        <w:br/>
        <w:t xml:space="preserve"> únicas instrucciones para el personal en  estos  casos  era  llamar  a  los</w:t>
        <w:br/>
        <w:t xml:space="preserve"> bomberos y disparar al suelo (supra párr. 34). Se desprende de  los  hechos</w:t>
        <w:br/>
        <w:t xml:space="preserve"> que durante el incendio los internos no pudieron  salir  de  la  celda  por</w:t>
        <w:br/>
        <w:t xml:space="preserve"> aproximadamente una hora, lo que derivó en un  gran  número  de  muertes  a</w:t>
        <w:br/>
        <w:t xml:space="preserve"> causa de asfixia por sofocación  y quemaduras graves (supra párr. 48).</w:t>
        <w:br/>
        <w:br/>
        <w:t>67. Este Tribunal  ha  incorporado  en  su  jurisprudencia  los  principales</w:t>
        <w:br/>
        <w:t xml:space="preserve"> estándares sobre condiciones carcelarias  y  deber  de  prevención  que  el</w:t>
        <w:br/>
        <w:t xml:space="preserve"> Estado debe garantizar en favor de las personas privadas  de  libertad[60].</w:t>
        <w:br/>
        <w:t xml:space="preserve"> En particular, como ha sido establecido por esta Corte:</w:t>
        <w:br/>
        <w:br/>
        <w:br/>
        <w:t xml:space="preserve">     a)  el  hacinamiento  constituye  en  sí  mismo  una  violación  a  la</w:t>
        <w:br/>
        <w:t xml:space="preserve">        integridad personal[61]; asimismo, obstaculiza el normal  desempeño</w:t>
        <w:br/>
        <w:t xml:space="preserve">        de las funciones esenciales en los centros penitenciarios[62];</w:t>
        <w:br/>
        <w:br/>
        <w:br/>
        <w:t xml:space="preserve">     b) la separación por categorías deberá realizarse entre  procesados  y</w:t>
        <w:br/>
        <w:t xml:space="preserve">        condenados y entre los menores de  edad  de  los  adultos,  con  el</w:t>
        <w:br/>
        <w:t xml:space="preserve">        objetivo de que los privados de  libertad  reciban  el  tratamiento</w:t>
        <w:br/>
        <w:t xml:space="preserve">        adecuado a su condición[63];</w:t>
        <w:br/>
        <w:br/>
        <w:br/>
        <w:t xml:space="preserve">     c) todo privado de libertad tendrá acceso  al  agua  potable  para  su</w:t>
        <w:br/>
        <w:t xml:space="preserve">        consumo y al agua para su aseo personal; la ausencia de  suministro</w:t>
        <w:br/>
        <w:t xml:space="preserve">        de agua potable constituye una falta grave del Estado a sus deberes</w:t>
        <w:br/>
        <w:t xml:space="preserve">        de  garantía  hacia  las  personas  que  se  encuentran   bajo   su</w:t>
        <w:br/>
        <w:t xml:space="preserve">        custodia[64];</w:t>
        <w:br/>
        <w:br/>
        <w:br/>
        <w:t xml:space="preserve">     d) la alimentación que se brinde, en los centros penitenciarios,  debe</w:t>
        <w:br/>
        <w:t xml:space="preserve">        ser  de  buena  calidad  y  debe   aportar   un   valor   nutritivo</w:t>
        <w:br/>
        <w:t xml:space="preserve">        suficiente[65];</w:t>
        <w:br/>
        <w:br/>
        <w:br/>
        <w:t xml:space="preserve">     e) la atención médica debe ser proporcionada  regularmente,  brindando</w:t>
        <w:br/>
        <w:t xml:space="preserve">        el tratamiento  adecuado  que  sea  necesario[66]  y  a  cargo  del</w:t>
        <w:br/>
        <w:t xml:space="preserve">        personal médico calificado cuando este sea necesario;</w:t>
        <w:br/>
        <w:br/>
        <w:br/>
        <w:t xml:space="preserve">     f) la educación, el trabajo y la recreación son  funciones  esenciales</w:t>
        <w:br/>
        <w:t xml:space="preserve">        de los centros penitenciarios[67], las cuales deben ser brindadas a</w:t>
        <w:br/>
        <w:t xml:space="preserve">        todas las personas privadas de libertad con el fin de  promover  la</w:t>
        <w:br/>
        <w:t xml:space="preserve">        rehabilitación y readaptación social de los internos;</w:t>
        <w:br/>
        <w:br/>
        <w:br/>
        <w:t xml:space="preserve">     g) las visitas deben ser garantizadas en los  centros  penitenciarios.</w:t>
        <w:br/>
        <w:t xml:space="preserve">        La reclusión bajo un  régimen  de  visitas  restringido  puede  ser</w:t>
        <w:br/>
        <w:t xml:space="preserve">        contraria   a    la    integridad    personal    en    determinadas</w:t>
        <w:br/>
        <w:t xml:space="preserve">        circunstancias[68];</w:t>
        <w:br/>
        <w:br/>
        <w:br/>
        <w:t xml:space="preserve">     h) todas  las  celdas  deben  contar  con  suficiente  luz  natural  o</w:t>
        <w:br/>
        <w:t xml:space="preserve">        artificial, ventilación y adecuadas condiciones de higiene[69];</w:t>
        <w:br/>
        <w:br/>
        <w:br/>
        <w:t xml:space="preserve">     i) los servicios sanitarios deben contar con condiciones de higiene  y</w:t>
        <w:br/>
        <w:t xml:space="preserve">        privacidad[70];</w:t>
        <w:br/>
        <w:br/>
        <w:br/>
        <w:t xml:space="preserve">     j)  los  Estados  no  pueden  alegar  dificultades   económicas   para</w:t>
        <w:br/>
        <w:t xml:space="preserve">        justificar  condiciones  de  detención  que  no  cumplan  con   los</w:t>
        <w:br/>
        <w:t xml:space="preserve">        estándares mínimos internacionales en la materia y que no  respeten</w:t>
        <w:br/>
        <w:t xml:space="preserve">        la dignidad inherente del ser humano[71], y</w:t>
        <w:br/>
        <w:br/>
        <w:br/>
        <w:t xml:space="preserve">     k) las medidas disciplinarias que constituyan un trato cruel, inhumano</w:t>
        <w:br/>
        <w:t xml:space="preserve">        o degradante, incluidos los castigos corporales[72],  la  reclusión</w:t>
        <w:br/>
        <w:t xml:space="preserve">        en aislamiento prolongado, así como cualquier otra medida que pueda</w:t>
        <w:br/>
        <w:t xml:space="preserve">        poner en grave peligro la salud física o mental del  recluso  están</w:t>
        <w:br/>
        <w:t xml:space="preserve">        estrictamente prohibidas[73].</w:t>
        <w:br/>
        <w:br/>
        <w:t>68. Además, la Corte ha establecido que el Estado en su función  de  garante</w:t>
        <w:br/>
        <w:t xml:space="preserve"> debe  diseñar  y  aplicar  una  política  penitenciaria  de  prevención  de</w:t>
        <w:br/>
        <w:t xml:space="preserve"> situaciones críticas que pondría en peligro los derechos  fundamentales  de</w:t>
        <w:br/>
        <w:t xml:space="preserve"> los internos en custodia[74]. En este sentido, el Estado debe incorporar en</w:t>
        <w:br/>
        <w:t xml:space="preserve"> el diseño, estructura, construcción, mejoras, manutención  y  operación  de</w:t>
        <w:br/>
        <w:t xml:space="preserve"> los centros de detención, todos los mecanismos materiales que  reduzcan  al</w:t>
        <w:br/>
        <w:t xml:space="preserve"> mínimo el riesgo de que se produzcan situaciones de emergencia ó  incendios</w:t>
        <w:br/>
        <w:t xml:space="preserve"> y en el evento que se produzcan estas situaciones se pueda  reaccionar  con</w:t>
        <w:br/>
        <w:t xml:space="preserve"> la debida diligencia, garantizando la protección  de  los  internos  o  una</w:t>
        <w:br/>
        <w:t xml:space="preserve"> evacuación segura de los locales[75]. Entre esos mecanismos  se  encuentran</w:t>
        <w:br/>
        <w:t xml:space="preserve"> sistemas eficaces de detección y extinción de incendios,  alarmas[76],  así</w:t>
        <w:br/>
        <w:t xml:space="preserve"> como protocolos de  acción  en  casos  de  emergencias  que  garanticen  la</w:t>
        <w:br/>
        <w:t xml:space="preserve"> seguridad de los privados de libertad[77].</w:t>
        <w:br/>
        <w:br/>
        <w:t>69. En razón de lo anterior, en el presente  caso  el  Estado  incumplió  el</w:t>
        <w:br/>
        <w:t xml:space="preserve"> deber de garantizar a las personas privadas de libertad en la celda No.  19</w:t>
        <w:br/>
        <w:t xml:space="preserve"> las condiciones de detención  compatibles  con  su  dignidad  personal,  de</w:t>
        <w:br/>
        <w:t xml:space="preserve"> conformidad con los estándares internacionales  en  la  materia.  Asimismo,</w:t>
        <w:br/>
        <w:t xml:space="preserve"> frente al conocimiento de una situación crítica de  riesgo,  el  Estado  no</w:t>
        <w:br/>
        <w:t xml:space="preserve"> garantizó los derechos de los internos a través de acciones  preventivas  y</w:t>
        <w:br/>
        <w:t xml:space="preserve"> de actuación con la debida diligencia frente al incendio,  lo  que  provocó</w:t>
        <w:br/>
        <w:t xml:space="preserve"> muertes traumáticas y dolorosas. En este entendido, la Corte ha aceptado el</w:t>
        <w:br/>
        <w:t xml:space="preserve"> reconocimiento de responsabilidad  efectuado  por  Honduras,  y  por  tanto</w:t>
        <w:br/>
        <w:t xml:space="preserve"> concluye  que  el  Estado  violó  el  deber  de  garantizar  los   derechos</w:t>
        <w:br/>
        <w:t xml:space="preserve"> consagrados en  los  artículos  4.1,  5.1,  5.2  y  5.6  de  la  Convención</w:t>
        <w:br/>
        <w:t xml:space="preserve"> Americana, en relación con el artículo 1.1 de la misma, en perjuicio de las</w:t>
        <w:br/>
        <w:t xml:space="preserve"> 107 personas privadas de libertad que perdieron la vida (Anexo A).  Además,</w:t>
        <w:br/>
        <w:t xml:space="preserve"> el Estado violó el artículo 5.4, en relación con el artículo 1.1, ambos  de</w:t>
        <w:br/>
        <w:t xml:space="preserve"> la Convención  Americana,  en  perjuicio  de  los  22  internos  fallecidos</w:t>
        <w:br/>
        <w:t xml:space="preserve"> individualizados que se encontraban en prisión preventiva en la  celda  No.</w:t>
        <w:br/>
        <w:t xml:space="preserve"> 19 junto con las personas condenadas (Anexo B).</w:t>
        <w:br/>
        <w:br/>
        <w:br/>
        <w:br/>
        <w:br/>
        <w:br/>
        <w:t xml:space="preserve">      Los familiares de las personas fallecidas</w:t>
        <w:br/>
        <w:br/>
        <w:br/>
        <w:br/>
        <w:t>70. De los hechos del caso se desprenden diversas afectaciones sufridas  por</w:t>
        <w:br/>
        <w:t xml:space="preserve"> los familiares de las víctimas fallecidas. En este sentido, fue  acreditado</w:t>
        <w:br/>
        <w:t xml:space="preserve"> que la identificación de  los  cadáveres  se  prolongó  varios  días  y  se</w:t>
        <w:br/>
        <w:t xml:space="preserve"> cometieron varios errores en la entrega de los cuerpos, lo  que  agravó  el</w:t>
        <w:br/>
        <w:t xml:space="preserve"> sufrimiento de los familiares (supra párrs. 51 y 52).</w:t>
        <w:br/>
        <w:br/>
        <w:br/>
        <w:t>71. Al respecto,  en  audiencia  pública  la  señora  María  Oneyda  Estrada</w:t>
        <w:br/>
        <w:t xml:space="preserve"> Aguilar manifestó que:</w:t>
        <w:br/>
        <w:br/>
        <w:br/>
        <w:t xml:space="preserve">      “[L]levaron [a su hijo] a la morgue, donde [miraron] cuerpo  a  cuerpo</w:t>
        <w:br/>
        <w:t xml:space="preserve">      llenos de los deshechos porque un furgón  se  había  arruinado  y  los</w:t>
        <w:br/>
        <w:t xml:space="preserve">      sacaban ya deshechos. [P]asa[ron] allí a[l] sol, sin comer, sin  beber</w:t>
        <w:br/>
        <w:t xml:space="preserve">      agua, sin dormir, […] lo que quería[n] era hallar el  cuerpo  de  [su]</w:t>
        <w:br/>
        <w:t xml:space="preserve">      hijo. Pero fue difícil porque él ya no estaba ahí, otra persona se  lo</w:t>
        <w:br/>
        <w:t xml:space="preserve">      había llevado.  [Después de] una semana […] se  lo  entregaron  porque</w:t>
        <w:br/>
        <w:t xml:space="preserve">      [anteriormente] se lo  habían  dado  a  otra  persona  equivocada,  [e</w:t>
        <w:br/>
        <w:t xml:space="preserve">      intentaron] entrega[r] el [cadáver  de  la  otra  persona]  a  [ella],</w:t>
        <w:br/>
        <w:t xml:space="preserve">      [pero] les dij[o] que no e[ra] [su] hijo, [sin embargo,] el doctor  de</w:t>
        <w:br/>
        <w:t xml:space="preserve">      medicina forense [le dijo] llévatelo, un favor le vas a  hacer;  [ella</w:t>
        <w:br/>
        <w:t xml:space="preserve">      respondió negativamente, e indicó que] [p]ref[ría] cerrar la  fosa  de</w:t>
        <w:br/>
        <w:t xml:space="preserve">      [su] hijo con la imaginación que ahí lo t[iene] y no meter otro que no</w:t>
        <w:br/>
        <w:t xml:space="preserve">      es de [su] familia. [Posteriormente su hijo]  apareció[,]  la  familia</w:t>
        <w:br/>
        <w:t xml:space="preserve">      que se lo había llevado [lo devolvió], entonces  [s]e  lo  entregaron.</w:t>
        <w:br/>
        <w:t xml:space="preserve">      [E]l  impacto  fue  más  [fuerte]  cuando  ya  lo  enterra[ron].  [N]o</w:t>
        <w:br/>
        <w:t xml:space="preserve">      tuvi[eron] apoyo de nadie, [ella] tendía a enloquecer,  incluso  hasta</w:t>
        <w:br/>
        <w:t xml:space="preserve">      quitar[se] la vida.”</w:t>
        <w:br/>
        <w:br/>
        <w:t>72. Por su parte, la señora Sandra Lorena Ramos Cárcamo indico que:</w:t>
        <w:br/>
        <w:br/>
        <w:br/>
        <w:t xml:space="preserve">      [Cuando su esposo fue] preso por la ley antimaras, [ella  y  sus  tres</w:t>
        <w:br/>
        <w:t xml:space="preserve">      hijas] siempre le brinda[ban] [su] apoyo. [La] semana [del  incendio],</w:t>
        <w:br/>
        <w:t xml:space="preserve">      [su esposo l]e había contado […] que les habían quitado el  agua.  [Un</w:t>
        <w:br/>
        <w:t xml:space="preserve">      día antes del incendio,] estaba haciendo la fila [para  visitar  a  su</w:t>
        <w:br/>
        <w:t xml:space="preserve">      pareja] cuando un policía de ahí [l]e dijo [que  los  internos  de  la</w:t>
        <w:br/>
        <w:t xml:space="preserve">      celda 19] no [eran] gente, [ella] le contest[ó] que todo el mundo  era</w:t>
        <w:br/>
        <w:t xml:space="preserve">      gente, que así como ellos  tenían  un  corazón  así  lo  tenían  ellos</w:t>
        <w:br/>
        <w:t xml:space="preserve">      también. [E]ntonces [el policía l]e dijo [que  estaba]  castigada  [y]</w:t>
        <w:br/>
        <w:t xml:space="preserve">      regres[ó] para [su] casa. [El día del incendio]  cuando  presentan  la</w:t>
        <w:br/>
        <w:t xml:space="preserve">      lista de los fallecidos, él no aparece [en ésta, por lo que] creía que</w:t>
        <w:br/>
        <w:t xml:space="preserve">      él estaba vivo, sentía [la] esperanza de que él iba a estar vivo y que</w:t>
        <w:br/>
        <w:t xml:space="preserve">      iba a estar bien y que iba a llegar con esa noticia a [su] casa.  [Sin</w:t>
        <w:br/>
        <w:t xml:space="preserve">      embargo, él  había  fallecido],  tanto  fue  el  dolor  que  [incluso]</w:t>
        <w:br/>
        <w:t xml:space="preserve">      intent[ó] quitar[se] la vida,[…] pero [sus] hijas fueron las que  [l]e</w:t>
        <w:br/>
        <w:t xml:space="preserve">      dieron fuerzas.</w:t>
        <w:br/>
        <w:br/>
        <w:t>73. En este  sentido,  la  Corte  ha  establecido  que  el  derecho  de  los</w:t>
        <w:br/>
        <w:t xml:space="preserve"> familiares de las víctimas de conocer los  restos  de  sus  seres  queridos</w:t>
        <w:br/>
        <w:t xml:space="preserve"> constituye, además de una exigencia del derecho a conocer  la  verdad,  una</w:t>
        <w:br/>
        <w:t xml:space="preserve"> medida de reparación, y por lo tanto hace nacer el deber  correlativo  para</w:t>
        <w:br/>
        <w:t xml:space="preserve"> el Estado de satisfacer estas justas expectativas. Recibir los  cuerpos  de</w:t>
        <w:br/>
        <w:t xml:space="preserve"> las personas que fallecieron en el incendio era de  suma  importancia  para</w:t>
        <w:br/>
        <w:t xml:space="preserve"> sus familiares, así como permitir sepultarlos de acuerdo a sus creencias  y</w:t>
        <w:br/>
        <w:t xml:space="preserve"> cerrar el proceso de duelo que vivieron con los hechos[78]. En  específico,</w:t>
        <w:br/>
        <w:t xml:space="preserve"> los estándares internacionales exigen  que  la  entrega  de  restos  ocurra</w:t>
        <w:br/>
        <w:t xml:space="preserve"> cuando la víctima esté claramente identificada, es decir, una  vez  que  se</w:t>
        <w:br/>
        <w:t xml:space="preserve"> haya conseguido una identificación positiva. Al respecto, el  Protocolo  de</w:t>
        <w:br/>
        <w:t xml:space="preserve"> Minnesota establece que “el  cuerpo  debe  ser  identificado  por  testigos</w:t>
        <w:br/>
        <w:t xml:space="preserve"> confiables y otros métodos objetivos”[79].</w:t>
        <w:br/>
        <w:br/>
        <w:t>74. Asimismo, el Tribunal ha estimado que los sufrimientos o muerte  de  una</w:t>
        <w:br/>
        <w:t xml:space="preserve"> persona, con motivo de un incendio, acarrean a sus familiares más  cercanos</w:t>
        <w:br/>
        <w:t xml:space="preserve"> un daño inmaterial propio de la  naturaleza  humana,  por  lo  cual  no  es</w:t>
        <w:br/>
        <w:t xml:space="preserve"> necesario demostrarlo[80].</w:t>
        <w:br/>
        <w:br/>
        <w:br/>
        <w:t>75. Por tanto, el Estado es responsable de la violación del artículo 5.1  de</w:t>
        <w:br/>
        <w:t xml:space="preserve"> la  Convención  Americana,  en  relación  con  el  artículo  1.1  de  dicha</w:t>
        <w:br/>
        <w:t xml:space="preserve"> Convención, en perjuicio de los familiares de las víctimas fallecidas en el</w:t>
        <w:br/>
        <w:t xml:space="preserve"> incendio por el sufrimiento que padecieron con motivo de los  hechos  y  de</w:t>
        <w:br/>
        <w:t xml:space="preserve"> las omisiones en la entrega de los  restos  de  sus  familiares  fallecidos</w:t>
        <w:br/>
        <w:t xml:space="preserve"> (Anexo C).</w:t>
        <w:br/>
        <w:br/>
        <w:br/>
        <w:t>VIII</w:t>
        <w:br/>
        <w:t>REPARACIONES</w:t>
        <w:br/>
        <w:br/>
        <w:t xml:space="preserve">          (Aplicación del artículo 63.1 de la Convención Americana</w:t>
        <w:br/>
        <w:t xml:space="preserve">                en el marco del acuerdo de solución amistosa)</w:t>
        <w:br/>
        <w:br/>
        <w:t>Sobre la base de  lo  dispuesto  en  el  artículo  63.1  de  la  Convención</w:t>
        <w:br/>
        <w:t>Americana[81], la Corte ha indicado que toda violación  de  una  obligación</w:t>
        <w:br/>
        <w:t>internacional que haya  producido  daño  comporta  el  deber  de  repararlo</w:t>
        <w:br/>
        <w:t>adecuadamente[82] y que esa disposición recoge  una  norma  consuetudinaria</w:t>
        <w:br/>
        <w:t>que  constituye  uno  de   los   principios   fundamentales   del   Derecho</w:t>
        <w:br/>
        <w:t>Internacional contemporáneo sobre responsabilidad de un Estado[83].</w:t>
        <w:br/>
        <w:br/>
        <w:t>Este Tribunal ha establecido que  las  reparaciones  deben  tener  un  nexo</w:t>
        <w:br/>
        <w:t>causal con los hechos del  caso,  las  violaciones  declaradas,  los  daños</w:t>
        <w:br/>
        <w:t>acreditados, así como  las  medidas  solicitadas  para  reparar  los  daños</w:t>
        <w:br/>
        <w:t>respectivos. Por lo tanto, la Corte deberá observar dicha concurrencia para</w:t>
        <w:br/>
        <w:t>pronunciarse debidamente y conforme a derecho[84]. El Tribunal  determinará</w:t>
        <w:br/>
        <w:t>medidas para garantizar los derechos conculcados, reparar las consecuencias</w:t>
        <w:br/>
        <w:t>que las infracciones produjeron y establecer una indemnización que compense</w:t>
        <w:br/>
        <w:t>los daños ocasionados.</w:t>
        <w:br/>
        <w:br/>
        <w:t>En consideración del acuerdo  de  solución  amistosa  alcanzado  entre  las</w:t>
        <w:br/>
        <w:t>partes para reparar a las víctimas en el presente caso,  el  cual  ha  sido</w:t>
        <w:br/>
        <w:t>previamente homologado por este Tribunal (supra párr.  21),  y  tomando  en</w:t>
        <w:br/>
        <w:t>cuenta  la  relevancia   y   magnitud   de   las   violaciones   declaradas</w:t>
        <w:br/>
        <w:t>anteriormente, la Corte analizará las  medidas  acordadas  con  el  fin  de</w:t>
        <w:br/>
        <w:t>determinar su alcance y formas de ejecución[85], a la luz de los  criterios</w:t>
        <w:br/>
        <w:t>fijados en su jurisprudencia y en relación con la naturaleza, objeto y  fin</w:t>
        <w:br/>
        <w:t>de la obligación de reparar  integralmente  los  daños  ocasionados  a  las</w:t>
        <w:br/>
        <w:t>víctimas[86].</w:t>
        <w:br/>
        <w:br/>
        <w:t>En virtud de lo anterior y siendo  que  el  acuerdo  de  solución  amistosa</w:t>
        <w:br/>
        <w:t>pretende reparar a una  mayor  cantidad  de  víctimas  de  las  que  fueron</w:t>
        <w:br/>
        <w:t>señaladas en el Informe de Fondo de la Comisión Interamericana, el Tribunal</w:t>
        <w:br/>
        <w:t>determinará: a) la parte lesionada del  presente  Fallo,  y  b)  los  demás</w:t>
        <w:br/>
        <w:t>beneficiarios del acuerdo de solución amistosa.</w:t>
        <w:br/>
        <w:br/>
        <w:br/>
        <w:br/>
        <w:br/>
        <w:br/>
        <w:t xml:space="preserve">      Parte Lesionada</w:t>
        <w:br/>
        <w:br/>
        <w:br/>
        <w:t>En su Informe de Fondo la Comisión señaló como  presuntas  víctimas  a  107</w:t>
        <w:br/>
        <w:t>reclusos fallecidos a causa del incendio en el Centro Penal  de  San  Pedro</w:t>
        <w:br/>
        <w:t>Sula,  22  de  los  cuales  estarían  detenidos  preventivamente  con  base</w:t>
        <w:br/>
        <w:t>únicamente en el delito de asociación ilícita.  Asimismo,  identificó  como</w:t>
        <w:br/>
        <w:t>víctimas por su propio derecho a 83 familiares de 18  reclusos  fallecidos.</w:t>
        <w:br/>
        <w:t>Además, en el escrito de sometimiento del caso la Comisión indicó que, tras</w:t>
        <w:br/>
        <w:t>la aprobación del Informe de  Fondo,  los  peticionarios  remitieron  a  la</w:t>
        <w:br/>
        <w:t>Comisión un listado ampliado de familiares que contiene  la  identificación</w:t>
        <w:br/>
        <w:t>de los familiares  del  señor  Oscar  Israel  Duarte  Valle,  así  como  la</w:t>
        <w:br/>
        <w:t>identificación de  familiares  adicionales  en  relación  con  los  señores</w:t>
        <w:br/>
        <w:t>William Antonio Reyes Flores y Manuel Armando Cortes[87].</w:t>
        <w:br/>
        <w:br/>
        <w:t>Este Tribunal recuerda que en su jurisprudencia constante  de  los  últimos</w:t>
        <w:br/>
        <w:t>años ha establecido que las presuntas víctimas deben estar señaladas en  el</w:t>
        <w:br/>
        <w:t>informe de la Comisión emitido según  el  artículo  50  de  la  Convención.</w:t>
        <w:br/>
        <w:t>Además, de conformidad con el artículo 35.1.b del Reglamento, corresponde a</w:t>
        <w:br/>
        <w:t>la Comisión y no a este Tribunal, identificar con precisión y en la  debida</w:t>
        <w:br/>
        <w:t>oportunidad procesal a las presuntas víctimas en un caso ante la Corte[88].</w:t>
        <w:br/>
        <w:br/>
        <w:br/>
        <w:t>Por otra parte, la Corte advierte que el señor Eddy Adalberto Amaya  Zepeda</w:t>
        <w:br/>
        <w:t>fue referido por la Comisión en su Informe de Fondo  como  uno  de  los  22</w:t>
        <w:br/>
        <w:t>reclusos que se encontraban en prisión preventiva al momento del  incendio,</w:t>
        <w:br/>
        <w:t>y por ende sería víctima de violación de los artículos 5.4, 7  y  9  de  la</w:t>
        <w:br/>
        <w:t>Convención. No obstante, el señor Amaya Zepeda no forma parte de las listas</w:t>
        <w:br/>
        <w:t>de los 107 reclusos  fallecidos  indicados  por  la  Comisión  ni  por  los</w:t>
        <w:br/>
        <w:t>representantes. Tampoco el Tribunal cuenta con información que acredite  la</w:t>
        <w:br/>
        <w:t>existencia  de  dicha  persona.  Sin  embargo,  en  consideración  de   las</w:t>
        <w:br/>
        <w:t>características  particulares  del  asunto,  el  señor  Amaya  Zepeda  será</w:t>
        <w:br/>
        <w:t>considerado parte lesionada del caso, a reserva de que los representantes o</w:t>
        <w:br/>
        <w:t>familiares de esta persona acrediten que estuvo detenido en la celda No. 19</w:t>
        <w:br/>
        <w:t>del Centro Penal de San Pedro Sula al momento de los hechos, y en  su  caso</w:t>
        <w:br/>
        <w:t>informen sobre su fallecimiento, de acuerdo con los términos del párrafo 87</w:t>
        <w:br/>
        <w:t>de la presente Sentencia.</w:t>
        <w:br/>
        <w:br/>
        <w:t>En consecuencia, el Tribunal estima conveniente aclarar que solamente serán</w:t>
        <w:br/>
        <w:t>considerados como víctimas en el presente caso aquellas personas  indicadas</w:t>
        <w:br/>
        <w:t>como tales por la Comisión Interamericana en el Informe de Fondo al que  se</w:t>
        <w:br/>
        <w:t>refiere el artículo 50 de la Convención Americana.  Asimismo,  el  Tribunal</w:t>
        <w:br/>
        <w:t>reitera que se considera parte lesionada, en los términos del artículo 63.1</w:t>
        <w:br/>
        <w:t>de la Convención, a quien ha sido declarada  víctima  de  la  violación  de</w:t>
        <w:br/>
        <w:t>algún derecho reconocido en la misma[89].</w:t>
        <w:br/>
        <w:br/>
        <w:t>Por lo tanto, la Corte considera como “parte lesionada” del caso a: i)  los</w:t>
        <w:br/>
        <w:t>107 reclusos fallecidos a causa del incendio en  la  celda  No.  19  en  el</w:t>
        <w:br/>
        <w:t>Centro Penal de  San  Pedro  Sula,  21  de  los  cuales  estaban  detenidos</w:t>
        <w:br/>
        <w:t>preventivamente en dicha celda más el caso de Eddy Adalberto  Amaya  Zepeda</w:t>
        <w:br/>
        <w:t>(supra párr. 82), y ii) los 83 familiares de 18  reclusos  fallecidos  como</w:t>
        <w:br/>
        <w:t>víctimas por su propio derecho, identificados en el Anexo C de la  presente</w:t>
        <w:br/>
        <w:t>Sentencia. Dichas personas serán reparadas con las medidas que ordene  este</w:t>
        <w:br/>
        <w:t>Tribunal en el presente capítulo.</w:t>
        <w:br/>
        <w:br/>
        <w:br/>
        <w:br/>
        <w:br/>
        <w:br/>
        <w:t xml:space="preserve">      Beneficiarios del acuerdo de solución amistosa</w:t>
        <w:br/>
        <w:br/>
        <w:br/>
        <w:t>Sin perjuicio de lo anterior, en  el  inciso  “d”  del  acápite  denominado</w:t>
        <w:br/>
        <w:t>“Antecedentes” del  acuerdo  de  solución  amistosa,  se  señala  que:  los</w:t>
        <w:br/>
        <w:t>“beneficiarios: por acuerdo expreso entre las partes[,] comprende[n] a  las</w:t>
        <w:br/>
        <w:t>víctimas y sus familiares descritos  en  el  [I]nforme  de  [F]ondo  de  la</w:t>
        <w:br/>
        <w:t>Comisión”. No obstante, en el  capítulo  referente  a  la  “[i]ndemnización</w:t>
        <w:br/>
        <w:t>económica, [g]astos y [c]ostas”, se dispone que el  monto  relativo  a  los</w:t>
        <w:br/>
        <w:t>daños materiales “constituirá el fondo de oportunidad y  compensación  para</w:t>
        <w:br/>
        <w:t>los familiares de los [107] privados de libertad que perdieron su  vida  en</w:t>
        <w:br/>
        <w:t>el Centro Penal de San Pedro Sula”. Lo mismo se aplica en el capítulo sobre</w:t>
        <w:br/>
        <w:t>la atención psicológica y/o psiquiátrica, la cual incluye a “los familiares</w:t>
        <w:br/>
        <w:t>de las [107] víctimas del incendio”.</w:t>
        <w:br/>
        <w:br/>
        <w:t>En virtud del amplio reconocimiento del Estado y del espíritu y alcance del</w:t>
        <w:br/>
        <w:t>acuerdo de solución amistosa  a  favor  de  todos  los  familiares  de  las</w:t>
        <w:br/>
        <w:t>víctimas fallecidas, el Tribunal homologa  el  acuerdo  en  ese  aspecto  y</w:t>
        <w:br/>
        <w:t>considera conveniente que los familiares directos (padres, madres, hijos  e</w:t>
        <w:br/>
        <w:t>hijas y cónyuges o compañeras permanentes) de los 89  reclusos  fallecidos,</w:t>
        <w:br/>
        <w:t>quienes no fueron indicados por la Comisión en su Informe de  Fondo  (Anexo</w:t>
        <w:br/>
        <w:t>D), y puedan ser identificados con posterioridad a la  presente  Sentencia,</w:t>
        <w:br/>
        <w:t>sean reparados en calidad de beneficiarios de las medidas dispuestas en  el</w:t>
        <w:br/>
        <w:t>acuerdo de solución amistosa.</w:t>
        <w:br/>
        <w:br/>
        <w:t>Para tal efecto, el Estado debe establecer en el plazo de un  año,  contado</w:t>
        <w:br/>
        <w:t>desde la notificación de esta Sentencia,  un  mecanismo  adecuado  ante  la</w:t>
        <w:br/>
        <w:t>Defensoría del Pueblo de  Honduras  para  que  dichos  familiares  directos</w:t>
        <w:br/>
        <w:t>puedan  acreditarse  como  familiares  de  las  víctimas   fallecidas,   de</w:t>
        <w:br/>
        <w:t>conformidad con la legislación interna. En este  supuesto,  tales  personas</w:t>
        <w:br/>
        <w:t>deberán ser consideradas beneficiarias de las reparaciones, en  los  mismos</w:t>
        <w:br/>
        <w:t>términos dispuestos en el presente Fallo (infra párrs. 118, 136 y 137).</w:t>
        <w:br/>
        <w:br/>
        <w:t>Para dar efectivo cumplimiento a esta medida, el  Estado,  en  coordinación</w:t>
        <w:br/>
        <w:t>con los representantes, debe realizar convocatorias, en al menos  un  medio</w:t>
        <w:br/>
        <w:t>de radiodifusión, un medio de televisión y  un  medio  de  prensa  escrita,</w:t>
        <w:br/>
        <w:t>todos ellos de cobertura nacional, mediante las cuales se  indique  que  se</w:t>
        <w:br/>
        <w:t>están localizando a los familiares directos (padres, madres, hijos e hijas,</w:t>
        <w:br/>
        <w:t>cónyuges o  compañeras  permanentes)  de  las  89  víctimas  fallecidas  no</w:t>
        <w:br/>
        <w:t>identificadas por la Comisión, para que acudan a la Defensoría del Pueblo y</w:t>
        <w:br/>
        <w:t>aporten prueba fehaciente que permita al Estado  identificarlos  y,  en  su</w:t>
        <w:br/>
        <w:t>caso, considerarlos beneficiarios de las medidas de  reparación  dispuestas</w:t>
        <w:br/>
        <w:t>en  el  acuerdo  de  solución  amistosa.  Las  tres  convocatorias  deberán</w:t>
        <w:br/>
        <w:t>efectuarse alternadamente y dentro del plazo de 60  días  siguientes  a  la</w:t>
        <w:br/>
        <w:t xml:space="preserve">notificación de la presente Sentencia. </w:t>
        <w:br/>
        <w:br/>
        <w:t>Lo anterior no obstaculiza ni excluye la posibilidad  de  que,  vencido  el</w:t>
        <w:br/>
        <w:t>plazo de un año, dichos familiares puedan ser considerados beneficiarios de</w:t>
        <w:br/>
        <w:t>reparación por el Estado, si este así lo dispone. Asimismo, no  se  excluye</w:t>
        <w:br/>
        <w:t>el derecho de aquellos familiares no individualizados por la Comisión y que</w:t>
        <w:br/>
        <w:t>no acepten los términos de las reparaciones determinadas en el  acuerdo  de</w:t>
        <w:br/>
        <w:t>solución amistosa, de renunciar a las  mismas  y  demandar  en  el  derecho</w:t>
        <w:br/>
        <w:t>interno las medidas reparatorias correspondientes a su favor.</w:t>
        <w:br/>
        <w:br/>
        <w:t>Asimismo, la Corte estima que, debido a la falta de  representación  activa</w:t>
        <w:br/>
        <w:t>de los familiares de las 89 víctimas fallecidas (supra párr. 4), el  Estado</w:t>
        <w:br/>
        <w:t>deberá velar de buena fe  por  los  derechos  a  una  reparación  de  tales</w:t>
        <w:br/>
        <w:t>beneficiarios. Al  respecto,  la  Corte  evaluará  su  cumplimiento  en  el</w:t>
        <w:br/>
        <w:t>ejercicio de sus facultades de supervisión del presente Fallo.</w:t>
        <w:br/>
        <w:br/>
        <w:br/>
        <w:br/>
        <w:br/>
        <w:br/>
        <w:t xml:space="preserve">      Medidas de reparación integral: garantías de no repetición,</w:t>
        <w:br/>
        <w:t xml:space="preserve">      rehabilitación y satisfacción</w:t>
        <w:br/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casos, el Tribunal determinará  medidas  para  garantizar  los  derechos</w:t>
        <w:br/>
        <w:t>conculcados o reparar las consecuencias  que  las  infracciones  produjeron.</w:t>
        <w:br/>
        <w:t>Por tanto, la Corte ha considerado la necesidad de otorgar diversas  medidas</w:t>
        <w:br/>
        <w:t>de reparación, a fin de resarcir los daños de manera integral,  por  lo  que</w:t>
        <w:br/>
        <w:t>además de las compensaciones pecuniarias, las garantías  de  no  repetición,</w:t>
        <w:br/>
        <w:t>medidas de rehabilitación y satisfacción tienen especial relevancia por  los</w:t>
        <w:br/>
        <w:t>daños ocasionados[90].</w:t>
        <w:br/>
        <w:br/>
        <w:br/>
        <w:br/>
        <w:br/>
        <w:br/>
        <w:t xml:space="preserve">        Garantías de no repetición</w:t>
        <w:br/>
        <w:br/>
        <w:br/>
        <w:t>En casos como el presente, en el que se configura un  patrón  recurrente  de</w:t>
        <w:br/>
        <w:t>siniestros en el sistema  penitenciario  hondureño  (supra  párr.  24),  las</w:t>
        <w:br/>
        <w:t>garantías de no repetición adquieren una mayor  relevancia  como  medida  de</w:t>
        <w:br/>
        <w:t>reparación, a fin de  que  hechos  similares  no  se  vuelvan  a  repetir  y</w:t>
        <w:br/>
        <w:t>contribuyan a la prevención[91]. En este sentido, la Corte recuerda  que  el</w:t>
        <w:br/>
        <w:t>Estado debe prevenir la recurrencia de violaciones a  los  derechos  humanos</w:t>
        <w:br/>
        <w:t>como las descritas en este caso y,  por  ello,  adoptar  todas  las  medidas</w:t>
        <w:br/>
        <w:t>legales, administrativas y de otra índole que  sean  necesarias  para  hacer</w:t>
        <w:br/>
        <w:t>efectivo el ejercicio de los derechos[92] de los  reclusos,  de  conformidad</w:t>
        <w:br/>
        <w:t>con las obligaciones de respeto y garantía dispuestas en los  artículos  1.1</w:t>
        <w:br/>
        <w:t>y 2 de la Convención.</w:t>
        <w:br/>
        <w:br/>
        <w:t>Este Tribunal recuerda que mediante Sentencia de 1 de febrero  de  2006,  en</w:t>
        <w:br/>
        <w:t>el caso López Álvarez Vs.  Honduras[93],  la  Corte  ya  había  dispuesto  a</w:t>
        <w:br/>
        <w:t>Honduras como medida de reparación que:</w:t>
        <w:br/>
        <w:br/>
        <w:t>El Estado deb[ía] adoptar medidas tendientes a  crear  las  condiciones  que</w:t>
        <w:br/>
        <w:t>permit[ieran] asegurar a los reclusos de los  centros  penales  de  Honduras</w:t>
        <w:br/>
        <w:t>alimentación adecuada, atención médica y condiciones  físicas  y  sanitarias</w:t>
        <w:br/>
        <w:t>consecuentes  con  los  estándares  internacionales  sobre  la  materia,   e</w:t>
        <w:br/>
        <w:t>implementar  un  programa  de  capacitación  en  derechos  humanos  de   los</w:t>
        <w:br/>
        <w:t>funcionarios que laboren en los centros penitenciarios, en los  términos  de</w:t>
        <w:br/>
        <w:t>los párrafos 209 y 210 de [dicha] Sentencia.</w:t>
        <w:br/>
        <w:br/>
        <w:t>No obstante, la  Corte  observa  que,  en  virtud  de  su  procedimiento  de</w:t>
        <w:br/>
        <w:t>supervisión de cumplimiento, a más de seis años de decretada  dicha  medida,</w:t>
        <w:br/>
        <w:t>la misma aún se encuentra pendiente  de  cumplimiento[94].  Además,  destaca</w:t>
        <w:br/>
        <w:t>que en la actualidad se siguen presentando situaciones graves en el  sistema</w:t>
        <w:br/>
        <w:t>penitenciario  hondureño,  tales  como  los  recientes  incendios  de   gran</w:t>
        <w:br/>
        <w:t>magnitud (supra párr. 24), entre otras situaciones críticas de  conocimiento</w:t>
        <w:br/>
        <w:t>público, donde han perdido la vida cientos  de  personas.  En  razón  de  lo</w:t>
        <w:br/>
        <w:t>anterior, este Tribunal  estima  de  primordial  relevancia  que  el  Estado</w:t>
        <w:br/>
        <w:t>implemente medidas efectivas de manera inmediata para evitar  la  repetición</w:t>
        <w:br/>
        <w:t>de  tales  hechos.  Por  tanto,  homologa  las  medidas  acordadas  en   los</w:t>
        <w:br/>
        <w:t>siguientes términos.</w:t>
        <w:br/>
        <w:br/>
        <w:br/>
        <w:t xml:space="preserve">           Construcción y mejoras de condiciones físicas de los centros</w:t>
        <w:br/>
        <w:t xml:space="preserve">           penitenciarios</w:t>
        <w:br/>
        <w:br/>
        <w:br/>
        <w:br/>
        <w:t>En el acuerdo de solución amistosa el Estado se comprometió a construir  una</w:t>
        <w:br/>
        <w:t>penitenciaría que sustituya al actual Centro Penal de San  Pedro  Sula,  que</w:t>
        <w:br/>
        <w:t>responda al mejoramiento en las condiciones  de  vida  de  los  privados  de</w:t>
        <w:br/>
        <w:t>libertad, según los estándares internacionales sobre la  materia.  Asimismo,</w:t>
        <w:br/>
        <w:t>se comprometió a la mejora de las condiciones físicas de los  nueve  centros</w:t>
        <w:br/>
        <w:t>penales declarados en estado de emergencia, a saber: San Pedro  Sula,  Santa</w:t>
        <w:br/>
        <w:t>Bárbara, Puerto Cortés, La Esperanza, El Progreso, Trujillo, Yoro, La  Ceiba</w:t>
        <w:br/>
        <w:t>y  Puerto  Lempira,  tomando  en  cuenta  los   estándares   internacionales</w:t>
        <w:br/>
        <w:t>establecidos en la materia. El cronograma de ejecución  y  cumplimiento  del</w:t>
        <w:br/>
        <w:t>acuerdo (en adelante “cronograma  de  ejecución”)  prevé  el  inicio  de  la</w:t>
        <w:br/>
        <w:t>construcción del nuevo Centro Penal en San Pedro Sula  inmediatamente  a  la</w:t>
        <w:br/>
        <w:t>adjudicación del proyecto, a través de una  licitación  pública  en  el  año</w:t>
        <w:br/>
        <w:t>2013 y continuará durante el año 2014 tras la aprobación  de  fondos  en  el</w:t>
        <w:br/>
        <w:t>presupuesto general de la República para los referidos  años  fiscales.  Por</w:t>
        <w:br/>
        <w:t>otra parte, el diagnóstico e identificación de las  necesidades  físicas  de</w:t>
        <w:br/>
        <w:t>los nueve centros penales declarados en emergencia tendrá lugar entre  abril</w:t>
        <w:br/>
        <w:t>y diciembre de 2012, siendo que para el inicio de las obras de  mejoramiento</w:t>
        <w:br/>
        <w:t>se tiene previsión en los años 2014 y 2015[95].</w:t>
        <w:br/>
        <w:br/>
        <w:t>Este Tribunal valora positivamente el compromiso asumido por  el  Estado  de</w:t>
        <w:br/>
        <w:t>construir un nuevo centro penitenciario en San Pedro Sula y  reformar  otros</w:t>
        <w:br/>
        <w:t>ocho centros (supra párr. 95). En este  sentido,  el  Estado  debe  adoptar,</w:t>
        <w:br/>
        <w:t>dentro de los plazos acordados, las medidas legislativas, administrativas  y</w:t>
        <w:br/>
        <w:t>de  cualquier  otra  índole  necesarias  para  mejorar  sustancialmente  las</w:t>
        <w:br/>
        <w:t>condiciones de tales centros, adecuándolas a los estándares  internacionales</w:t>
        <w:br/>
        <w:t>señalados en los párrafos 67 y 68 del presente  Fallo,  a  fin  de  prevenir</w:t>
        <w:br/>
        <w:t>principalmente incendios y otras situaciones críticas, así  como  evitar  la</w:t>
        <w:br/>
        <w:t>sobrepoblación  y  el  hacinamiento,  los  cuales  obstaculizan  el   normal</w:t>
        <w:br/>
        <w:t>desempeño  de  funciones  esenciales  en  los  centros  como  la  salud,  el</w:t>
        <w:br/>
        <w:t>descanso, la higiene,  la  alimentación,  la  seguridad,  la  educación,  el</w:t>
        <w:br/>
        <w:t>trabajo, la recreación, rehabilitación  y  el  régimen  de  visitas  de  los</w:t>
        <w:br/>
        <w:t>reclusos; ocasionan el deterioro generalizado de las instalaciones  físicas;</w:t>
        <w:br/>
        <w:t>provocan serios problemas de convivencia, y favorecen  la  violencia  intra-</w:t>
        <w:br/>
        <w:t>carcelaria[96].</w:t>
        <w:br/>
        <w:br/>
        <w:t>Sin embargo,  siendo  que  los  compromisos  dispuestos  en  el  acuerdo  se</w:t>
        <w:br/>
        <w:t>ejecutarán  a  mediano  plazo,  la  Corte  dispone  que  el  Estado   deberá</w:t>
        <w:br/>
        <w:t>implementar medidas  de  carácter  inmediato  tendientes  a  garantizar  los</w:t>
        <w:br/>
        <w:t>derechos fundamentales de los reclusos, así como medidas  de  prevención  de</w:t>
        <w:br/>
        <w:t>siniestros en los diferentes  centros  señalados  en  el  acuerdo[97].  Para</w:t>
        <w:br/>
        <w:t>ello, en el plazo de seis meses el Estado  deberá  remitir  a  la  Corte  un</w:t>
        <w:br/>
        <w:t>informe  sobre  las   medidas   urgentes   adoptadas   para   este   efecto.</w:t>
        <w:br/>
        <w:t>Particularmente, deberá informar respecto  de  las  siguientes  medidas:  i)</w:t>
        <w:br/>
        <w:t>separar de procesados  y  condenados;  ii)  realizar  un  diagnóstico  sobre</w:t>
        <w:br/>
        <w:t>hacinamiento  carcelario;  iii)  evaluar  de   situaciones   críticas   como</w:t>
        <w:br/>
        <w:t>incendios, iv) mecanismos y equipo para reaccionar frente a incendios.</w:t>
        <w:br/>
        <w:br/>
        <w:br/>
        <w:t xml:space="preserve">           Adopción de medidas legislativas</w:t>
        <w:br/>
        <w:br/>
        <w:br/>
        <w:t>A través del acuerdo  de  solución  amistosa  el  Estado  se  comprometió  a</w:t>
        <w:br/>
        <w:t>adoptar dentro del plazo de un año, las siguientes medidas legislativas:</w:t>
        <w:br/>
        <w:br/>
        <w:t xml:space="preserve">     a) revisar, modificar o derogar el artículo 332 del  Código  Penal  y</w:t>
        <w:br/>
        <w:t xml:space="preserve">        otras disposiciones legislativas o reglamentarias afines, “con  el</w:t>
        <w:br/>
        <w:t xml:space="preserve">        propósito de  adecuarlo  a  los  estándares  establecidos  en  los</w:t>
        <w:br/>
        <w:t xml:space="preserve">        artículos 7, 9 y 24 de la Convención Americana”, y  como  ha  sido</w:t>
        <w:br/>
        <w:t xml:space="preserve">        recomendado por el Comité contra la Tortura, el Comité de Derechos</w:t>
        <w:br/>
        <w:t xml:space="preserve">        Humanos, el Comité de los Derechos del Niño y el Grupo de  Trabajo</w:t>
        <w:br/>
        <w:t xml:space="preserve">        sobre Detención Arbitraria[98];</w:t>
        <w:br/>
        <w:br/>
        <w:br/>
        <w:t xml:space="preserve">     b) aprobar la Ley del Sistema Penitenciario Nacional, presentada ante</w:t>
        <w:br/>
        <w:t xml:space="preserve">        el Congreso Nacional el 27 de abril de 2005, en la cual se crea el</w:t>
        <w:br/>
        <w:t xml:space="preserve">        Instituto  y  la  carrera  penitenciaria,  e  igualmente,   deberá</w:t>
        <w:br/>
        <w:t xml:space="preserve">        contemplarse la posibilidad de separar la Policía Penitenciaria de</w:t>
        <w:br/>
        <w:t xml:space="preserve">        la Policía Nacional;</w:t>
        <w:br/>
        <w:br/>
        <w:t xml:space="preserve">     c) revisar y modificar el Reglamento Especial para el  Funcionamiento</w:t>
        <w:br/>
        <w:t xml:space="preserve">        del Sistema  Penitenciario  Nacional  en  lo  que  corresponde  al</w:t>
        <w:br/>
        <w:t xml:space="preserve">        personal penitenciario y al Centro de Segregación  Administrativa,</w:t>
        <w:br/>
        <w:t xml:space="preserve">        entre  otras  materias,  a  fin  de  adaptarlo  a  los  estándares</w:t>
        <w:br/>
        <w:t xml:space="preserve">        internacionales exigidos. Asimismo, se compromete a incorporar  al</w:t>
        <w:br/>
        <w:t xml:space="preserve">        proceso de depuración de la Policía Nacional,  a  los  policías  y</w:t>
        <w:br/>
        <w:t xml:space="preserve">        personal administrativo del sistema penitenciario, realizando para</w:t>
        <w:br/>
        <w:t xml:space="preserve">        ello   una   auditoria   general   penitenciaria,   entre    otras</w:t>
        <w:br/>
        <w:t xml:space="preserve">        acciones[99], y</w:t>
        <w:br/>
        <w:br/>
        <w:t xml:space="preserve">     d) elaborar y aprobar, dentro del plazo de un año, el Manual para  la</w:t>
        <w:br/>
        <w:t xml:space="preserve">        Administración  de  Centros   Penitenciarios,   acorde   con   los</w:t>
        <w:br/>
        <w:t xml:space="preserve">        estándares internacionales  sobre  trato  humano  a  las  personas</w:t>
        <w:br/>
        <w:t xml:space="preserve">        privadas de libertad, contenidos en el Conjunto de Principios para</w:t>
        <w:br/>
        <w:t xml:space="preserve">        la Protección de Todas las Personas Sometidas a Cualquier Forma de</w:t>
        <w:br/>
        <w:t xml:space="preserve">        Detención  o  Prisión  y  en  la  jurisprudencia   interamericana.</w:t>
        <w:br/>
        <w:t xml:space="preserve">        Asimismo, dicho manual deberá contener, entre otros, protocolos de</w:t>
        <w:br/>
        <w:t xml:space="preserve">        actuación para la  autoridad  penitenciaria  con  respecto  a  las</w:t>
        <w:br/>
        <w:t xml:space="preserve">        personas privadas de libertad de recién ingreso, de rehabilitación</w:t>
        <w:br/>
        <w:t xml:space="preserve">        y  de  reinserción  a  la  sociedad;  procedimientos  expeditos  y</w:t>
        <w:br/>
        <w:t xml:space="preserve">        eficaces de investigación de posibles  torturas,  tratos  crueles,</w:t>
        <w:br/>
        <w:t xml:space="preserve">        inhumanos o degradantes. Por último, el acuerdo destacó  que  para</w:t>
        <w:br/>
        <w:t xml:space="preserve">        la   elaboración   del   manual    se    creará    una    Comisión</w:t>
        <w:br/>
        <w:t xml:space="preserve">        Multisectorial[100].</w:t>
        <w:br/>
        <w:br/>
        <w:t>Al  respecto,  la   Corte   estima   necesario   realizar   las   siguientes</w:t>
        <w:br/>
        <w:t>observaciones.</w:t>
        <w:br/>
        <w:br/>
        <w:br/>
        <w:t>1 Respecto del artículo 332 del Código Penal</w:t>
        <w:br/>
        <w:br/>
        <w:br/>
        <w:t>La Corte toma nota  que  a  partir  del  reconocimiento  de  responsabilidad</w:t>
        <w:br/>
        <w:t>internacional realizado por el Estado,  cesó  la  controversia  respecto  de</w:t>
        <w:br/>
        <w:t>que: a) el artículo 332 del Código Penal no  precisó  los  elementos  de  la</w:t>
        <w:br/>
        <w:t>acción que se considerarían punibles,  lo  que  condujo  a  que  los  mismos</w:t>
        <w:br/>
        <w:t>fueran determinados  arbitraria  y  discrecionalmente  por  las  autoridades</w:t>
        <w:br/>
        <w:t>encargadas de hacer cumplir la ley; b) dicha norma abrió  un  amplio  margen</w:t>
        <w:br/>
        <w:t>de discrecionalidad que permitió las detenciones arbitrarias, y  en  algunos</w:t>
        <w:br/>
        <w:t>casos, masivas de jóvenes sobre la base de sospechas o  percepciones  acerca</w:t>
        <w:br/>
        <w:t>de su pertenencia a una “mara”, en razón del  uso  de  tatuajes,  del  lugar</w:t>
        <w:br/>
        <w:t>donde vivían u otros factores; c) la inexistencia de  mecanismos  legales  o</w:t>
        <w:br/>
        <w:t>criterios de verificación de la efectiva existencia de una conducta  ilícita</w:t>
        <w:br/>
        <w:t>implicó  que  el  artículo  332  no  cumpliera  la  exigencia  de   extremar</w:t>
        <w:br/>
        <w:t>precauciones para que el poder  punitivo  del  Estado  se  administrara  con</w:t>
        <w:br/>
        <w:t>respeto de los derechos fundamentales, y d) 22 de los reclusos en  la  celda</w:t>
        <w:br/>
        <w:t>No. 19 “estaban detenidos [preventivamente] exclusivamente por el delito  de</w:t>
        <w:br/>
        <w:t>asociación ilícita” (supra párr. 36).</w:t>
        <w:br/>
        <w:br/>
        <w:t>Por otra parte, el Tribunal toma nota  de  las  preocupaciones  coincidentes</w:t>
        <w:br/>
        <w:t>externadas por diversos órganos de las Naciones  Unidas  y  por  autoridades</w:t>
        <w:br/>
        <w:t>internas sobre la tipificación  y/o  aplicación  del  delito  de  asociación</w:t>
        <w:br/>
        <w:t>ilícita regulado por el artículo 332  del  Código  Penal.  Al  respecto,  el</w:t>
        <w:br/>
        <w:t>Comisionado Nacional de los Derechos Humanos de Honduras indicó  que  siendo</w:t>
        <w:br/>
        <w:t>que la simple pertenencia a una mara o pandilla  constituye  un  delito,  al</w:t>
        <w:br/>
        <w:t>considerar una persona sospechosa de pertenecer a dichas organizaciones,  la</w:t>
        <w:br/>
        <w:t>policía actúa como si se tratase de una situación  de  flagrancia,  la  cual</w:t>
        <w:br/>
        <w:t>“no está limitada a un  hecho  específico,  sino  que  se  convierte  en  un</w:t>
        <w:br/>
        <w:t>estatus”[101]. Por su parte, el  Comité  de  Derechos  Humanos  de  Naciones</w:t>
        <w:br/>
        <w:t>Unidas[102]  ha  manifestado  su  preocupación  por  la  práctica  común  de</w:t>
        <w:br/>
        <w:t>detenciones por sospecha, incluyendo redadas masivas de personas basadas  en</w:t>
        <w:br/>
        <w:t>la mera apariencia y sin orden previa de  autoridad  competente;  el  Comité</w:t>
        <w:br/>
        <w:t>contra la Tortura de Naciones Unidas[103],  a  su  vez,  ha  manifestado  su</w:t>
        <w:br/>
        <w:t>preocupación por el hecho que un presunto miembro de una asociación  ilícita</w:t>
        <w:br/>
        <w:t>pueda ser privado de libertad sin  orden  de  detención  y  que  la  prisión</w:t>
        <w:br/>
        <w:t>preventiva sea obligatoria. El Comité de los Derechos del Niño  de  Naciones</w:t>
        <w:br/>
        <w:t>Unidas[104] ha manifestado su preocupación por las  detenciones  preventivas</w:t>
        <w:br/>
        <w:t>sistemáticas con base en el artículo 332  del  Código  Penal;  el  Grupo  de</w:t>
        <w:br/>
        <w:t>Trabajo  sobre  Detención  Arbitraria[105]  afirmó  que  la  aplicación  del</w:t>
        <w:br/>
        <w:t>artículo 332 plantea graves  problemas,  entre  otro,  por  configurarse  la</w:t>
        <w:br/>
        <w:t>asociación ilícita como un delito continuo, lo cual mantiene a  los  jóvenes</w:t>
        <w:br/>
        <w:t>bajo sospecha en situación de flagrante delito  permanente,  y  la  Comisión</w:t>
        <w:br/>
        <w:t>Interamericana[106] manifestó que el artículo 332, al conceder un margen  de</w:t>
        <w:br/>
        <w:t>discrecionalidad tan amplio, posibilitaría la  detención  arbitraria  de  un</w:t>
        <w:br/>
        <w:t>gran número de niños,  niñas  y  adolescentes  sobre  la  base  de  la  mera</w:t>
        <w:br/>
        <w:t>percepción que se tenga de la pertenencia a la mara.</w:t>
        <w:br/>
        <w:br/>
        <w:t>Asimismo, el Tribunal recuerda que encontró probado  en  este  caso  que  la</w:t>
        <w:br/>
        <w:t>reforma del tipo penal de asociación ilícita contemplado en el artículo  332</w:t>
        <w:br/>
        <w:t>del Código Penal, aumentó las  penas  para  este  delito  e  incluyó  en  su</w:t>
        <w:br/>
        <w:t>redacción una mención  explícita  a  las  maras  como  forma  de  asociación</w:t>
        <w:br/>
        <w:t>ilícita, con lo cual se inició en la policía  una  práctica  de  detenciones</w:t>
        <w:br/>
        <w:t>por sospecha y arrestos masivos con  base  en  la  apariencia  y  sin  orden</w:t>
        <w:br/>
        <w:t>previa de  autoridad  competente  (supra  párrs.  26  y  27),  lo  cual  fue</w:t>
        <w:br/>
        <w:t>reiterado por los diversos peritos en el caso,  quienes  además  advirtieron</w:t>
        <w:br/>
        <w:t>sobre los problemas de dicho tipo penal  a  la  luz  de  los  principios  de</w:t>
        <w:br/>
        <w:t>legalidad y culpabilidad[107].</w:t>
        <w:br/>
        <w:br/>
        <w:t>Por todo lo anterior, el  Tribunal  valora  la  disposición  del  Estado  de</w:t>
        <w:br/>
        <w:t>realizar las reformas legislativas  pertinentes  a  fin  de  adecuar,  entre</w:t>
        <w:br/>
        <w:t>otros, el artículo 332 del Código  Penal  a  la  Convención,  para  lo  cual</w:t>
        <w:br/>
        <w:t>dispone el plazo de un año a fin de informar al Tribunal sobre  la  adopción</w:t>
        <w:br/>
        <w:t>de  dichas  modificaciones.  Asimismo,  para  la  revisión,  modificación  o</w:t>
        <w:br/>
        <w:t>reforma del tipo penal de asociación ilícita en  Honduras,  el  Estado  debe</w:t>
        <w:br/>
        <w:t>tomar  en  cuenta  los  estándares  desarrollados  por  la   Corte   en   su</w:t>
        <w:br/>
        <w:t>jurisprudencia en la materia.</w:t>
        <w:br/>
        <w:br/>
        <w:t>Al respecto, es preciso  mencionar  que  el  deber  general  del  Estado  de</w:t>
        <w:br/>
        <w:t>adecuar su derecho interno a las disposiciones de  la  Convención  Americana</w:t>
        <w:br/>
        <w:t>para garantizar los derechos en ella consagrados, según en  el  artículo  2,</w:t>
        <w:br/>
        <w:t>implica la adopción de medidas en dos vertientes, a saber: a)  la  supresión</w:t>
        <w:br/>
        <w:t>de las normas y prácticas de cualquier naturaleza que entrañen  violación  a</w:t>
        <w:br/>
        <w:t>las garantías previstas en la Convención  o  que  desconozcan  los  derechos</w:t>
        <w:br/>
        <w:t>allí reconocidos u obstaculicen su ejercicio, y b) la expedición  de  normas</w:t>
        <w:br/>
        <w:t>y el desarrollo de  prácticas  conducentes  a  la  efectiva  observancia  de</w:t>
        <w:br/>
        <w:t>dichas garantías. La primera vertiente  se  satisface  con  la  reforma,  la</w:t>
        <w:br/>
        <w:t>derogación o la  anulación  de  las  normas  o  prácticas  que  tengan  esos</w:t>
        <w:br/>
        <w:t>alcances, según corresponda. La segunda  obliga  al  Estado  a  prevenir  la</w:t>
        <w:br/>
        <w:t>recurrencia de violaciones a los derechos humanos y, por eso,  debe  adoptar</w:t>
        <w:br/>
        <w:t>todas las medidas  legales,  administrativas  y  de  otra  índole  que  sean</w:t>
        <w:br/>
        <w:t>necesarias para  evitar  que  hechos  similares  vuelvan  a  ocurrir  en  el</w:t>
        <w:br/>
        <w:t>futuro[108].</w:t>
        <w:br/>
        <w:br/>
        <w:t>En este sentido, la Corte recuerda que el principio de legalidad en  materia</w:t>
        <w:br/>
        <w:t>penal determina que los tipos penales deben utilizar  términos  estrictos  y</w:t>
        <w:br/>
        <w:t>unívocos, que acoten claramente las conductas punibles, fijen sus  elementos</w:t>
        <w:br/>
        <w:t>y permitan deslindarlas de comportamientos no punibles o conductas  ilícitas</w:t>
        <w:br/>
        <w:t>sancionables con medidas no penales[109]. La ambigüedad  en  la  formulación</w:t>
        <w:br/>
        <w:t>de los tipos penales genera  dudas  y  abre  el  campo  al  arbitrio  de  la</w:t>
        <w:br/>
        <w:t>autoridad, particularmente indeseable  cuando  se  trata  de  establecer  la</w:t>
        <w:br/>
        <w:t>responsabilidad penal de los individuos y sancionarla con penas que  afectan</w:t>
        <w:br/>
        <w:t>severamente bienes fundamentales como la vida  o  la  libertad.  Esto  tiene</w:t>
        <w:br/>
        <w:t>particular importancia en la función del  juez,  quien  al  aplicar  la  ley</w:t>
        <w:br/>
        <w:t>penal debe atenerse estrictamente a lo dispuesto  por  ésta  y  observar  la</w:t>
        <w:br/>
        <w:t>mayor  rigurosidad  en  el  adecuamiento  de  la  conducta  de  la   persona</w:t>
        <w:br/>
        <w:t>incriminada al tipo penal, de forma tal que no incurra  en  la  penalización</w:t>
        <w:br/>
        <w:t>de actos no punibles en el ordenamiento jurídico[110].</w:t>
        <w:br/>
        <w:br/>
        <w:t>En este sentido, la Convención prohíbe la detención  o  encarcelamiento  por</w:t>
        <w:br/>
        <w:t>métodos  que  pueden  ser  legales,  pero  que  en  la   práctica   resultan</w:t>
        <w:br/>
        <w:t>irrazonables, o carentes de proporcionalidad[111]. La Corte  ha  establecido</w:t>
        <w:br/>
        <w:t>que para que  se  cumplan  los  requisitos  necesarios  para  restringir  el</w:t>
        <w:br/>
        <w:t>derecho a la libertad personal, el Estado debe fundamentar y  acreditar,  en</w:t>
        <w:br/>
        <w:t>el caso  concreto,  la  existencia  de  indicios  suficientes  que  permitan</w:t>
        <w:br/>
        <w:t>suponer razonablemente  la  conducta  delictiva  de  la  persona  y  que  la</w:t>
        <w:br/>
        <w:t>detención sea estrictamente necesaria[112], y por tanto no puede tener  como</w:t>
        <w:br/>
        <w:t>base la mera  sospecha  o  percepción  personal  sobre  la  pertenencia  del</w:t>
        <w:br/>
        <w:t>acusado a un grupo ilícito determinado o pandilla.</w:t>
        <w:br/>
        <w:br/>
        <w:t>Asimismo, el Tribunal entiende que la detención colectiva puede  representar</w:t>
        <w:br/>
        <w:t>un mecanismo para garantizar la seguridad ciudadana cuando el Estado  cuenta</w:t>
        <w:br/>
        <w:t>con elementos para acreditar que la actuación de cada una  de  las  personas</w:t>
        <w:br/>
        <w:t>afectadas se encuadra en alguna de las causas  de  detención  previstas  por</w:t>
        <w:br/>
        <w:t>sus normas internas  en  concordancia  con  la  Convención.  Es  decir,  que</w:t>
        <w:br/>
        <w:t>existan elementos para individualizar y separar las conductas  de  cada  uno</w:t>
        <w:br/>
        <w:t>de los detenidos y que,  a  la  vez,  exista  el  control  de  la  autoridad</w:t>
        <w:br/>
        <w:t>judicial[113].</w:t>
        <w:br/>
        <w:br/>
        <w:t>Por ello, el Estado debe velar para que  cualquier  modificación  o  reforma</w:t>
        <w:br/>
        <w:t>legal o administrativa cumpla con la obligación estatal  de  garantizar  que</w:t>
        <w:br/>
        <w:t>no ocurran detenciones de personas sin causa legal, en  las  que  el  Estado</w:t>
        <w:br/>
        <w:t>detiene  masivamente  a  personas  que  la  autoridad  supone  que   podrían</w:t>
        <w:br/>
        <w:t>representar un riesgo o peligro a la seguridad de los  demás,  sin  indicios</w:t>
        <w:br/>
        <w:t>fundados de la comisión de un delito[114]. En concordancia con ello, en  los</w:t>
        <w:br/>
        <w:t>Casos Bulacio y Servellón  García  la  Corte  estableció  que  las  llamadas</w:t>
        <w:br/>
        <w:t>razzias son incompatibles con  el  respeto  a  los  derechos  fundamentales,</w:t>
        <w:br/>
        <w:t>entre otros, la presunción de inocencia, la  existencia  de  orden  judicial</w:t>
        <w:br/>
        <w:t>para detener  –salvo  en  hipótesis  de  flagrancia[115].  Consecuentemente,</w:t>
        <w:br/>
        <w:t>dichas  normas  no  deben  justificar  detenciones  masivas  y   arbitrarias</w:t>
        <w:br/>
        <w:t>destinadas a grupos en situaciones de marginalidad.</w:t>
        <w:br/>
        <w:br/>
        <w:br/>
        <w:t>2 Otras disposiciones normativas</w:t>
        <w:br/>
        <w:br/>
        <w:br/>
        <w:t>Respecto de  la  Ley  del  Sistema  Penitenciario  Nacional,  el  Reglamento</w:t>
        <w:br/>
        <w:t>Especial  para  el  Funcionamiento  del  mismo   y   el   Manual   para   la</w:t>
        <w:br/>
        <w:t>Administración  de  Centros  Penitenciarios  (supra  párr.  98),  la   Corte</w:t>
        <w:br/>
        <w:t>homologa el plazo de un año establecido  en  el  acuerdo  para  informar  al</w:t>
        <w:br/>
        <w:t>Tribunal sobre la adopción de dichas normas, el cual empieza a partir de  la</w:t>
        <w:br/>
        <w:t>notificación de la presente Sentencia.</w:t>
        <w:br/>
        <w:br/>
        <w:t>La Corte advierte que en la elaboración de estas normas,  el  Estado  deberá</w:t>
        <w:br/>
        <w:t>tomar en cuenta los estándares sobre condiciones carcelarias  dispuestos  en</w:t>
        <w:br/>
        <w:t>el párrafo 67 de la presente Sentencia y demás jurisprudencia de  la  Corte.</w:t>
        <w:br/>
        <w:t>Asimismo, el Estado deberá implementar mecanismos  eficaces  de  prevención,</w:t>
        <w:br/>
        <w:t>de conformidad con el párrafo 68 del presente Fallo, a fin de  evitar  y  en</w:t>
        <w:br/>
        <w:t>su caso  enfrentar  situaciones  críticas,  tales  como  incendios  y  otras</w:t>
        <w:br/>
        <w:t>emergencias.</w:t>
        <w:br/>
        <w:br/>
        <w:t>En este sentido, la Corte toma nota de  otros  instrumentos  internacionales</w:t>
        <w:br/>
        <w:t>de que Honduras es  parte[116],  que  incorporan  mecanismos  de  prevención</w:t>
        <w:br/>
        <w:t>pertinentes, a través de los cuales organizaciones o  entidades  externas  e</w:t>
        <w:br/>
        <w:t>independientes pueden monitorear, por  medio  de  visitas  regulares  a  los</w:t>
        <w:br/>
        <w:t>lugares de detención, con el  objetivo  de  garantizar  a  los  privados  de</w:t>
        <w:br/>
        <w:t>libertad sus derechos. Al respecto, en el diseño  de  dichos  mecanismos  el</w:t>
        <w:br/>
        <w:t>Estado debe tener en cuenta lo señalado por el perito Mario Luis  Coriolano,</w:t>
        <w:br/>
        <w:t>en el sentido de que[117]:</w:t>
        <w:br/>
        <w:br/>
        <w:t xml:space="preserve">      es central un monitoreo permanente y periódico tanto por el jefe  como</w:t>
        <w:br/>
        <w:t xml:space="preserve">      por cuerpos externos independientes. [E]l Protocolo Facultativo  a  la</w:t>
        <w:br/>
        <w:t xml:space="preserve">      Convención contra la Tortura [permite  actuar  en  [los]  locales  con</w:t>
        <w:br/>
        <w:t xml:space="preserve">      legitimación en el derecho internacional,  [mediante]  los  mecanismos</w:t>
        <w:br/>
        <w:t xml:space="preserve">      nacionales de prevención, que algunos […]  países  ya  han  puesto  en</w:t>
        <w:br/>
        <w:t xml:space="preserve">      marcha pero muchos  otros  todavía  están  en  deuda  con  ésta  norma</w:t>
        <w:br/>
        <w:t xml:space="preserve">      internacional [A través de estos] monitoreos se pueden  detectar  [las</w:t>
        <w:br/>
        <w:t xml:space="preserve">      diversas  falencias  en  las  siguientes]  tres  dimensiones:  [i]  lo</w:t>
        <w:br/>
        <w:t xml:space="preserve">      relativo a lo instrumental físico y tecnológico […]; [ii] los aspectos</w:t>
        <w:br/>
        <w:t xml:space="preserve">      procedimentales, es decir, cuáles son los reglamentos de acción frente</w:t>
        <w:br/>
        <w:t xml:space="preserve">      a situaciones normales […], y [iii] el rol  importante  que  juega  el</w:t>
        <w:br/>
        <w:t xml:space="preserve">      personal disponible para que estén estos equipos de emergencia en todo</w:t>
        <w:br/>
        <w:t xml:space="preserve">      momento durante todos los días del año.</w:t>
        <w:br/>
        <w:br/>
        <w:t>Adicionalmente, en el marco del Reglamento Especial para  el  Funcionamiento</w:t>
        <w:br/>
        <w:t>del  Sistema  Penitenciario  Nacional,  asi   como   el   Manual   para   la</w:t>
        <w:br/>
        <w:t>Administración de Centros Penitenciarios (supra párr. 98 c y d),  el  Estado</w:t>
        <w:br/>
        <w:t>deberá establecer mecanismos que delimiten la  cadena  de  responsabilidades</w:t>
        <w:br/>
        <w:t>en los centros  penitenciarios,  con  el  fin  de  atender  las  principales</w:t>
        <w:br/>
        <w:t>necesidades  del  centro,  así  como  responder  frente  a  negligencias  en</w:t>
        <w:br/>
        <w:t>perjuicio de los derechos de los internos. Al respecto, el perito  Coriolano</w:t>
        <w:br/>
        <w:t>expresó que:</w:t>
        <w:br/>
        <w:br/>
        <w:t xml:space="preserve">      [se  pueden  analizar]  dos  niveles  de  responsabilidad[[118]]  bien</w:t>
        <w:br/>
        <w:t xml:space="preserve">      diferenciados [que se refieren con] lo vinculado a políticas públicas,</w:t>
        <w:br/>
        <w:t xml:space="preserve">      es decir las decisiones  en  materia  de  legislación,  reglamentos  o</w:t>
        <w:br/>
        <w:t xml:space="preserve">      cuerpos normativos generales[, y] un  nivel  de  responsabilidad  [de]</w:t>
        <w:br/>
        <w:t xml:space="preserve">      estructuras jerárquicas de responsabilidad gerencial,  […]  que  tiene</w:t>
        <w:br/>
        <w:t xml:space="preserve">      que ver con los jefes o directores,  como  muchos  estándares  marcan,</w:t>
        <w:br/>
        <w:t xml:space="preserve">      [que] tienen que asegurarse de [la supervisión]  en  todo  momento  de</w:t>
        <w:br/>
        <w:t xml:space="preserve">      [dichas]  dimensiones.  [Lo  anterior,]  lleva  a  una  estructura  de</w:t>
        <w:br/>
        <w:t xml:space="preserve">      responsabilidad jerárquica con definición de  puestos  de  acción  que</w:t>
        <w:br/>
        <w:t xml:space="preserve">      permiten, según cada uno de  los  niveles  de  responsabilidad,  tomar</w:t>
        <w:br/>
        <w:t xml:space="preserve">      medidas, con distintos actores y fundamentalmente  distintos  tiempos,</w:t>
        <w:br/>
        <w:t xml:space="preserve">      [a través] de medidas de urgencia de corto, mediano y largo plazo.</w:t>
        <w:br/>
        <w:br/>
        <w:br/>
        <w:t xml:space="preserve">           Capacitación de funcionarios penitenciarios y planes de</w:t>
        <w:br/>
        <w:t xml:space="preserve">           emergencia</w:t>
        <w:br/>
        <w:br/>
        <w:br/>
        <w:t>El acuerdo de solución amistosa indica que el Manual para la  Administración</w:t>
        <w:br/>
        <w:t>de Centros Penitenciarios (supra párr. 98.d) deberá contener:  a)  programas</w:t>
        <w:br/>
        <w:t>de capacitación al personal civil y policial de  los  centros  penales,  que</w:t>
        <w:br/>
        <w:t>incluyan  formación  en  materia  de  derechos  humanos,  y  b)  planes   de</w:t>
        <w:br/>
        <w:t>emergencia y evacuación en caso de incendios u otro tipo de catástrofes.</w:t>
        <w:br/>
        <w:br/>
        <w:t>La Corte homologa dicha medida de capacitación y  estima  oportuno  destacar</w:t>
        <w:br/>
        <w:t>que tales programas deberán incluir, entre otros  temas,  los  referentes  a</w:t>
        <w:br/>
        <w:t>los estándares internacionales en materia  carcelaria  y  la  jurisprudencia</w:t>
        <w:br/>
        <w:t>del sistema interamericano al respecto. Estos  programas  o  cursos  deberán</w:t>
        <w:br/>
        <w:t>ser permanentes y dirigidos a los  funcionarios  del  sistema  penitenciario</w:t>
        <w:br/>
        <w:t>hondureño de todos los niveles jerárquicos. Asimismo, deberán iniciar en  el</w:t>
        <w:br/>
        <w:t>plazo  de  seis  meses  luego  de  la  aprobación   del   Manual   para   la</w:t>
        <w:br/>
        <w:t>Administración  de  Centros  Penitenciarios.  Asimismo,   dichos   programas</w:t>
        <w:br/>
        <w:t>deberán ser coordinados con los previamente ordenados por  la  Corte  en  el</w:t>
        <w:br/>
        <w:t>caso López Álvarez Vs. Honduras (supra párr. 93).</w:t>
        <w:br/>
        <w:br/>
        <w:br/>
        <w:t xml:space="preserve">        Rehabilitación</w:t>
        <w:br/>
        <w:br/>
        <w:br/>
        <w:br/>
        <w:br/>
        <w:t xml:space="preserve">           Asistencia médica y psicológica a las víctimas</w:t>
        <w:br/>
        <w:br/>
        <w:br/>
        <w:t>En el acuerdo de solución amistosa el Estado se  comprometió  a  nombrar  un</w:t>
        <w:br/>
        <w:t>equipo profesional de psicología  y/o  psiquiatría  con  experiencia  en  el</w:t>
        <w:br/>
        <w:t>tema, para brindar gratuitamente, de forma inmediata  y  con  un  mínimo  de</w:t>
        <w:br/>
        <w:t>atención de 18 meses, el tratamiento psicológico y/o psiquiátrico  requerido</w:t>
        <w:br/>
        <w:t>por los familiares  de  las  107  víctimas,  incluyendo  la  prescripción  y</w:t>
        <w:br/>
        <w:t>dotación de medicamentos que éstos necesiten, tomando en  consideración  los</w:t>
        <w:br/>
        <w:t>trastornos mentales derivados del diagnóstico y la evolución clínica de  los</w:t>
        <w:br/>
        <w:t>pacientes. Asimismo, el cronograma de ejecución indica  que  la  atención  a</w:t>
        <w:br/>
        <w:t>los  familiares  por  parte  del  equipo   de   atención   psicológica   y/o</w:t>
        <w:br/>
        <w:t>psiquiátrico iniciará a partir de julio de 2012.</w:t>
        <w:br/>
        <w:br/>
        <w:t>El Tribunal homologa esta medida de reparación, la cual deberá ser  cumplida</w:t>
        <w:br/>
        <w:t>de acuerdo a los siguientes criterios. La  obligación  a  cargo  del  Estado</w:t>
        <w:br/>
        <w:t>consiste en brindar gratuitamente, a través de sus  instituciones  de  salud</w:t>
        <w:br/>
        <w:t>especializadas, y de forma inmediata, adecuada y  efectiva,  el  tratamiento</w:t>
        <w:br/>
        <w:t>médico y  psicológico  o  psiquiátrico  a  los  familiares  declarados  como</w:t>
        <w:br/>
        <w:t>víctimas en el presente caso, previo consentimiento informado,  incluida  la</w:t>
        <w:br/>
        <w:t>provisión gratuita de  los  medicamentos  que  eventualmente  se  requieran,</w:t>
        <w:br/>
        <w:t>tomando en consideración los padecimientos de cada uno de ellos. En el  caso</w:t>
        <w:br/>
        <w:t>de que el  Estado  careciera  de  dichas  instituciones  deberá  recurrir  a</w:t>
        <w:br/>
        <w:t>instituciones privadas o de la sociedad civil especializadas. Asimismo,  los</w:t>
        <w:br/>
        <w:t>tratamientos respectivos deberán prestarse, en la medida de lo  posible,  en</w:t>
        <w:br/>
        <w:t>los centros más cercanos a sus lugares de residencia[119]  en  la  República</w:t>
        <w:br/>
        <w:t>de Honduras por el tiempo que  sea  necesario.  Al  proveer  el  tratamiento</w:t>
        <w:br/>
        <w:t>psicológico o psiquiátrico se deben considerar, además,  las  circunstancias</w:t>
        <w:br/>
        <w:t>y necesidades particulares de cada una de las víctimas,  de  manera  que  se</w:t>
        <w:br/>
        <w:t>les brinden tratamientos familiares e individuales, según lo que se  acuerde</w:t>
        <w:br/>
        <w:t>con cada una de ellas y después de una evaluación individual[120].</w:t>
        <w:br/>
        <w:br/>
        <w:t>Las víctimas individualizadas que requieran esta  medida  de  reparación,  o</w:t>
        <w:br/>
        <w:t>sus representantes legales, disponen de un plazo de seis  meses,  contado  a</w:t>
        <w:br/>
        <w:t>partir de la notificación de la presente Sentencia, para dar  a  conocer  al</w:t>
        <w:br/>
        <w:t>Estado  su   intención   de   recibir   atención   médica,   psicológica   o</w:t>
        <w:br/>
        <w:t>psiquiátrica[121].</w:t>
        <w:br/>
        <w:br/>
        <w:t>Respecto de  los  familiares  de  las  89  víctimas  que  aún  no  han  sido</w:t>
        <w:br/>
        <w:t>identificadas, la Corte valora positivamente la disposición  del  Estado  de</w:t>
        <w:br/>
        <w:t>brindarles asistencia médica,  y  por  tanto  estima  pertinente  que  tales</w:t>
        <w:br/>
        <w:t>personas  reciban  este  beneficio  en  las  mismas  condiciones   descritas</w:t>
        <w:br/>
        <w:t>anteriormente (supra párr. 115). Para ello, Honduras deberá  informar  sobre</w:t>
        <w:br/>
        <w:t>esta asistencia en los anuncios respectivos (supra párr. 88),  así  como  al</w:t>
        <w:br/>
        <w:t>momento de que los beneficiarios sean identificados, para que, en  su  caso,</w:t>
        <w:br/>
        <w:t>manifiesten su voluntad de recibir dicha atención en el  plazo  de  un  año,</w:t>
        <w:br/>
        <w:t>contado a partir de la notificación de la presente Sentencia.</w:t>
        <w:br/>
        <w:br/>
        <w:br/>
        <w:t xml:space="preserve">        Satisfacción</w:t>
        <w:br/>
        <w:br/>
        <w:br/>
        <w:br/>
        <w:br/>
        <w:t xml:space="preserve">           Publicación y divulgación de la presente Sentencia</w:t>
        <w:br/>
        <w:br/>
        <w:br/>
        <w:t>El acuerdo de solución amistosa no contempla dicha medida  de  satisfacción.</w:t>
        <w:br/>
        <w:t>No obstante, los representantes solicitaron en su escrito de  solicitudes  y</w:t>
        <w:br/>
        <w:t>argumentos que se ordenara la  publicación  de  la  Sentencia  tanto  en  el</w:t>
        <w:br/>
        <w:t>Diario Oficial, como en dos periódicos de mayor circulación.</w:t>
        <w:br/>
        <w:br/>
        <w:t>En virtud de la relevancia y magnitud  de  las  violaciones  declaradas,  la</w:t>
        <w:br/>
        <w:t>Corte dispone que el Estado publique por una sola vez, en el plazo  de  seis</w:t>
        <w:br/>
        <w:t>meses, contados a partir de la notificación de la presente Sentencia: a)  el</w:t>
        <w:br/>
        <w:t>resumen oficial de la  Sentencia  elaborado  por  la  Corte,  en  el  Diario</w:t>
        <w:br/>
        <w:t>Oficial; b)  el  resumen  oficial  de  la  misma  en  un  diario  de  amplia</w:t>
        <w:br/>
        <w:t>circulación  nacional,  y  c)  la  presente  Sentencia  en  su   integridad,</w:t>
        <w:br/>
        <w:t>disponible por un período  mínimo  de  un  año,  en  un  sitio  web  oficial</w:t>
        <w:br/>
        <w:t>adecuado, tomando en cuenta las características de las publicaciones que  se</w:t>
        <w:br/>
        <w:t>ordena realizar.</w:t>
        <w:br/>
        <w:br/>
        <w:br/>
        <w:t xml:space="preserve">           Acto público de reconocimiento de responsabilidad internacional</w:t>
        <w:br/>
        <w:br/>
        <w:br/>
        <w:t>En el  marco  del  acuerdo  de  solución  amistosa,  el  Estado  realizó  un</w:t>
        <w:br/>
        <w:t>reconocimiento  de  responsabilidad  internacional  durante   la   audiencia</w:t>
        <w:br/>
        <w:t>pública realizada el  28  de  febrero  de  2012  (supra  párrs.  14  y  15).</w:t>
        <w:br/>
        <w:t>Asimismo, en dicho acuerdo, el Estado se comprometió a realizar,  el  17  de</w:t>
        <w:br/>
        <w:t>mayo de 2013, un acto público oficial de reconocimiento  de  responsabilidad</w:t>
        <w:br/>
        <w:t>internacional para las  víctimas  y  sus  familiares  en  relación  con  las</w:t>
        <w:br/>
        <w:t>cuestiones de hecho y de derecho establecidas en el Informe de Fondo  de  la</w:t>
        <w:br/>
        <w:t>Comisión. Por otra parte, dicho reconocimiento público será llevado  a  cabo</w:t>
        <w:br/>
        <w:t>por el Presidente de la República con  invitación  a  todo  el  gabinete  de</w:t>
        <w:br/>
        <w:t>gobierno, titulares de la  Procuraduría  General  de  la  República,  de  la</w:t>
        <w:br/>
        <w:t>Fiscalía General de la República y de la Corte Suprema de Justicia.  Además,</w:t>
        <w:br/>
        <w:t>la organización del acto deberá consensuarse con los representantes.</w:t>
        <w:br/>
        <w:br/>
        <w:t>La Corte valora positivamente la disposición del Estado de llevar a cabo  un</w:t>
        <w:br/>
        <w:t>acto público en el que reconozca su responsabilidad  internacional  por  los</w:t>
        <w:br/>
        <w:t>hechos del presente caso, por lo que homologa dicha medida. El  Estado,  con</w:t>
        <w:br/>
        <w:t>la colaboración de los representantes, deberá intentar, en la medida  de  lo</w:t>
        <w:br/>
        <w:t>posible, que la mayoría de los familiares de las  víctimas  asistan  a  esta</w:t>
        <w:br/>
        <w:t>ceremonia. Para  ello,  el  Estado  deberá  brindar  a  los  asistentes  las</w:t>
        <w:br/>
        <w:t>facilidades necesarias de transporte, logística, entre otras, para tal fin.</w:t>
        <w:br/>
        <w:br/>
        <w:br/>
        <w:t xml:space="preserve">        Otras medidas solicitadas</w:t>
        <w:br/>
        <w:br/>
        <w:br/>
        <w:t>Los representantes solicitaron en su escrito  de  solicitudes  y  argumentos</w:t>
        <w:br/>
        <w:t>que la Corte ordenara al Estado realizar otras medidas  de  reparación[122],</w:t>
        <w:br/>
        <w:t>las cuales no fueron recogidas  en  el  acuerdo  de  solución  amistosa.  Al</w:t>
        <w:br/>
        <w:t>respecto, la Corte considera que la emisión de la presente Sentencia  y  las</w:t>
        <w:br/>
        <w:t>reparaciones ordenadas en este capítulo  resultan  suficientes  y  adecuadas</w:t>
        <w:br/>
        <w:t>para remediar  las  violaciones  sufridas  por  las  víctimas  y  no  estima</w:t>
        <w:br/>
        <w:t>necesario ordenar otras medidas[123].</w:t>
        <w:br/>
        <w:br/>
        <w:br/>
        <w:br/>
        <w:br/>
        <w:br/>
        <w:t xml:space="preserve">      Obligación de investigar los hechos que generaron las violaciones e</w:t>
        <w:br/>
        <w:t xml:space="preserve">      identificar, juzgar y, en su caso, sancionar a los responsables</w:t>
        <w:br/>
        <w:br/>
        <w:br/>
        <w:br/>
        <w:t>El Estado reconoció su responsabilidad por las violaciones a los derechos  a</w:t>
        <w:br/>
        <w:t>las garantías judiciales  y  a  la  protección  judicial  debido  a  que  no</w:t>
        <w:br/>
        <w:t>investigó los hechos del caso, dentro de un plazo razonable y con la  debida</w:t>
        <w:br/>
        <w:t>diligencia,  ni  adoptó  las  medidas   necesarias   para   establecer   las</w:t>
        <w:br/>
        <w:t>responsabilidades penales, administrativas o disciplinarias respectivas  con</w:t>
        <w:br/>
        <w:t>posterioridad  al  sobreseimiento  declarado  por  los  órganos   judiciales</w:t>
        <w:br/>
        <w:t>internos, razón por la cual dichos hechos han permanecido  en  la  impunidad</w:t>
        <w:br/>
        <w:t>por casi ocho años.</w:t>
        <w:br/>
        <w:br/>
        <w:t>En el acuerdo de solución amistosa el Estado se comprometió a investigar  en</w:t>
        <w:br/>
        <w:t>un plazo razonable, no mayor a un año,  a  través  de  la  creación  de  una</w:t>
        <w:br/>
        <w:t>comisión independiente con el  objeto  de  investigar  a  los  responsables,</w:t>
        <w:br/>
        <w:t>tanto por acción como por omisión, de los hechos que derivaron en la  muerte</w:t>
        <w:br/>
        <w:t>de  las  107  personas  privadas  de  libertad  (en  adelante  “Comisión  de</w:t>
        <w:br/>
        <w:t>investigación”). Esta Comisión de investigación será  conformada  por  siete</w:t>
        <w:br/>
        <w:t>personas, expertos en materia de investigación criminal, coordinada  por  un</w:t>
        <w:br/>
        <w:t>fiscal  ad  hoc  del  Ministerio  Público,  y  hará  recomendaciones  a  las</w:t>
        <w:br/>
        <w:t>instituciones o entidades competentes  responsables  de  ejercer  la  acción</w:t>
        <w:br/>
        <w:t>correspondiente. Asimismo, los familiares tendrán derecho a  ser  informados</w:t>
        <w:br/>
        <w:t>durante todas las fases del proceso de investigación. Según,  el  cronograma</w:t>
        <w:br/>
        <w:t>de ejecución el  10  de  abril  de  2012  se  nombraría  el  fiscal  ad  hoc</w:t>
        <w:br/>
        <w:t>coordinador  de  la  Comisión  de  investigación,  la  cual  comenzaría  sus</w:t>
        <w:br/>
        <w:t>trabajos en junio de 2012.</w:t>
        <w:br/>
        <w:br/>
        <w:t>La Corte valora positivamente  la  voluntad  demostrada  por  el  Estado  de</w:t>
        <w:br/>
        <w:t>esclarecer los hechos del caso, mediante la conformación de la  Comisión  de</w:t>
        <w:br/>
        <w:t>investigación. Al respecto, el Tribunal estima  que  ésta  deberá  gozar  de</w:t>
        <w:br/>
        <w:t>independencia y contar con los  recursos  humanos  y  materiales  necesarios</w:t>
        <w:br/>
        <w:t>para desempeñar sus tareas de manera adecuada.</w:t>
        <w:br/>
        <w:br/>
        <w:t>Sin embargo, en un caso de denegación  de  justicia  como  el  presente,  la</w:t>
        <w:br/>
        <w:t>obligación estatal de garantizar el acceso a la justicia no debe  entenderse</w:t>
        <w:br/>
        <w:t>condicionada únicamente a  la  eventual  conformación  y  resultados  de  la</w:t>
        <w:br/>
        <w:t>Comisión de investigación. Así,  la  Corte  considera  pertinente  reiterar,</w:t>
        <w:br/>
        <w:t>como lo ha hecho en otros casos, que la “verdad  histórica”  documentada  en</w:t>
        <w:br/>
        <w:t>los informes de comisión especiales no completa o  sustituye  la  obligación</w:t>
        <w:br/>
        <w:t>del  Estado  de  establecer  la  verdad   legal   a   través   de   procesos</w:t>
        <w:br/>
        <w:t>judiciales[124]. Por tanto, sin perjuicio de lo  que  dicha  Comisión  pueda</w:t>
        <w:br/>
        <w:t>aportar para el conocimiento de  los  hechos,  el  Estado  debe  cumplir  la</w:t>
        <w:br/>
        <w:t>obligación  de  investigar  y,  en  su  caso,  sancionar,  por  los   medios</w:t>
        <w:br/>
        <w:t>judiciales pertinentes, los hechos constitutivos de las  violaciones  a  los</w:t>
        <w:br/>
        <w:t>derechos humanos declaradas en esta Sentencia.</w:t>
        <w:br/>
        <w:br/>
        <w:t>Teniendo en cuenta lo anterior, este Tribunal dispone  que  el  Estado  debe</w:t>
        <w:br/>
        <w:t>conducir una investigación seria, imparcial y efectiva[125]  de  los  hechos</w:t>
        <w:br/>
        <w:t>del presente caso, a fin  de  esclarecerlos,  determinar  la  verdad  y  las</w:t>
        <w:br/>
        <w:t>correspondientes    responsabilidades    penales,    administrativas     y/o</w:t>
        <w:br/>
        <w:t>disciplinarias, y aplicar efectivamente las sanciones  y  consecuencias  que</w:t>
        <w:br/>
        <w:t>la ley prevea[126]. Esta obligación debe ser cumplida de manera diligente  y</w:t>
        <w:br/>
        <w:t>dentro de un plazo razonable. Asimismo, el Estado deberá velar porque  dicha</w:t>
        <w:br/>
        <w:t>investigación  abarque  la  determinación  de  los  presuntos   funcionarios</w:t>
        <w:br/>
        <w:t>responsables de los hechos relativos al incendio del  Centro  Penal  de  San</w:t>
        <w:br/>
        <w:t>Pedro Sula.</w:t>
        <w:br/>
        <w:br/>
        <w:t>La Corte recuerda que el deber de investigar es una obligación de  medios  y</w:t>
        <w:br/>
        <w:t>no de resultado, que debe ser asumida por el Estado como un  deber  jurídico</w:t>
        <w:br/>
        <w:t>propio y  no  como  una  simple  formalidad  condenada  de  antemano  a  ser</w:t>
        <w:br/>
        <w:t>infructuosa, o como una mera gestión de intereses particulares, que  dependa</w:t>
        <w:br/>
        <w:t>de la iniciativa procesal de  las  víctimas,  de  sus  familiares  o  de  la</w:t>
        <w:br/>
        <w:t>aportación privada de elementos probatorios[127].</w:t>
        <w:br/>
        <w:br/>
        <w:t>Al respecto, el Estado deberá  asegurar  el  pleno  acceso  y  capacidad  de</w:t>
        <w:br/>
        <w:t>actuar  de  los  familiares  de  las  víctimas  en  todas  las  etapas   del</w:t>
        <w:br/>
        <w:t>procedimiento. Dicha participación deberá tener como finalidad el  acceso  a</w:t>
        <w:br/>
        <w:t>la justicia y el conocimiento de la verdad de lo ocurrido[128].</w:t>
        <w:br/>
        <w:br/>
        <w:br/>
        <w:br/>
        <w:br/>
        <w:br/>
        <w:t xml:space="preserve">      Fondo de oportunidades y compensación</w:t>
        <w:br/>
        <w:br/>
        <w:br/>
        <w:br/>
        <w:br/>
        <w:br/>
        <w:br/>
        <w:t xml:space="preserve">        Daño material e inmaterial</w:t>
        <w:br/>
        <w:br/>
        <w:br/>
        <w:t>En el numeral d), acápite “6. Mecanismos y Procedimientos” del  acuerdo  de</w:t>
        <w:br/>
        <w:t>solución amistosa las partes solicitaron a la Corte mantener en reserva las</w:t>
        <w:br/>
        <w:t>cuantías de la indemnización compensatoria, gastos y costas establecidas en</w:t>
        <w:br/>
        <w:t>el punto cinco del acuerdo, por razones de seguridad (supra párr.  77).  En</w:t>
        <w:br/>
        <w:t>razón de dicha solicitud, y tomando  en  cuenta  la  razón  indicada,  este</w:t>
        <w:br/>
        <w:t>Tribunal omitirá transcribir esos montos en el presente Fallo.</w:t>
        <w:br/>
        <w:br/>
        <w:t>En el acuerdo de solución amistosa el Estado y los representantes acordaron</w:t>
        <w:br/>
        <w:t>un monto  global  como  indemnización  compensatoria,  desglosados  en  una</w:t>
        <w:br/>
        <w:t>cantidad por daños materiales, gastos y costas y otra  cantidad  por  “daño</w:t>
        <w:br/>
        <w:t>moral”, los cuales serán pagados en dos  ejercicios  fiscales.  Además,  el</w:t>
        <w:br/>
        <w:t>monto correspondiente a los “daños materiales […] constituirá el  fondo  de</w:t>
        <w:br/>
        <w:t>oportunidad y compensación para los familiares de  los  [107]  privados  de</w:t>
        <w:br/>
        <w:t>libertad que perdieron su vida en el Centro [P]enal de San Pedro Sula […] y</w:t>
        <w:br/>
        <w:t>será regulado por la constitución de un  fideicomiso,  cuya  reglamentación</w:t>
        <w:br/>
        <w:t>será elaborada por la iglesia católica Diócesis  de  San  Pedro  Sula.  Los</w:t>
        <w:br/>
        <w:t>capítulos constitutivos del fideicomiso  se  estimarán  porcentualmente  en</w:t>
        <w:br/>
        <w:t>educación, salud y gastos fúnebres de los familiares de las víctimas”.</w:t>
        <w:br/>
        <w:br/>
        <w:t>La Corte ha desarrollado en su jurisprudencia el concepto de daño  material</w:t>
        <w:br/>
        <w:t>y  los  supuestos  en  que  corresponde  indemnizarlo.  Este  Tribunal   ha</w:t>
        <w:br/>
        <w:t>establecido que el daño material supone “la pérdida  o  detrimento  de  los</w:t>
        <w:br/>
        <w:t>ingresos de las víctimas, los gastos efectuados con motivo de los hechos  y</w:t>
        <w:br/>
        <w:t>las consecuencias de carácter pecuniario que tengan un nexo causal con  los</w:t>
        <w:br/>
        <w:t>hechos del caso”[129].</w:t>
        <w:br/>
        <w:br/>
        <w:t>Asimismo, respecto del concepto de daño inmaterial, la Corte ha establecido</w:t>
        <w:br/>
        <w:t>que éste  “puede  comprender  tanto  los  sufrimientos  y  las  aflicciones</w:t>
        <w:br/>
        <w:t>causados a la víctima directa y a sus allegados, el  menoscabo  de  valores</w:t>
        <w:br/>
        <w:t>muy significativos  para  las  personas,  así  como  las  alteraciones,  de</w:t>
        <w:br/>
        <w:t>carácter no pecuniario, en las condiciones de existencia de la víctima o su</w:t>
        <w:br/>
        <w:t>familia”[130].</w:t>
        <w:br/>
        <w:br/>
        <w:t>Por otra parte la Corte reitera que, conforme a su jurisprudencia[131], las</w:t>
        <w:br/>
        <w:t>costas y gastos hacen parte del concepto de reparación,  toda  vez  que  la</w:t>
        <w:br/>
        <w:t>actividad desplegada por las víctimas con el fin de obtener justicia, tanto</w:t>
        <w:br/>
        <w:t>a nivel nacional como internacional,  implica  erogaciones  que  deben  ser</w:t>
        <w:br/>
        <w:t>compensadas cuando la responsabilidad internacional del Estado es declarada</w:t>
        <w:br/>
        <w:t>mediante una sentencia condenatoria. En cuanto a su reembolso,  corresponde</w:t>
        <w:br/>
        <w:t>al Tribunal apreciar prudentemente su alcance, el cual comprende los gastos</w:t>
        <w:br/>
        <w:t>generados ante las autoridades de la jurisdicción  interna,  así  como  los</w:t>
        <w:br/>
        <w:t>generados en el curso del proceso ante este Tribunal,  teniendo  en  cuenta</w:t>
        <w:br/>
        <w:t>las circunstancias del caso concreto y la  naturaleza  de  la  jurisdicción</w:t>
        <w:br/>
        <w:t>internacional de protección de los derechos humanos. Esta apreciación puede</w:t>
        <w:br/>
        <w:t>ser realizada con base en el principio de equidad y tomando en  cuenta  los</w:t>
        <w:br/>
        <w:t>gastos señalados por las partes, siempre que su quantum sea razonable.</w:t>
        <w:br/>
        <w:br/>
        <w:t>La Corte estima que, el compromiso de indemnizar a las  víctimas,  el  cual</w:t>
        <w:br/>
        <w:t>comprende la reparación pecuniaria convenida por las partes en  el  acuerdo</w:t>
        <w:br/>
        <w:t>de solución amistosa por concepto de daño material e inmaterial, representa</w:t>
        <w:br/>
        <w:t>un paso positivo  de  Honduras  en  el  cumplimiento  de  sus  obligaciones</w:t>
        <w:br/>
        <w:t>convencionales internacionales. No obstante, la Corte observa que,  en  los</w:t>
        <w:br/>
        <w:t>términos  del  acuerdo,  se  determinaron  cantidades  globales  sin  haber</w:t>
        <w:br/>
        <w:t>establecido  montos  específicos  para  cada  víctima  ni   su   forma   de</w:t>
        <w:br/>
        <w:t>distribución. En  razón  de  lo  anterior,   tomando  en  consideración  la</w:t>
        <w:br/>
        <w:t>voluntad de las partes para  alcanzar  dicho  acuerdo  y  el  mecanismo  de</w:t>
        <w:br/>
        <w:t>implementación del mismo, el Tribunal estima que los montos acordados tanto</w:t>
        <w:br/>
        <w:t>por daño  material  e  inmaterial  y  costas  y  gastos,  sean  debidamente</w:t>
        <w:br/>
        <w:t>determinados  por  el  fideicomiso  de  oportunidades  y   compensación   y</w:t>
        <w:br/>
        <w:t>distribuidos a las víctimas, partes lesionadas  del  presente  caso  (supra</w:t>
        <w:br/>
        <w:t>párr. 132),  así  como  a  los  familiares  directos  de  los  89  internos</w:t>
        <w:br/>
        <w:t>fallecidos que acrediten su calidad de beneficiarios del presente caso.</w:t>
        <w:br/>
        <w:br/>
        <w:t>El Estado deberá observar la obligación definida en los párrafos 86 a 90 de</w:t>
        <w:br/>
        <w:t>la presente Sentencia para identificar a los beneficiarios de la reparación</w:t>
        <w:br/>
        <w:t>y deberá informar al Tribunal dentro del plazo de un año, a  partir  de  la</w:t>
        <w:br/>
        <w:t>notificación del presente Fallo, sobre las gestiones  realizadas  para  dar</w:t>
        <w:br/>
        <w:t>cumplimiento a esta obligación.  Asimismo,  los  beneficios  del  fondo  de</w:t>
        <w:br/>
        <w:t>oportunidades y compensación deberán ser entregados a las partes lesionadas</w:t>
        <w:br/>
        <w:t>y beneficiarios del acuerdo dentro del plazo de tres años, contado a partir</w:t>
        <w:br/>
        <w:t>de la notificación de la presente Sentencia.</w:t>
        <w:br/>
        <w:br/>
        <w:br/>
        <w:br/>
        <w:br/>
        <w:br/>
        <w:t xml:space="preserve">      Modalidad de cumplimiento de los pagos ordenados</w:t>
        <w:br/>
        <w:br/>
        <w:br/>
        <w:t>El Estado deberá efectuar el pago de las indemnizaciones  por  concepto  de</w:t>
        <w:br/>
        <w:t>daño material e inmaterial y el reintegro de costas y  gastos  establecidos</w:t>
        <w:br/>
        <w:t>en la  presente  Sentencia  directamente  a  las  personas  y  organización</w:t>
        <w:br/>
        <w:t>indicadas en la misma, dentro de los plazos establecidos en el  acuerdo  de</w:t>
        <w:br/>
        <w:t>solución amistosa y dispuestos en  este  Fallo,  en  los  términos  de  los</w:t>
        <w:br/>
        <w:t>siguientes párrafos, y sin reducción de eventuales cargas fiscales.</w:t>
        <w:br/>
        <w:br/>
        <w:t>En caso de que los familiares de las víctimas indicados en los Anexos C y D</w:t>
        <w:br/>
        <w:t>fallezcan antes de que les sea entregada la indemnización respectiva,  ésta</w:t>
        <w:br/>
        <w:t>se efectuará directamente  a  sus  derechohabientes,  conforme  al  derecho</w:t>
        <w:br/>
        <w:t>interno aplicable.</w:t>
        <w:br/>
        <w:br/>
        <w:t>El Estado debe cumplir sus obligaciones  monetarias  mediante  el  pago  en</w:t>
        <w:br/>
        <w:t>dólares de los Estados Unidos de América o en un  equivalente  en  Lempiras</w:t>
        <w:br/>
        <w:t>hondureñas, utilizando para ello el cálculo respectivo el  tipo  de  cambio</w:t>
        <w:br/>
        <w:t>que esté vigente en la bolsa de Nueva York, el día anterior al pago.</w:t>
        <w:br/>
        <w:br/>
        <w:t>Si por causas atribuibles a los beneficiarios de las  indemnizaciones  o  a</w:t>
        <w:br/>
        <w:t>sus  derechohabientes  no  fuese  posible  el  pago   de   las   cantidades</w:t>
        <w:br/>
        <w:t>determinadas  por  concepto  de  daño  inmaterial  dentro  de  los   plazos</w:t>
        <w:br/>
        <w:t>indicados, el Estado consignará dichos montos a su favor en  una  cuenta  o</w:t>
        <w:br/>
        <w:t>certificado de depósito en una institución financiera hondureña solvente  o</w:t>
        <w:br/>
        <w:t>el fideicomiso creado por el acuerdo, en  Lempiras  hondureñas,  y  en  las</w:t>
        <w:br/>
        <w:t>condiciones financieras más favorables que permitan  la  legislación  y  la</w:t>
        <w:br/>
        <w:t>práctica bancaria. Si no se reclama la  indemnización  correspondiente  una</w:t>
        <w:br/>
        <w:t>vez transcurridos diez años, las cantidades serán devueltas al  Estado  con</w:t>
        <w:br/>
        <w:t>los intereses devengados.</w:t>
        <w:br/>
        <w:br/>
        <w:t>En caso de que el Estado incurriera en mora, deberá pagar un interés  sobre</w:t>
        <w:br/>
        <w:t>la cantidad adeudada correspondiente al interés bancario  moratorio  en  la</w:t>
        <w:br/>
        <w:t>República de Honduras.</w:t>
        <w:br/>
        <w:br/>
        <w:br/>
        <w:t>IX</w:t>
        <w:br/>
        <w:t>PUNTOS RESOLUTIVOS</w:t>
        <w:br/>
        <w:br/>
        <w:br/>
        <w:t>143.  Por tanto,</w:t>
        <w:br/>
        <w:br/>
        <w:br/>
        <w:t>LA CORTE</w:t>
        <w:br/>
        <w:br/>
        <w:br/>
        <w:br/>
        <w:br/>
        <w:br/>
        <w:t>DECIDE,</w:t>
        <w:br/>
        <w:br/>
        <w:br/>
        <w:br/>
        <w:t>por unanimidad,</w:t>
        <w:br/>
        <w:br/>
        <w:br/>
        <w:t xml:space="preserve">     1. Homologar el acuerdo de solución amistosa suscrito por el Estado de</w:t>
        <w:br/>
        <w:t xml:space="preserve">        Honduras y los representantes de  las  víctimas,  presentado  a  la</w:t>
        <w:br/>
        <w:t xml:space="preserve">        Corte en la audiencia pública realizada el 28 de febrero  de  2012,</w:t>
        <w:br/>
        <w:t xml:space="preserve">        en los términos de los párrafos 14 a 22 de la presente Sentencia.</w:t>
        <w:br/>
        <w:br/>
        <w:t xml:space="preserve">     2.  Aceptar  el  reconocimiento   de   responsabilidad   internacional</w:t>
        <w:br/>
        <w:t xml:space="preserve">        efectuado por el Estado, en los términos de los párrafos  18  a  22</w:t>
        <w:br/>
        <w:t xml:space="preserve">        del Fallo.</w:t>
        <w:br/>
        <w:br/>
        <w:br/>
        <w:br/>
        <w:t>DECLARA,</w:t>
        <w:br/>
        <w:br/>
        <w:br/>
        <w:br/>
        <w:t>por unanimidad, que:</w:t>
        <w:br/>
        <w:br/>
        <w:t xml:space="preserve">   1. El  Estado  es  responsable  de  la  violación  de  la  obligación  de</w:t>
        <w:br/>
        <w:t xml:space="preserve">      garantizar los  derechos  a  la  vida  y  a  la  integridad  personal,</w:t>
        <w:br/>
        <w:t xml:space="preserve">      consagrados en los artículos 4.1, 5.1, 5.2  y  5.6  de  la  Convención</w:t>
        <w:br/>
        <w:t xml:space="preserve">      Americana, en relación con el artículo 1.1 de la misma,  en  perjuicio</w:t>
        <w:br/>
        <w:t xml:space="preserve">      de las 107 personas  privadas  de  libertad  que  perdieron  la  vida,</w:t>
        <w:br/>
        <w:t xml:space="preserve">      identificados en el Anexo A de la Sentencia, en los  términos  de  los</w:t>
        <w:br/>
        <w:t xml:space="preserve">      párrafos 16, 20 y 60 a 69 de la misma.</w:t>
        <w:br/>
        <w:br/>
        <w:t xml:space="preserve">   2. El Estado es  responsable  por  la  violación  a  los  derechos  a  la</w:t>
        <w:br/>
        <w:t xml:space="preserve">      integridad  personal,  a  la  libertad  personal  y  al  principio  de</w:t>
        <w:br/>
        <w:t xml:space="preserve">      legalidad y de retroactividad, consagrados en los artículos 5.4, 7 y 9</w:t>
        <w:br/>
        <w:t xml:space="preserve">      de la Convención Americana, en relación con los artículos 1.1 y 2  del</w:t>
        <w:br/>
        <w:t xml:space="preserve">      mismo  instrumento,  en  perjuicio  de  los  22  internos   fallecidos</w:t>
        <w:br/>
        <w:t xml:space="preserve">      individualizados que se encontraban en prisión preventiva en la  celda</w:t>
        <w:br/>
        <w:t xml:space="preserve">      No. 19 junto con las personas condenadas, identificados en el Anexo  B</w:t>
        <w:br/>
        <w:t xml:space="preserve">      de la Sentencia, en los términos de los párrafos 16, 20, 61 y  84  del</w:t>
        <w:br/>
        <w:t xml:space="preserve">      Fallo.</w:t>
        <w:br/>
        <w:br/>
        <w:t xml:space="preserve">   3. El Estado es responsable por  la  violación  de  los  derechos  a  las</w:t>
        <w:br/>
        <w:t xml:space="preserve">      garantías judiciales y a la protección  judicial  consagrados  en  los</w:t>
        <w:br/>
        <w:t xml:space="preserve">      artículos 8.1 y 25.1 de la  Convención  Americana,  así  como  por  la</w:t>
        <w:br/>
        <w:t xml:space="preserve">      violación del derecho a  la  integridad  personal,  consagrado  en  el</w:t>
        <w:br/>
        <w:t xml:space="preserve">      artículo 5.1 de la Convención, todo lo anterior  en  relación  con  el</w:t>
        <w:br/>
        <w:t xml:space="preserve">      artículo 1.1 de la misma, en perjuicio de los  83  familiares  de  los</w:t>
        <w:br/>
        <w:t xml:space="preserve">      internos fallecidos identificados en el Anexo C de  la  Sentencia,  en</w:t>
        <w:br/>
        <w:t xml:space="preserve">      los términos de los párrafos 16, 20, 62 y 70 a 75 del Fallo.</w:t>
        <w:br/>
        <w:br/>
        <w:br/>
        <w:t>Y DISPONE</w:t>
        <w:br/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debe, en el plazo de 60 días a partir de la  notificación</w:t>
        <w:br/>
        <w:t xml:space="preserve">        de la Sentencia, en coordinación con los  representantes,  realizar</w:t>
        <w:br/>
        <w:t xml:space="preserve">        las convocatorias descritas en el párrafo 88, a fin  de  considerar</w:t>
        <w:br/>
        <w:t xml:space="preserve">        los beneficiarios de las medidas de  reparación  dispuestas  en  el</w:t>
        <w:br/>
        <w:t xml:space="preserve">        acuerdo de solución amistosa, en los  términos  dispuestos  en  los</w:t>
        <w:br/>
        <w:t xml:space="preserve">        párrafos 85 a 90 y 118 de la presente Sentencia.</w:t>
        <w:br/>
        <w:br/>
        <w:t xml:space="preserve">     3. El Estado debe adoptar, dentro de los plazos acordados, las medidas</w:t>
        <w:br/>
        <w:t xml:space="preserve">        legislativas, administrativas y de cualquier otra índole necesarias</w:t>
        <w:br/>
        <w:t xml:space="preserve">        para  mejorar  sustancialmente  las  condiciones  de  los   centros</w:t>
        <w:br/>
        <w:t xml:space="preserve">        penitenciarios  señalados  en  el  párrafo  95  de  la   Sentencia,</w:t>
        <w:br/>
        <w:t xml:space="preserve">        adecuándolas a los estándares internacionales, a  fin  de  prevenir</w:t>
        <w:br/>
        <w:t xml:space="preserve">        principalmente incendios y otras  situaciones  críticas,  así  como</w:t>
        <w:br/>
        <w:t xml:space="preserve">        evitar la sobrepoblación y el hacinamiento, en los términos de  los</w:t>
        <w:br/>
        <w:t xml:space="preserve">        párrafos 95 y 96 del presente Fallo.</w:t>
        <w:br/>
        <w:br/>
        <w:t xml:space="preserve">     4.  El  Estado  deberá  implementar  medidas  de  carácter   inmediato</w:t>
        <w:br/>
        <w:t xml:space="preserve">        tendientes a garantizar los derechos fundamentales de los reclusos,</w:t>
        <w:br/>
        <w:t xml:space="preserve">        así como medidas de prevención  de  siniestros  en  los  diferentes</w:t>
        <w:br/>
        <w:t xml:space="preserve">        centros señalados en el acuerdo. En el plazo de seis meses contados</w:t>
        <w:br/>
        <w:t xml:space="preserve">        a partir de  la  notificación  de  la  presente  sentencia,  deberá</w:t>
        <w:br/>
        <w:t xml:space="preserve">        remitir un  informe  sobre  las  medidas  urgentes  adoptadas  para</w:t>
        <w:br/>
        <w:t xml:space="preserve">        garantizar los derechos fundamentales de  los  reclusos,  así  como</w:t>
        <w:br/>
        <w:t xml:space="preserve">        medidas de prevención  de  siniestros  en  los  diferentes  centros</w:t>
        <w:br/>
        <w:t xml:space="preserve">        señalados en el acuerdo de solución amistosa, en los  términos  del</w:t>
        <w:br/>
        <w:t xml:space="preserve">        párrafo 97 de la Sentencia.</w:t>
        <w:br/>
        <w:br/>
        <w:t xml:space="preserve">     5.  El  Estado,  dentro  de  un  año,  deberá  adoptar   las   medidas</w:t>
        <w:br/>
        <w:t xml:space="preserve">        legislativas dispuestas en  el  acuerdo  de  solución  amistosa,  y</w:t>
        <w:br/>
        <w:t xml:space="preserve">        homologadas por la Corte en la Sentencia, en los  términos  de  los</w:t>
        <w:br/>
        <w:t xml:space="preserve">        párrafos 100 a 112 de la misma.</w:t>
        <w:br/>
        <w:br/>
        <w:t xml:space="preserve">     6. El Estado debe implementar programas de  capacitación  al  personal</w:t>
        <w:br/>
        <w:t xml:space="preserve">        civil y policial de los centros penales, y planes de  emergencia  y</w:t>
        <w:br/>
        <w:t xml:space="preserve">        evacuación en  caso  de  incendios  u  otras  catástrofes,  en  los</w:t>
        <w:br/>
        <w:t xml:space="preserve">        términos de los párrafos 113 y 114 de esta Sentencia.</w:t>
        <w:br/>
        <w:br/>
        <w:t xml:space="preserve">     7. El  Estado  debe  brindar  atención  médica  y  psicológica  a  los</w:t>
        <w:br/>
        <w:t xml:space="preserve">        familiares de las víctimas que así lo soliciten, en los términos de</w:t>
        <w:br/>
        <w:t xml:space="preserve">        los párrafos 115 a 118 del Fallo.</w:t>
        <w:br/>
        <w:br/>
        <w:t xml:space="preserve">     8. El Estado debe realizar las publicaciones indicadas en  el  párrafo</w:t>
        <w:br/>
        <w:t xml:space="preserve">        120 de la presente Sentencia, en el plazo de seis meses  contado  a</w:t>
        <w:br/>
        <w:t xml:space="preserve">        partir de la notificación de la misma.</w:t>
        <w:br/>
        <w:br/>
        <w:t xml:space="preserve">     9. El Estado debe  realizar  un  acto  público  de  reconocimiento  de</w:t>
        <w:br/>
        <w:t xml:space="preserve">        responsabilidad internacional, de conformidad con lo establecido en</w:t>
        <w:br/>
        <w:t xml:space="preserve">        los párrafos 121 y 122 de la presente Sentencia.</w:t>
        <w:br/>
        <w:br/>
        <w:t xml:space="preserve">    10. El Estado debe investigar los hechos del presente  caso  a  fin  de</w:t>
        <w:br/>
        <w:t xml:space="preserve">        esclarecerlos,  determinar  la  verdad   y   las   correspondientes</w:t>
        <w:br/>
        <w:t xml:space="preserve">        responsabilidades penales, administrativas  y/o  disciplinarias,  y</w:t>
        <w:br/>
        <w:t xml:space="preserve">        aplicar efectivamente las sanciones  y  consecuencias  que  la  ley</w:t>
        <w:br/>
        <w:t xml:space="preserve">        prevea, en los términos de los párrafos  124  a  130  del  presente</w:t>
        <w:br/>
        <w:t xml:space="preserve">        Fallo.</w:t>
        <w:br/>
        <w:br/>
        <w:t xml:space="preserve">    11. El Estado debe pagar las cantidades establecidas en el acuerdo, por</w:t>
        <w:br/>
        <w:t xml:space="preserve">        concepto de indemnización por daño material e inmaterial y  por  el</w:t>
        <w:br/>
        <w:t xml:space="preserve">        reintegro de costas y gastos, según corresponda, en los términos de</w:t>
        <w:br/>
        <w:t xml:space="preserve">        los párrafos 131 a 142 del Fallo, dentro del  plazo  de  tres  años</w:t>
        <w:br/>
        <w:t xml:space="preserve">        contado a partir de la notificación de la misma.</w:t>
        <w:br/>
        <w:br/>
        <w:t xml:space="preserve">    12. El Estado debe rendir al Tribunal  un  informe  sobre  las  medidas</w:t>
        <w:br/>
        <w:t xml:space="preserve">        adoptadas para cumplir con cada uno  de  los  puntos  de  la  misma</w:t>
        <w:br/>
        <w:t xml:space="preserve">        dentro del plazo de 13 meses contado a partir de la notificación de</w:t>
        <w:br/>
        <w:t xml:space="preserve">        esta Sentencia.  Asimismo  deberá  informar,  sobre  las  gestiones</w:t>
        <w:br/>
        <w:t xml:space="preserve">        realizadas para la conformación del fideicomiso y la ejecución  del</w:t>
        <w:br/>
        <w:t xml:space="preserve">        pago de las indemnizaciones por daño material e inmaterial descrito</w:t>
        <w:br/>
        <w:t xml:space="preserve">        en el acuerdo, en los términos del párrafo 137 de la Sentencia.</w:t>
        <w:br/>
        <w:br/>
        <w:t xml:space="preserve">    13.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t>El Juez Eduardo Vio Grossi hizo conocer a la Corte su  Voto  Individual,  el</w:t>
        <w:br/>
        <w:t>cual acompaña esta Sentencia.</w:t>
        <w:br/>
        <w:br/>
        <w:br/>
        <w:br/>
        <w:br/>
        <w:br/>
        <w:br/>
        <w:t>Redactada en  español  e  inglés,  haciendo  fe  el  texto  en  español,  en</w:t>
        <w:br/>
        <w:t>Guayaquil, Ecuador, el 27 de abril de 2012.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  Leonardo   A.</w:t>
        <w:br/>
        <w:t>Franco</w:t>
        <w:br/>
        <w:br/>
        <w:br/>
        <w:br/>
        <w:br/>
        <w:t>Margarette  May  Macaulay                                     Rhadys   Abreu</w:t>
        <w:br/>
        <w:t>Blondet</w:t>
        <w:br/>
        <w:br/>
        <w:br/>
        <w:br/>
        <w:br/>
        <w:t xml:space="preserve">                  Alberto Pérez Pérez    Eduardo Vio Grossi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t xml:space="preserve">                               VOTO INDIVIDUAL</w:t>
        <w:br/>
        <w:t xml:space="preserve">                         DEL JUEZ EDUARDO VIO GROSSI</w:t>
        <w:br/>
        <w:t xml:space="preserve">                  CASO PACHECO TERUEL Y OTROS VS. HONDURAS</w:t>
        <w:br/>
        <w:t xml:space="preserve">                      SENTENCIA DE 27 DE ABRIL DE 2012</w:t>
        <w:br/>
        <w:t xml:space="preserve">                       (Fondo, Reparaciones y Costas)</w:t>
        <w:br/>
        <w:t xml:space="preserve">               DE LA CORTE INTERAMERICANA DE DERECHOS HUMANOS</w:t>
        <w:br/>
        <w:br/>
        <w:br/>
        <w:t>Introducción</w:t>
        <w:br/>
        <w:br/>
        <w:t>Emito el presente voto individual[132] con relación a la  Sentencia  dictada</w:t>
        <w:br/>
        <w:t>en autos por la  Corte  Interamericana  de  Derechos  Humanos,  en  adelante</w:t>
        <w:br/>
        <w:t>aquella la Sentencia y ésta  la  Corte,  a  los  efectos  de  dejar  expresa</w:t>
        <w:br/>
        <w:t>constancia de que, si bien la comparto y, en particular, la  homologación  o</w:t>
        <w:br/>
        <w:t>aprobación que hace del Acuerdo  de  Solución  Amistosa  alcanzado  por  las</w:t>
        <w:br/>
        <w:t>Partes con fecha 28 de febrero de 2012, en adelante el Acuerdo (párrs. 19  y</w:t>
        <w:br/>
        <w:t>21), no concuerdo, empero, con lo que expresa en  cuanto  a  que   “(e)n  el</w:t>
        <w:br/>
        <w:t>numeral d), acápite “6. Mecanismos y Procedimientos” del acuerdo de  (aquél)</w:t>
        <w:br/>
        <w:t>… las partes solicitaron a la Corte mantener en reserva las cuantías  de  la</w:t>
        <w:br/>
        <w:t>indemnización compensatoria, gastos y costas establecidas en el punto  cinco</w:t>
        <w:br/>
        <w:t>del acuerdo, por razones de seguridad  …  ”  y  que  “(e)n  razón  de  dicha</w:t>
        <w:br/>
        <w:t>solicitud, y tomando en cuenta la  razón  indicada,  este  Tribunal  omitirá</w:t>
        <w:br/>
        <w:t>transcribir esos montos en el presente Fallo.” (párr.131)</w:t>
        <w:br/>
        <w:br/>
        <w:t>Las razones de mi discrepancia al respecto consideran, por una  parte,  que</w:t>
        <w:br/>
        <w:t>no obstante que las Partes presentaron el Acuerdo en audiencia  del  28  de</w:t>
        <w:br/>
        <w:t>febrero de 2012 (párr. 14), la Sentencia no lo incluye como anexo y solo lo</w:t>
        <w:br/>
        <w:t>describe, omitiendo los referidos montos (párr.17), y por la otra, que, sin</w:t>
        <w:br/>
        <w:t>embargo, indica que “(l)a Corte observa que en los términos del acuerdo  se</w:t>
        <w:br/>
        <w:t>determinaron cantidades globales sin haber establecido  montos  específicos</w:t>
        <w:br/>
        <w:t>para cada víctima ni su forma de distribución” y  que  “(e)n  razón  de  lo</w:t>
        <w:br/>
        <w:t>anterior,  tomando en consideración la voluntad de las partes para alcanzar</w:t>
        <w:br/>
        <w:t>dicho acuerdo y el mecanismo  de  implementación  del  mismo,  el  Tribunal</w:t>
        <w:br/>
        <w:t>estima que los montos acordados tanto por  daño  material  e  inmaterial  y</w:t>
        <w:br/>
        <w:t>costas y gastos,  sean  debidamente  determinados  por  el  fideicomiso  de</w:t>
        <w:br/>
        <w:t>oportunidades  y  compensación  y  distribuidos  a  las  víctimas,   partes</w:t>
        <w:br/>
        <w:t>lesionadas del presente caso (supra párr. 132), así como a  los  familiares</w:t>
        <w:br/>
        <w:t>directos de  los  89  internos  fallecidos  que  acrediten  su  calidad  de</w:t>
        <w:br/>
        <w:t>beneficiarios del presente caso”, concluyendo en su punto 11 resolutivo que</w:t>
        <w:br/>
        <w:t>“el Estado (de Honduras, en adelante el Estado) debe pagar  las  cantidades</w:t>
        <w:br/>
        <w:t>establecidas en el acuerdo, por concepto de indemnización por daño material</w:t>
        <w:br/>
        <w:t>e inmaterial y por el reintegro de costas y gastos, según  corresponda,  en</w:t>
        <w:br/>
        <w:t>los términos de los párrafos 131 a 142 de la misma.”</w:t>
        <w:br/>
        <w:br/>
        <w:t>Teniendo presente  lo  anterior,  mi  desavenencia  con  la  Sentencia  dice</w:t>
        <w:br/>
        <w:t>relación con el sentido y alcance de las normas referidas a los Acuerdos  de</w:t>
        <w:br/>
        <w:t>Solución Amistosa y a las Sentencias de la Corte, a la  inclusión  en  éstas</w:t>
        <w:br/>
        <w:t>de las  reparaciones  e  indemnizaciones  pertinentes,  a  la  ejecución  de</w:t>
        <w:br/>
        <w:t>aquellas, al principio de  transparencia  que  las  deben  inspirar,  a  los</w:t>
        <w:br/>
        <w:t>derechos de la parte lesionada  y  de  terceros  reconocidos  por  ellas  y,</w:t>
        <w:br/>
        <w:t>finalmente,  a  las  razones  de  seguridad  invocadas  en  este  caso  para</w:t>
        <w:br/>
        <w:t>solicitar  y  decretar  la  reserva  de  la  cuantía  de  la   indemnización</w:t>
        <w:br/>
        <w:t>compensatoria, gastos y costas.</w:t>
        <w:br/>
        <w:br/>
        <w:t>I.- El Acuerdo de Solución Amistosa y las Sentencias de la Corte</w:t>
        <w:br/>
        <w:br/>
        <w:t>A.- El Acuerdo de Solución Amistosa</w:t>
        <w:br/>
        <w:br/>
        <w:t>El artículo 63 del Reglamento de la Corte[133], en adelante  el  Reglamento,</w:t>
        <w:br/>
        <w:t>alude al Acuerdo de Solución Amistosa en los siguientes términos:</w:t>
        <w:br/>
        <w:br/>
        <w:t xml:space="preserve">    “Cuando  la  Comisión,  las  víctimas  o  presuntas  víctimas   o   sus</w:t>
        <w:br/>
        <w:t xml:space="preserve">    representantes,  el  Estado  demandando  y,  en  su  caso,  el   Estado</w:t>
        <w:br/>
        <w:t xml:space="preserve">    demandante, en un caso ante la Corte comunicaren a ésta  la  existencia</w:t>
        <w:br/>
        <w:t xml:space="preserve">    de una solución amistosa, de un avenimiento o de otro hecho idóneo para</w:t>
        <w:br/>
        <w:t xml:space="preserve">    la solución del litigio, la Corte  resolverá  en  el  momento  procesal</w:t>
        <w:br/>
        <w:t xml:space="preserve">    oportuno sobre su procedencia y sus efectos jurídicos.”</w:t>
        <w:br/>
        <w:br/>
        <w:t>De la recién transcrita norma reglamentaria se desprende que el  Acuerdo  de</w:t>
        <w:br/>
        <w:t>Solución Amistosa no pone término al juicio, sino que puede  constituir  tan</w:t>
        <w:br/>
        <w:t>solo un aporte para la solución del mismo. Tampoco obliga a la  Corte,  toda</w:t>
        <w:br/>
        <w:t>vez que a ella la corresponde resolver sobre su procedencia  y  sus  efectos</w:t>
        <w:br/>
        <w:t>jurídicos.   Esto   es,   puede   aprobarlo,   rechazarlo,   enmendarlo    o</w:t>
        <w:br/>
        <w:t>complementarlo.  Y, además, eso lo puede hacer cuando lo estime oportuno  y,</w:t>
        <w:br/>
        <w:t>en todo caso, antes de dictar sentencia o en ésta.</w:t>
        <w:br/>
        <w:br/>
        <w:t>Sobre el particular, téngase en cuenta, primeramente,  que  el  artículo  64</w:t>
        <w:br/>
        <w:t>del Reglamento añade que:</w:t>
        <w:br/>
        <w:br/>
        <w:t xml:space="preserve">    “La Corte, teniendo en cuenta las responsabilidades que le incumben  de</w:t>
        <w:br/>
        <w:t xml:space="preserve">    proteger los derechos humanos, podrá decidir que prosiga el examen  del</w:t>
        <w:br/>
        <w:t xml:space="preserve">    caso, aun en presencia de los  supuestos  señalados  en  los  artículos</w:t>
        <w:br/>
        <w:t xml:space="preserve">    precedentes.”</w:t>
        <w:br/>
        <w:br/>
        <w:br/>
        <w:t>En segundo lugar, considérese  que  a  ambas  disposiciones  reglamentarias</w:t>
        <w:br/>
        <w:t>transcritas siguen precisamente a las referentes a  las  Sentencias  de  la</w:t>
        <w:br/>
        <w:t>Corte (Capítulo VII, De las Sentencias, arts. 65 a 69 del Reglamento),  sin</w:t>
        <w:br/>
        <w:t>que se haya dispuesto que el  Acuerdo  de  Solución  Amistosa  sustituya  a</w:t>
        <w:br/>
        <w:t>éstas.</w:t>
        <w:br/>
        <w:br/>
        <w:br/>
        <w:t>Y es justamente por ello que en el Acuerdo bien se indica que se solicitará</w:t>
        <w:br/>
        <w:t>su homologación a la Corte “al  emitir  su  sentencia  que  ponga  fin  del</w:t>
        <w:br/>
        <w:t>presente  juicio”  (párr.  17)  y  que  es  ello  lo  que  justamente  hace</w:t>
        <w:br/>
        <w:t>complementándolo acorde a la justificación que invoca para ello (párrs.  22</w:t>
        <w:br/>
        <w:t>y 78).</w:t>
        <w:br/>
        <w:br/>
        <w:t>B.- La Sentencia de la Corte</w:t>
        <w:br/>
        <w:br/>
        <w:t>Por su parte, el artículo  63.1  de  la  Convención  Americana  de  Derechos</w:t>
        <w:br/>
        <w:t>Humanos[134] en adelante la Convención, se refiere a las  Sentencias  de  la</w:t>
        <w:br/>
        <w:t>Corte en los términos que siguen:</w:t>
        <w:br/>
        <w:br/>
        <w:t xml:space="preserve">    “Cuando decida que hubo violación de un derecho o  libertad  protegidos</w:t>
        <w:br/>
        <w:t xml:space="preserve">    en esta Convención, la Corte dispondrá que se garantice al lesionado en</w:t>
        <w:br/>
        <w:t xml:space="preserve">    el goce de su derecho o libertad conculcados.  Dispondrá  asimismo,  si</w:t>
        <w:br/>
        <w:t xml:space="preserve">    ello fuera procedente, que se reparen las consecuencias de la medida  o</w:t>
        <w:br/>
        <w:t xml:space="preserve">    situación que ha configurado la vulneración de esos derechos y el  pago</w:t>
        <w:br/>
        <w:t xml:space="preserve">    de una justa indemnización a la parte lesionada”.</w:t>
        <w:br/>
        <w:br/>
        <w:t>Obviamente, la reproducida norma, por tratarse de  una  norma  convencional,</w:t>
        <w:br/>
        <w:t>es de superior jerarquía que las normas estatutaria y reglamentaria, por  lo</w:t>
        <w:br/>
        <w:t>que estas últimas deben concordarse con ella.</w:t>
        <w:br/>
        <w:br/>
        <w:t>De allí se colige, entonces, que  al  homologarse  un  Acuerdo  de  Solución</w:t>
        <w:br/>
        <w:t>Amistosa, como  aconteció  en  el  presente  asunto,  su  contenido  pasa  a</w:t>
        <w:br/>
        <w:t>integrar  la  pertinente  Sentencia  de  la  Corte,  que  es  “definitiva  e</w:t>
        <w:br/>
        <w:t>inapelable” según el artículo  67  de  la  Convención,  dejando  de  ser  un</w:t>
        <w:br/>
        <w:t>instrumento concordado por las Partes en litigio para pasar a ser  un  fallo</w:t>
        <w:br/>
        <w:t>emitido por aquella.</w:t>
        <w:br/>
        <w:br/>
        <w:t>C.- Las reparaciones e indemnizaciones</w:t>
        <w:br/>
        <w:br/>
        <w:t>Ahora bien, toda Sentencia de la Corte debe contener, entre otras  materias,</w:t>
        <w:br/>
        <w:t>conforme a lo señalado en las letras g y h del artículo 65 del Reglamento,</w:t>
        <w:br/>
        <w:br/>
        <w:t xml:space="preserve">    “la decisión sobre el caso”, y</w:t>
        <w:br/>
        <w:t xml:space="preserve">    “el pronunciamiento sobre las reparaciones y costas, si procede”.</w:t>
        <w:br/>
        <w:br/>
        <w:br/>
        <w:t>Cabe recordar que, de acuerdo al artículo 66.1 del Reglamento,</w:t>
        <w:br/>
        <w:br/>
        <w:t xml:space="preserve">    “cuando en la sentencia de fondo no se hubiere decidido específicamente</w:t>
        <w:br/>
        <w:t xml:space="preserve">    sobre reparaciones y costas, la Corte fijará  la  oportunidad  para  su</w:t>
        <w:br/>
        <w:t xml:space="preserve">    posterior decisión y determinará el procedimiento”.</w:t>
        <w:br/>
        <w:br/>
        <w:t>Lo anterior importa, en consecuencia, que la  correspondiente  Sentencia  de</w:t>
        <w:br/>
        <w:t>la Corte que homologue un Acuerdo de Solución Amistosa debe indicar,  en  lo</w:t>
        <w:br/>
        <w:t>que aquí interesa, por una parte, si lo  aprueba,  rechaza,  enmienda  o  lo</w:t>
        <w:br/>
        <w:t>complementa y por la otra, las reparaciones y costas, aunque  estas  últimas</w:t>
        <w:br/>
        <w:t>también la Corte lo puede hacer en una Sentencia de Reparaciones y Costas.</w:t>
        <w:br/>
        <w:br/>
        <w:t>De lo señalado se concluye que no existe,  en  consecuencia,  norma  alguna,</w:t>
        <w:br/>
        <w:t>sea convencional, estatutaria o reglamentaria,  que  exima  a  la  Corte  de</w:t>
        <w:br/>
        <w:t>determinar en su sentencia, sea de  Fondo  sea  de  Reparaciones  y  Costas,</w:t>
        <w:br/>
        <w:t>incluyendo a aquellas que homologan una Solución Amistosa alcanzada por  las</w:t>
        <w:br/>
        <w:t>Partes, las reparaciones e indemnizaciones correspondientes.</w:t>
        <w:br/>
        <w:br/>
        <w:t>II.- Ejecución del fallo</w:t>
        <w:br/>
        <w:br/>
        <w:t>A.- Reserva o secreto del monto de las indemnizaciones compensatorias</w:t>
        <w:br/>
        <w:br/>
        <w:t>Más, al mismo tiempo es menester  agregar  que  tampoco  existe  una  norma,</w:t>
        <w:br/>
        <w:t>convencional, estatutaria o reglamentaria que autorice a la  Corte  a  dejar</w:t>
        <w:br/>
        <w:t>en reserva o secreto la cuantía de las reparaciones  e  indemnizaciones  que</w:t>
        <w:br/>
        <w:t>decrete en sus sentencias.</w:t>
        <w:br/>
        <w:br/>
        <w:t>Y que, muy por el contrario, hay una  norma  convencional  que  se  sustenta</w:t>
        <w:br/>
        <w:t>precisamente en la publicidad de esa  cuantía  o  monto.  Efectivamente,  el</w:t>
        <w:br/>
        <w:t>artículo 68.2 de la Convención, establece:</w:t>
        <w:br/>
        <w:br/>
        <w:t xml:space="preserve">    “La parte del fallo que disponga indemnización compensatoria  se  podrá</w:t>
        <w:br/>
        <w:t xml:space="preserve">    ejecutar en el respectivo país por  el  procedimiento  interno  vigente</w:t>
        <w:br/>
        <w:t xml:space="preserve">    para la ejecución de sentencias contra el Estado.”</w:t>
        <w:br/>
        <w:br/>
        <w:br/>
        <w:t>De acuerdo a esta norma convencional, la ejecución en el ámbito  interno  de</w:t>
        <w:br/>
        <w:t>una sentencia internacional necesariamente conlleva el conocimiento de  todo</w:t>
        <w:br/>
        <w:t>lo que ella ordena. De otra manera, su plena y completa ejecución  se  haría</w:t>
        <w:br/>
        <w:t>imposible. La interrogante que sobre el particular surge es, por ende,  cómo</w:t>
        <w:br/>
        <w:t>se podría ejecutar en el ámbito interno o nacional  del  Estado  concernido,</w:t>
        <w:br/>
        <w:t>la sentencia internacional, en lo que a indemnizaciones se  refiere,  si  en</w:t>
        <w:br/>
        <w:t>ella no consta el monto de las mismas.</w:t>
        <w:br/>
        <w:br/>
        <w:t>En atención  a  que  la  Sentencia  ordena  que“el  Estado  debe  pagar  las</w:t>
        <w:br/>
        <w:t>cantidades establecidas en el acuerdo, por  concepto  de  indemnización  por</w:t>
        <w:br/>
        <w:t>daño material e inmaterial y por el reintegro  de  costas  y  gastos,  según</w:t>
        <w:br/>
        <w:t>corresponda, en los términos  de  los  párrafos  131  a  142  de  la  misma”</w:t>
        <w:br/>
        <w:t>(Resolutivo 11), lógico es concluir que, para cumplir  esta  obligación,  el</w:t>
        <w:br/>
        <w:t>Estado se verá en la necesidad de dar a conocer tales cantidades,  al  menos</w:t>
        <w:br/>
        <w:t>a sus órganos que deban intervenir en dicho pago, por lo  que  no  se  vería</w:t>
        <w:br/>
        <w:t>razón para que ellas no constaran en aquella.</w:t>
        <w:br/>
        <w:br/>
        <w:t>B.- Principio de la transparencia</w:t>
        <w:br/>
        <w:br/>
        <w:t>Igualmente,  se  debe  asimismo  considerar  al  respecto  el  principio  de</w:t>
        <w:br/>
        <w:t>transparencia que inspira a los fallos de  la  Corte.  Él  se  consagra,  en</w:t>
        <w:br/>
        <w:t>primer lugar en el artículo 69 de la Convención que establece:</w:t>
        <w:br/>
        <w:br/>
        <w:br/>
        <w:t xml:space="preserve">    “El fallo de la Corte será  notificado  a  las  partes  en  el  caso  y</w:t>
        <w:br/>
        <w:t xml:space="preserve">    transmitido a los Estados partes en la Convención”.</w:t>
        <w:br/>
        <w:br/>
        <w:t xml:space="preserve"> A su vez, el artículo 24.3 del Estatuto de la Corte dispone:</w:t>
        <w:br/>
        <w:br/>
        <w:t xml:space="preserve">    “Las decisiones, juicios y opiniones de  la  Corte  se  comunicarán  en</w:t>
        <w:br/>
        <w:t xml:space="preserve">    sesiones públicas y se notificarán por escrito  a  las  partes”  y  que</w:t>
        <w:br/>
        <w:t xml:space="preserve">    “además,  se  publicarán  conjuntamente  con  los  votos  y   opiniones</w:t>
        <w:br/>
        <w:t xml:space="preserve">    separados de los jueces y con cualesquiera otros datos  o  antecedentes</w:t>
        <w:br/>
        <w:t xml:space="preserve">    que la Corte considere conveniente”.</w:t>
        <w:br/>
        <w:br/>
        <w:t>Por su  lado,  el  Reglamento  contempla,  en  su  Artículo  32,  denominado</w:t>
        <w:br/>
        <w:t>“Publicación de las sentencias y de otras decisiones”, que:</w:t>
        <w:br/>
        <w:br/>
        <w:t xml:space="preserve">    “1. La Corte hará público:</w:t>
        <w:br/>
        <w:t xml:space="preserve">    a.  sus  sentencias,  resoluciones,  opiniones  y   otras   decisiones,</w:t>
        <w:br/>
        <w:t xml:space="preserve">    incluyendo los votos concurrentes  o  disidentes,  cuando  cumplan  los</w:t>
        <w:br/>
        <w:t xml:space="preserve">    requisitos señalados en el artículo 65.2 del presente Reglamento;</w:t>
        <w:br/>
        <w:t xml:space="preserve">    b. las  piezas  del  expediente,  excepto  las  que  sean  consideradas</w:t>
        <w:br/>
        <w:t xml:space="preserve">    irrelevantes o inconvenientes para este fin;</w:t>
        <w:br/>
        <w:t xml:space="preserve">    c. el desarrollo de las audiencias, salvo las de  carácter  privado,  a</w:t>
        <w:br/>
        <w:t xml:space="preserve">    través de los medios que se considere adecuados;</w:t>
        <w:br/>
        <w:t xml:space="preserve">    d. todo documento que se considere conveniente.</w:t>
        <w:br/>
        <w:t xml:space="preserve">    2. Las sentencias se publicarán en los idiomas de trabajo del caso; los</w:t>
        <w:br/>
        <w:t xml:space="preserve">    demás documentos se publicarán en su lengua original, y</w:t>
        <w:br/>
        <w:t xml:space="preserve">    3.  Los  documentos  depositados  en  la  Secretaría   de   la   Corte,</w:t>
        <w:br/>
        <w:t xml:space="preserve">    concernientes a casos ya sentenciados,  serán  accesibles  al  público,</w:t>
        <w:br/>
        <w:t xml:space="preserve">    salvo que la Corte haya resuelto otra cosa.”</w:t>
        <w:br/>
        <w:br/>
        <w:br/>
        <w:t>A su vez, el artículo 67.6 del Reglamento indica:</w:t>
        <w:br/>
        <w:br/>
        <w:br/>
        <w:t xml:space="preserve">    “Los originales de las sentencias quedarán depositados en los  archivos</w:t>
        <w:br/>
        <w:t xml:space="preserve">    de la Corte. El Secretario expedirá copias certificadas a  los  Estados</w:t>
        <w:br/>
        <w:t xml:space="preserve">    partes, a la Comisión, a las  víctimas  o  presuntas  víctimas,  o  sus</w:t>
        <w:br/>
        <w:t xml:space="preserve">    representantes,  al  Estado  demandado  y,  en  su  caso,   al   Estado</w:t>
        <w:br/>
        <w:t xml:space="preserve">    demandante, al Consejo  Permanente  a  través  de  su  Presidencia,  al</w:t>
        <w:br/>
        <w:t xml:space="preserve">    Secretario General de la OEA, y a toda otra persona interesada  que  lo</w:t>
        <w:br/>
        <w:t xml:space="preserve">    solicite”.</w:t>
        <w:br/>
        <w:br/>
        <w:br/>
        <w:t>Las referidas normas disponen, entonces, la publicidad y publicación de  las</w:t>
        <w:br/>
        <w:t>decisiones, incluidas las sentencias de la Corte.  Asimismo,  prescriben  la</w:t>
        <w:br/>
        <w:t>notificación o la comunicación de éstas no solo a  las  Partes  del  litigio</w:t>
        <w:br/>
        <w:t>pertinente  sino  también  a  los  Estados  Partes  de  la  Convención.   Y,</w:t>
        <w:br/>
        <w:t>finalmente, que no solo aquellas y  éstos  pueden  solicitar  copia  de  las</w:t>
        <w:br/>
        <w:t>mismas  sino  también  los  órganos  de  la  Organización  de  los   Estados</w:t>
        <w:br/>
        <w:t>Americanos e incluso cualquier persona que lo solicite.</w:t>
        <w:br/>
        <w:br/>
        <w:t>Todas las personas antes señaladas, naturales o jurídicas,  tienen  derecho,</w:t>
        <w:br/>
        <w:t>pues, a conocer la integridad o totalidad de las sentencias,  máxime  cuando</w:t>
        <w:br/>
        <w:t>las disposiciones que las rigen nada señalan acerca de  la  facultad  de  la</w:t>
        <w:br/>
        <w:t>Corte para disponer la reserva o secreto de  parte  de  ellas.  El  artículo</w:t>
        <w:br/>
        <w:t>32.1.b del Reglamento únicamente la autoriza a no hacer público las  “piezas</w:t>
        <w:br/>
        <w:t>del expediente” que considere “irrelevantes” o “inconvenientes” y, sin  duda</w:t>
        <w:br/>
        <w:t>alguna, el monto o cuantía de las indemnizaciones no pueden  ser  estimadas,</w:t>
        <w:br/>
        <w:t>per se,  en tales categorías, como, en cambio, parece hacerlo la Sentencia.</w:t>
        <w:br/>
        <w:br/>
        <w:t>C.- Derecho de la Parte Lesionada</w:t>
        <w:br/>
        <w:br/>
        <w:t>Pero, adicionalmente,  es  preciso  no  omitir,  en  relación  a  lo  recién</w:t>
        <w:br/>
        <w:t>indicado,  que  la  cuestión  de  que  se  trata  implica  especialmente  al</w:t>
        <w:br/>
        <w:t>ejercicio del derecho de “la parte lesionada” con la violación  de  derechos</w:t>
        <w:br/>
        <w:t>humanos de reclamar del Estado pertinente, al amparo  de  la  segunda  frase</w:t>
        <w:br/>
        <w:t>del artículo 63 de la Convención, la reparación de “las consecuencias de  la</w:t>
        <w:br/>
        <w:t>medida o situación que ha configurado la vulneración de esos derechos  y  el</w:t>
        <w:br/>
        <w:t>pago de una justa indemnización” dispuesta en la pertinente Sentencia.  Vale</w:t>
        <w:br/>
        <w:t>decir,  la  interrogante  es  asimismo  cómo  “la  parte  lesionada”  podría</w:t>
        <w:br/>
        <w:t>reclamar, en el orden interno, la “justa  indemnización”  dispuesta  en  una</w:t>
        <w:br/>
        <w:t>sentencia internacional  si  en  ésta  no  consta  la  cuantía  de  aquella,</w:t>
        <w:br/>
        <w:t>circunstancia que, evidentemente dificultaría, además, la apreciación de  si</w:t>
        <w:br/>
        <w:t>esta última es o no justa. Es esto precisamente lo que  acontecería  con  la</w:t>
        <w:br/>
        <w:t>Sentencia.</w:t>
        <w:br/>
        <w:br/>
        <w:t>D.- Derecho de Terceros</w:t>
        <w:br/>
        <w:br/>
        <w:t>Lo anterior adquiere connotación más relevante aún cuando  se  trata  de  un</w:t>
        <w:br/>
        <w:t>derecho de terceros que no fueron partes en el juicio. Es lo que se  plantea</w:t>
        <w:br/>
        <w:t>en la Sentencia cuando dispone que el Estado debe  establecer  un  mecanismo</w:t>
        <w:br/>
        <w:t>idóneo de acreditación ante su Defensoría  del  Pueblo,  de  los  familiares</w:t>
        <w:br/>
        <w:t>directos de las 89 víctimas fallecidas no identificados  en  el  Informe  de</w:t>
        <w:br/>
        <w:t>Fondo de la Comisión Interamericana de Derechos Humanos que ha  dado  origen</w:t>
        <w:br/>
        <w:t>a esta causa y, además, publicitar en diversos medios  de  comunicación  que</w:t>
        <w:br/>
        <w:t>se está procurando identificar a dichos familiares, todo ello a los  efectos</w:t>
        <w:br/>
        <w:t>de que puedan ser “reparados en calidad  de  beneficiarios  de  las  medidas</w:t>
        <w:br/>
        <w:t>dispuestas en el acuerdo de solución amistosa.” (párrs. 85 a 90).</w:t>
        <w:br/>
        <w:br/>
        <w:t>Es decir, el asunto que surge con relación a lo resuelto en  autos  es  cómo</w:t>
        <w:br/>
        <w:t>podrían los indicados familiares, terceros ajenos que no participaron en  el</w:t>
        <w:br/>
        <w:t>juicio ante la Corte y cuyo número e identidades se  desconoce,   determinar</w:t>
        <w:br/>
        <w:t>si les resulta o no conveniente acreditarse como  tales  a  los  efectos  de</w:t>
        <w:br/>
        <w:t>ejercer su derecho, reconocido en el fallo de autos, de  ser  reparados,  si</w:t>
        <w:br/>
        <w:t>desconocen el monto de las indemnizaciones  decretadas  en  el  mismo  o  no</w:t>
        <w:br/>
        <w:t>pueden tener acceso a esa información.</w:t>
        <w:br/>
        <w:br/>
        <w:t>E.- Razones de seguridad</w:t>
        <w:br/>
        <w:br/>
        <w:t>Finalmente, habría que tener en cuenta que las “razones  de  seguridad”  que</w:t>
        <w:br/>
        <w:t>se invocaron en el Acuerdo para justificar la reserva  solicitada,  no  solo</w:t>
        <w:br/>
        <w:t>no  se  explicaron  ni  constan  en  autos,  sino  que  ellas,  de  existir,</w:t>
        <w:br/>
        <w:t>probablemente  tendrían  vinculación  con  las  eventuales  controversias  o</w:t>
        <w:br/>
        <w:t>disputas  fácticas  que  podrían  generarse  entre  los  familiares  de  las</w:t>
        <w:br/>
        <w:t>víctimas en este caso por las expectativas referidas a la  cuantía  o  monto</w:t>
        <w:br/>
        <w:t>de las indemnizaciones. Por lo tanto, tal  vez  podría  sostenerse  que  las</w:t>
        <w:br/>
        <w:t>“razones de seguridad” invocadas pero no explicitadas en el  Acuerdo  ni  en</w:t>
        <w:br/>
        <w:t>la Sentencia, dirían relación en este caso  más  bien,  por  lo  tanto,  con</w:t>
        <w:br/>
        <w:t>crear las condiciones  necesarias  para  que  aquél  pudiese  llegar  a  ser</w:t>
        <w:br/>
        <w:t>homologado por ésta y  que,  por  ende,  una  vez  logrado  ello,  no  sería</w:t>
        <w:br/>
        <w:t>necesario la reserva solicitada en atención a aquellas.</w:t>
        <w:br/>
        <w:br/>
        <w:t>Habría que añadir que el precedente  que  se  sienta  al  decretarse  en  la</w:t>
        <w:br/>
        <w:t>Sentencia la reserva en comento en virtud de “razones de seguridad”  que  no</w:t>
        <w:br/>
        <w:t>se explicitan ni se dan  a  conocer,  podría  no  ser  beneficioso  para  la</w:t>
        <w:br/>
        <w:t>Administración de Justicia por parte de la Corte, en la  medida  que  podría</w:t>
        <w:br/>
        <w:t>conceder un cierto margen de duda a la apreciación ciudadana con respecto  a</w:t>
        <w:br/>
        <w:t>la discrecionalidad de sus actos, los que podrían, entonces, ser  percibidos</w:t>
        <w:br/>
        <w:t>más bien como arbitrarios.</w:t>
        <w:br/>
        <w:br/>
        <w:t>Y ello en atención, en especial, a que la mera alusión genérica  a  “razones</w:t>
        <w:br/>
        <w:t>de  seguridad”  formulada  por  el  solicitante  de  la  reserva  o  secreto</w:t>
        <w:br/>
        <w:t>pertinente,  sin  especificar  en  qué  consisten  o  se   fundamentan,   es</w:t>
        <w:br/>
        <w:t>absolutamente  insuficiente  como  justificación  o  razonabilidad   de   la</w:t>
        <w:br/>
        <w:t>Sentencia que acoge dicha reserva o  secreto,  igualmente  sin  señalar  las</w:t>
        <w:br/>
        <w:t>razones que así lo ameritan.</w:t>
        <w:br/>
        <w:br/>
        <w:t>Conclusión</w:t>
        <w:br/>
        <w:br/>
        <w:t>Por todo lo expuesto es que concluyo que el requerimiento de reserva de  las</w:t>
        <w:br/>
        <w:t>cuantías acordadas en el Acuerdo, no podría haber sido formulado  sino  para</w:t>
        <w:br/>
        <w:t>que tuviere efectos hasta el momento en que se dictare la Sentencia, ya  que</w:t>
        <w:br/>
        <w:t>ésta  debía,  sin  duda,  incluir  específicamente  a  aquellas  y  ser,  en</w:t>
        <w:br/>
        <w:t>consecuencia, también de conocimiento público, particularmente para  que  el</w:t>
        <w:br/>
        <w:t>fallo pueda ser debidamente ejecutado y los terceros puedan hacer valer  los</w:t>
        <w:br/>
        <w:t>derechos que les reconoce. El principio de la transparencia que  inspira  al</w:t>
        <w:br/>
        <w:t>proceso ante la Corte y a todos sus actos, así lo impone, con las  obvias  y</w:t>
        <w:br/>
        <w:t>justificables salvedades  que  en  ciertos  casos  se  presentan,  las  que,</w:t>
        <w:br/>
        <w:t>empero, no concurren en éste o, al menos, no constan en autos,  por  lo  que</w:t>
        <w:br/>
        <w:t>no pueden ser apreciadas o comprendidas como fundamento de lo resuelto.</w:t>
        <w:br/>
        <w:br/>
        <w:t>EVG.</w:t>
        <w:br/>
        <w:br/>
        <w:br/>
        <w:br/>
        <w:t xml:space="preserve">                                                     Juez Eduardo Vio Grossi</w:t>
        <w:br/>
        <w:br/>
        <w:br/>
        <w:br/>
        <w:br/>
        <w:br/>
        <w:t>Pablo Saavedra Alessandri</w:t>
        <w:br/>
        <w:t xml:space="preserve">        Secretario</w:t>
        <w:br/>
        <w:t>-----------------------</w:t>
        <w:br/>
        <w:t>[1]   Reglamento de la Corte aprobado por el Tribunal en  su  LXXXV  Período</w:t>
        <w:br/>
        <w:t>Ordinario de Sesiones celebrado del 16 al 28 de noviembre de 2009.</w:t>
        <w:br/>
        <w:t>[2]   En el Informe de Fondo No. 118/10 la Comisión concluyó que el Estado</w:t>
        <w:br/>
        <w:t>de Honduras era responsable de la violación a los artículos: a) 4.1, 5.1,</w:t>
        <w:br/>
        <w:t>5.2 y 5.6 en perjuicio de los 107 internos fallecidos en el incendio; b)</w:t>
        <w:br/>
        <w:t>5.4, 7.3 y 9 en relación al 1.1 y 2 en perjuicio de 22 presuntas víctimas</w:t>
        <w:br/>
        <w:t>individualizadas en el párrafo 21 del informe de fondo de la Comisión, y c)</w:t>
        <w:br/>
        <w:t>5.1, 8.1 y 25.1 en perjuicio de 83 familiares de 18 de los 107 internos</w:t>
        <w:br/>
        <w:t>fallecidos en el incendio. La Comisión recomendó al Estado: a) realizar una</w:t>
        <w:br/>
        <w:t>investigación diligente a fin de establecer y sancionar a los responsables</w:t>
        <w:br/>
        <w:t>del incendio ocurrido el 17 de mayo de 2004 en el Centro Penal de San Pedro</w:t>
        <w:br/>
        <w:t>Sula; b) reparar moral y materialmente a los familiares de las víctimas; c)</w:t>
        <w:br/>
        <w:t>adoptar medidas que garanticen la no repetición de los hechos y la</w:t>
        <w:br/>
        <w:t>adecuación del ordenamiento penal sustantivo y procesal para lograr su</w:t>
        <w:br/>
        <w:t>compatibilidad con el contenido y alcance de los artículos 7 y 9 de la</w:t>
        <w:br/>
        <w:t>Convención, y e) reconocer su responsabilidad internacional por los hechos</w:t>
        <w:br/>
        <w:t>denunciados en el caso. Informe de Fondo No. 118/10, Caso 12.680, Rafael</w:t>
        <w:br/>
        <w:t>Arturo Pacheco Teruel y otros, 22 de octubre de 2010 (expediente de fondo,</w:t>
        <w:br/>
        <w:t>tomo I, folios 7 a 51).</w:t>
        <w:br/>
        <w:t>[3]   En este sentido, con anterioridad a la  presentación  del  escrito  de</w:t>
        <w:br/>
        <w:t>solicitudes y  argumentos,  el  17  de  mayo  de  2011,  los  representantes</w:t>
        <w:br/>
        <w:t>remitieron una comunicación a  la  Corte  mediante  la  cual  señalaron  que</w:t>
        <w:br/>
        <w:t>representaban ante el Tribunal a 19 supuestas víctimas fallecidas  y  49  de</w:t>
        <w:br/>
        <w:t>sus familiares,  “ya  que  los  restantes  36  familiares  de  los  listados</w:t>
        <w:br/>
        <w:t>inicialmente [presentados] ante la  Comisión  […]  no  ha[bían]  firmado  el</w:t>
        <w:br/>
        <w:t>documento de poder […]. Estos 36 familiares deben sumarse  a  las  otras  89</w:t>
        <w:br/>
        <w:t>víctimas y sus familiares, sobre quienes  desconoce[mos]  absolutamente  sus</w:t>
        <w:br/>
        <w:t>datos de localización  y  con  quiénes  nunca  establec[eron]  contacto.  Es</w:t>
        <w:br/>
        <w:t>decir, habría un total de 125 personas que no serían representadas  ante  la</w:t>
        <w:br/>
        <w:t>Corte y que fueron enlistadas ante la Comisión”. No  obstante,  consideraron</w:t>
        <w:br/>
        <w:t>que “ante una virtual  ejecución  de  sentencia  favorable  de  [la]  Corte,</w:t>
        <w:br/>
        <w:t>podría[n] representar a posteriori y en el plano nacional a las  víctimas  y</w:t>
        <w:br/>
        <w:t>sus familiares que  por  diversos  motivos  no  han  sido  incluidos  en  el</w:t>
        <w:br/>
        <w:t>documento de  poder  que  se  adjunt[ó]”.  Al  respecto,  mediante  nota  de</w:t>
        <w:br/>
        <w:t>Secretaría REF.: 12.680/003, en la notificación del caso de 15 de  junio  de</w:t>
        <w:br/>
        <w:t>2011, se observó a las  partes  que  “el  Presidente  de  la  Corte  ha[bía]</w:t>
        <w:br/>
        <w:t>decidido continuar con el trámite del caso,  en  el  entendido  de  que  los</w:t>
        <w:br/>
        <w:t>representantes manifestaron  su  disposición  de  representar  a  todas  las</w:t>
        <w:br/>
        <w:t>personas supuestamente afectadas por los hechos  del  presente  caso  y  han</w:t>
        <w:br/>
        <w:t>expresado que, a pesar  de  sus  esfuerzos,  hasta  el  momento  no  habrían</w:t>
        <w:br/>
        <w:t>logrado mantener contacto con más presuntas víctimas o  familiares.  Es  por</w:t>
        <w:br/>
        <w:t>ello que es de  esperar  que  las  organizaciones  representantes  tomen  en</w:t>
        <w:br/>
        <w:t>cuenta en sus solicitudes y argumentos los intereses generales de todas  las</w:t>
        <w:br/>
        <w:t>presuntas víctimas identificadas en dichos listados.  Se  solicit[ó]  a  los</w:t>
        <w:br/>
        <w:t>representantes, por ende, que  oportunamente  inform[aran]  al  Tribunal  si</w:t>
        <w:br/>
        <w:t>representa[rían] a otras personas durante este proceso”.</w:t>
        <w:br/>
        <w:t>[4]   Cfr. Caso Pacheco Teruel y otros Vs. Honduras. Resolución del</w:t>
        <w:br/>
        <w:t>Presidente de la Corte Interamericana de Derechos Humanos de 27 de enero de</w:t>
        <w:br/>
        <w:t>2012. Disponible en:</w:t>
        <w:br/>
        <w:t>http://www.corteidh.or.cr/docs/asuntos/pacheco_27_01_12.pdf.</w:t>
        <w:br/>
        <w:t>[5]   A esta audiencia comparecieron: a)  por  la  Comisión  Interamericana:</w:t>
        <w:br/>
        <w:t>Tracy Robinson, Comisionada,  Elizabeth  Abi-Mershed,  Secretaria  Ejecutiva</w:t>
        <w:br/>
        <w:t>Adjunta y Tatiana Gos, asesora legal; b)  por  los  representantes:  Joaquín</w:t>
        <w:br/>
        <w:t>Armando Mejía Rivera, Brenda Vianney Mejía  Vásquez,  Iolany  Pérez,  Carlos</w:t>
        <w:br/>
        <w:t>Guillermo  Paz  Guevara,  Isis  Gricelda  Perdomo  Zelaya  y  Mario  Roberto</w:t>
        <w:br/>
        <w:t>Chinchilla Mejía, y c) por el Estado: Ethel Deras  Enamorado,  Eduardo  Jair</w:t>
        <w:br/>
        <w:t>López Zúniga y Sonia Gálvez.</w:t>
        <w:br/>
        <w:t>[6]   Cfr. Caso Pacheco Teruel y otros Vs. Honduras. Resolución de la Corte</w:t>
        <w:br/>
        <w:t>Interamericana de Derechos Humanos de 29 de febrero de 2012. Disponible en:</w:t>
        <w:br/>
        <w:t>http://www.corteidh.or.cr/docs/asuntos/pacheco_29_02_12.pdf.</w:t>
        <w:br/>
        <w:t>[7]   Cfr. Caso  de  la  “Panel  Blanca”  (Paniagua  Morales  y  otros)  Vs.</w:t>
        <w:br/>
        <w:t>Guatemala. Fondo. Sentencia de 8 de marzo de 1998. Serie  C  No.  37,  párr.</w:t>
        <w:br/>
        <w:t>76, y Caso Barbani  Duarte  y  otros  Vs.  Uruguay.  Fondo,  Reparaciones  y</w:t>
        <w:br/>
        <w:t>Costas. Sentencia de 13 de octubre de 2011. Serie C. No. 234, párr. 16.</w:t>
        <w:br/>
        <w:t>[8]   Cfr. Resolución en el Caso Pacheco Teruel y otros, supra nota 4,</w:t>
        <w:br/>
        <w:t>Considerando 26 y Punto resolutivo primero.</w:t>
        <w:br/>
        <w:t>[9]   Cfr. Resolución en el Caso Pacheco Teruel y otros, supra nota 4,</w:t>
        <w:br/>
        <w:t>Punto resolutivo quinto.</w:t>
        <w:br/>
        <w:t>[10]  Cfr. Caso Velásquez Rodríguez Vs. Honduras. Fondo. Sentencia de 29 de</w:t>
        <w:br/>
        <w:t>julio de 1988. Serie C No. 4, párr. 140, y Caso Barbani Duarte y otros,</w:t>
        <w:br/>
        <w:t>supra nota 7, párr. 21.</w:t>
        <w:br/>
        <w:t>[11]  Mediante comunicación de 9 de marzo de 2012, siguiendo instrucciones</w:t>
        <w:br/>
        <w:t>del Presidente del Tribunal, se solicitó al Estado que, a más tardar el 21</w:t>
        <w:br/>
        <w:t>de marzo de 2012, remitiera al Tribunal los siguientes documentos</w:t>
        <w:br/>
        <w:t>relacionados con el acuerdo de solución amistosa: a) Proyecto de Ley del</w:t>
        <w:br/>
        <w:t>Sistema Penitenciario Nacional, presentado ante el Congreso Nacional el 27</w:t>
        <w:br/>
        <w:t>de abril de 2005; b) Reglamento Especial para el Funcionamiento del Sistema</w:t>
        <w:br/>
        <w:t>Penitenciario Nacional; c) Cronograma de ejecución y cumplimiento del</w:t>
        <w:br/>
        <w:t>acuerdo de solución amistosa, que incluya tiempos, responsables y</w:t>
        <w:br/>
        <w:t>mecanismos de ejecución, y d) Demás documentos que acrediten la</w:t>
        <w:br/>
        <w:t>implementación del acuerdo de solución amistosa.</w:t>
        <w:br/>
        <w:t>[12]  El 27 de marzo de 2012 el  Estado  remitió  copia  de  los  siguientes</w:t>
        <w:br/>
        <w:t>documentos: Proyecto de Ley del Sistema Penitenciario  Nacional;  Reglamento</w:t>
        <w:br/>
        <w:t>Especial  para  el  Funcionamiento  del  Sistema   Penitenciario   Nacional;</w:t>
        <w:br/>
        <w:t>Cronograma de ejecución y cumplimiento del  acuerdo  de  solución  amistosa;</w:t>
        <w:br/>
        <w:t>Oficio No. 363-D-PGR-2012, de 12 de marzo de 2012, dirigido a la  Secretaria</w:t>
        <w:br/>
        <w:t>de Estado en el Despacho de Finanzas; Oficio No. 362-D-PGR-2012,  de  12  de</w:t>
        <w:br/>
        <w:t>marzo de 2012, dirigido a la Secretaria de Estado en el  Despacho  de  Salud</w:t>
        <w:br/>
        <w:t>Pública; Oficio No. 361-D-PGR-2012, de 12 de marzo de 2012,  dirigido  a  la</w:t>
        <w:br/>
        <w:t>Rectora de la Universidad Nacional Autónoma de Honduras; Oficio  No.  360-D-</w:t>
        <w:br/>
        <w:t>PGR-2012, de 12 de marzo de 2012, dirigido a la Secretaria de Estado  en  el</w:t>
        <w:br/>
        <w:t>Despacho de Justicia y Derechos Humanos; Oficio No.  359-D-PGR-2012,  de  12</w:t>
        <w:br/>
        <w:t>de marzo de 2012, dirigido a la Secretaria  de  Estado  en  el  Despacho  de</w:t>
        <w:br/>
        <w:t>Seguridad; Oficio No. 358-D-PGR-2012, de 12 de marzo de  2012,  dirigido  al</w:t>
        <w:br/>
        <w:t>Presidente del Congreso Nacional de  la  República;  Oficio  No.  357-D-PGR-</w:t>
        <w:br/>
        <w:t>2012, de 12 de marzo de 2012, dirigido al Fiscal General  de  la  República;</w:t>
        <w:br/>
        <w:t>Oficio No. 356-D-PGR-2012, de 12 de marzo de 2012, dirigido a  la  Encargada</w:t>
        <w:br/>
        <w:t>de la Secretaría de Estado en el Despacho Presidencial; acuerdo de  solución</w:t>
        <w:br/>
        <w:t>amistosa firmado por ambas partes, y  Nota  enviada  por  Presidente  de  la</w:t>
        <w:br/>
        <w:t>Comisión de Derechos Humanos del Congreso Nacional.</w:t>
        <w:br/>
        <w:t>[13]  Cfr. Caso Velásquez Rodríguez. Fondo, supra nota 10, párr. 146, y</w:t>
        <w:br/>
        <w:t>Caso González Medina y familiares Vs. República Dominicana. Excepciones</w:t>
        <w:br/>
        <w:t>Preliminares, Fondo, Reparaciones y Costas. Sentencia de 27 de febrero de</w:t>
        <w:br/>
        <w:t>2012. Serie C No. 240, párr. 67.</w:t>
        <w:br/>
        <w:t>[14]  Cfr. Caso Loayza Tamayo Vs. Perú. Fondo. Sentencia de 17 de</w:t>
        <w:br/>
        <w:t>septiembre de 1997. Serie C No. 33, párr. 43, y Caso González Medina y</w:t>
        <w:br/>
        <w:t>familiares, supra nota 13, párr. 80</w:t>
        <w:br/>
        <w:t>[15]  Cfr. Acuerdo de solución amistosa. Caso 12.680. Pacheco Teruel y</w:t>
        <w:br/>
        <w:t>otros Vs. Honduras (expediente de fondo, folios 574 a 582).</w:t>
        <w:br/>
        <w:t>[16]  Reconocimiento de Responsabilidad realizado el 28 de febrero de 2012,</w:t>
        <w:br/>
        <w:t>por la señora Ethel Suyapa Deras Enamorado, Procuradora General de la</w:t>
        <w:br/>
        <w:t>República, en la audiencia pública del caso (transcripción de la</w:t>
        <w:br/>
        <w:t>audiencia). Disponible en: http://vimeo.com/37633316.</w:t>
        <w:br/>
        <w:t>[17]  El 17 de abril de 2012 el Estado remitió a la Corte el cronograma de</w:t>
        <w:br/>
        <w:t>ejecución y cumplimiento (en adelante “cronograma de ejecución”).</w:t>
        <w:br/>
        <w:t>[18]  Cfr. Caso Trujillo Oroza Vs. Bolivia. Fondo. Sentencia de 26 de  enero</w:t>
        <w:br/>
        <w:t>de 2000. Serie C No. 64, párr. 42, supra, y Caso Contreras y  otros  Vs.  El</w:t>
        <w:br/>
        <w:t>Salvador. Fondo, Reparaciones y Costas. Sentencia de 31 de agosto  de  2011.</w:t>
        <w:br/>
        <w:t>Serie C No. 232, párr. 26.</w:t>
        <w:br/>
        <w:t>[19]  Cfr. Caso Acevedo Jaramillo y otros Vs. Perú. Excepciones</w:t>
        <w:br/>
        <w:t>Preliminares, Fondo, Reparaciones y Costas. Sentencia de 7 de febrero de</w:t>
        <w:br/>
        <w:t>2006. Serie C No. 144, parras. 176 a 180, y Caso Torres Millacura y otros</w:t>
        <w:br/>
        <w:t>Vs. Argentina. Fondo, Reparaciones y Costas. Sentencia de 26 de agosto de</w:t>
        <w:br/>
        <w:t>2011. Serie C No. 229, párr. 37.</w:t>
        <w:br/>
        <w:t>[20]  Cfr. Caso de la “Masacre de Mapiripán” Vs. Colombia. Fondo,</w:t>
        <w:br/>
        <w:t>Reparaciones y Costas. Sentencia de 15 de septiembre de 2005. Serie C No.</w:t>
        <w:br/>
        <w:t>134, párr. 69, y Caso Contreras, supra nota 18, párr. 28.</w:t>
        <w:br/>
        <w:t>[21]  Cfr. Notas de prensa: “13 muertos en un motín en la cárcel de San</w:t>
        <w:br/>
        <w:t>Pedro Sula en Honduras”, CNN en Español. Disponible en:</w:t>
        <w:br/>
        <w:t>http://cnnespanol.cnn.com/2012/03/29/incendio-en-la-carcel-principal-de-san-</w:t>
        <w:br/>
        <w:t>pedro-sula-en-honduras/ (último acceso el 30 de marzo de 2012), y “Más de</w:t>
        <w:br/>
        <w:t>350 personas muertas en el incendio de una cárcel en Honduras”, diario El</w:t>
        <w:br/>
        <w:t>Mundo. Disponible en:</w:t>
        <w:br/>
        <w:t>http://elmundo.es/america/2012/02/15/noticias/1329298250.html (último</w:t>
        <w:br/>
        <w:t>acceso el 30 de marzo de 2012).</w:t>
        <w:br/>
        <w:t>[22]  Cfr. Informe sobre la situación del sistema penitenciario en Honduras</w:t>
        <w:br/>
        <w:t>emitido por la Comisión Interinstitucional de Reforma Penitenciaria</w:t>
        <w:br/>
        <w:t>(expediente de anexos al informe de fondo, anexo 57, folio 759). Ver</w:t>
        <w:br/>
        <w:t>también: Comisionado Nacional de los Derechos Humanos de Honduras, Informe</w:t>
        <w:br/>
        <w:t>Anual 2003, Capítulo II: Seguridad y Justicia (expediente de anexos al</w:t>
        <w:br/>
        <w:t>informe de fondo, anexo 66, folio 946); ONU Comité de Derechos Humanos,</w:t>
        <w:br/>
        <w:t>Observaciones Finales con respecto a Honduras, 13 de diciembre de 2006,</w:t>
        <w:br/>
        <w:t>CCPR/C/HND/CO/1; O.N.U, y Grupo de Trabajo sobre Detenciones Arbitrarias,</w:t>
        <w:br/>
        <w:t>Informe sobre la visita a Honduras, 1 de diciembre de 2006,</w:t>
        <w:br/>
        <w:t>A/HRC/4/440/Add. 4.</w:t>
        <w:br/>
        <w:t>[23]  Cfr. Acuerdo de solución amistosa, supra nota 15.</w:t>
        <w:br/>
        <w:t>[24]  Según el Departamento de Seguridad Pública de la OEA, las “maras”  son</w:t>
        <w:br/>
        <w:t>pandillas transnacionales que comenzaron a  tomar  forma  en  la  región  de</w:t>
        <w:br/>
        <w:t>Centroamérica a inicios de  los  años  noventa  con  la  influencia  de  las</w:t>
        <w:br/>
        <w:t>deportaciones de jóvenes desde los EE.UU. (“Definición y  Categorización  de</w:t>
        <w:br/>
        <w:t>Pandillas”, Anexo  IV,  Informe:  El  Salvador.  Departamento  de  Seguridad</w:t>
        <w:br/>
        <w:t>Pública, OEA, Washington, D.C., 2007). Asimismo, según definición de la  ONU</w:t>
        <w:br/>
        <w:t>“las maras son organizaciones compuestas por jóvenes menores  y  mayores  de</w:t>
        <w:br/>
        <w:t>edad de ambos sexos,  que  desarrollan  entre  sí  lazos  de  solidaridad  e</w:t>
        <w:br/>
        <w:t>identificación, y se disputan el control de espacios  territoriales”.  (ONU,</w:t>
        <w:br/>
        <w:t>Comisión Económica para  América  Latina  y  el  Caribe  (CEPAL),  Seguridad</w:t>
        <w:br/>
        <w:t>ciudadana y violencia en América Latina:  diagnóstico  y  políticas  en  los</w:t>
        <w:br/>
        <w:t>años noventas, 1999).</w:t>
        <w:br/>
        <w:t>[25]  Dicha norma establece en lo  conducente:  “El  Congreso  Nacional  […]</w:t>
        <w:br/>
        <w:t>Decreta: Artículo 1. Reformar el Artículo 332 del  Código  Penal,  contenido</w:t>
        <w:br/>
        <w:t>en el Decreto No. 144-83 del 23 de agosto de  1983,  el  que  deberá  leerse</w:t>
        <w:br/>
        <w:t>así: Artículo 332. Asociación Ilícita. Se sancionará con la  pena  de  nueve</w:t>
        <w:br/>
        <w:t>(9) a doce (12) años de reclusión y multa  de  Diez  Mil  (L.  10,000.00)  a</w:t>
        <w:br/>
        <w:t>Doscientos Mil (L. 200,000.00) Lempiras a los jefes o cabecillas  de  maras,</w:t>
        <w:br/>
        <w:t>pandillas y demás grupos que se  asocien  con  el  propósito  permanente  de</w:t>
        <w:br/>
        <w:t>ejecutar cualquier acto  constitutivo  de  delito.  Con  la  misma  pena  de</w:t>
        <w:br/>
        <w:t>reclusión establecida en el párrafo anterior rebajada en  un  tercio  (1/3),</w:t>
        <w:br/>
        <w:t>se sancionará a los demás miembros de las referidas  asociaciones  ilícitas.</w:t>
        <w:br/>
        <w:t>Son jefes o cabecillas, aquellos que se destaquen o identifiquen como  tales</w:t>
        <w:br/>
        <w:t>y cuyas decisiones influyan en el ánimo y acciones del  grupo”,  (expediente</w:t>
        <w:br/>
        <w:t>de fondo, folio 43).</w:t>
        <w:br/>
        <w:t>[26]  Cfr. ONU, Comité de Derechos Humanos, Observaciones finales, supra</w:t>
        <w:br/>
        <w:t>nota 22 y Andino Mencia, Tomás. Mano Suave y Mano Dura en Honduras.</w:t>
        <w:br/>
        <w:t>Conferencia dictada en el Primer Congreso Centroamericano sobre Juventud</w:t>
        <w:br/>
        <w:t>Seguridad y Justicia. Antigua, Guatemala, 15 y 16 de marzo de 2008</w:t>
        <w:br/>
        <w:t>(expediente de anexos al informe de fondo, anexo 58, folios 802 y 803).</w:t>
        <w:br/>
        <w:t>[27]  Cfr. ONU, Comité contra la Tortura. Informe inicial periódico</w:t>
        <w:br/>
        <w:t>respecto de Honduras, 9 de septiembre de 2008. UN Doc. CAT/C/HND/1., párr.</w:t>
        <w:br/>
        <w:t>223.</w:t>
        <w:br/>
        <w:t>[28]  Cfr. Resolución del Juzgado de Ejecución de la Sección Judicial de</w:t>
        <w:br/>
        <w:t>San Pedro Sula de 21 de abril de 2004 (expediente de anexos al informe de</w:t>
        <w:br/>
        <w:t>fondo, anexo 50, folios 658 y 659).</w:t>
        <w:br/>
        <w:t>[29]  Cfr. Resolución del Juzgado de Ejecución de 21 de abril de 2004,</w:t>
        <w:br/>
        <w:t>supra nota 28, folio 658.</w:t>
        <w:br/>
        <w:t>[30]  Cfr. Acta de audiencia inicial emitida por el Juzgado de Letras de</w:t>
        <w:br/>
        <w:t>San Pedro Sula el 1 de agosto de 2004 (expediente de anexos al informe de</w:t>
        <w:br/>
        <w:t>fondo, anexo 31 de folios 377 a 402); declaración testimonial del señor</w:t>
        <w:br/>
        <w:t>Mauricio Abelardo Guardado Rivera rendida durante el proceso penal el 1 de</w:t>
        <w:br/>
        <w:t>agosto de 2004 (expediente de anexos al informe de fondo, anexo 3, folios</w:t>
        <w:br/>
        <w:t>388 y 389); carta dirigida por el entonces Director del centro penal al</w:t>
        <w:br/>
        <w:t>Gerente Nor-Occidental División Norte de la Empresa Nacional de Energía</w:t>
        <w:br/>
        <w:t>Eléctrica el 14 de noviembre de 2003 (expediente de anexos al informe de</w:t>
        <w:br/>
        <w:t>fondo, anexo 35, folio 554); nota de prensa publicada en el diario “La</w:t>
        <w:br/>
        <w:t>Prensa” el 19 de mayo de 2004 (expediente de anexos al informe de fondo,</w:t>
        <w:br/>
        <w:t>anexo 36, folio 556), y nota de prensa publicada en el diario “La Prensa”</w:t>
        <w:br/>
        <w:t>el 22 de mayo de 2004 (expediente de anexos al informe de fondo, anexo 37,</w:t>
        <w:br/>
        <w:t>folio 558).</w:t>
        <w:br/>
        <w:t>[31]  Cfr. Carta dirigida por el Director del centro penal a la Gerente Nor-</w:t>
        <w:br/>
        <w:t>Occidental División Norte de la Empresa Nacional de Energía Eléctrica el 19</w:t>
        <w:br/>
        <w:t>de marzo de 2004 (expediente de anexos al informe de fondo, anexo 39, folio</w:t>
        <w:br/>
        <w:t>591).</w:t>
        <w:br/>
        <w:t>[32]  Cfr. Declaración testimonial del señor Mauricio Abelardo Guardado</w:t>
        <w:br/>
        <w:t>Rivera, supra nota 30, folios 387 a 390.</w:t>
        <w:br/>
        <w:t>[33]  Cfr. Nota dirigida por el señor Carlos G. Ramírez Paz a la fiscalía</w:t>
        <w:br/>
        <w:t>el 20 de mayo de 2004 (expediente de anexos al informe de fondo, anexo 49,</w:t>
        <w:br/>
        <w:t>folio 655), y declaración testimonial de la señora Virginia Alfaro Calvo</w:t>
        <w:br/>
        <w:t>(expediente de anexos al informe de fondo, anexo 53, folio 714).</w:t>
        <w:br/>
        <w:t>[34]  Cfr. Comisionado Nacional de los Derechos Humanos de Honduras,</w:t>
        <w:br/>
        <w:t>Informe especial con recomendaciones sobre el incendio ocurrido en el</w:t>
        <w:br/>
        <w:t>Centro Penal de San Pedro Sula el 17 de mayo de 2004 (expediente de anexos</w:t>
        <w:br/>
        <w:t>al informe de fondo, anexo 38, folio 566), y declaración testimonial del</w:t>
        <w:br/>
        <w:t>señor Mauricio Abelardo Guardado Rivera, supra nota 30, folio 389.</w:t>
        <w:br/>
        <w:t>[35]  Cfr. Dictamen técnico del siniestro ocurrido en la celda No. 19 del</w:t>
        <w:br/>
        <w:t>centro penal de San Pedro Sula, por el Ingeniero Luis Alberto González</w:t>
        <w:br/>
        <w:t>Aldana (expediente de anexos al informe de fondo, anexo 42, folio 624).</w:t>
        <w:br/>
        <w:t>[36]  Cfr. Informe de investigación de incendio del Cuerpo de bomberos de</w:t>
        <w:br/>
        <w:t>Honduras (expediente de anexos al informe de fondo, anexo 40, folio 593).</w:t>
        <w:br/>
        <w:t>[37]  Cfr.  Declaraciones testimoniales rendidas durante las</w:t>
        <w:br/>
        <w:t>investigaciones realizadas por el Ministerio Público de los señores Arnal</w:t>
        <w:br/>
        <w:t>Leiva Paz, Carlos Hernán Mejia Aguilar, Celio Alberto Valdez, Dennis</w:t>
        <w:br/>
        <w:t>Antonio Santin, Alexander Ramírez, Franklin Geovanny Chávez Jiménez,</w:t>
        <w:br/>
        <w:t>Gilberto Núñez Cruz, Gustavo Olivera, Javier Alejandro Pineda Orellana,</w:t>
        <w:br/>
        <w:t>Javier Antonio Hernández, Jorge Ulises Amaya, Jose Anselmo Hernández, Jose</w:t>
        <w:br/>
        <w:t>Luis Chacón Estradas, Jose Luis Valdez y Josué Ricardo Cruz (expedientes de</w:t>
        <w:br/>
        <w:t>anexos al informe de fondo, tomos I y II, anexos 6, 8, 10, 11, 12, 20, 21,</w:t>
        <w:br/>
        <w:t>22, 23, 24, 26, 27, 29, 30 y 31, y folios 425 a 426, 435 a 438, 443 a 444,</w:t>
        <w:br/>
        <w:t>447 a 450, 452 a 454, 482 a 485, 487 a 490, 492 a 502, 504 a 507, 509 a</w:t>
        <w:br/>
        <w:t>513, 518 a 519, 521 a 523, 530 a 533, 535 a 536 y 538 a 539,</w:t>
        <w:br/>
        <w:t>respectivamente).</w:t>
        <w:br/>
        <w:t>[38]  Cfr. Requerimiento fiscal emitido por el Ministerio Público en contra</w:t>
        <w:br/>
        <w:t>de Elías Aceituno Canaca (expediente de anexos al informe de fondo, anexo</w:t>
        <w:br/>
        <w:t>4, folio 407) y acta de audiencia inicial emitida por el Juzgado de Letras</w:t>
        <w:br/>
        <w:t>de San Pedro Sula, supra nota 30, folio 379.</w:t>
        <w:br/>
        <w:t>[39]  Cfr.  Declaraciones testimoniales rendidas durante las</w:t>
        <w:br/>
        <w:t>investigaciones realizadas por el Ministerio Público de los señores Carlos</w:t>
        <w:br/>
        <w:t>Eduardo Cerna, Carlos Hernán Mejia Aguilar, Carlos Roberto Archaga, Celio</w:t>
        <w:br/>
        <w:t>Alberto Valdez, Dennis Antonio Santos, Alexander Ramírez, Samuel Amaya</w:t>
        <w:br/>
        <w:t>Rodriguez, Elías Leonard Sevilla Zelaya, Elvin Alfredo Soto, Elvis Joel</w:t>
        <w:br/>
        <w:t>Lanza Hernández, Javier Alejandro Pineda Orellana, Javier Antonio</w:t>
        <w:br/>
        <w:t>Hernández, Jorge Ulises Amaya, Jose Anselmo Hernández, Jose Antonio</w:t>
        <w:br/>
        <w:t>Rodríguez, Jose Luis Chacón Estradas, Jose Luis Valdez, Jose Ricardo Cruz,</w:t>
        <w:br/>
        <w:t>Juan Antonio Sabala y Juan Luis Iria Barahona (expedientes de anexos al</w:t>
        <w:br/>
        <w:t>informe de fondo, tomos I y II, anexos 7, 8, 9, 10, 11, 12, 13, 14, 16, 17,</w:t>
        <w:br/>
        <w:t>23, 24, 26, 27, 28, 29, 30, 31, 32 y 33, y folios 428 a 433, 435 a 438, 440</w:t>
        <w:br/>
        <w:t>a 441, 443 a 444, 447 a 450, 452 a 454, 460 a 461, 466 a 468, 470 a 474,</w:t>
        <w:br/>
        <w:t>504 a 507, 509 a 513, 518 a 519, 521 a 523, 525 a 528, 530 a 533, 535 a</w:t>
        <w:br/>
        <w:t>536, 538 a 539, 541 a 542 y 544 a 546, respectivamente).</w:t>
        <w:br/>
        <w:t>[40]         a) Existen en el expediente al menos 25 declaraciones de</w:t>
        <w:br/>
        <w:t>sobrevivientes que señalan que fueron los internos quienes abrieron el</w:t>
        <w:br/>
        <w:t>primer portón;</w:t>
        <w:br/>
        <w:t xml:space="preserve">       b) 9 de esas 25 declaraciones indican que el primer portón fue</w:t>
        <w:br/>
        <w:t>abierto a las 2:30, por los propios internos;</w:t>
        <w:br/>
        <w:t xml:space="preserve">       c) En los hechos asentados en el requerimiento fiscal emitido por el</w:t>
        <w:br/>
        <w:t>Ministerio Público en contra del señor Elías Aceituno Canaca, existe</w:t>
        <w:br/>
        <w:t>contradicción respecto a la apertura del primer portón. Se establece que</w:t>
        <w:br/>
        <w:t>ambos portones fueron abiertos por el alcaide y que posteriormente, al</w:t>
        <w:br/>
        <w:t>momento en que el director llega a la entrada principal de la celda ordena</w:t>
        <w:br/>
        <w:t>que se abra solo el primer portón (expediente de anexos al informe de</w:t>
        <w:br/>
        <w:t>fondo, tomo II, folio 408), y</w:t>
        <w:br/>
        <w:t xml:space="preserve">      d) En su declaración el director del centro señala que ordenó la</w:t>
        <w:br/>
        <w:t>apertura del segundo portón y que desconoce quién abrió el primero</w:t>
        <w:br/>
        <w:t>(expediente de anexos al informe de fondo, tomo II, folio 640).</w:t>
        <w:br/>
        <w:t>[41]  Cfr. Declaraciones testimoniales rendidas durante las investigaciones</w:t>
        <w:br/>
        <w:t>realizadas por el Ministerio Público de los señores Carlos Eduardo Cerna,</w:t>
        <w:br/>
        <w:t>Carlos Hernán Mejia Aguilar, Carlos Roberto Archaga, Celio Alberto Valdez,</w:t>
        <w:br/>
        <w:t>Dennis Antonio Santos, Alexander Ramírez, Samuel Amaya Rodriguez, Elías</w:t>
        <w:br/>
        <w:t>Leonard Sevilla Zelaya, Elvin Alfredo Soto, Elvis Joel Lanza Hernández,</w:t>
        <w:br/>
        <w:t>Javier Alejandro Pineda Orellana, Javier Antonio Hernández, Jorge Ulises</w:t>
        <w:br/>
        <w:t>Amaya, Jose Anselmo Hernández, Jose Antonio Rodríguez, Jose Luis Chacón</w:t>
        <w:br/>
        <w:t>Estradas, Jose Luis Valdez, Jose Ricardo Cruz, Juan Antonio Sabala y Juan</w:t>
        <w:br/>
        <w:t>Luis Iria Barahona (expedientes de anexos al informe de fondo, tomos I y</w:t>
        <w:br/>
        <w:t>II, anexos 7, 8, 9, 10, 11, 12, 13, 14, 16, 17, 23, 24, 26, 27, 28, 29, 30,</w:t>
        <w:br/>
        <w:t>31, 32 y 33, y folios 428 a 433, 435 a 438, 440 a 441, 443 a 444, 447 a</w:t>
        <w:br/>
        <w:t>450, 452 a 454, 460 a 461, 466 a 468, 470 a 474, 504 a 507, 509 a 513, 518</w:t>
        <w:br/>
        <w:t>a 519, 521 a 523, 525 a 528, 530 a 533, 535 a 536, 538 a 539, 541 a 542 y</w:t>
        <w:br/>
        <w:t>544 a 546, respectivamente).</w:t>
        <w:br/>
        <w:t>[42]  Cfr. Acta de audiencia inicial emitida por el Juzgado de Letras de</w:t>
        <w:br/>
        <w:t>San Pedro Sula, supra nota 30, folio 380, y requerimiento fiscal del</w:t>
        <w:br/>
        <w:t>Ministerio Público, supra nota 38, folio 408.</w:t>
        <w:br/>
        <w:t>[43]  Cfr. Declaraciones testimoniales rendidas durante las investigaciones</w:t>
        <w:br/>
        <w:t>realizadas por el Ministerio Público de los señores Allan Javier Bonilla</w:t>
        <w:br/>
        <w:t>Cruz, Carlos Hernán Mejía Aguilar, Dennis Antonio Santin, Alexander</w:t>
        <w:br/>
        <w:t>Ramírez, Samuel Amaya Rodriguez, Elvin Alfredo Soto, Erick Noel Navarro,</w:t>
        <w:br/>
        <w:t>Franklin Geovanny Chávez Jiménez, Gilberto Núñez Cruz, Gustavo Olivera,</w:t>
        <w:br/>
        <w:t>Javier Alejandro Pineda Orellana, Javier Antonio Hernández y Jose Anselmo</w:t>
        <w:br/>
        <w:t>Hernández (expedientes anexos al informe de fondo, tomos I y II, anexos 5,</w:t>
        <w:br/>
        <w:t>8 11, 12, 13, 16, 18, 20, 21, 22, 23, 24 y 27, y folios 421 a 423, 435 a</w:t>
        <w:br/>
        <w:t>438, 447 a 450, 452 a 454, 456 a 458, 466 a 468, 476 a 477, 482 a 485, 487</w:t>
        <w:br/>
        <w:t>a 490, 492 a 502, 504 a 507, 509 a 513 y 521 a 523, respectivamente).</w:t>
        <w:br/>
        <w:t>[44]  Cfr. Declaraciones testimoniales de los señores Carlos Alberto</w:t>
        <w:br/>
        <w:t>Cordero Suárez y José Alfonso Medina el 1 de agosto de 2004 (expediente de</w:t>
        <w:br/>
        <w:t>anexos al informe de fondo, anexo 3, folio 391).</w:t>
        <w:br/>
        <w:t>[45]  Cfr. Declaraciones rendidas ante fedatario público por los señores y</w:t>
        <w:br/>
        <w:t>señoras Abencio Reyes, Doris Esperanza Paz, Aida Rodriguez Soriano, Olga</w:t>
        <w:br/>
        <w:t>Marina Santos, Marlen Ardon Santos, Marta Elena Suazo y Manuel Armando</w:t>
        <w:br/>
        <w:t>Fuentes (expediente de fondo, tomo I, folios 522 a 527, 534 a 540, 528 a</w:t>
        <w:br/>
        <w:t>533, 563 a 571, 553 a 555, 556 a 559 y 548 a 552, respectivamente). Ver</w:t>
        <w:br/>
        <w:t>también: declaraciones testimoniales rendidas durante las investigaciones</w:t>
        <w:br/>
        <w:t>realizadas por el Ministerio Público de los señores Allan Javier Bonilla</w:t>
        <w:br/>
        <w:t>Cruz, Carlos Hernán Mejia Aguilar, Dennis Antonio Santin, Alexander</w:t>
        <w:br/>
        <w:t>Ramírez, Samuel Amaya Rodriguez, Elvin Alfredo Soto, Erick Noel Navarro,</w:t>
        <w:br/>
        <w:t>Franklin Geovanny Chávez Jiménez, Gilberto Núñez Cruz, Gustavo Olivera,</w:t>
        <w:br/>
        <w:t>Javier Alejandro Pineda Orellana, Javier Antonio Hernández y Jose Anselmo</w:t>
        <w:br/>
        <w:t>Hernández (expedientes de anexos al informe de fondo, tomos I y II, anexos</w:t>
        <w:br/>
        <w:t>5, 8, 11, 12, 13, 16, 18, 20, 21, 22, 23, 24 y 27, y folios 421 a 423, 435</w:t>
        <w:br/>
        <w:t>a 438, 447 a 450, 452 a 454, 456 a 458, 466 a 468, 476 a 477, 482 a 485,</w:t>
        <w:br/>
        <w:t>487 a 490, 492 a 502, 504 a 507, 509 a 513 y 521 a 523, respectivamente).</w:t>
        <w:br/>
        <w:t>[46]  Cfr. Declaración testimonial del señor Rómulo Emiliani (expediente de</w:t>
        <w:br/>
        <w:t>anexos al informe de fondo, anexo 34, folios 548-552). Asimismo, la señora</w:t>
        <w:br/>
        <w:t>Isis Gricelda Perdomo Zelaya declaró ante fedatario público que el reclamo</w:t>
        <w:br/>
        <w:t>de dicho monto implicaba llenar un formato con los datos del fallecido con</w:t>
        <w:br/>
        <w:t>la indicación de si la familia necesitaría ataúd, para luego esperar</w:t>
        <w:br/>
        <w:t>información por parte de Medicina Forense sobre la necropsia. Este proceso</w:t>
        <w:br/>
        <w:t>habría sido “poco aceptable” por los familiares de los fallecidos, debido</w:t>
        <w:br/>
        <w:t>al entorno de dolor e impaciencia ante la tardanza en la entrega de los</w:t>
        <w:br/>
        <w:t>cuerpos; y hubo quienes no reclamaron el “bono” por considerarlo un insulto</w:t>
        <w:br/>
        <w:t>(expediente de anexos al informe de fondo, folios 545 a 546).</w:t>
        <w:br/>
        <w:t>[47]  Cfr. Requerimiento fiscal del Ministerio Público, supra nota 38,</w:t>
        <w:br/>
        <w:t>folio 403.</w:t>
        <w:br/>
        <w:t>[48]  Dicha resolución estableció que  “ninguno  de  los  medios  de  prueba</w:t>
        <w:br/>
        <w:t>aportados por el ente fiscal es determinante para  concluir  […]  que  Elías</w:t>
        <w:br/>
        <w:t>Aceituno Canaca es responsable por […]el [d]eterioro  de  las  instalaciones</w:t>
        <w:br/>
        <w:t>eléctricas [ya que] se encuentran […] expuestas al  paso  […]  del  tiempo[.</w:t>
        <w:br/>
        <w:t>N]o podemos responsabilizar por tal deterioro  a  una  persona  que  en  ese</w:t>
        <w:br/>
        <w:t>momento era la encargada de los destinos administrativos del  centro  penal,</w:t>
        <w:br/>
        <w:t>[…] la prueba que ha  presentado  la  defensa  es  contundente  y  sumamente</w:t>
        <w:br/>
        <w:t>sólida  para  desarticular  la  imputación   erigida   por   el   Ministerio</w:t>
        <w:br/>
        <w:t>Público[..]Es preciso establecer que con respecto  [al  delito  de  omisión]</w:t>
        <w:br/>
        <w:t>existe un deber de evitar un resultado, al  respecto  y  acorde  a  todo  lo</w:t>
        <w:br/>
        <w:t>acotado en esta audiencia se deduce que la posición de garante del  imputado</w:t>
        <w:br/>
        <w:t>[…] se mantuvo siempre, pues acreditó en forma fehaciente su  propósito  por</w:t>
        <w:br/>
        <w:t>que se tomaran los correctivos  conducentes  a  la  reparación  del  sistema</w:t>
        <w:br/>
        <w:t>eléctrico del penal […] Es  en  consecuencia  incongruente  [responsabilizar</w:t>
        <w:br/>
        <w:t>por] estos hechos a un simple ciudadano que […] hizo todo  cuanto  estuvo  a</w:t>
        <w:br/>
        <w:t>su alcance y bajo su obligación para evitar tan lamentable resultado”.</w:t>
        <w:br/>
        <w:t>[49]  Cfr. Recurso de apelación presentado por el Ministerio Público</w:t>
        <w:br/>
        <w:t>(expediente de anexos al informe de fondo, anexo 61, folio 832).</w:t>
        <w:br/>
        <w:t>[50]  Cfr. Certificación. Reposición de resolución de recurso de apelación</w:t>
        <w:br/>
        <w:t>(expediente de anexos al informe de fondo, anexo 63, folio 841).</w:t>
        <w:br/>
        <w:t>[51]  En su resolución el Tribunal consideró que “el imputado […] tenía  una</w:t>
        <w:br/>
        <w:t>función de protección de la seguridad de los reclusos […], sin embargo,  […]</w:t>
        <w:br/>
        <w:t>el ejercicio de [la misma] se veía  limitada  por  la  subordinación  a  sus</w:t>
        <w:br/>
        <w:t>superiores  que  eran  quienes   podían   disponer   de   las   asignaciones</w:t>
        <w:br/>
        <w:t>presupuestarias necesarias para controlar una fuente de peligro latente”.</w:t>
        <w:br/>
        <w:t>[52]  Cfr. Expediente de amparo de de anexos al informe de fondo, anexo 64,</w:t>
        <w:br/>
        <w:t>folio 893.</w:t>
        <w:br/>
        <w:t>[53]  Cfr. Resolución de Amparo dictada por la Corte Suprema de Justicia</w:t>
        <w:br/>
        <w:t>(expediente de anexos al informe de fondo, anexo 64, folio 899).</w:t>
        <w:br/>
        <w:t>[54]  Cfr. Certificación de la sentencia de Amparo dictada por la Sala de</w:t>
        <w:br/>
        <w:t>lo Constitucional de la Corte Suprema de Justicia (expediente de anexos al</w:t>
        <w:br/>
        <w:t>informe de fondo, anexo 64, folio 904).</w:t>
        <w:br/>
        <w:t>[55]        Por su parte, en su escrito de solicitudes y argumentos, los</w:t>
        <w:br/>
        <w:t>representantes coincidieron con los alegatos expuestos por la Comisión y</w:t>
        <w:br/>
        <w:t>agregaron que el Estado permitió que el centro penitenciario se convirtiera</w:t>
        <w:br/>
        <w:t>en un espacio riesgoso para la vida y seguridad de los internos. Asimismo,</w:t>
        <w:br/>
        <w:t>el Estado incumplió con su deber de prevención en el diseño de estrategias</w:t>
        <w:br/>
        <w:t>para situaciones de emergencia, aun conociendo las condiciones de la</w:t>
        <w:br/>
        <w:t>infraestructura del penal.</w:t>
        <w:br/>
        <w:t>[56]   Al  respecto,  en  su  escrito  de  solicitudes  y  argumentos,   los</w:t>
        <w:br/>
        <w:t>representantes indicaron que la reforma del artículo 332  del  Código  Penal</w:t>
        <w:br/>
        <w:t>fue discriminatoria y  contradictoria  con  el  principio  de  igualdad.  En</w:t>
        <w:br/>
        <w:t>virtud de una deficiente técnica jurídico-legislativa, la reforma  abusó  de</w:t>
        <w:br/>
        <w:t>categorías  ambiguas  que   dieron   lugar   a   criterios   arbitrarios   y</w:t>
        <w:br/>
        <w:t>discrecionales de interpretación, por lo que también violó el  principio  de</w:t>
        <w:br/>
        <w:t>legalidad. Asimismo, afirmaron que dicha reforma se  orientó  a  un  derecho</w:t>
        <w:br/>
        <w:t>penal  de  autor  al  definir  y  sancionar  cuestiones   relativas   a   la</w:t>
        <w:br/>
        <w:t>personalidad, apariencia, conducta, imagen propia y filiación grupal,  y  no</w:t>
        <w:br/>
        <w:t>a hechos o perjuicios concretos “en contra de otros”, y que se basó  en  una</w:t>
        <w:br/>
        <w:t>lógica de sospecha como presupuesto de aplicación  de  la  ley.  Al  ser  la</w:t>
        <w:br/>
        <w:t>asociación ilícita un delito de  ejecución  continua,  implicaba  flagrancia</w:t>
        <w:br/>
        <w:t>permanente, por lo que dichas personas imputadas  por  este  delito  podrían</w:t>
        <w:br/>
        <w:t>ser objeto de detención o intromisión en su domicilio a cualquier  hora  del</w:t>
        <w:br/>
        <w:t>día, sin respaldo o garantía jurídica a su favor.</w:t>
        <w:br/>
        <w:t>[57]  Al respecto, los representantes coincidieron con lo establecido en  el</w:t>
        <w:br/>
        <w:t>Informe de Fondo de la Comisión.</w:t>
        <w:br/>
        <w:t>[58]  Cfr. Caso Neira Alegría y otros Vs. Perú. Fondo. Sentencia de 19 de</w:t>
        <w:br/>
        <w:t>enero de 1995. Serie C No. 20, párr. 60 y Caso Vera Vera y otra Vs.</w:t>
        <w:br/>
        <w:t>Ecuador. Excepción Preliminar, Fondo, Reparaciones y Costas. Sentencia de</w:t>
        <w:br/>
        <w:t>19 de mayo de 2011. Serie C No. 226, párr. 42.</w:t>
        <w:br/>
        <w:t>[59]  Cfr. Caso “Instituto de Reeducación del Menor” Vs. Paraguay.</w:t>
        <w:br/>
        <w:t>Excepciones Preliminares, Fondo, Reparaciones y Costas. Sentencia de 2 de</w:t>
        <w:br/>
        <w:t>septiembre de 2004. Serie C No. 112, párr. 153.</w:t>
        <w:br/>
        <w:t>[60]  Cfr. ONU, Reglas mínimas para el tratamiento de los reclusos.</w:t>
        <w:br/>
        <w:t>Adoptadas por el Primer Congreso de las Naciones Unidas sobre Prevención</w:t>
        <w:br/>
        <w:t>del Delito y Tratamiento del Delincuente, celebrado en Ginebra en 1955, y</w:t>
        <w:br/>
        <w:t>aprobadas por el Consejo Económico y Social en sus resoluciones 663C (XXIV)</w:t>
        <w:br/>
        <w:t>de 31 de julio de 1957 y 2076 (LXII) de 13 de mayo de 1977; ONU, Conjunto</w:t>
        <w:br/>
        <w:t>de Principios para la protección de todas las personas sometidas a</w:t>
        <w:br/>
        <w:t>cualquier forma de detención o prisión. Adoptado por la Asamblea General de</w:t>
        <w:br/>
        <w:t>la ONU en su resolución 43/173, de 9 de diciembre de 1988; ONU, Reglas de</w:t>
        <w:br/>
        <w:t>las Naciones Unidas para la protección de los menores privados de libertad.</w:t>
        <w:br/>
        <w:t>Adoptadas por la Asamblea General de la ONU en su resolución 45/113 de 14</w:t>
        <w:br/>
        <w:t>de diciembre de 1990. Ver también: ONU, Observación General No. 21 del</w:t>
        <w:br/>
        <w:t>Comité de Derechos Humanos. 10 de abril de 1992. A/47/40/(SUPP), Sustituye</w:t>
        <w:br/>
        <w:t>la Observación General No. 9, Trato humano de las personas privadas de</w:t>
        <w:br/>
        <w:t>libertad (Art. 10): 44° período de sesiones 1992, y CIDH, Principios y</w:t>
        <w:br/>
        <w:t>buenas prácticas sobre la protección de las personas privadas de libertad</w:t>
        <w:br/>
        <w:t>en las Américas. Adoptados durante el 131° Período de Ordinario de</w:t>
        <w:br/>
        <w:t>Sesiones, celebrado del 3 al 14 de marzo de 2008.</w:t>
        <w:br/>
        <w:t>[61]  Cfr. Caso Tibi Vs. Ecuador. Excepciones Preliminares, Fondo,</w:t>
        <w:br/>
        <w:t>Reparaciones y Costas. Sentencia de 7 de septiembre de 2004. Serie C No.</w:t>
        <w:br/>
        <w:t>114, párr. 150, y Caso Fleury y otros Vs. Haití. Fondo y Reparaciones.</w:t>
        <w:br/>
        <w:t>Sentencia de 23 de noviembre de 2011. Serie C No. 236, párr. 85.</w:t>
        <w:br/>
        <w:t>[62]  Cfr. Caso Montero Aranguren y otros (Retén de Catia) Vs. Venezuela.</w:t>
        <w:br/>
        <w:t>Excepción Preliminar, Fondo, Reparaciones y Costas. Sentencia de 5 de julio</w:t>
        <w:br/>
        <w:t>de 2006. Serie C No. 150, párr. 20, y Caso Vélez Loor Vs. Panamá. Excepción</w:t>
        <w:br/>
        <w:t>Preliminar, Fondo, Reparaciones y Costas. Sentencia de 23 de noviembre de</w:t>
        <w:br/>
        <w:t>2010. Serie C No. 218, párr. 204.</w:t>
        <w:br/>
        <w:t>[63]   Cfr. Artículo 5.4 de la Convención Americana de Derechos Humanos;</w:t>
        <w:br/>
        <w:t>Caso Tibi, supra nota 61, párr. 263, y Caso Servellón García y otros Vs.</w:t>
        <w:br/>
        <w:t>Honduras. Fondo, Reparaciones y Costas. Sentencia de 21 de septiembre de</w:t>
        <w:br/>
        <w:t>2006. Serie C No. 152, párr. 200.</w:t>
        <w:br/>
        <w:t>[64]  Cfr. Caso Vélez Loor, supra nota 62, párr. 216.</w:t>
        <w:br/>
        <w:t>[65]   Cfr. Caso López Álvarez Vs. Honduras. Fondo, Reparaciones y Costas.</w:t>
        <w:br/>
        <w:t>Sentencia de 1 de febrero de 2006. Serie C No. 141, párr. 209.</w:t>
        <w:br/>
        <w:t>[66]  Cfr. Caso Tibi, supra nota 61, párr. 156,  y  Caso  del  Penal  Miguel</w:t>
        <w:br/>
        <w:t>Castro Castro Vs. Perú. Fondo Reparaciones y  Costas.  Sentencia  de  25  de</w:t>
        <w:br/>
        <w:t>noviembre de 2006. Serie C No. 160, supra párr. 301.</w:t>
        <w:br/>
        <w:t>[67]  Cfr. Caso Montero Aranguren y otros (Retén de Catia), supra nota 62,</w:t>
        <w:br/>
        <w:t>párr. 146 y Caso Vélez Loor, supra nota 62,  párr. 204.</w:t>
        <w:br/>
        <w:t>[68]  Cfr. Caso Loayza Tamayo, supra  nota 14, párr. 58, y Caso del Penal</w:t>
        <w:br/>
        <w:t>Miguel Castro Castro, supra nota 66, párr. 315.</w:t>
        <w:br/>
        <w:t>[69]  Cfr. Caso Montero Aranguren y otros (Retén de Catia), supra nota 62,</w:t>
        <w:br/>
        <w:t>párr. 146, y Caso del Penal Miguel Castro Castro, supra nota 66, párr. 315.</w:t>
        <w:br/>
        <w:t>[70]  Cfr. Caso López Álvarez, supra  nota  65   y  Caso  del  Penal  Miguel</w:t>
        <w:br/>
        <w:t>Castro Castro, supra nota 66, párr. 319.</w:t>
        <w:br/>
        <w:t>[71]  Cfr. Caso Montero Aranguren y otros (Retén de Catia), supra nota 62,</w:t>
        <w:br/>
        <w:t>párr. 85 y Caso Vélez Loor, supra nota 62, párr. 198.</w:t>
        <w:br/>
        <w:t>[72]        Cfr. Caso Caesar Vs. Trinidad y Tobago.  Fondo,  Reparaciones  y</w:t>
        <w:br/>
        <w:t>Costas. Sentencia 11 de marzo 2005. Serie C No. 123, párr. 70, y  Resolución</w:t>
        <w:br/>
        <w:t>de la Corte Interamericana de Derechos  Humanos  de  27  de  enero  de  2009</w:t>
        <w:br/>
        <w:t>respecto de la Solicitud de Opinión Consultiva presentada  por  la  Comisión</w:t>
        <w:br/>
        <w:t>Interamericana de Derechos  Humanos:  Castigo  Corporal  a  Niños,  Niñas  y</w:t>
        <w:br/>
        <w:t>Adolescentes, Considerando 14.</w:t>
        <w:br/>
        <w:t>[73]  Cfr. Caso de los Niños y  Adolescentes  Privados  de  Libertad  en  el</w:t>
        <w:br/>
        <w:t>“Complexo do Tatuapé” de FEBEM. Medidas Provisionales  Respecto  de  Brasil.</w:t>
        <w:br/>
        <w:t>Resolución  de  la  Corte  Interamericana  de  Derechos  Humanos  de  30  de</w:t>
        <w:br/>
        <w:t>noviembre de 2005, Considerando 13, y Asunto de  la  Unidad  de  Internación</w:t>
        <w:br/>
        <w:t>Socioeducativa. Medidas Provisionales Respecto de Brasil. Resolución  de  la</w:t>
        <w:br/>
        <w:t>Corte Interamericana de  Derechos  Humanos  de  1  de  septiembre  de  2011,</w:t>
        <w:br/>
        <w:t>Considerando 21.</w:t>
        <w:br/>
        <w:t>[74]  Cfr. Caso “Instituto de Reeducación del Menor”, supra nota 59, párr.</w:t>
        <w:br/>
        <w:t>178.</w:t>
        <w:br/>
        <w:t>[75]  Cfr. Código de Seguridad Humana NFPA-101, adoptado por la National</w:t>
        <w:br/>
        <w:t>Fire Protection Association, Inc., Nueva Orleans, EEUU. Editada por el</w:t>
        <w:br/>
        <w:t>Consejo de Normas el 14 de enero de 2000, vigente a partir del 11 de</w:t>
        <w:br/>
        <w:t>febrero de 2000, Edición 2012, puntos 22.1.1.2.1 y 23.1.1.2.1.</w:t>
        <w:br/>
        <w:t>[76]  Cfr. Código de Seguridad Humana NFPA, supra nota 75, puntos</w:t>
        <w:br/>
        <w:t>23.3.4.4.2, 9.6.3.2 y 23.3.5.4.</w:t>
        <w:br/>
        <w:t>[77]  Cfr. Reglas de las Naciones Unidas para la protección de los menores</w:t>
        <w:br/>
        <w:t>privados de libertad, supra nota 60, Regla No. 32.</w:t>
        <w:br/>
        <w:t>[78]  Cfr. Caso de la Masacre de Las  Dos  Erres  Vs.  Guatemala.  Excepción</w:t>
        <w:br/>
        <w:t>Preliminar, Fondo, Reparaciones y Costas. Sentencia de 24  de  noviembre  de</w:t>
        <w:br/>
        <w:t>2009. Serie C No. 211  párr.  245,  y  Caso  Gelman  Vs.  Uruguay.  Fondo  y</w:t>
        <w:br/>
        <w:t>Reparaciones. Sentencia de 24 de febrero de 2011  Serie  C  No.  221,  párr.</w:t>
        <w:br/>
        <w:t>258.</w:t>
        <w:br/>
        <w:t>[79]  Cfr. Caso González y otras (“Campo Algodonero”) Vs. México.</w:t>
        <w:br/>
        <w:t>Excepción Preliminar, Fondo, Reparaciones y Costas. Sentencia de 16 de</w:t>
        <w:br/>
        <w:t>noviembre de 2009. Serie C No. 205 párr. 318. Ver también: Manual sobre la</w:t>
        <w:br/>
        <w:t>Prevención e Investigación Efectiva de Ejecuciones Extrajudiciales,</w:t>
        <w:br/>
        <w:t>Arbitrarias y Sumarias de Naciones Unidas (Protocolo de Minnesota). UN DOC</w:t>
        <w:br/>
        <w:t>E/ST/CSDHA/.12 (1991).</w:t>
        <w:br/>
        <w:t>[80]  Cfr. Caso de la “Panel Blanca” (Paniagua Morales y otros)  supra  nota</w:t>
        <w:br/>
        <w:t>7, párr. 108,  y  Caso  Chitay  Nech  y  otros  Vs.  Guatemala.  Excepciones</w:t>
        <w:br/>
        <w:t>Preliminares, Fondo, Reparaciones y Costas.  Sentencia  de  25  de  mayo  de</w:t>
        <w:br/>
        <w:t>2010. Serie C No. 212.</w:t>
        <w:br/>
        <w:t>[81]  El artículo 63.1 de la Convención dispone que “[c]uando decida que</w:t>
        <w:br/>
        <w:t>hubo violación de un derecho o libertad protegidos en [la] Convención, la</w:t>
        <w:br/>
        <w:t>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t>[82]  Cfr. Caso Velásquez Rodríguez Vs. Honduras.  Reparaciones  y  Costas.</w:t>
        <w:br/>
        <w:t>Sentencia de 21 de julio de 1989. Serie C No. 7, párr. 25, y Caso  González</w:t>
        <w:br/>
        <w:t>Medina y Familiares, supra nota 13, párr. 276.</w:t>
        <w:br/>
        <w:t>[83]  Cfr. Caso de los “Niños de la Calle” (Villagrán Morales y otros) Vs.</w:t>
        <w:br/>
        <w:t>Guatemala. Reparaciones y Costas. Sentencia de 26 de mayo de 2001. Serie C</w:t>
        <w:br/>
        <w:t>No. 77, párr. 62, y Caso González Medina y Familiares, supra nota 13, párr.</w:t>
        <w:br/>
        <w:t>276.</w:t>
        <w:br/>
        <w:t>[84]  Cfr. Caso Ticona Estrada y otros Vs. Bolivia. Fondo, Reparaciones y</w:t>
        <w:br/>
        <w:t>Costas. Sentencia de 27 de noviembre de 2008. Serie C No. 191, párr. 110, y</w:t>
        <w:br/>
        <w:t>Caso González Medina y Familiares, supra nota 13, párr. 278.</w:t>
        <w:br/>
        <w:t>[85]  Las cuales acompañan el cronograma de ejecución, supra nota 17.</w:t>
        <w:br/>
        <w:t>[86]  Cfr. Caso Velásquez Rodríguez. Reparaciones y Costas, supra nota 82,</w:t>
        <w:br/>
        <w:t>párrs. 25 a 27, y Caso González Medina y Familiares, supra nota 13, párr.</w:t>
        <w:br/>
        <w:t>279.</w:t>
        <w:br/>
        <w:t>[87]  La Comisión no indicó el nombre de dichos familiares.</w:t>
        <w:br/>
        <w:t>[88]   Cfr.  Caso  de  las  Masacres  de  Ituango  Vs.  Colombia.  Excepción</w:t>
        <w:br/>
        <w:t>Preliminar, Fondo, Reparaciones y Costas. Sentencia de 1 de julio  de  2006.</w:t>
        <w:br/>
        <w:t>Serie C No. 148, párr. 98, y Caso Fleury y otros, supra nota 61 párr. 21.</w:t>
        <w:br/>
        <w:t>[89]   Cfr.  Caso  de  la  Masacre  de  la  Rochela  Vs.  Colombia.   Fondo,</w:t>
        <w:br/>
        <w:t>Reparaciones y Costas. Sentencia de 11 de mayo de 2007.  Serie  C  No.  163,</w:t>
        <w:br/>
        <w:t>párr. 233 y Caso González Medina y Familiares, supra nota 13, párr. 281.</w:t>
        <w:br/>
        <w:t>[90]  Cfr. Caso Cantoral Benavides Vs. Perú. Reparaciones y Costas.</w:t>
        <w:br/>
        <w:t>Sentencia de 3 de diciembre de 2001. Serie C No. 88, párrs. 79-81, y Caso</w:t>
        <w:br/>
        <w:t>González Medina y familiares, supra nota 13, párr. 277.</w:t>
        <w:br/>
        <w:t>[91]  Cfr. “Las garantías de no repetición […] contribuirán a la</w:t>
        <w:br/>
        <w:t>prevención”. Principio 23 de los Principios y directrices básicos sobre el</w:t>
        <w:br/>
        <w:t>derecho de las víctimas de violaciones manifiestas de las normas</w:t>
        <w:br/>
        <w:t>internacionales de derechos humanos y de violaciones graves del derecho</w:t>
        <w:br/>
        <w:t>internacional humanitario a interponer recursos y obtener reparaciones. UN</w:t>
        <w:br/>
        <w:t>Doc. A/Res/60/147. Resolución aprobada por la Asamblea General de las</w:t>
        <w:br/>
        <w:t>Naciones Unidas el 16 de diciembre de 2005, Principio 23.</w:t>
        <w:br/>
        <w:t>[92]  Cfr. Caso Velásquez Rodríguez. Fondo,  supra nota 10,  párr.  166,  y</w:t>
        <w:br/>
        <w:t>Caso de la Masacre de las Dos Erres, supra nota 78, párr. 240.</w:t>
        <w:br/>
        <w:t>[93]  Cfr. Caso López Álvarez, supra nota 65, Punto Resolutivo Noveno.</w:t>
        <w:br/>
        <w:t>[94]  Cfr. Caso López Álvarez Vs. Honduras. Supervisión de Cumplimiento de</w:t>
        <w:br/>
        <w:t>Sentencia. Resolución de la Corte Interamericana de Derechos Humanos de 6</w:t>
        <w:br/>
        <w:t>febrero de 2008, Punto Considerativo 20.</w:t>
        <w:br/>
        <w:t>[95]  El cronograma de ejecución señala que, para la mejora de los nueve</w:t>
        <w:br/>
        <w:t>centros, se realizará: a) un diagnóstico de necesidades estructurales en el</w:t>
        <w:br/>
        <w:t>periodo abril – diciembre de 2012; b) aprobación del decreto de</w:t>
        <w:br/>
        <w:t>remodelación en enero de 2014, y c) mejora de condiciones física de febrero</w:t>
        <w:br/>
        <w:t>de 2014 a 2015.</w:t>
        <w:br/>
        <w:t>[96]   Cfr. Caso Montero Aranguren y otros (Retén de Catia,) supra nota 62</w:t>
        <w:br/>
        <w:t>párr. 90, y Asunto de determinados Centros Penitenciarios de Venezuela.</w:t>
        <w:br/>
        <w:t>Resolución de la Corte Interamericana de Derechos Humanos de 6 de julio de</w:t>
        <w:br/>
        <w:t>2011, Considerandos 7, 8 y 9.</w:t>
        <w:br/>
        <w:t>[97]  Cfr. Caso Instituto de Reeducación del Menor, supra nota 59 párr.</w:t>
        <w:br/>
        <w:t>159, y Caso López Álvarez, supra nota 65, párr. 209.</w:t>
        <w:br/>
        <w:t>[98]  El cronograma de ejecución señala que el anteproyecto de ley se</w:t>
        <w:br/>
        <w:t>enviará al Congreso el 1 de septiembre de 2012.</w:t>
        <w:br/>
        <w:t>[99]  El cronograma de ejecución señala que la aprobación y publicación del</w:t>
        <w:br/>
        <w:t>acuerdo ejecutivo de la reforma reglamentaria se dará en noviembre de 2012.</w:t>
        <w:br/>
        <w:br/>
        <w:t>[100]       El cronograma de ejecución señala como plazos: para la</w:t>
        <w:br/>
        <w:t>conformación de la Comisión para la elaboración de la propuesta los meses</w:t>
        <w:br/>
        <w:t>de marzo – junio de 2012; acuerdo ejecutivo instalación de la Comisión,</w:t>
        <w:br/>
        <w:t>julio de 2012; elaboración de la propuesta, octubre – noviembre de 2012;</w:t>
        <w:br/>
        <w:t>aprobación y entrada en vigencia del Manual, socializar propuesta, febrero</w:t>
        <w:br/>
        <w:t>– mayo de 2013.</w:t>
        <w:br/>
        <w:t>[101]       Informe del Comisionado Nacional de los Derechos Humanos</w:t>
        <w:br/>
        <w:t>(CONADEH) de 2003, Capítulo II: Seguridad y Justicia (expediente de anexos</w:t>
        <w:br/>
        <w:t>al informe de fondo de la Comisión, tomo II, folio 981).</w:t>
        <w:br/>
        <w:t>[102]       Cfr. ONU, Comité de Derechos Humanos, Observaciones finales con</w:t>
        <w:br/>
        <w:t>respecto a Honduras, UN DOC CCPR/C/HND/CO/1, 13 de diciembre de 2006, párr.</w:t>
        <w:br/>
        <w:t>13.</w:t>
        <w:br/>
        <w:t>[103]       Cfr. ONU, Comité contra la Tortura, Observaciones finales con</w:t>
        <w:br/>
        <w:t>respecto a Honduras, UN DOC CAT/C/HND/CO/1, de 23 de junio de 2009, párr.</w:t>
        <w:br/>
        <w:t>19.</w:t>
        <w:br/>
        <w:t>[104]       Cfr. ONU, Comité de los Derechos del Niño, Observaciones</w:t>
        <w:br/>
        <w:t>finales con respecto a Honduras, UN DOC CRC/C/HND/CO/3, 2 de mayo de 2007,</w:t>
        <w:br/>
        <w:t>párr. 80.</w:t>
        <w:br/>
        <w:t>[105]       Cfr. ONU, Grupo de Trabajo sobre Detención Arbitraria, Informe</w:t>
        <w:br/>
        <w:t>sobre Misión a Honduras, UN DOC A/HRC/4/40/Add.4, 1 de diciembre de 2006,</w:t>
        <w:br/>
        <w:t>párrs. 86 a 92.</w:t>
        <w:br/>
        <w:t>[106]       Cfr. Comisión Interamericana de Derechos Humanos, Justicia</w:t>
        <w:br/>
        <w:t>Juvenil y Derechos Humanos en las Américas, Relatoría sobre los Derechos de</w:t>
        <w:br/>
        <w:t>la Niñez, Documento OEA/Ser.L/V/II. Doc. 78, de 13 de julio de 2011, párr.</w:t>
        <w:br/>
        <w:t>131.</w:t>
        <w:br/>
        <w:t>[107]       Al respecto, Marco Antonio Canteo manifestó que “el tipo penal</w:t>
        <w:br/>
        <w:t>de asociación ilícita al no establecer el alcance y las características que</w:t>
        <w:br/>
        <w:t>definen la pertenencia a una mara o pandilla hace sumamente difícil que el</w:t>
        <w:br/>
        <w:t>Ministerio Público pueda construir la base fáctica y llevar a juicio a las</w:t>
        <w:br/>
        <w:t>personas acu[sa]das por este delito. […] Esto abre una posibilidad latente</w:t>
        <w:br/>
        <w:t>que sean los operadores de justicia […] quienes completen la regulación</w:t>
        <w:br/>
        <w:t>típica por esa indeterminación mencionada, violando con ello el principio</w:t>
        <w:br/>
        <w:t>de legalidad, en vertiente de reserva absoluta de la ley, ya que solo al</w:t>
        <w:br/>
        <w:t>órgano legislativo le corresponde la facultad de regular el alcance de la</w:t>
        <w:br/>
        <w:t>ley” y que “[l]a descripción típica del artículo 332 del Código Penal</w:t>
        <w:br/>
        <w:t>hondureño, al incorporar los conceptos “se sancionara […] a los jefes o</w:t>
        <w:br/>
        <w:t>cabecillas de mara o pandilla”, contradice de forma incuestionable el</w:t>
        <w:br/>
        <w:t>principio de culpabilidad en su vertiente de responsabilidad por el hecho y</w:t>
        <w:br/>
        <w:t>abre una puerta peligrosa para la persecución por la simple sospecha,</w:t>
        <w:br/>
        <w:t>apariencia y por prejuicios”. Declaración pericial rendida por el señor</w:t>
        <w:br/>
        <w:t>Marco Antonio Canteo en audiencia pública del caso el 28 de febrero de 2012</w:t>
        <w:br/>
        <w:t>(expediente de fondo, tomo I, folios. 621 a 645), y ver: Cfr. Declaración</w:t>
        <w:br/>
        <w:t>pericial rendida por el señor Carlos Tiffer-Sotomayor  durante la audiencia</w:t>
        <w:br/>
        <w:t>pública del Caso Servellón García y otros Vs. Honduras el 19 de diciembre</w:t>
        <w:br/>
        <w:t>de 2005, incorporado al acervo probatorio mediante el punto resolutivo 13</w:t>
        <w:br/>
        <w:t>de la Resolución del Presidente de la Corte de 27 de enero de 2012, supra</w:t>
        <w:br/>
        <w:t>nota 4 (expediente de fondo, tomo II, folios 834 a 854).</w:t>
        <w:br/>
        <w:t>[108] Cfr.  Caso   de  la  Panel  Blanca  (Paniagua  Morales  y  otros)  Vs.</w:t>
        <w:br/>
        <w:t>Guatemala. Reparaciones y Costas. Sentencia de 25 de mayo de 2001.  Serie  C</w:t>
        <w:br/>
        <w:t>No. 76, párr. 203, y Caso  Fontevecchia  y  D`Amico  Vs.  Argentina.  Fondo,</w:t>
        <w:br/>
        <w:t>Reparaciones y Costas. Sentencia de 29 de noviembre de  2011.  Serie  C  No.</w:t>
        <w:br/>
        <w:t>238, párr. 85.</w:t>
        <w:br/>
        <w:t>[109]       Cfr. Caso Castillo Petruzzi y otros Vs. Perú. Fondo,</w:t>
        <w:br/>
        <w:t>Reparaciones y Costas. Sentencia de 30 de mayo de 1999. Serie C No. 52,</w:t>
        <w:br/>
        <w:t>párr. 121, y Caso Usón Ramírez Vs. Venezuela. Excepción Preliminar, Fondo,</w:t>
        <w:br/>
        <w:t>Reparaciones y Costas. Sentencia de 20 de noviembre de 2009. Serie C No.</w:t>
        <w:br/>
        <w:t>207, párr. 55.</w:t>
        <w:br/>
        <w:t>[110]       Cfr. Caso De La Cruz Flores Vs. Perú. Fondo, Reparaciones y</w:t>
        <w:br/>
        <w:t>Costas. Sentencia de 18 de noviembre de 2004. Serie C No. 115, párrs. 79-</w:t>
        <w:br/>
        <w:t>82, y Caso Yvon Neptune Vs. Haití. Fondo, Reparaciones y Costas. Sentencia</w:t>
        <w:br/>
        <w:t>de 6 de mayo de 2008. Serie C No. 180, párr. 125.</w:t>
        <w:br/>
        <w:t>[111] Cfr. Caso García Asto y Ramírez Rojas. Sentencia de  28  de  noviembre</w:t>
        <w:br/>
        <w:t>de 2005. Serie C No. 137, párr. 105, y Caso Servellón García y otros,  supra</w:t>
        <w:br/>
        <w:t xml:space="preserve"> nota 63, párr. 90.</w:t>
        <w:br/>
        <w:t>[112] Cfr. Caso López Álvarez,  supra  nota 65 párr. 69, y Caso Servellón</w:t>
        <w:br/>
        <w:t>García y otros, supra nota 63, párr. 90.</w:t>
        <w:br/>
        <w:t>[113]       Cfr. Caso Servellón García y otros, supra nota 63, párr. 92.</w:t>
        <w:br/>
        <w:t>[114]       Cfr. Caso Servellón García y otros, supra nota 63, párr. 93.</w:t>
        <w:br/>
        <w:t>[115] Cfr. Caso Bulacio Vs. Argentina. Fondo, Reparaciones y Costas.</w:t>
        <w:br/>
        <w:t>Sentencia de 18 de septiembre de 2003. Serie C No. 100, párr. 137, y Caso</w:t>
        <w:br/>
        <w:t>Servellón García y otros, supra nota 63, párr. 93.</w:t>
        <w:br/>
        <w:t>[116]       Honduras firmó el 8 de diciembre de 2004 el Protocolo</w:t>
        <w:br/>
        <w:t>Facultativo de la Convención contra la Tortura y lo ratificó el 23 de mayo</w:t>
        <w:br/>
        <w:t>de 2006. En este sentido, el Estado de Honduras, en el derecho interno,</w:t>
        <w:br/>
        <w:t>aprobó la Ley del Mecanismo Nacional de Prevención contra la Tortura y</w:t>
        <w:br/>
        <w:t>otros Tratos Crueles, Inhumanos o Degradantes (en adelante “el MNP”) de 5</w:t>
        <w:br/>
        <w:t>de diciembre de 2008, cuyo objeto es la integración y el establecimiento</w:t>
        <w:br/>
        <w:t>técnico, institucional y presupuestario del MNP ejercido por el Comité</w:t>
        <w:br/>
        <w:t>Nacional de Prevención contra la Tortura, Tratos Crueles, Inhumanos o</w:t>
        <w:br/>
        <w:t>Degradantes. Al respecto, el Subcomité para la Prevención de la Tortura y</w:t>
        <w:br/>
        <w:t>otros Tratos o Penas Crueles, Inhumanos o Degradantes, en su Informe sobre</w:t>
        <w:br/>
        <w:t>la visita a Honduras de 10 de febrero de 2010, expresó su satisfacción con</w:t>
        <w:br/>
        <w:t>la referida Ley y su contenido; sin embargo, en su Tercer Informe Anual de</w:t>
        <w:br/>
        <w:t>25 de marzo de 2010, el Subcomité destacó que el Estado al momento de la</w:t>
        <w:br/>
        <w:t>visita todavía no había elegido a los integrantes del MNP; en su Cuarto</w:t>
        <w:br/>
        <w:t>Informe Anual de 3 de febrero de 2011 no se pronunció al respecto. El</w:t>
        <w:br/>
        <w:t>Subcomité realizaría una visita de seguimiento a Honduras de 30 de abril al</w:t>
        <w:br/>
        <w:t>4 de mayo de 2012.</w:t>
        <w:br/>
        <w:t>[117]       Declaración pericial rendida por el señor Mario Luis Coriolano</w:t>
        <w:br/>
        <w:t>en audiencia pública del caso el 28 de febrero de 2012.</w:t>
        <w:br/>
        <w:t>[118]       Al respecto, el perito añadió que los dos niveles de</w:t>
        <w:br/>
        <w:t>responsabilidad, “a la vez se vinculan con dos núcleos conceptuales, [uno]</w:t>
        <w:br/>
        <w:t>vinculado a lo penitenciario en un sentido amplio como lugares de encierro,</w:t>
        <w:br/>
        <w:t>[asociado] a la protección de la vida, la integridad física y al trato</w:t>
        <w:br/>
        <w:t>digno; [y el otro] vinculado a la seguridad en un sentido estricto</w:t>
        <w:br/>
        <w:t>[asociado] a la protección de las personas privadas de libertad para evitar</w:t>
        <w:br/>
        <w:t>fugas, motines e incendios [ambos núcleos]. En nuestra región han llegado a</w:t>
        <w:br/>
        <w:t>un punto que […] llevan a que la tasa de prisionización sea reducida”; esta</w:t>
        <w:br/>
        <w:t>reducción puede ser conseguida estableciendo penas alternativas a la</w:t>
        <w:br/>
        <w:t>privación de libertad y promoviendo programas de resocialización y</w:t>
        <w:br/>
        <w:t>rehabilitación en los centros penales. Declaración pericial rendida por el</w:t>
        <w:br/>
        <w:t>señor Mario Luis Coriolano, supra nota 117.</w:t>
        <w:br/>
        <w:t>[119]       Cfr. Caso De la Masacre de las Dos Erres, supra nota 78, párr.</w:t>
        <w:br/>
        <w:t>270, y Caso González Medina y familiares, supra nota 13 párr. 293.</w:t>
        <w:br/>
        <w:t>[120] Cfr. Caso 19 Comerciantes Vs. Colombia. Fondo, Reparaciones y  Costas.</w:t>
        <w:br/>
        <w:t>Sentencia de 5 de julio de  2004.  Serie  C  No.  109,  párr.  278,  y  Caso</w:t>
        <w:br/>
        <w:t>González Medina y familiares, supra nota 13, párr. 293.</w:t>
        <w:br/>
        <w:t>[121]       Cfr. Caso Fernández Ortega y otros Vs. México. Excepción</w:t>
        <w:br/>
        <w:t>Preliminar, Fondo, Reparaciones y Costas. Sentencia de 30 de agosto de</w:t>
        <w:br/>
        <w:t>2010. Serie C No. 215, párr. 252, y Caso González Medina y familiares,</w:t>
        <w:br/>
        <w:t>supra nota 13, párr. 293.</w:t>
        <w:br/>
        <w:t>[122]       Los representantes solicitaron las siguientes medidas de</w:t>
        <w:br/>
        <w:t>reparación: a) la publicación, a costa del Estado, de un documento que</w:t>
        <w:br/>
        <w:t>sistematice y recupere la memoria histórica de los acontecimientos,</w:t>
        <w:br/>
        <w:t>elaborado por los representantes de las víctimas y sus familiares; b) el</w:t>
        <w:br/>
        <w:t>establecimiento de una fundación a cargo del Estado, con su propia</w:t>
        <w:br/>
        <w:t>personería jurídica, independiente de este, pero dependiente de la Iglesia</w:t>
        <w:br/>
        <w:t>Católica, cuyo objetivo fundacional sea la investigación y estudio de las</w:t>
        <w:br/>
        <w:t>causas y consecuencias que originan la violencia en el país, así como el</w:t>
        <w:br/>
        <w:t>apoyo y acompañamiento a víctimas de la misma; c) la concertación y</w:t>
        <w:br/>
        <w:t>aprobación de propuesta y sus correspondientes metodologías de</w:t>
        <w:br/>
        <w:t>socialización, presentada por organizaciones de derechos humanos y</w:t>
        <w:br/>
        <w:t>similares, que defina nuevas políticas públicas de seguridad ciudadana; d)</w:t>
        <w:br/>
        <w:t>un acto público de rechazo y abandono de las actuales políticas públicas de</w:t>
        <w:br/>
        <w:t>seguridad, especialmente en lo atinente al combate de la delincuencia</w:t>
        <w:br/>
        <w:t>organizada, y e) la instalación formal de una Comisión juramentada por el</w:t>
        <w:br/>
        <w:t>Congreso Nacional, conformada por un equipo multidisciplinario e</w:t>
        <w:br/>
        <w:t>interinstitucional de organizaciones de derechos humanos y agentes del</w:t>
        <w:br/>
        <w:t>Estado, con el objetivo de dar seguimiento a la sentencia resultante de</w:t>
        <w:br/>
        <w:t>este juicio, bajo la supervisión de esta Corte.</w:t>
        <w:br/>
        <w:t>[123]       Cfr. Caso Juan Humberto Sánchez Vs. Honduras. Excepción</w:t>
        <w:br/>
        <w:t>Preliminar, Fondo, Reparaciones y Costas. Sentencia de 7 de junio de 2003.</w:t>
        <w:br/>
        <w:t>Serie C No. 99, párrs. 127 y 132, y Caso González Medina y familiares,</w:t>
        <w:br/>
        <w:t>supra nota 13, párr. 204.</w:t>
        <w:br/>
        <w:t>[124]       Cfr. Caso Almonacid Arellano  y  otros  Vs.  Chile.  Excepciones</w:t>
        <w:br/>
        <w:t>Preliminares, Fondo, Reparaciones y Costas. Sentencia de  26  de  septiembre</w:t>
        <w:br/>
        <w:t>de 2006. Serie C No. 154 párr. 150, y Caso Contreras  y  otros,  supra  nota</w:t>
        <w:br/>
        <w:t>18, párr. 135.</w:t>
        <w:br/>
        <w:t>[125] Cfr. Caso de la Masacre de Pueblo Bello Vs.  Colombia.  Interpretación</w:t>
        <w:br/>
        <w:t>de la Sentencia  de  Fondo,  Reparaciones  y  Costas.  Sentencia  de  25  de</w:t>
        <w:br/>
        <w:t>noviembre de 2006. Serie C No. 159 párr. y Caso Ibsen Cárdenas e Ibsen  Peña</w:t>
        <w:br/>
        <w:t>Vs. Bolivia. Fondo, Reparaciones y Costas. Sentencia de 1 de  septiembre  de</w:t>
        <w:br/>
        <w:t>2010 Serie C No. 217, párr. 65.</w:t>
        <w:br/>
        <w:t>[126]       Cfr. Caso Velásquez Rodríguez, Fondo,  supra nota 10, párr.</w:t>
        <w:br/>
        <w:t>174, y Caso Contreras y otros, supra nota 18, párr. 185.</w:t>
        <w:br/>
        <w:t>[127] Cfr. Caso Velásquez Rodríguez. Fondo, supra  nota  10,  párr.  177,  y</w:t>
        <w:br/>
        <w:t>Caso González Medina y familiares, supra nota 13, párr. 203.</w:t>
        <w:br/>
        <w:t>[128]  Cfr.  Caso  Del  Caracazo  Vs.  Venezuela.  Reparaciones  y  Costas.</w:t>
        <w:br/>
        <w:t>Sentencia de 29 de agosto de 2002. Serie  C  No.  95,  párr.  118,  y  Caso</w:t>
        <w:br/>
        <w:t>Contreras y otros, supra nota 18, párr. 187.</w:t>
        <w:br/>
        <w:t>[129]       Caso Bámaca Velásquez Vs.  Guatemala.  Reparaciones  y  Costas.</w:t>
        <w:br/>
        <w:t>Sentencia de 22 de febrero de 2002. Serie  C  No.  91,  párr.  43,  y  Caso</w:t>
        <w:br/>
        <w:t>González Medina y familiares, supra nota 13, párr. 276.</w:t>
        <w:br/>
        <w:t>[130]       Caso de los “Niños de la Calle” (Villagrán Morales y otros)</w:t>
        <w:br/>
        <w:t>supra nota 83, párr. 84, y Caso González Medina y familiares, supra nota</w:t>
        <w:br/>
        <w:t>13, párr. 315.</w:t>
        <w:br/>
        <w:t>[131]       Cfr. Caso Garrido y Baigorria Vs. Argentina. Reparaciones y</w:t>
        <w:br/>
        <w:t>Costas. Sentencia de 27 de agosto de 1998. Serie C No. 39, párr. 79 y Caso</w:t>
        <w:br/>
        <w:t>González Medida y familiares, supra nota 13, párr. 325.</w:t>
        <w:br/>
        <w:t xml:space="preserve"> [132][133] Art. 66.2 de la Convención Americana: “Si el fallo no  expresare</w:t>
        <w:br/>
        <w:t xml:space="preserve"> en todo o en parte la opinión unánime de los jueces,  cualquiera  de  éstos</w:t>
        <w:br/>
        <w:t xml:space="preserve"> tendrá  derecho  a  que  se  agregue  al  fallo  su  opinión  disidente   o</w:t>
        <w:br/>
        <w:t xml:space="preserve"> individual”.</w:t>
        <w:br/>
        <w:br/>
        <w:t>[134] Aprobado por la Corte en su LXXXV Período Ordinario de Sesiones,</w:t>
        <w:br/>
        <w:t>celebrado del 16 al 28 de noviembre de 2009.</w:t>
        <w:br/>
        <w:t>[135] Aprobada el 22 de noviembre de 1969, en la Conferencia Especializada</w:t>
        <w:br/>
        <w:t>Interamericana sobre Derechos Humanos, San José, Costa Rica, entrando en</w:t>
        <w:br/>
        <w:t>vigor el 18 de julio de 1978 y actualmente la han ratificado 24 Estados.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