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t>Corte Interamericana de Derechos Humanos</w:t>
        <w:br/>
        <w:br/>
        <w:br/>
        <w:t xml:space="preserve">                         Caso Castillo Páez Vs.Perú</w:t>
        <w:br/>
        <w:br/>
        <w:br/>
        <w:br/>
        <w:t xml:space="preserve">                      Sentencia de 30 de enero de 1996</w:t>
        <w:br/>
        <w:t xml:space="preserve">                         (Excepciones Preliminares)</w:t>
        <w:br/>
        <w:br/>
        <w:br/>
        <w:br/>
        <w:t>En el caso Castillo Páez,</w:t>
        <w:br/>
        <w:br/>
        <w:br/>
        <w:t>la Corte Interamericana de Derechos Humanos, integrada  por  los  siguientes</w:t>
        <w:br/>
        <w:t>jueces(*):</w:t>
        <w:br/>
        <w:br/>
        <w:br/>
        <w:t xml:space="preserve">         Héctor Fix-Zamudio, Presidente</w:t>
        <w:br/>
        <w:t xml:space="preserve">         Hernán Salgado Pesantes, Vicepresidente</w:t>
        <w:br/>
        <w:t xml:space="preserve">         Alejandro Montiel Argüello, Juez</w:t>
        <w:br/>
        <w:t xml:space="preserve">         Máximo Pacheco Gómez, Juez</w:t>
        <w:br/>
        <w:t xml:space="preserve">         Alirio Abreu Burelli, Juez</w:t>
        <w:br/>
        <w:t xml:space="preserve">         Antônio A. Cançado Trindade, Juez</w:t>
        <w:br/>
        <w:br/>
        <w:br/>
        <w:t>presentes, además,</w:t>
        <w:br/>
        <w:br/>
        <w:br/>
        <w:t xml:space="preserve">         Manuel E. Ventura Robles, Secretario y</w:t>
        <w:br/>
        <w:t xml:space="preserve">         Ana María Reina, Secretaria adjunta</w:t>
        <w:br/>
        <w:br/>
        <w:br/>
        <w:t>de acuerdo con el artículo 31.6 del Reglamento de  la  Corte  Interamericana</w:t>
        <w:br/>
        <w:t>de Derechos Humanos  (en  adelante  “el  Reglamento”),  dicta  la  siguiente</w:t>
        <w:br/>
        <w:t>sentencia sobre las excepciones preliminares interpuestas  por  el  Gobierno</w:t>
        <w:br/>
        <w:t>de la República del Perú (en adelante “el Gobierno” o “Perú”).</w:t>
        <w:br/>
        <w:br/>
        <w:br/>
        <w:t xml:space="preserve">                                      I</w:t>
        <w:br/>
        <w:br/>
        <w:t>1.    Este caso fue sometido a la Corte Interamericana de  Derechos  Humanos</w:t>
        <w:br/>
        <w:t>(en adelante “la  Corte”  o  “la  Corte  Interamericana”)  por  la  Comisión</w:t>
        <w:br/>
        <w:t>Interamericana  de  Derechos  Humanos  (en  adelante  “la  Comisión”  o  “la</w:t>
        <w:br/>
        <w:t>Comisión Interamericana”) mediante escrito de 12 de enero de 1995,  recibido</w:t>
        <w:br/>
        <w:t>el  día  siguiente  en  la  Secretaría  de  la  Corte   (en   adelante   “la</w:t>
        <w:br/>
        <w:t>Secretaría”).  Se originó en una denuncia (Nº 10.733) contra  Perú  recibida</w:t>
        <w:br/>
        <w:t>en la Secretaría de la Comisión el 16 de noviembre de 1990.</w:t>
        <w:br/>
        <w:br/>
        <w:t>2.    Al presentar el caso ante la Corte, la Comisión invocó  los  artículos</w:t>
        <w:br/>
        <w:t>50 y 51 de la Convención Americana sobre Derechos Humanos (en  adelante  “la</w:t>
        <w:br/>
        <w:t>Convención” o “la Convención Americana”) y los  artículos  26  y  siguientes</w:t>
        <w:br/>
        <w:t>del Reglamento.  La Comisión sometió este caso para que la  Corte  decidiera</w:t>
        <w:br/>
        <w:t>si hubo violación, por parte del Gobierno, de los  siguientes  artículos  de</w:t>
        <w:br/>
        <w:t>la Convención:  7  (Derecho  a  la  Libertad  Personal),  5  (Derecho  a  la</w:t>
        <w:br/>
        <w:t>Integridad Personal), 4 (Derecho a la Vida), 8 (Garantías Judiciales)  y  25</w:t>
        <w:br/>
        <w:t>(Protección Judicial), todos ellos  en  concordancia  con  el  artículo  1.1</w:t>
        <w:br/>
        <w:t>(Obligación de Respetar  los  Derechos)  de  la  misma  Convención,  por  el</w:t>
        <w:br/>
        <w:t>supuesto “secuestro y posterior  desaparición  de  Ernesto  Rafael  Castillo</w:t>
        <w:br/>
        <w:t>Páez por  parte  de  la  Policía  Nacional  del  Perú  en  violación  de  la</w:t>
        <w:br/>
        <w:t>Convención ”.</w:t>
        <w:br/>
        <w:br/>
        <w:t>Además, la Comisión pidió a la Corte:</w:t>
        <w:br/>
        <w:br/>
        <w:t xml:space="preserve">    2.      Que  ordene  al  gobierno  de  Perú  que  lleve  a   cabo   las</w:t>
        <w:br/>
        <w:t xml:space="preserve">    investigaciones necesarias para identificar, juzgar y sancionar  a  los</w:t>
        <w:br/>
        <w:t xml:space="preserve">    culpables de la desaparición forzada de Ernesto Rafael Castillo Páez.</w:t>
        <w:br/>
        <w:br/>
        <w:br/>
        <w:t xml:space="preserve">    3.     Que pida al Gobierno del Perú que informe sobre el  paradero  de</w:t>
        <w:br/>
        <w:t xml:space="preserve">    Ernesto Rafael Castillo Páez a sus familiares y localice y entregue los</w:t>
        <w:br/>
        <w:t xml:space="preserve">    restos de la víctima a sus familiares.</w:t>
        <w:br/>
        <w:br/>
        <w:br/>
        <w:t xml:space="preserve">    4.     Que declare que el Estado peruano debe reparar plenamente, tanto</w:t>
        <w:br/>
        <w:t xml:space="preserve">    material como moralmente, a los familiares de Ernesto  Rafael  Castillo</w:t>
        <w:br/>
        <w:t xml:space="preserve">    Páez por  el  grave  daño  sufrido  a  consecuencia  de  las  múltiples</w:t>
        <w:br/>
        <w:t xml:space="preserve">    violaciones de derechos protegidos en la  Convención.   Que,  asimismo,</w:t>
        <w:br/>
        <w:t xml:space="preserve">    declare el deber del Estado de compensar material y moralmente  al  Dr.</w:t>
        <w:br/>
        <w:t xml:space="preserve">    Augusto Zúñiga Paz por los  daños  sufridos  como  consecuencia  de  la</w:t>
        <w:br/>
        <w:t xml:space="preserve">    defensa del joven Castillo Páez.</w:t>
        <w:br/>
        <w:br/>
        <w:br/>
        <w:t xml:space="preserve">    5.     Que condene al Gobierno peruano  a  pagar  las  costas  de  este</w:t>
        <w:br/>
        <w:t xml:space="preserve">    proceso, incluyendo los honorarios de los profesionales que han actuado</w:t>
        <w:br/>
        <w:t xml:space="preserve">    como representantes de  la  víctima  tanto  en  su  desempeño  ante  la</w:t>
        <w:br/>
        <w:t xml:space="preserve">    Comisión como en la tramitación del caso ante la Corte.</w:t>
        <w:br/>
        <w:br/>
        <w:br/>
        <w:t>3.     La  Comisión  Interamericana  designó  como  su  delegado  a  Patrick</w:t>
        <w:br/>
        <w:t>Robinson, miembro y como sus abogados a Edith Márquez Rodríguez,  Secretaria</w:t>
        <w:br/>
        <w:t>ejecutiva y Domingo E. Acevedo, asesor especial de la Secretaría.  Como  sus</w:t>
        <w:br/>
        <w:t xml:space="preserve"> asistentes la Comisión designó a  las  siguientes  personas:  Juan  Méndez,</w:t>
        <w:br/>
        <w:t>José Miguel Vivanco, Ronald Gamarra,  Kathia  Salazar,  Viviana  Krsticevic,</w:t>
        <w:br/>
        <w:t>Verónica Gómez y Ariel E.  Dulitzky,  quienes  representaron  al  reclamante</w:t>
        <w:br/>
        <w:t>ante la Comisión en calidad de peticionarios.</w:t>
        <w:br/>
        <w:br/>
        <w:t>4.    El 9  de  febrero  de  1995  la  Secretaría  notificó  la  demanda  al</w:t>
        <w:br/>
        <w:t>Gobierno, después de haber realizado el Presidente de la Corte (en  adelante</w:t>
        <w:br/>
        <w:t>“el Presidente”) su examen preliminar, y  le  informó  que  disponía  de  un</w:t>
        <w:br/>
        <w:t>plazo de tres meses para  responderla,  de  dos  semanas  para  designar  un</w:t>
        <w:br/>
        <w:t>agente y un agente  alterno  y  de  treinta  días  para  oponer  excepciones</w:t>
        <w:br/>
        <w:t>preliminares y, además, se le invitó a nombrar Juez  ad  hoc.   El  Gobierno</w:t>
        <w:br/>
        <w:t>recibió dicha notificación el 13 de febrero de 1995.</w:t>
        <w:br/>
        <w:br/>
        <w:t>5.    Por escrito de 23 de marzo de 1995  el  Gobierno  designó,  para  este</w:t>
        <w:br/>
        <w:t>caso, a Mario Cavagnaro Basile como agente y, el día siguiente,  aclaró  que</w:t>
        <w:br/>
        <w:t>había designado a Julio Mazuelos Coello  como  agente  alterno.   El  23  de</w:t>
        <w:br/>
        <w:t>septiembre de 1995 el Gobierno designó a Iván Fernández López como asesor.</w:t>
        <w:br/>
        <w:br/>
        <w:t>6.    Por medio de comunicación de 15 de  marzo  de  1995,  recibida  en  la</w:t>
        <w:br/>
        <w:t>Secretaría el 24 de los mismos mes y año y de acuerdo con lo que dispone  el</w:t>
        <w:br/>
        <w:t>artículo  31.1   del   Reglamento,   el   Gobierno   interpuso   excepciones</w:t>
        <w:br/>
        <w:t>preliminares sobre el caso;  alegó  las  de  “falta  de  agotamiento  de  la</w:t>
        <w:br/>
        <w:t>jurisdicción interna” (en mayúsculas en el original) e  “inadmisibilidad  de</w:t>
        <w:br/>
        <w:t>la demanda” (en mayúsculas en el original).  Mediante nota de  24  de  marzo</w:t>
        <w:br/>
        <w:t>de 1995, recibida el 3 de abril de 1995,  el  Gobierno  remitió  un  escrito</w:t>
        <w:br/>
        <w:t>sustentatorio a las excepciones preliminares.</w:t>
        <w:br/>
        <w:br/>
        <w:t>7.    En el mismo escrito el Gobierno, de acuerdo con el artículo  31.4  del</w:t>
        <w:br/>
        <w:t>Reglamento, solicitó a la Corte “declarar la  suspensión  del  procedimiento</w:t>
        <w:br/>
        <w:t>sobre el fondo hasta que sean resueltas  las  excepciones  deducidas”.   Por</w:t>
        <w:br/>
        <w:t>Resolución de 17  de  mayo  de  1995,  la  Corte  declaró  “improcedente  la</w:t>
        <w:br/>
        <w:t>solicitud  del  Gobierno  de  la  República  del  Perú   de   suspender   el</w:t>
        <w:br/>
        <w:t>procedimiento sobre el fondo del asunto y continuar con la  tramitación  del</w:t>
        <w:br/>
        <w:t>caso en  sus  distintas  etapas  procesales”  debido  a  que  la  suspensión</w:t>
        <w:br/>
        <w:t>solicitada no respondía a una “situación excepcional” y  no  se  presentaron</w:t>
        <w:br/>
        <w:t>argumentos que la justificaran.</w:t>
        <w:br/>
        <w:br/>
        <w:t>8.    El 27 de abril de 1995 la Comisión remitió un escrito  a  la  Corte  a</w:t>
        <w:br/>
        <w:t>fin  de  solicitar  que   se   declararan   inadmisibles   las   excepciones</w:t>
        <w:br/>
        <w:t>preliminares interpuestas por el Gobierno y, al día  siguiente,  remitió  la</w:t>
        <w:br/>
        <w:t>contestación a las excepciones preliminares  presentadas  por  el  Gobierno.</w:t>
        <w:br/>
        <w:t>Por su parte Perú remitió a la Corte otro escrito de fecha 13  de  junio  de</w:t>
        <w:br/>
        <w:t>1995, referente a dichas excepciones.</w:t>
        <w:br/>
        <w:br/>
        <w:t>9.    El 8 de mayo de 1995  el  Gobierno  presentó  su  contestación  de  la</w:t>
        <w:br/>
        <w:t>demanda.</w:t>
        <w:br/>
        <w:br/>
        <w:t>10.   Mediante Resolución de 20  de  mayo  de  1995  el  Presidente  dispuso</w:t>
        <w:br/>
        <w:t>convocar a una audiencia pública en la sede de la Corte para el  día  12  de</w:t>
        <w:br/>
        <w:t>septiembre del mismo año.  La Comisión solicitó verbalmente  la  posposición</w:t>
        <w:br/>
        <w:t>de dicha audiencia.  Por Resolución del Presidente de 30 de junio  de  1995,</w:t>
        <w:br/>
        <w:t>la fijación original de la audiencia pública fue modificada para  el  23  de</w:t>
        <w:br/>
        <w:t>septiembre con el fin de oír las  observaciones  de  las  partes  sobre  las</w:t>
        <w:br/>
        <w:t>excepciones preliminares opuestas por el Gobierno.</w:t>
        <w:br/>
        <w:br/>
        <w:t>11.   El 13 de junio de 1995 el Gobierno remitió otro escrito,  recibido  el</w:t>
        <w:br/>
        <w:t>27 de ese mes, sobre “la supuesta extemporaneidad para deducir las  defensas</w:t>
        <w:br/>
        <w:t>previas actuadas”.  Por nota de 23 de agosto de 1995 la Comisión solicitó  a</w:t>
        <w:br/>
        <w:t>la Corte que dicho escrito del Gobierno “se tenga por  no  presentado  y  se</w:t>
        <w:br/>
        <w:t>disponga su exclusión definitiva del expediente”.  Mediante carta de  18  de</w:t>
        <w:br/>
        <w:t>septiembre de 1995 el Presidente informó que el escrito de 27 de  junio  del</w:t>
        <w:br/>
        <w:t>Gobierno “ha sido considerad[o]  por  la  Corte  y  se  determinó  que  este</w:t>
        <w:br/>
        <w:t>escrito será valorado en su oportunidad por el Tribunal”.</w:t>
        <w:br/>
        <w:br/>
        <w:t>12.   La audiencia pública tuvo lugar en la  sede  de  la  Corte  el  23  de</w:t>
        <w:br/>
        <w:t>septiembre de 1995.</w:t>
        <w:br/>
        <w:br/>
        <w:t>Comparecieron</w:t>
        <w:br/>
        <w:br/>
        <w:t>por el Gobierno del Perú:</w:t>
        <w:br/>
        <w:br/>
        <w:t xml:space="preserve">    Mario Cavagnaro Basile, agente</w:t>
        <w:br/>
        <w:t xml:space="preserve">    Iván Fernández López, asesor;</w:t>
        <w:br/>
        <w:br/>
        <w:br/>
        <w:t>por la Comisión Interamericana de Derechos Humanos:</w:t>
        <w:br/>
        <w:br/>
        <w:t xml:space="preserve">    Patrick Robinson, delegado</w:t>
        <w:br/>
        <w:t xml:space="preserve">    Edith Márquez Rodríguez, abogada</w:t>
        <w:br/>
        <w:t xml:space="preserve">    Domingo E. Acevedo, abogado</w:t>
        <w:br/>
        <w:t xml:space="preserve">    José Miguel Vivanco, asistente</w:t>
        <w:br/>
        <w:t xml:space="preserve">    Viviana Krsticevic, asistente</w:t>
        <w:br/>
        <w:t xml:space="preserve">    Ariel E. Dulitzky, asistente.</w:t>
        <w:br/>
        <w:br/>
        <w:br/>
        <w:t xml:space="preserve">                                     II</w:t>
        <w:br/>
        <w:br/>
        <w:t>13.   En los siguientes párrafos se resumen  los  hechos,  circunstancias  y</w:t>
        <w:br/>
        <w:t>trámite de este caso ante la Comisión, de  acuerdo  con  la  demanda  y  sus</w:t>
        <w:br/>
        <w:t>anexos presentados ante la Corte.</w:t>
        <w:br/>
        <w:br/>
        <w:t>14.   De acuerdo con la demanda, el 21 de octubre de 1990, el señor  Ernesto</w:t>
        <w:br/>
        <w:t>Rafael Castillo Páez, estudiante universitario y  profesor  de  22  años  de</w:t>
        <w:br/>
        <w:t>edad, fue detenido por agentes de la  Policía  General,  integrantes  de  la</w:t>
        <w:br/>
        <w:t>Policía Nacional, a la altura del  Parque  Central  del  Grupo  17,  Segundo</w:t>
        <w:br/>
        <w:t>Sector, Segunda Zona del Distrito de Villa El Salvador, Lima,  Perú.   Según</w:t>
        <w:br/>
        <w:t>testigos presenciales de los hechos cuando los agentes  lo  detuvieron,  “lo</w:t>
        <w:br/>
        <w:t>despojaron de sus anteojos, lo golpearon, lo esposaron y lo  introdujeron  a</w:t>
        <w:br/>
        <w:t>la maletera (baúl) de un vehículo policial  el  que  partió  del  lugar  con</w:t>
        <w:br/>
        <w:t>rumbo  desconocido”.   La  detención  se  habría  producido  después  de  un</w:t>
        <w:br/>
        <w:t>atentado del grupo subversivo “Sendero Luminoso” (PCP-SL) cuyos  integrantes</w:t>
        <w:br/>
        <w:t>produjeron estallidos de explosivos en la zona del Monumento a la  Mujer  en</w:t>
        <w:br/>
        <w:t>este distrito.  El señor  Castillo  Páez  aparentemente  salió  de  su  casa</w:t>
        <w:br/>
        <w:t>temprano este día para estudiar con un compañero cuando desapareció.</w:t>
        <w:br/>
        <w:br/>
        <w:t>15.   Los padres del señor Castillo Páez recibieron una llamada anónima  por</w:t>
        <w:br/>
        <w:t>medio de la cual se les informó que su  hijo  había  sido  detenido  por  la</w:t>
        <w:br/>
        <w:t>Policía Nacional.  Ellos iniciaron su búsqueda, y al no encontrarlo  en  las</w:t>
        <w:br/>
        <w:t>diversas dependencias policiales, iniciaron las  gestiones  judiciales  para</w:t>
        <w:br/>
        <w:t>localizarlo.</w:t>
        <w:br/>
        <w:br/>
        <w:t>16.   El 25 de octubre de 1990, se interpuso un recurso de hábeas  corpus  a</w:t>
        <w:br/>
        <w:t>favor de la supuesta víctima ante el Juzgado de Primera Instancia  de  turno</w:t>
        <w:br/>
        <w:t>del Distrito Judicial de Lima, el cual, el 31 de octubre  de  1990,  declaró</w:t>
        <w:br/>
        <w:t>fundada la acción.  Dicha resolución fue apelada por el  Procurador  Público</w:t>
        <w:br/>
        <w:t>para Asuntos de Terrorismo ante el Tribunal de Segunda Instancia,  el  cual,</w:t>
        <w:br/>
        <w:t>el 27 de noviembre de 1990, declaró improcedente la apelación,  confirmó  la</w:t>
        <w:br/>
        <w:t>resolución de primera instancia y  ordenó  la  remisión  de  los  documentos</w:t>
        <w:br/>
        <w:t>necesarios para formular la “denuncia penal correspondiente”.</w:t>
        <w:br/>
        <w:br/>
        <w:t>17.   Agrega la Comisión que, según la ley Nº 23.506 que regula  el  proceso</w:t>
        <w:br/>
        <w:t>de hábeas corpus y amparo en Perú, esta decisión  del  Tribunal  de  Segunda</w:t>
        <w:br/>
        <w:t>Instancia es final y con carácter de cosa juzgada.  A pesar de lo  anterior,</w:t>
        <w:br/>
        <w:t>el Procurador del Estado interpuso un recurso de nulidad  ante  el  Tribunal</w:t>
        <w:br/>
        <w:t>de Segunda Instancia el que  fue  declarado  sin  lugar.   En  consecuencia,</w:t>
        <w:br/>
        <w:t>presentó ante la Corte Suprema directamente un recurso de queja.   La  Corte</w:t>
        <w:br/>
        <w:t>Suprema declaró fundado el recurso de queja y “dispuso que  el  Tribunal  de</w:t>
        <w:br/>
        <w:t>Segunda Instancia acogiese el recurso de nulidad interpuesto, elevándose  de</w:t>
        <w:br/>
        <w:t>esta forma el proceso ante la Corte Suprema de Justicia”.  El 7  de  febrero</w:t>
        <w:br/>
        <w:t>de 1991, la Segunda Sala Penal de la Corte Suprema resolvió  “declara[r]  la</w:t>
        <w:br/>
        <w:t>nulidad de la resolución recurrida  y  la  improcedencia  de  la  acción  de</w:t>
        <w:br/>
        <w:t>garantía”.</w:t>
        <w:br/>
        <w:br/>
        <w:t>18.   Sobre la base de la acción de hábeas corpus se tramitó un proceso  por</w:t>
        <w:br/>
        <w:t>el delito de abuso de autoridad ante el  Décimo  Cuarto  Juzgado  Penal  del</w:t>
        <w:br/>
        <w:t>distrito judicial de  Lima,  contra  varios  oficiales  involucrados  en  la</w:t>
        <w:br/>
        <w:t>desaparición del señor Castillo Páez.  Por sentencia  de  19  de  agosto  de</w:t>
        <w:br/>
        <w:t>1991, este Juzgado concluyó “que  la  desaparición  del  estudiante  Ernesto</w:t>
        <w:br/>
        <w:t>Rafael Castillo Páez se produjo luego de haber sido arrestado por  efectivos</w:t>
        <w:br/>
        <w:t>de la policía nacional”, pero indicó que no había indicios  que  demostraran</w:t>
        <w:br/>
        <w:t>la responsabilidad de los inculpados, por lo que ordenó  archivar  el  caso.</w:t>
        <w:br/>
        <w:t>Esta sentencia fue apelada ante la  Primera  Sala  Penal  de  Lima,  que  la</w:t>
        <w:br/>
        <w:t>confirmó y ordenó el archivo del caso sin sancionar a persona alguna.</w:t>
        <w:br/>
        <w:br/>
        <w:t>19.   La Comisión expresó en su demanda que recibió la denuncia  sobre  este</w:t>
        <w:br/>
        <w:t>caso el 16 de noviembre de 1990 y el 19 del mismo mes solicitó, por  primera</w:t>
        <w:br/>
        <w:t>vez, información al Gobierno sobre el  paradero  del  señor  Castillo  Páez.</w:t>
        <w:br/>
        <w:t>Tras varias solicitudes de la Comisión al Gobierno para que informara  sobre</w:t>
        <w:br/>
        <w:t>el caso, éste respondió el 3 de octubre de 1991  y  señaló  que  no  existía</w:t>
        <w:br/>
        <w:t>evidencia de que agentes de la Policía Nacional hubieran detenido  al  señor</w:t>
        <w:br/>
        <w:t>Ernesto Rafael Castillo Páez y el 18 de diciembre de 1992 Perú remitió a  la</w:t>
        <w:br/>
        <w:t>Comisión copia de la Resolución  de  la  Segunda  Sala  Penal  de  la  Corte</w:t>
        <w:br/>
        <w:t>Suprema de 7 de febrero de 1991 por medio de la cual “pone  fin  al  proceso</w:t>
        <w:br/>
        <w:t>judicial relacionado con la detención y  posterior  desaparición  del  señor</w:t>
        <w:br/>
        <w:t>Castillo Páez”.</w:t>
        <w:br/>
        <w:br/>
        <w:t>20.   El 26 de septiembre de 1994 la Comisión aprobó el  Informe  19/94,  el</w:t>
        <w:br/>
        <w:t>cual fue remitido al Gobierno el 13  de  octubre  del  mismo  año  para  que</w:t>
        <w:br/>
        <w:t>dentro de un plazo de cuarenta y cinco  días  informase  sobre  las  medidas</w:t>
        <w:br/>
        <w:t>tomadas de conformidad con las siguientes recomendaciones de dicho Informe:</w:t>
        <w:br/>
        <w:br/>
        <w:t xml:space="preserve">            1.   Declarar  que  el  Estado  peruano  es  responsable  de  la</w:t>
        <w:br/>
        <w:t xml:space="preserve">      violación, en perjuicio de Ernesto Rafael Castillo Páez, del derecho a</w:t>
        <w:br/>
        <w:t xml:space="preserve">      la libertad personal, a la integridad personal, a  la  vida  y  a  una</w:t>
        <w:br/>
        <w:t xml:space="preserve">      efectiva protección judicial, así como de las garantías judiciales del</w:t>
        <w:br/>
        <w:t xml:space="preserve">      debido proceso legal que reconocen, respectivamente, los artículos  7,</w:t>
        <w:br/>
        <w:t xml:space="preserve">      5, 4, 25 y 8 de la Convención Americana.</w:t>
        <w:br/>
        <w:br/>
        <w:br/>
        <w:t xml:space="preserve">            2.  Declarar asimismo que en el presente caso el Estado  peruano</w:t>
        <w:br/>
        <w:t xml:space="preserve">      no ha cumplido con la obligación de respetar los derechos y  garantías</w:t>
        <w:br/>
        <w:t xml:space="preserve">      que establece el artículo 1.1 de la Convención Americana.</w:t>
        <w:br/>
        <w:br/>
        <w:br/>
        <w:t xml:space="preserve">            3.  Recomendar  al  Estado  peruano  que,  en  consideración  al</w:t>
        <w:br/>
        <w:t xml:space="preserve">      análisis realizado por la Comisión en el presente caso, en un plazo no</w:t>
        <w:br/>
        <w:t xml:space="preserve">      mayor de cuarenta y cinco días realice una nueva  investigación  sobre</w:t>
        <w:br/>
        <w:t xml:space="preserve">      los hechos denunciados, determine el paradero de la víctima, y proceda</w:t>
        <w:br/>
        <w:t xml:space="preserve">      a identificar y sancionar a los responsables  de  la  desaparición  de</w:t>
        <w:br/>
        <w:t xml:space="preserve">      Ernesto Castillo Páez.</w:t>
        <w:br/>
        <w:br/>
        <w:br/>
        <w:t xml:space="preserve">            4.  Recomendar asimismo al Estado peruano que  pague  una  justa</w:t>
        <w:br/>
        <w:t xml:space="preserve">      indemnización compensatoria a los familiares directos de la víctima.</w:t>
        <w:br/>
        <w:br/>
        <w:br/>
        <w:t xml:space="preserve">            5.  Informar al Gobierno del  Perú  que  no  está  autorizado  a</w:t>
        <w:br/>
        <w:t xml:space="preserve">      publicar el presente Informe.</w:t>
        <w:br/>
        <w:br/>
        <w:br/>
        <w:t xml:space="preserve">            6.  Solicitar al Gobierno del Perú que  informe  a  la  Comisión</w:t>
        <w:br/>
        <w:t xml:space="preserve">      Interamericana de Derechos Humanos, dentro  de  un  plazo  de  sesenta</w:t>
        <w:br/>
        <w:t xml:space="preserve">      días, sobre el resultado de  las  recomendaciones  contenidas  en  los</w:t>
        <w:br/>
        <w:t xml:space="preserve">      párrafos 3 y 4 de las presentes recomendaciones.</w:t>
        <w:br/>
        <w:br/>
        <w:t>21.   El 3 de enero de 1995 el Gobierno transmitió a la  Comisión  copia  de</w:t>
        <w:br/>
        <w:t>un informe preparado por un equipo de trabajo, el que la Comisión  consideró</w:t>
        <w:br/>
        <w:t>como respuesta al Informe 19/94.  El  13  de  enero  de  1995,  la  Comisión</w:t>
        <w:br/>
        <w:t>remitió este caso a la consideración de la Corte.</w:t>
        <w:br/>
        <w:br/>
        <w:br/>
        <w:t xml:space="preserve">                                     III</w:t>
        <w:br/>
        <w:br/>
        <w:t>22.   La Corte es competente  para  conocer  del  presente  caso.   Perú  es</w:t>
        <w:br/>
        <w:t>Estado Parte en la Convención desde el 28 de julio de 1978 y el 21 de  enero</w:t>
        <w:br/>
        <w:t>de 1981 aceptó la competencia contenciosa de la Corte.</w:t>
        <w:br/>
        <w:br/>
        <w:br/>
        <w:t xml:space="preserve">                                     IV</w:t>
        <w:br/>
        <w:br/>
        <w:t>23.   Antes de entrar al examen de  las  excepciones  preliminares  alegadas</w:t>
        <w:br/>
        <w:t>por el Gobierno, es preciso  analizar  una  cuestión  previa  planteada  por</w:t>
        <w:br/>
        <w:t>ambas partes, tanto  por  escrito  como  en  la  audiencia,  relativa  a  la</w:t>
        <w:br/>
        <w:t>oportunidad de la interposición de dichas excepciones.</w:t>
        <w:br/>
        <w:br/>
        <w:t>24.   En efecto, en su escrito fechado el 24 de marzo de 1995,  recibido  en</w:t>
        <w:br/>
        <w:t>este Tribunal  el  3  de  abril  siguiente,  el  Gobierno  alegó  que  había</w:t>
        <w:br/>
        <w:t>presentado en tiempo las excepciones preliminares.  A tal fin argumentó  que</w:t>
        <w:br/>
        <w:t>existe una distinción en los plazos establecidos en el  Reglamento  de  esta</w:t>
        <w:br/>
        <w:t>Corte en lo que respecta a la contestación de la  demanda  (artículo  29.1),</w:t>
        <w:br/>
        <w:t>que señala tres  meses,  y  la  interposición  de  excepciones  preliminares</w:t>
        <w:br/>
        <w:t>(artículo 31.1), que se fija en  treinta  días,  lo  que  significa  que  se</w:t>
        <w:br/>
        <w:t>establece una diferencia, señalada  por  la  doctrina  procesal,  entre  las</w:t>
        <w:br/>
        <w:t>fechas por días y las establecidas por meses o años,  ya  que  mientras  las</w:t>
        <w:br/>
        <w:t>primeras sólo incluyen los días hábiles, las segundas se computan  en  forma</w:t>
        <w:br/>
        <w:t>calendaria.</w:t>
        <w:br/>
        <w:br/>
        <w:t>25.   Agrega el  Gobierno  que  esta  diferencia  está  de  acuerdo  con  la</w:t>
        <w:br/>
        <w:t>legislación y la  jurisprudencia  procesales  en  Perú,  según  las  cuales,</w:t>
        <w:br/>
        <w:t>cuando los plazos procesales se establecen por días, se computan  excluyendo</w:t>
        <w:br/>
        <w:t>los inhábiles, en tanto que cuando se hace referencia a  meses  o  años,  se</w:t>
        <w:br/>
        <w:t>cuentan incluyendo  dichos  días,  es  decir,  como  días  calendarios.   El</w:t>
        <w:br/>
        <w:t>Gobierno llegó a la conclusión que en el Reglamento de este Tribunal  se  ha</w:t>
        <w:br/>
        <w:t>distinguido con claridad  el  plazo  para  contestar  la  demanda  de  aquel</w:t>
        <w:br/>
        <w:t>señalado para hacer valer las excepciones preliminares,  con  el  deliberado</w:t>
        <w:br/>
        <w:t>propósito de seguir la  corriente  procesal  generalmente  admitida  de  que</w:t>
        <w:br/>
        <w:t>cuando se ha indicado un período por meses, se abarcan todos  los  días  del</w:t>
        <w:br/>
        <w:t>calendario  gregoriano  en  los  que  se  incluyen  los  feriados  así  como</w:t>
        <w:br/>
        <w:t>cualesquiera otros que sean hábiles, pero cuando se señalan los  plazos  por</w:t>
        <w:br/>
        <w:t>días,  como  en  el  supuesto  de  las  excepciones  preliminares,  sólo  se</w:t>
        <w:br/>
        <w:t>consideran  los  hábiles.   De  acuerdo  con  lo  anterior,  el  escrito  de</w:t>
        <w:br/>
        <w:t>excepciones preliminares habría sido presentado oportunamente.</w:t>
        <w:br/>
        <w:br/>
        <w:t>26.   A su vez, la Comisión Interamericana, en su escrito recibido  en  esta</w:t>
        <w:br/>
        <w:t>Corte el 27 de abril de 1995,  solicitó  que  se  declarara  inadmisible  el</w:t>
        <w:br/>
        <w:t>presentado por Perú el 24 de marzo anterior, por considerar que este  último</w:t>
        <w:br/>
        <w:t>no se interpuso dentro del plazo  establecido  por  el  Reglamento  de  este</w:t>
        <w:br/>
        <w:t>Tribunal.  La Comisión sostiene que la demanda fue  notificada  al  Gobierno</w:t>
        <w:br/>
        <w:t>el 13 de febrero de 1995, por lo que cuando se presentaron  las  excepciones</w:t>
        <w:br/>
        <w:t>preliminares, el 24  de  marzo  siguiente,  sin  que  mediara  solicitud  de</w:t>
        <w:br/>
        <w:t>prórroga o de ampliación  del  plazo  reglamentario,  ya  había  vencido  en</w:t>
        <w:br/>
        <w:t>exceso el período de treinta días  establecido  por  el  artículo  31.1  del</w:t>
        <w:br/>
        <w:t>Reglamento y, por tanto, había caducado el  derecho  de  Perú  para  deducir</w:t>
        <w:br/>
        <w:t>dichas excepciones.</w:t>
        <w:br/>
        <w:br/>
        <w:t>27.   La Comisión invocó la tesis sostenida por la Corte en el caso  Cayara,</w:t>
        <w:br/>
        <w:t>según la cual se “debe guardar un justo equilibrio entre  la  protección  de</w:t>
        <w:br/>
        <w:t>los derechos humanos, fin último del sistema,  y  la  seguridad  jurídica  y</w:t>
        <w:br/>
        <w:t>equidad procesal que aseguran la estabilidad y confiabilidad  de  la  tutela</w:t>
        <w:br/>
        <w:t>internacional” (Caso Cayara, Excepciones Preliminares,  Sentencia  de  3  de</w:t>
        <w:br/>
        <w:t>febrero de 1993. Serie C No. 14, párr. 63),  por  lo  que  de  admitirse  el</w:t>
        <w:br/>
        <w:t>escrito  presentado  extemporáneamente  mediante  el  cual  se  oponen   las</w:t>
        <w:br/>
        <w:t>excepciones preliminares, se violarían esos principios.</w:t>
        <w:br/>
        <w:br/>
        <w:t>28.   La Corte considera, en relación con las  anteriores  alegaciones,  que</w:t>
        <w:br/>
        <w:t>son infundadas las expuestas por el Gobierno en cuanto a la  oportunidad  de</w:t>
        <w:br/>
        <w:t>la presentación de sus excepciones preliminares, en virtud de que,  si  bien</w:t>
        <w:br/>
        <w:t>el plazo establecido por el artículo 31.1 del Reglamento se fija en  treinta</w:t>
        <w:br/>
        <w:t>días, mientras que para la contestación a la demanda se señala  el  de  tres</w:t>
        <w:br/>
        <w:t>meses, dicha diferencia no tiene como  base  un  cómputo  diverso,  como  lo</w:t>
        <w:br/>
        <w:t>sostiene Perú, ya que en el procedimiento internacional no se  fijan  dichos</w:t>
        <w:br/>
        <w:t>plazos con los  mismos  criterios  que  se  utilizan  para  el  de  carácter</w:t>
        <w:br/>
        <w:t>interno.</w:t>
        <w:br/>
        <w:br/>
        <w:t>29.   Es cierto que en algunos ordenamientos procesales nacionales y  en  la</w:t>
        <w:br/>
        <w:t>práctica seguida por varios tribunales internos, se hace una  diferenciación</w:t>
        <w:br/>
        <w:t>de los plazos judiciales cuando se establecen por días o bien  por  períodos</w:t>
        <w:br/>
        <w:t>de meses o años, ya  que  los  primeros  se  computan  excluyendo  los  días</w:t>
        <w:br/>
        <w:t>inhábiles y los segundos se cuentan en forma calendaria.  Sin embargo,  esta</w:t>
        <w:br/>
        <w:t>distinción  no  puede  utilizarse   en   el   ámbito   de   los   tribunales</w:t>
        <w:br/>
        <w:t>internacionales,  debido  a  que  no  existe  una  regulación  uniforme  que</w:t>
        <w:br/>
        <w:t>determine cuáles son las fechas inhábiles, salvo  que  estuvieran  señaladas</w:t>
        <w:br/>
        <w:t>expresamente en los reglamentos de los organismos internacionales.</w:t>
        <w:br/>
        <w:br/>
        <w:t>30.   Esta situación es más evidente en el caso de esta Corte, por  tratarse</w:t>
        <w:br/>
        <w:t>de un organismo jurisdiccional que no funciona de manera  permanente  y  que</w:t>
        <w:br/>
        <w:t>celebra sus sesiones, sin necesidad de habilitación, en días que pueden  ser</w:t>
        <w:br/>
        <w:t>inhábiles  de  acuerdo  con  las  reglas  señaladas  para   los   tribunales</w:t>
        <w:br/>
        <w:t>nacionales y los de la sede de la propia Corte.  Por esta  razón  no  pueden</w:t>
        <w:br/>
        <w:t>tomarse en consideración los criterios de las leyes procesales nacionales.</w:t>
        <w:br/>
        <w:br/>
        <w:t>31.   Si bien es verdad, como lo sostiene el Gobierno, que en el  Reglamento</w:t>
        <w:br/>
        <w:t>de esta Corte no existe una disposición similar  a  la  establecida  por  el</w:t>
        <w:br/>
        <w:t>artículo 77 del Reglamento de la Comisión Interamericana, en el  sentido  de</w:t>
        <w:br/>
        <w:t>que todos los plazos  en  días,  señalados  en  el  último  Reglamento,  “se</w:t>
        <w:br/>
        <w:t>entenderán computados en forma calendaria”, sin  embargo,  esta  disposición</w:t>
        <w:br/>
        <w:t>debe considerarse implícita en el procedimiento  ante  este  Tribunal,  pues</w:t>
        <w:br/>
        <w:t>como  se  ha  sostenido  anteriormente,  no  podría  aceptarse  el  criterio</w:t>
        <w:br/>
        <w:t>contrario de la diferenciación invocada por Perú, por no  existir  una  base</w:t>
        <w:br/>
        <w:t>de referencia, como la que se establece en las  leyes  procesales  internas,</w:t>
        <w:br/>
        <w:t>para determinar las fechas inhábiles, y por ello no sería  posible  realizar</w:t>
        <w:br/>
        <w:t>un cómputo diferente al de los días naturales para precisar la  duración  de</w:t>
        <w:br/>
        <w:t>los plazos establecidos en días, meses o años.</w:t>
        <w:br/>
        <w:br/>
        <w:t>32.   Como ilustración de  lo  anterior  pueden  citarse  dos  ejemplos:  en</w:t>
        <w:br/>
        <w:t>primer  lugar,  lo  dispuesto  por  el  artículo  80  del   Reglamento   del</w:t>
        <w:br/>
        <w:t>Procedimiento  del  Tribunal  de  Justicia  de  las  Comunidades   Europeas,</w:t>
        <w:br/>
        <w:t>reformado el 15 de mayo de 1991, en cuyo apartado I.b) se dispone:</w:t>
        <w:br/>
        <w:br/>
        <w:t xml:space="preserve">    [u]n plazo expresado en semanas, meses o años finalizará al expirar  el</w:t>
        <w:br/>
        <w:t xml:space="preserve">    día que, en la última semana, en el último mes  o  en  el  último  año,</w:t>
        <w:br/>
        <w:t xml:space="preserve">    tenga la misma denominación o la misma cifra que el día en que  ocurrió</w:t>
        <w:br/>
        <w:t xml:space="preserve">    el suceso o se efectuó el acto a partir del cual haya de computarse  el</w:t>
        <w:br/>
        <w:t xml:space="preserve">    plazo.  Si en un plazo expresado en meses o en años, el día fijado para</w:t>
        <w:br/>
        <w:t xml:space="preserve">    su expiración no existiese en el último mes,  el  plazo  finalizará  al</w:t>
        <w:br/>
        <w:t xml:space="preserve">    expirar el último día de dicho mes.</w:t>
        <w:br/>
        <w:br/>
        <w:t>En  segundo  término,  se  pueden  mencionar  los  artículos  46  y  49  del</w:t>
        <w:br/>
        <w:t>Reglamento del Tribunal de  Justicia  del  Acuerdo  de  Cartagena  (Tribunal</w:t>
        <w:br/>
        <w:t>Andino) de fecha 15 de marzo de 1984, ya  que  no  obstante  que  el  primer</w:t>
        <w:br/>
        <w:t>precepto señala con precisión los días y horas hábiles de funcionamiento  de</w:t>
        <w:br/>
        <w:t>dicho Tribunal, así como los de carácter  feriado,  el  citado  artículo  49</w:t>
        <w:br/>
        <w:t>establece en su primer párrafo, que: “[l]os términos se computarán por  días</w:t>
        <w:br/>
        <w:t>continuos y se calcularán excluyendo el día de la fecha  que  constituye  el</w:t>
        <w:br/>
        <w:t>punto  de  partida...”   Debe  señalarse,   además,   que   los   Tribunales</w:t>
        <w:br/>
        <w:t>mencionados funcionan de manera permanente.</w:t>
        <w:br/>
        <w:br/>
        <w:t>33.   En consecuencia,  si  el  período  de  treinta  días  señalado  en  el</w:t>
        <w:br/>
        <w:t>artículo 31.1  del  Reglamento  de  este  Tribunal  debe  considerarse  como</w:t>
        <w:br/>
        <w:t>calendario, y la notificación de la demanda se efectuó el 13 de  febrero  de</w:t>
        <w:br/>
        <w:t>1995, fecha en que la recibió el Gobierno, el plazo concluyó el 13 de  marzo</w:t>
        <w:br/>
        <w:t>siguiente, habiéndose recibido el escrito de excepciones preliminares en  la</w:t>
        <w:br/>
        <w:t>Secretaría de la Corte el 24 del citado mes de marzo de 1995.</w:t>
        <w:br/>
        <w:br/>
        <w:t>34.   La Corte ha expresado que:</w:t>
        <w:br/>
        <w:br/>
        <w:t xml:space="preserve">    [e]s un principio comúnmente aceptado que el  sistema  procesal  es  un</w:t>
        <w:br/>
        <w:t xml:space="preserve">    medio para realizar la justicia y que ésta no puede ser sacrificada  en</w:t>
        <w:br/>
        <w:t xml:space="preserve">    aras de meras formalidades.  Dentro de ciertos límites de  temporalidad</w:t>
        <w:br/>
        <w:t xml:space="preserve">    y razonabilidad, ciertas omisiones o retrasos en la observancia de  los</w:t>
        <w:br/>
        <w:t xml:space="preserve">    procedimientos pueden ser  dispensados,  si  se  conserva  un  adecuado</w:t>
        <w:br/>
        <w:t xml:space="preserve">    equilibrio entre la justicia y  la  seguridad  jurídica  (Caso  Cayara,</w:t>
        <w:br/>
        <w:t xml:space="preserve">    Excepciones Preliminares, supra 27, párr. 42; Caso Paniagua  Morales  y</w:t>
        <w:br/>
        <w:t xml:space="preserve">    otros, Excepciones Preliminares, Sentencia de  25  de  enero  de  1996.</w:t>
        <w:br/>
        <w:t xml:space="preserve">    Serie C No. 23, párr. 38)</w:t>
        <w:br/>
        <w:br/>
        <w:t>35.   La Corte observa  que  el  escrito  por  el  cual  el  Gobierno  opuso</w:t>
        <w:br/>
        <w:t>excepciones  preliminares  se  presentó  con  un  retraso  de  algunos  días</w:t>
        <w:br/>
        <w:t>respecto del plazo de treinta  días  fijado  por  el  artículo  31.1  de  su</w:t>
        <w:br/>
        <w:t>Reglamento, pero esta dilación no puede ser considerada excesiva  dentro  de</w:t>
        <w:br/>
        <w:t>los límites de temporalidad y razonabilidad que este  Tribunal  ha  estimado</w:t>
        <w:br/>
        <w:t>como necesarios para dispensar el retraso en el  cumplimiento  de  un  plazo</w:t>
        <w:br/>
        <w:t>(véase Caso Paniagua Morales y otros, supra 34, párrs. 37  y  39).   Además,</w:t>
        <w:br/>
        <w:t>que esta misma Corte ha aplicado con flexibilidad  los  plazos  establecidos</w:t>
        <w:br/>
        <w:t>en la Convención y en su Reglamento, incluyendo el señalado  por  el  citado</w:t>
        <w:br/>
        <w:t>artículo 31.1 de  este  último,  y  ha  otorgado  en  varias  ocasiones  las</w:t>
        <w:br/>
        <w:t>prórrogas que han solicitado  las  partes  cuando  las  mismas  han  aducido</w:t>
        <w:br/>
        <w:t>motivos razonables.</w:t>
        <w:br/>
        <w:br/>
        <w:t>36.   En el presente caso, la Corte considera que aún cuando el Gobierno  no</w:t>
        <w:br/>
        <w:t>solicitó expresamente una prórroga, esta omisión se debió, posiblemente,  al</w:t>
        <w:br/>
        <w:t>error en que incurrió al hacer el cómputo excluyendo los días  inhábiles  de</w:t>
        <w:br/>
        <w:t>acuerdo con sus ordenamientos procesales.  Por las razones  expuestas,  debe</w:t>
        <w:br/>
        <w:t>entrarse al examen de las excepciones preliminares presentadas por Perú.</w:t>
        <w:br/>
        <w:br/>
        <w:br/>
        <w:t xml:space="preserve">                                      V</w:t>
        <w:br/>
        <w:br/>
        <w:t>37.   El Gobierno opone dos excepciones preliminares: falta  de  agotamiento</w:t>
        <w:br/>
        <w:t>de la jurisdicción interna e inadmisibilidad de la demanda.  En  los  puntos</w:t>
        <w:br/>
        <w:t>a y b siguientes se resume la posición del Gobierno respecto de las mismas.</w:t>
        <w:br/>
        <w:br/>
        <w:t>a.    La primera se apoya, en esencia, en que la denuncia ante  la  Comisión</w:t>
        <w:br/>
        <w:t>Interamericana  fue  presentada  paralelamente  a  la  tramitación  de   los</w:t>
        <w:br/>
        <w:t>recursos internos, lo que infringe lo dispuesto por los artículos 46.1.a)  y</w:t>
        <w:br/>
        <w:t>b) de la Convención Americana,  así  como  el  37.1  del  Reglamento  de  la</w:t>
        <w:br/>
        <w:t>Comisión.  También consideró el Gobierno que se ha transgredido el  artículo</w:t>
        <w:br/>
        <w:t>305 de la Constitución de Perú de 1979, vigente en  el  momento  en  que  se</w:t>
        <w:br/>
        <w:t>presentó la denuncia ante la Comisión, precepto según el cual  sólo  después</w:t>
        <w:br/>
        <w:t>de agotada la jurisdicción interna, quien se considerase  lesionado  en  los</w:t>
        <w:br/>
        <w:t>derechos que dicha Carta reconocía,  podría  recurrir  a  los  tribunales  u</w:t>
        <w:br/>
        <w:t>organismos internacionales constituidos según los  tratados  en  los  cuales</w:t>
        <w:br/>
        <w:t>Perú es Estado parte.  Según  el  Gobierno,  lo  anterior  resulta  aún  más</w:t>
        <w:br/>
        <w:t>grave, al apreciar en autos y en el texto de la  demanda,  que  el  afectado</w:t>
        <w:br/>
        <w:t>contaba con sentencias favorables de los tribunales  peruanos  en  el  mismo</w:t>
        <w:br/>
        <w:t>momento de la interposición de la denuncia ante la citada Comisión.</w:t>
        <w:br/>
        <w:br/>
        <w:t>Agrega el Gobierno que existió simultaneidad en la presentación de  recursos</w:t>
        <w:br/>
        <w:t>en los ámbitos nacional e internacional, si se toma en consideración que  el</w:t>
        <w:br/>
        <w:t>señor Cromwell Pierre Castillo Castillo,  padre  del  señor  Castillo  Páez,</w:t>
        <w:br/>
        <w:t>interpuso el 25 de octubre de 1990 ante el  24º  Juzgado  Penal  de  Lima  a</w:t>
        <w:br/>
        <w:t>cargo de la Juez Minaya Calle, una acción de  hábeas  corpus  contra  varias</w:t>
        <w:br/>
        <w:t>autoridades, que una vez tramitada originó la sentencia de 31 del mismo  mes</w:t>
        <w:br/>
        <w:t>de octubre de 1990 que declaró fundada dicha  acción  en  favor  de  Ernesto</w:t>
        <w:br/>
        <w:t>Rafael  Castillo  Páez  por  detención  arbitraria  y  ordenó  su  inmediata</w:t>
        <w:br/>
        <w:t>libertad.   No  obstante  haber  obtenido  ese  fallo  favorable,  el  señor</w:t>
        <w:br/>
        <w:t>Castillo Castillo acudió a la  instancia  internacional,  pues  la  denuncia</w:t>
        <w:br/>
        <w:t>respectiva se presentó ante la Comisión el 16 de noviembre  de  1990,  antes</w:t>
        <w:br/>
        <w:t>de concluir la tramitación del hábeas corpus, pues la sentencia  de  primera</w:t>
        <w:br/>
        <w:t>instancia fue apelada ante  la  Octava  Sala  Penal,  la  cual  confirmó  la</w:t>
        <w:br/>
        <w:t>resolución impugnada el 27 de noviembre  de  dicho  año,  y  ordenó  que  se</w:t>
        <w:br/>
        <w:t>remitiera copia certificada de todo lo actuado al  Fiscal  Provincial  Penal</w:t>
        <w:br/>
        <w:t>de Turno con el objeto de que formulara la  denuncia  penal  correspondiente</w:t>
        <w:br/>
        <w:t>contra el Director de la Policía Nacional y el Jefe de la  Dirección  contra</w:t>
        <w:br/>
        <w:t>el Terrorismo y que se individualizara a los responsables.</w:t>
        <w:br/>
        <w:br/>
        <w:t>Añade el Gobierno que con motivo de dicha sentencia  de  segundo  grado,  se</w:t>
        <w:br/>
        <w:t>instauró un proceso penal por abuso de  autoridad  contra  los  funcionarios</w:t>
        <w:br/>
        <w:t>mencionados ante el 14º Juzgado Penal de  Lima,  habiéndose  ampliado  dicho</w:t>
        <w:br/>
        <w:t>proceso contra efectivos policiales por delito de violencia y resistencia  a</w:t>
        <w:br/>
        <w:t>la autoridad.  Posteriormente la acción  de  hábeas  corpus  mencionada  fue</w:t>
        <w:br/>
        <w:t>declarada improcedente por la Segunda Sala Penal  de  la  Corte  Suprema  de</w:t>
        <w:br/>
        <w:t>Justicia de la República por graves  irregularidades  cometidas  en  primera</w:t>
        <w:br/>
        <w:t>instancia.</w:t>
        <w:br/>
        <w:br/>
        <w:t>De acuerdo con lo anterior, señala el Gobierno que la  Comisión  al  admitir</w:t>
        <w:br/>
        <w:t>la denuncia  y  formular  recomendaciones  sobre  la  misma,  infringió  las</w:t>
        <w:br/>
        <w:t>disposiciones de la Convención y de su Reglamento relativas  al  agotamiento</w:t>
        <w:br/>
        <w:t>de los recursos internos, pues  no  había  concluido  la  acción  de  hábeas</w:t>
        <w:br/>
        <w:t>corpus la que se encontraba en plena tramitación ante la Primera Sala  Penal</w:t>
        <w:br/>
        <w:t>de la Corte Superior de Lima, tendiente a establecer el paradero  del  señor</w:t>
        <w:br/>
        <w:t>Ernesto Rafael Castillo Páez y determinar a los responsables de su  presunta</w:t>
        <w:br/>
        <w:t>detención por efectivos policiales.</w:t>
        <w:br/>
        <w:br/>
        <w:t>Concluye Perú que el señor Castillo Castillo debió acudir ante  el  anterior</w:t>
        <w:br/>
        <w:t>Tribunal de Garantías Constitucionales,  entonces  en  funcionamiento,  para</w:t>
        <w:br/>
        <w:t>plantear  el  recurso  de  casación  que  procedía  de   acuerdo   con   las</w:t>
        <w:br/>
        <w:t>disposiciones constitucionales vigentes en esa época contra toda  resolución</w:t>
        <w:br/>
        <w:t>denegatoria de la acción de hábeas corpus.</w:t>
        <w:br/>
        <w:br/>
        <w:t xml:space="preserve">       b.     La  segunda  excepción  opuesta  por  Perú  se  refiere  a  la</w:t>
        <w:br/>
        <w:t>inadmisibilidad de la demanda de la Comisión ante este Tribunal,  en  virtud</w:t>
        <w:br/>
        <w:t>de que esta Corte  no  puede  admitir  una  demanda  originada  en  un  caso</w:t>
        <w:br/>
        <w:t>irregularmente tramitado por la Comisión Interamericana, pues  se  acudió  a</w:t>
        <w:br/>
        <w:t>esta última, no sólo sin haberse agotado los recursos  internos,  sino  que,</w:t>
        <w:br/>
        <w:t>además, la denuncia se presentó no obstante  que  el  afectado  contaba  con</w:t>
        <w:br/>
        <w:t>sentencias nacionales que tutelaban su derecho, y existía un  proceso  penal</w:t>
        <w:br/>
        <w:t>en trámite que se originó en la acción de hábeas  corpus  presentada  en  su</w:t>
        <w:br/>
        <w:t>beneficio.  La Comisión no verificó como debía hacerlo, de  acuerdo  con  el</w:t>
        <w:br/>
        <w:t>artículo 47.1 de su Reglamento, si subsistían los motivos  de  la  petición,</w:t>
        <w:br/>
        <w:t>una vez recibida la respuesta de Perú al Informe 19/94 de la Comisión de  26</w:t>
        <w:br/>
        <w:t>de  septiembre  de  1994,  remitida  mediante   nota   diplomática   de   la</w:t>
        <w:br/>
        <w:t>Representación Permanente de ese país ante la OEA.</w:t>
        <w:br/>
        <w:br/>
        <w:t>38.   La Comisión, al  realizar  observaciones  al  escrito  de  excepciones</w:t>
        <w:br/>
        <w:t>preliminares del Gobierno, considera que las mismas deben desestimarse,  por</w:t>
        <w:br/>
        <w:t>las siguientes razones:</w:t>
        <w:br/>
        <w:br/>
        <w:t xml:space="preserve">      a.    Que Perú no interpuso la excepción  de  no  agotamiento  de  los</w:t>
        <w:br/>
        <w:t>recursos de la jurisdicción interna en tiempo oportuno, es decir, cuando  la</w:t>
        <w:br/>
        <w:t>Comisión inició el conocimiento del  caso  por  haber  transcurrido  más  de</w:t>
        <w:br/>
        <w:t>cuatro años desde que se presentó dicha denuncia hasta la fecha  en  que  el</w:t>
        <w:br/>
        <w:t>Gobierno planteó por vez primera esa excepción en el Informe  preparado  por</w:t>
        <w:br/>
        <w:t>el equipo de trabajo que el día 3 de enero de  1995  fue  transmitido  a  la</w:t>
        <w:br/>
        <w:t>Comisión en respuesta a las consideraciones y recomendaciones de su  Informe</w:t>
        <w:br/>
        <w:t>19/94.  La Comisión invoca el criterio establecido por este Tribunal  en  el</w:t>
        <w:br/>
        <w:t>caso Velásquez Rodríguez, sentencia de 26 de junio de 1987, de  acuerdo  con</w:t>
        <w:br/>
        <w:t>el cual la excepción de no agotamiento de los recursos  internos,  para  ser</w:t>
        <w:br/>
        <w:t>oportuna, debe plantearse en las primeras etapas del procedimiento, a  falta</w:t>
        <w:br/>
        <w:t>de lo cual se presume la renuncia tácita de la misma por  parte  del  Estado</w:t>
        <w:br/>
        <w:t>interesado.</w:t>
        <w:br/>
        <w:br/>
        <w:t xml:space="preserve">      b.    Que el procedimiento que se tramita ante la Primera  Sala  Penal</w:t>
        <w:br/>
        <w:t>de la Corte Superior contra dos efectivos policiales por el supuesto  delito</w:t>
        <w:br/>
        <w:t>de abuso de autoridad, violencia y resistencia de autoridad,  no  constituye</w:t>
        <w:br/>
        <w:t>un proceso tendiente  a  identificar  a  los  responsables  de  la  presunta</w:t>
        <w:br/>
        <w:t>detención y posterior desaparición del señor Ernesto  Rafael  Castillo  Páez</w:t>
        <w:br/>
        <w:t>y, por lo tanto, no es  un  recurso  que  debe  agotarse  previamente  a  la</w:t>
        <w:br/>
        <w:t>instancia internacional.</w:t>
        <w:br/>
        <w:br/>
        <w:t xml:space="preserve">      c.    Que tampoco se puede aceptar lo expresado por el Gobierno en  el</w:t>
        <w:br/>
        <w:t>sentido de  que  el  peticionario  no  había  agotado  los  recursos  de  la</w:t>
        <w:br/>
        <w:t>jurisdicción interna por no haber interpuesto el recurso  de  casación  ante</w:t>
        <w:br/>
        <w:t>el Tribunal de Garantías Constitucionales.  Por el  contrario,  la  Comisión</w:t>
        <w:br/>
        <w:t>estima que el promovente no tenía obligación  alguna  de  recurrir  a  dicho</w:t>
        <w:br/>
        <w:t>tribunal, por haber sido acogida  en  primera  y  en  segunda  instancia  la</w:t>
        <w:br/>
        <w:t>acción de hábeas corpus en beneficio de la presunta víctima.  Además,  dicho</w:t>
        <w:br/>
        <w:t>procedimiento careció de eficacia debido a que la Corte Suprema de  Justicia</w:t>
        <w:br/>
        <w:t>de Perú admitió en forma irregular  el  conocimiento  de  dicha  acción,  al</w:t>
        <w:br/>
        <w:t>declarar nula la sentencia del Octavo Tribunal Correccional que confirmó  la</w:t>
        <w:br/>
        <w:t>decisión de la juez que había  declarado  con  lugar  la  citada  acción  de</w:t>
        <w:br/>
        <w:t>hábeas corpus interpuesta en favor del señor Ernesto Rafael  Castillo  Páez,</w:t>
        <w:br/>
        <w:t>pues carecía de competencia para  decidir  sobre  la  mencionada  acción  de</w:t>
        <w:br/>
        <w:t>hábeas corpus en virtud de la prohibición legal específica contenida  en  el</w:t>
        <w:br/>
        <w:t>artículo 21 de la Ley 23.506 denominada “Ley de Acción de  Hábeas  Corpus  y</w:t>
        <w:br/>
        <w:t>Amparo”, precepto según el cual el recurso de nulidad  contra  el  fallo  de</w:t>
        <w:br/>
        <w:t>segundo grado sólo procede contra la denegación del hábeas corpus  que,  por</w:t>
        <w:br/>
        <w:t>el contrario, había sido otorgado.</w:t>
        <w:br/>
        <w:br/>
        <w:t xml:space="preserve">       d.     Que  el  Gobierno  pretende  fundamentar   la   excepción   de</w:t>
        <w:br/>
        <w:t>inadmisibilidad de la demanda de la Comisión ante  la  Corte  exclusivamente</w:t>
        <w:br/>
        <w:t>en la falta de agotamiento de los recursos de jurisdicción interna,  por  lo</w:t>
        <w:br/>
        <w:t>que se trata de una  excepción  no  planteada  oportunamente,  sino  que  en</w:t>
        <w:br/>
        <w:t>realidad es una repetición de argumentos que nada  agregan  respecto  de  la</w:t>
        <w:br/>
        <w:t>primera excepción.</w:t>
        <w:br/>
        <w:br/>
        <w:br/>
        <w:t xml:space="preserve">                                     VI</w:t>
        <w:br/>
        <w:br/>
        <w:t>39.   La Corte considera  que  las  dos  excepciones  planteadas  deben  ser</w:t>
        <w:br/>
        <w:t>examinadas conjuntamente, pues ambas se apoyan, esencialmente, en  la  falta</w:t>
        <w:br/>
        <w:t>de agotamiento de los recursos internos, en los términos  de  los  artículos</w:t>
        <w:br/>
        <w:t>46.1.a) de la Convención y 37 del Reglamento de la Comisión.</w:t>
        <w:br/>
        <w:br/>
        <w:t>40.   La Corte estima necesario destacar que, en relación  con  la  materia,</w:t>
        <w:br/>
        <w:t>ha establecido criterios que deben tomarse en consideración  en  este  caso.</w:t>
        <w:br/>
        <w:t>En  efecto,  de  los  principios  de  derecho   internacional   generalmente</w:t>
        <w:br/>
        <w:t>reconocidos, a los cuales  se  refiere  la  regla  del  agotamiento  de  los</w:t>
        <w:br/>
        <w:t>recursos internos resulta, en primer lugar, que la invocación de  esa  regla</w:t>
        <w:br/>
        <w:t>puede ser renunciada en forma expresa o tácita por el Estado  demandado,  lo</w:t>
        <w:br/>
        <w:t>que ya ha sido reconocido por la Corte en anterior  oportunidad  (v.  Asunto</w:t>
        <w:br/>
        <w:t>Viviana Gallardo y otras, [decisión de 13  de  noviembre  de  1981],  No.  G</w:t>
        <w:br/>
        <w:t>101/81.  Serie A, párr. 26).  En segundo término, que  la  excepción  de  no</w:t>
        <w:br/>
        <w:t>agotamiento de los recursos internos, para ser oportuna, debe plantearse  en</w:t>
        <w:br/>
        <w:t>las primeras etapas del procedimiento, a falta de  lo  cual  se  presume  la</w:t>
        <w:br/>
        <w:t>renuncia tácita a valerse de la misma por parte del Estado  interesado.   En</w:t>
        <w:br/>
        <w:t>tercer lugar, que el Estado que alega el no agotamiento tiene a su cargo  el</w:t>
        <w:br/>
        <w:t>señalamiento de los recursos internos que deben agotarse y la prueba  de  su</w:t>
        <w:br/>
        <w:t>efectividad (Caso Velásquez Rodríguez, Excepciones  Preliminares,  Sentencia</w:t>
        <w:br/>
        <w:t>de 26 de junio de 1987.  Serie C No. 1, párr 88; Caso Fairén Garbi  y  Solís</w:t>
        <w:br/>
        <w:t>Corrales, Excepciones Preliminares,  Sentencia  de  26  de  junio  de  1987.</w:t>
        <w:br/>
        <w:t>Serie C No. 2,  párr.  87;  Caso  Godínez  Cruz,  Excepciones  Preliminares,</w:t>
        <w:br/>
        <w:t>Sentencia de 26 de junio de 1987.  Serie C No. 3, párr.  90;  Caso  Gangaram</w:t>
        <w:br/>
        <w:t>Panday, Excepciones Preliminares, Sentencia  de  4  de  diciembre  de  1991.</w:t>
        <w:br/>
        <w:t>Serie C No.  12,  párr.  38  y  Caso  Neira  Alegría  y  otros,  Excepciones</w:t>
        <w:br/>
        <w:t>Preliminares, Sentencia de 11 de diciembre de 1991.  Serie C No.  13,  párr.</w:t>
        <w:br/>
        <w:t>30).</w:t>
        <w:br/>
        <w:br/>
        <w:t>41.   La Corte considera, asimismo, de acuerdo  con  los  criterios  citados</w:t>
        <w:br/>
        <w:t>anteriormente, que el Gobierno estaba obligado a invocar de  manera  expresa</w:t>
        <w:br/>
        <w:t>y oportuna la  regla  de  no  agotamiento  de  los  recursos  internos  para</w:t>
        <w:br/>
        <w:t>oponerse válidamente a la admisibilidad de  la  denuncia  ante  la  Comisión</w:t>
        <w:br/>
        <w:t>Interamericana,  presentada  el  16  de  noviembre   de   1990,   sobre   la</w:t>
        <w:br/>
        <w:t>desaparición del señor Ernesto Rafael Castillo Páez.</w:t>
        <w:br/>
        <w:br/>
        <w:t>42.   Si bien es verdad, que en los escritos  presentados  por  el  Gobierno</w:t>
        <w:br/>
        <w:t>ante la Comisión durante la  tramitación  del  asunto  se  señalaron,  entre</w:t>
        <w:br/>
        <w:t>otros datos, el desarrollo  de  los  procesos  de  hábeas  corpus  y  el  de</w:t>
        <w:br/>
        <w:t>naturaleza penal relacionados con la desaparición del señor  Ernesto  Rafael</w:t>
        <w:br/>
        <w:t>Castillo Páez, sin embargo, éste no opuso de manera clara  en  las  primeras</w:t>
        <w:br/>
        <w:t>etapas del procedimiento ante la Comisión la excepción de no agotamiento  de</w:t>
        <w:br/>
        <w:t>los recursos internos, pues sólo fue invocado de manera expresa  tal  hecho,</w:t>
        <w:br/>
        <w:t>en el informe preparado por el equipo de trabajo presentado por el  Gobierno</w:t>
        <w:br/>
        <w:t>ante la Comisión el 3 de enero  de  1995,  en  respuesta  al  Informe  19/94</w:t>
        <w:br/>
        <w:t>aprobado por la misma Comisión el 26 de septiembre de 1994,  que  sirvió  de</w:t>
        <w:br/>
        <w:t>apoyo a la demanda ante esta Corte.</w:t>
        <w:br/>
        <w:br/>
        <w:t>43.   De  lo  anterior  se  concluye  que,  al  haber  alegado  el  Gobierno</w:t>
        <w:br/>
        <w:t>extemporáneamente el no agotamiento de los recursos internos  requerido  por</w:t>
        <w:br/>
        <w:t>el artículo 46.1.a) de la Convención  para  evitar  que  fuere  admitida  la</w:t>
        <w:br/>
        <w:t>denuncia en favor del señor Ernesto Rafael Castillo Páez,  se  entiende  que</w:t>
        <w:br/>
        <w:t>renunció tácitamente a invocar dicha regla.</w:t>
        <w:br/>
        <w:br/>
        <w:t>44.   En la audiencia pública sobre excepciones preliminares  celebrada  por</w:t>
        <w:br/>
        <w:t>esta Corte el 23 de septiembre de 1995, al contestar una pregunta  formulada</w:t>
        <w:br/>
        <w:t>por el Juez Antônio A. Cançado Trindade, el agente de Perú  dejó  claro  que</w:t>
        <w:br/>
        <w:t>solamente en una etapa posterior del proceso ante la Comisión, se indicó  de</w:t>
        <w:br/>
        <w:t>manera expresa la cuestión del agotamiento de  los  recursos  internos.   En</w:t>
        <w:br/>
        <w:t>efecto, en los escritos anteriores (inclusive el de 3 de  octubre  de  1991)</w:t>
        <w:br/>
        <w:t>presentados ante la Comisión, sólo se había hecho alusión al  desarrollo  de</w:t>
        <w:br/>
        <w:t>los procesos mencionados, lo que en concepto de esta Corte  es  insuficiente</w:t>
        <w:br/>
        <w:t>para tener por interpuesta la excepción  respectiva,  ya  que,  como  se  ha</w:t>
        <w:br/>
        <w:t>dicho, puede ser renunciada expresa o tácitamente por el Gobierno  en  favor</w:t>
        <w:br/>
        <w:t>del cual existe; y habiendo sido renunciada tácitamente la excepción por  el</w:t>
        <w:br/>
        <w:t>Gobierno, la Comisión no podía posteriormente tomarla  en  consideración  de</w:t>
        <w:br/>
        <w:t>oficio.</w:t>
        <w:br/>
        <w:br/>
        <w:t>45.   Por las razones anteriores debe ser  desestimada  la  primera  de  las</w:t>
        <w:br/>
        <w:t>excepciones opuestas. Por  lo  que  respecta  a  la  segunda,  también  debe</w:t>
        <w:br/>
        <w:t>desecharse por las mismas consideraciones, ya que ambas  se  formulan,  como</w:t>
        <w:br/>
        <w:t>antes se dijo (supra 39), con idéntica motivación.</w:t>
        <w:br/>
        <w:br/>
        <w:br/>
        <w:t xml:space="preserve">                                     VII</w:t>
        <w:br/>
        <w:br/>
        <w:t>46.   Por tanto,</w:t>
        <w:br/>
        <w:br/>
        <w:t>LA CORTE,</w:t>
        <w:br/>
        <w:br/>
        <w:t>DECIDE:</w:t>
        <w:br/>
        <w:br/>
        <w:t>por unanimidad,</w:t>
        <w:br/>
        <w:br/>
        <w:t>1.    Desestimar las excepciones preliminares opuestas por  el  Gobierno  de</w:t>
        <w:br/>
        <w:t>la República del Perú.</w:t>
        <w:br/>
        <w:br/>
        <w:t>2.    Continuar con la tramitación del fondo del asunto.</w:t>
        <w:br/>
        <w:br/>
        <w:t>El Juez Antônio A.  Cançado  Trindade  hizo  conocer  a  la  Corte  su  Voto</w:t>
        <w:br/>
        <w:t>Razonado, el cual acompañará a esta sentencia.</w:t>
        <w:br/>
        <w:br/>
        <w:t>Redactada en castellano e inglés, haciendo fe el  texto  en  castellano,  en</w:t>
        <w:br/>
        <w:t>San José, Costa Rica, el día 30 de enero de 1996.</w:t>
        <w:br/>
        <w:br/>
        <w:br/>
        <w:br/>
        <w:br/>
        <w:br/>
        <w:t xml:space="preserve">                             Héctor Fix-Zamudio</w:t>
        <w:br/>
        <w:t xml:space="preserve">                                 Presidente</w:t>
        <w:br/>
        <w:br/>
        <w:br/>
        <w:t>Hernán Salgado Pesantes     Alejandro Montiel Argüello</w:t>
        <w:br/>
        <w:br/>
        <w:br/>
        <w:t>Máximo Pacheco Gómez   Alirio Abreu Burelli</w:t>
        <w:br/>
        <w:br/>
        <w:br/>
        <w:t xml:space="preserve">                         Antônio A. Cançado Trindade</w:t>
        <w:br/>
        <w:br/>
        <w:br/>
        <w:br/>
        <w:t xml:space="preserve">                          Manuel E. Ventura Robles</w:t>
        <w:br/>
        <w:t xml:space="preserve">                                 Secretario</w:t>
        <w:br/>
        <w:br/>
        <w:br/>
        <w:br/>
        <w:t>Leída en sesión pública en la sede de la Corte en San José, Costa  Rica,  el</w:t>
        <w:br/>
        <w:t>día 2 de febrero de 1996.</w:t>
        <w:br/>
        <w:br/>
        <w:t>Comuníquese y ejecútese,</w:t>
        <w:br/>
        <w:br/>
        <w:br/>
        <w:t xml:space="preserve">                                                          Héctor Fix-Zamudio</w:t>
        <w:br/>
        <w:t xml:space="preserve">      Presidente</w:t>
        <w:br/>
        <w:br/>
        <w:br/>
        <w:t>Manuel E. Ventura Robles</w:t>
        <w:br/>
        <w:t xml:space="preserve">      Secretario</w:t>
        <w:br/>
        <w:br/>
        <w:br/>
        <w:t xml:space="preserve">                VOTO RAZONADO DEL JUEZ A.A. CANÇADO TRINDADE</w:t>
        <w:br/>
        <w:br/>
        <w:br/>
        <w:br/>
        <w:t>1.    Suscribo la  decisión  de  la  Corte  de  desestimar  las  excepciones</w:t>
        <w:br/>
        <w:t>preliminares interpuestas por el Gobierno demandado, y de proseguir  con  el</w:t>
        <w:br/>
        <w:t>conocimiento del presente caso en cuanto al fondo,  con  la  cual  estoy  de</w:t>
        <w:br/>
        <w:t>acuerdo.  Siéntome  obligado  a  adjuntar  este  Voto  Razonado  para  dejar</w:t>
        <w:br/>
        <w:t>constancia de los fundamentos de mi razonamiento y posición sobre  el  punto</w:t>
        <w:br/>
        <w:t>central de las dos excepciones preliminares presentadas por el Gobierno  del</w:t>
        <w:br/>
        <w:t>Perú, a saber, la invocación ante la Corte de la objeción de no  agotamiento</w:t>
        <w:br/>
        <w:t>de los recursos internos en las circunstancias del  presente  caso  Castillo</w:t>
        <w:br/>
        <w:t>Páez.</w:t>
        <w:br/>
        <w:br/>
        <w:t>2.    Permítome, de inicio, reiterar mi entendimiento, expresado en mi  Voto</w:t>
        <w:br/>
        <w:t>Disidente en la Resolución de la Corte del 18 de mayo de  1995  en  el  caso</w:t>
        <w:br/>
        <w:t>Genie Lacayo, relativo a Nicaragua, en el sentido de que, en el contexto  de</w:t>
        <w:br/>
        <w:t>la  protección  internacional  de  los  derechos   humanos,   la   excepción</w:t>
        <w:br/>
        <w:t>preliminar  de  no  agotamiento  de  los  recursos  internos  es   de   pura</w:t>
        <w:br/>
        <w:t>admisibilidad (y no de competencia), y, como tal, en el  actual  sistema  de</w:t>
        <w:br/>
        <w:t>la Convención Americana sobre Derechos Humanos, debe ser  resuelta  de  modo</w:t>
        <w:br/>
        <w:t>bien fundamentado  y  definitivamente  por  la  Comisión  Interamericana  de</w:t>
        <w:br/>
        <w:t>Derechos Humanos.</w:t>
        <w:br/>
        <w:br/>
        <w:t>3.    La interpretación extensiva de las propias  facultades  de  la  Corte,</w:t>
        <w:br/>
        <w:t>por ésta propugnada en los casos relativos a Honduras[1], de modo a  abarcar</w:t>
        <w:br/>
        <w:t>también aspectos  atinentes  a  excepciones  preliminares  de  admisibilidad</w:t>
        <w:br/>
        <w:t>(basadas en una cuestión de hecho), al contrario de lo que puede  inferirse,</w:t>
        <w:br/>
        <w:t>no siempre contribuye necesariamente a una  protección  más  eficaz  de  los</w:t>
        <w:br/>
        <w:t>derechos humanos garantizados.  En realidad, tal concepción  conlleva  a  la</w:t>
        <w:br/>
        <w:t>indeseable reapertura y al reexamen de una objeción de  pura  admisibilidad,</w:t>
        <w:br/>
        <w:t>que obstruyen el proceso y perpetúan de ese modo un  desequilibrio  procesal</w:t>
        <w:br/>
        <w:t>que favorece a la parte demandada.  No se trata de “restringir” los  poderes</w:t>
        <w:br/>
        <w:t>de la Corte en el particular, sino más bien  de  fortalecer  el  sistema  de</w:t>
        <w:br/>
        <w:t>protección como  un  todo,  en  su  actual  etapa  de  evolución  histórica,</w:t>
        <w:br/>
        <w:t>remediando dicho desequilibrio, y contribuyendo así a la  plena  realización</w:t>
        <w:br/>
        <w:t>del objeto y fin de la Convención Americana sobre Derechos Humanos.</w:t>
        <w:br/>
        <w:br/>
        <w:t>4.    Las excepciones preliminares, si y cuando interpuestas,  deben  serlo,</w:t>
        <w:br/>
        <w:t>por su propia definición, in limine litis, en la etapa de  admisibilidad  de</w:t>
        <w:br/>
        <w:t>la demanda y antes de toda y cualquier consideración  en  cuanto  al  fondo.</w:t>
        <w:br/>
        <w:t>Esto se aplica con aún mayor razón tratándose de  una  excepción  preliminar</w:t>
        <w:br/>
        <w:t>de pura admisibilidad, como lo es la  de  no  agotamiento  de  los  recursos</w:t>
        <w:br/>
        <w:t>internos en el presente contexto de protección.  Si ésta no es planteada  in</w:t>
        <w:br/>
        <w:t>limine litis, configurase una renuncia tácita a la misma (como la  Corte  ya</w:t>
        <w:br/>
        <w:t>lo ha admitido,  por  ejemplo,  en  el  caso  Gangaram  Panday,  relativo  a</w:t>
        <w:br/>
        <w:t>Suriname)[2].</w:t>
        <w:br/>
        <w:br/>
        <w:t>5.    Por consiguiente, el  Gobierno  demandado  se  encuentra  impedido  de</w:t>
        <w:br/>
        <w:t>interponer dicha excepción preliminar posteriormente ante la Corte,  por  no</w:t>
        <w:br/>
        <w:t>haberla opuesto, en su debido momento, para  la  decisión  de  la  Comisión.</w:t>
        <w:br/>
        <w:t>Si, por la no  presentación  de  aquella  excepción  in  limine  litis,  tal</w:t>
        <w:br/>
        <w:t>renuncia a la misma ocurrió en el procedimiento  previo  ante  la  Comisión,</w:t>
        <w:br/>
        <w:t>como en el presente caso, es inconcebible que el  Gobierno  demandado  pueda</w:t>
        <w:br/>
        <w:t>libremente retirar esta renuncia en el procedimiento  subsiguiente  ante  la</w:t>
        <w:br/>
        <w:t>Corte (estoppel/forclusion).</w:t>
        <w:br/>
        <w:br/>
        <w:t>6.    Los fundamentos de mi posición, que aquí reitero  con  convicción,  se</w:t>
        <w:br/>
        <w:t>encuentran detalladamente expuestos en mi Voto Razonado en la  Sentencia  de</w:t>
        <w:br/>
        <w:t>la  Corte  del  04  de  diciembre  de  1991  en  el  caso  Gangaram   Panday</w:t>
        <w:br/>
        <w:t>(Excepciones Preliminares); no cabe aquí repetirlos ipsis literis, sino  más</w:t>
        <w:br/>
        <w:t>bien destacar y desarrollar algunos aspectos  que  me  parecen  de  especial</w:t>
        <w:br/>
        <w:t>relevancia en relación con el presente caso Castillo Páez.</w:t>
        <w:br/>
        <w:br/>
        <w:t>7.    Así como se consideran definitivas e inapelables las decisiones de  la</w:t>
        <w:br/>
        <w:t>Comisión de inadmisibilidad de peticiones o comunicaciones,  las  decisiones</w:t>
        <w:br/>
        <w:t>de admisibilidad deberían ser tratadas de igual modo,  consideradas  también</w:t>
        <w:br/>
        <w:t>definitivas y no susceptibles de ser reabiertas por  el  Gobierno  demandado</w:t>
        <w:br/>
        <w:t>en el procedimiento subsiguiente ante la Corte.  ¿Por qué se permite que  el</w:t>
        <w:br/>
        <w:t>Gobierno demandado intente reabrir  una  decisión  de  admisibilidad  de  la</w:t>
        <w:br/>
        <w:t>Comisión ante la Corte y no se faculta al individuo demandante a  igualmente</w:t>
        <w:br/>
        <w:t>cuestionar una decisión de inadmisibilidad de la Comisión ante la Corte?</w:t>
        <w:br/>
        <w:br/>
        <w:t>8.    Dicha reapertura o revisión de una decisión  de  admisibilidad  de  la</w:t>
        <w:br/>
        <w:t>Comisión por la Corte generaría un desequilibrio entre las partes, en  favor</w:t>
        <w:br/>
        <w:t>de los gobiernos demandados (aún  más  que  los  individuos  actualmente  ni</w:t>
        <w:br/>
        <w:t>siquiera tienen locus  standi  ante  la  Corte);  así  siendo,  también  las</w:t>
        <w:br/>
        <w:t>decisiones de inadmisibilidad de la Comisión deberían poder  ser  reabiertas</w:t>
        <w:br/>
        <w:t>por las presuntas víctimas y sometidas a la Corte.  O se reabren  todas  las</w:t>
        <w:br/>
        <w:t>decisiones - de admisibilidad o no - de la Comisión  ante  la  Corte,  o  se</w:t>
        <w:br/>
        <w:t>mantienen todas privativas de la Comisión.</w:t>
        <w:br/>
        <w:br/>
        <w:t>9.    Este entendimiento es el que mejor se adecúa a  la  noción  básica  de</w:t>
        <w:br/>
        <w:t>garantía colectiva subyacente  a  la  Convención  Americana  sobre  Derechos</w:t>
        <w:br/>
        <w:t>Humanos así como a todos los tratados de  protección  internacional  de  los</w:t>
        <w:br/>
        <w:t>derechos humanos.  En lugar de revisar decisiones  de  admisibilidad  de  la</w:t>
        <w:br/>
        <w:t>Comisión,  debería  la  Corte  poder  concentrarse  más  en  el  examen   de</w:t>
        <w:br/>
        <w:t>cuestiones de fondo para poder cumplir con mayor celeridad  y  seguridad  su</w:t>
        <w:br/>
        <w:t>rol de interpretar  y  aplicar  la  Convención  Americana,  determinando  la</w:t>
        <w:br/>
        <w:t>ocurrencia o  no  de  violaciones  de  la  Convención  y  sus  consecuencias</w:t>
        <w:br/>
        <w:t>jurídicas.  La Corte no es, a mi modo de ver,  un  tribunal  de  recursos  o</w:t>
        <w:br/>
        <w:t>apelaciones de decisiones de admisibilidad de la Comisión.</w:t>
        <w:br/>
        <w:br/>
        <w:t>10.   La pretendida reapertura de cuestiones de pura admisibilidad  ante  la</w:t>
        <w:br/>
        <w:t>Corte circunda el proceso de incertidumbres, perjudiciales a  ambas  partes,</w:t>
        <w:br/>
        <w:t>generando inclusive la posibilidad de decisiones divergentes o  conflictivas</w:t>
        <w:br/>
        <w:t>de la Comisión y la  Corte  sobre  el  particular,  fragmentando  la  unidad</w:t>
        <w:br/>
        <w:t>inherente a una decisión de admisibilidad, lo  que  en  nada  contribuye  al</w:t>
        <w:br/>
        <w:t>perfeccionamiento del sistema de garantías de la  Convención  Americana.  La</w:t>
        <w:br/>
        <w:t>preocupación principal de la Corte y de la Comisión debe incidir, no  en  la</w:t>
        <w:br/>
        <w:t>celosa repartición interna de atribuciones y competencias  en  el  mecanismo</w:t>
        <w:br/>
        <w:t>jurisdiccional de la Convención Americana, sino  más  bien  en  la  adecuada</w:t>
        <w:br/>
        <w:t>coordinación  entre  los  dos  órganos  de  supervisión  internacional  para</w:t>
        <w:br/>
        <w:t>asegurar la protección  la  más  eficaz  posible  de  los  derechos  humanos</w:t>
        <w:br/>
        <w:t>garantizados.</w:t>
        <w:br/>
        <w:br/>
        <w:t>11.   En el presente caso Castillo  Páez,  la  Comisión  había  señalado  el</w:t>
        <w:br/>
        <w:t>previo  agotamiento  de  los  recursos  internos  y  declarado  la   demanda</w:t>
        <w:br/>
        <w:t>admisible (caso n. 10.733, Informe n. 19/94,  del  26.09.1994,  págs.  13  y</w:t>
        <w:br/>
        <w:t>24).  Como el expediente del caso revela[3] y la audiencia pública  ante  la</w:t>
        <w:br/>
        <w:t>Corte del 23 de septiembre  de  1995  lo  confirma,  la  cuestión  sólo  fue</w:t>
        <w:br/>
        <w:t>señalada por el Gobierno de Perú en una etapa ya avanzada del  proceso  ante</w:t>
        <w:br/>
        <w:t>la Comisión[4], en la época  de  la  consideración  de  la  preparación  del</w:t>
        <w:br/>
        <w:t>Informe de ésta sobre el caso[5] (doc. supracitado), fuera del plazo  (y  no</w:t>
        <w:br/>
        <w:t>in  limine  litis),  y,  aún  así,  no  como  una  excepción  preliminar  de</w:t>
        <w:br/>
        <w:t>admisibilidad propiamente dicha sino más bien como un dato  de  facto  sobre</w:t>
        <w:br/>
        <w:t>procedimientos en trámite en la jurisdicción interna[6].</w:t>
        <w:br/>
        <w:br/>
        <w:t>12.   El haber señalado, como un hecho, y tardíamente, la existencia  de  un</w:t>
        <w:br/>
        <w:t>juicio en trámite en la jurisdicción nacional no es lo  mismo  que  oponerse</w:t>
        <w:br/>
        <w:t>expresamente, con base en este hecho, a la admisibilidad y examen  del  caso</w:t>
        <w:br/>
        <w:t>por la Comisión en  el  plano  internacional.   Además,  como  correctamente</w:t>
        <w:br/>
        <w:t>resulta de la presente Sentencia, no hay cómo prolongar  indefinidamente  en</w:t>
        <w:br/>
        <w:t>el tiempo la oportunidad concedida al Gobierno demandado de valerse  de  una</w:t>
        <w:br/>
        <w:t>objeción preliminar de no agotamiento de los recursos internos,  que  existe</w:t>
        <w:br/>
        <w:t>primariamente en su beneficio en la etapa de admisibilidad de la demanda.</w:t>
        <w:br/>
        <w:br/>
        <w:t>13.   La  decisión  de  la  Comisión  en  cuanto  a  la  admisibilidad  debe</w:t>
        <w:br/>
        <w:t>considerarse definitiva, lo que impide al Gobierno  de  reabrirla,  y  a  la</w:t>
        <w:br/>
        <w:t>Corte de  revisarla,  una  vez  que,  en  el  presente  caso,  la  excepción</w:t>
        <w:br/>
        <w:t>preliminar en cuestión ni siquiera había sido interpuesta  por  el  Gobierno</w:t>
        <w:br/>
        <w:t>demandado en el debido momento (in limine litis)  para  la  decisión  de  la</w:t>
        <w:br/>
        <w:t>Comisión.  Tal fundamento y nada  más  es  suficiente  para  desestimar  las</w:t>
        <w:br/>
        <w:t>excepciones preliminares interpuestas por el  Gobierno  demandado.   En  las</w:t>
        <w:br/>
        <w:t>circunstancias del presente caso Castillo Páez, deben desestimarse  las  dos</w:t>
        <w:br/>
        <w:t>objeciones (del mismo contenido) del  alegado  no  agotamiento  de  recursos</w:t>
        <w:br/>
        <w:t>internos con base en  la  extemporaneidad  y  la  renuncia  tácita  ante  la</w:t>
        <w:br/>
        <w:t>Comisión, y en el estoppel (forclusion) ante la Corte[7].</w:t>
        <w:br/>
        <w:br/>
        <w:t>14.   El rationale de mi posición, tal como lo he manifestado  en  la  labor</w:t>
        <w:br/>
        <w:t>de la Corte[8], reside en última instancia en el propósito  de  asegurar  el</w:t>
        <w:br/>
        <w:t>necesario equilibrio o igualdad procesal de las partes ante la  Corte  -  es</w:t>
        <w:br/>
        <w:t>decir, entre los peticionarios demandantes y  los  gobiernos  demandados,  -</w:t>
        <w:br/>
        <w:t>esencial a todo sistema jurisdiccional de protección  internacional  de  los</w:t>
        <w:br/>
        <w:t>derechos humanos.  Sin  el  locus  standi  in  judicio  de  ambas  partes[9]</w:t>
        <w:br/>
        <w:t>cualquier sistema de protección  se  encuentra  irremediablemente  mitigado,</w:t>
        <w:br/>
        <w:t>por cuanto no es razonable concebir derechos sin la  capacidad  procesal  de</w:t>
        <w:br/>
        <w:t>directamente vindicarlos.</w:t>
        <w:br/>
        <w:br/>
        <w:t>15.   En el universo del derecho internacional de los derechos  humanos,  es</w:t>
        <w:br/>
        <w:t>el individuo quien alega tener sus derechos  violados,  quien  alega  sufrir</w:t>
        <w:br/>
        <w:t>los daños, quien tiene que cumplir con el requisito del  previo  agotamiento</w:t>
        <w:br/>
        <w:t>de los recursos internos, quien participa activamente en  eventual  solución</w:t>
        <w:br/>
        <w:t>amistosa, y quien es el beneficiario (él o  sus  familiares)  de  eventuales</w:t>
        <w:br/>
        <w:t>reparaciones  e  indemnizaciones.   En  el  examen  de  las  cuestiones   de</w:t>
        <w:br/>
        <w:t>admisibilidad, son partes, ante la Comisión, los  individuos  demandantes  y</w:t>
        <w:br/>
        <w:t>los Gobiernos demandados[10]; la reapertura de  dichas  cuestiones  ante  la</w:t>
        <w:br/>
        <w:t>Corte, ya  sin  la  presencia  de  una  de  las  partes  (los  peticionarios</w:t>
        <w:br/>
        <w:t>demandantes), atenta contra el principio de la igualdad  procesal  (equality</w:t>
        <w:br/>
        <w:t>of arms/égalité des armes).</w:t>
        <w:br/>
        <w:br/>
        <w:t>16.   En nuestro sistema regional  de  protección[11],  el  espectro  de  la</w:t>
        <w:br/>
        <w:t>persistente denegación de la capacidad procesal del  individuo  peticionario</w:t>
        <w:br/>
        <w:t>ante  la  Corte  Interamericana,  verdadera  capitis  diminutio,  emanó   de</w:t>
        <w:br/>
        <w:t>consideraciones dogmáticas propias de  otra  época  histórica  tendientes  a</w:t>
        <w:br/>
        <w:t>evitar  su  acceso  directo  a  la  instancia  judicial   internacional,   -</w:t>
        <w:br/>
        <w:t>consideraciones estas que, en nuestros días, a mi modo de  ver,  carecen  de</w:t>
        <w:br/>
        <w:t>sustentación o sentido, aún más tratándose de un tribunal  internacional  de</w:t>
        <w:br/>
        <w:t>derechos humanos.</w:t>
        <w:br/>
        <w:br/>
        <w:t>17.   En el sistema interamericano  de  protección,  cabe  de  lege  ferenda</w:t>
        <w:br/>
        <w:t>superar gradualmente la concepción paternalista y  anacrónica  de  la  total</w:t>
        <w:br/>
        <w:t>intermediación de  la  Comisión  entre  el  individuo  (la  verdadera  parte</w:t>
        <w:br/>
        <w:t>demandante) y la Corte, según criterios y reglas claros y  precisos,  previa</w:t>
        <w:br/>
        <w:t>y cuidadosamente definidos.  En el  presente  dominio  de  protección,  todo</w:t>
        <w:br/>
        <w:t>jusinternacionalista, fiel a  los  orígenes  históricos  de  su  disciplina,</w:t>
        <w:br/>
        <w:t>sabrá contribuir al rescate de la posición del ser humano  como  sujeto  del</w:t>
        <w:br/>
        <w:t>derecho de  gentes  dotado  de  personalidad  y  plena  capacidad  jurídicas</w:t>
        <w:br/>
        <w:t>internacionales.</w:t>
        <w:br/>
        <w:br/>
        <w:br/>
        <w:br/>
        <w:br/>
        <w:t xml:space="preserve">                                            Antônio Augusto Cançado Trindade</w:t>
        <w:br/>
        <w:t xml:space="preserve">      Juez</w:t>
        <w:br/>
        <w:br/>
        <w:br/>
        <w:t>Manuel E. Ventura Robles</w:t>
        <w:br/>
        <w:t xml:space="preserve">      Secretario</w:t>
        <w:br/>
        <w:t>-----------------------</w:t>
        <w:br/>
        <w:t xml:space="preserve">  (*) El Juez Oliver Jackman se abstuvo de  conocer  este  caso  por  haber</w:t>
        <w:br/>
        <w:t>participado en varias etapas del mismo durante su trámite ante  la  Comisión</w:t>
        <w:br/>
        <w:t>Interamericana de Derechos Humanos cuando era miembro de esta.</w:t>
        <w:br/>
        <w:t xml:space="preserve">  [1].     Sentencias de 1987 sobre Excepciones Preliminares, en los  casos</w:t>
        <w:br/>
        <w:t>Velásquez Rodríguez, párr. 29; Godínez Cruz, párr. 32; Fairén Garbi y  Solís</w:t>
        <w:br/>
        <w:t>Corrales, párr. 34.</w:t>
        <w:br/>
        <w:t xml:space="preserve">  [2].     Sentencia de 1991 sobre Excepciones Preliminares, caso  Gangaram</w:t>
        <w:br/>
        <w:t>Panday, párrs. 39-40; sobre el particular,  cf.  también  la  Sentencia  del</w:t>
        <w:br/>
        <w:t>mismo año sobre  Excepciones  Preliminares,  caso  Neira  Alegría  et  alii,</w:t>
        <w:br/>
        <w:t>relativo al Perú, párrs. 30-31; y las Sentencias supra citadas (nota  1)  en</w:t>
        <w:br/>
        <w:t>los tres casos relativos a Honduras, párrs. 88-90 (Velásquez Rodríguez), 90-</w:t>
        <w:br/>
        <w:t>92  (Godínez  Cruz),  y  87-89  (Fairén  Garbi   y   Solís   Corrales);   y,</w:t>
        <w:br/>
        <w:t>anteriormente, Decisión de la Corte de 1981 en el  asunto  Viviana  Gallardo</w:t>
        <w:br/>
        <w:t>et alii, párr. 26.</w:t>
        <w:br/>
        <w:t xml:space="preserve">  [3].      V.g.,  escritos  del  Gobierno  de  03.10.1991,  03.01.1995   y</w:t>
        <w:br/>
        <w:t>15.03.1995; escritos de la Comisión de 27.04.1995 y 28.04.1995.</w:t>
        <w:br/>
        <w:t xml:space="preserve">  [4].     Audiencia del 16.09.1994 ante la Comisión.</w:t>
        <w:br/>
        <w:t xml:space="preserve">  [5].     El escrito anterior del Gobierno  del  03.10.1991  se  limitó  a</w:t>
        <w:br/>
        <w:t>transmitir a la Comisión una información  sobre  investigaciones  realizadas</w:t>
        <w:br/>
        <w:t>en nivel nacional sobre el caso Castillo Páez.</w:t>
        <w:br/>
        <w:t>| |</w:t>
        <w:br/>
        <w:br/>
        <w:br/>
        <w:t xml:space="preserve">  [6].     La excepción preliminar como  tal  sólo  fue  planteada  por  el</w:t>
        <w:br/>
        <w:t>Gobierno a la Comisión en el escrito de 03.01.1995  (Informe  preparado  por</w:t>
        <w:br/>
        <w:t>un Equipo de Trabajo), cuando ya  había  sido  adoptado  el  Informe  de  la</w:t>
        <w:br/>
        <w:t>Comisión conteniendo su decisión sobre el caso.</w:t>
        <w:br/>
        <w:t xml:space="preserve">  [7].     Bajo  la  Convención  Europea  de  Derechos  Humanos,  según  la</w:t>
        <w:br/>
        <w:t>jurisprudence  constante  de  la  Corte  Europea  de  Derechos  Humanos,  el</w:t>
        <w:br/>
        <w:t>Gobierno demandado que dejó de oponer una objeción de no agotamiento de  los</w:t>
        <w:br/>
        <w:t>recursos internos previamente ante la  Comisión  se  encuentra  impedido  de</w:t>
        <w:br/>
        <w:t>interponerla ante la Corte (estoppel). En  este  sentido  decidió  la  Corte</w:t>
        <w:br/>
        <w:t>Europea, inter alia, en los casos Artico  (1980),  Corigliano  (1982),  Foti</w:t>
        <w:br/>
        <w:t>(1982) y Ciulla (1989), relativos a  Italia;  Granger  (1990),  relativo  al</w:t>
        <w:br/>
        <w:t>Reino Unido; Bozano (1986), relativo a Francia; De Jong, Baljet  y  Van  der</w:t>
        <w:br/>
        <w:t>Brink (1984), relativo a Holanda; y Bricmont (1989), relativo a Bélgica.  En</w:t>
        <w:br/>
        <w:t>su Sentencia del 22 de mayo de 1984 en el caso Van der Sluijs, Zuiderveld  y</w:t>
        <w:br/>
        <w:t>Klappe, relativo a Holanda, la Corte Europea fue más allá.  En  aquel  caso,</w:t>
        <w:br/>
        <w:t>el  Gobierno  demandado  había  inicialmente  opuesto  una  objeción  de  no</w:t>
        <w:br/>
        <w:t>agotamiento de los recursos internos ante la Comisión Europea, pero dejó  de</w:t>
        <w:br/>
        <w:t>mencionarla en sus argumentos  "preliminares"  (audiencia  de  noviembre  de</w:t>
        <w:br/>
        <w:t>1983) ante la Corte Europea. El  delegado  de  la  Comisión  dedujo,  en  su</w:t>
        <w:br/>
        <w:t>réplica, que el Gobierno demandado parecía así  no  más  insistir  en  dicha</w:t>
        <w:br/>
        <w:t>objeción. Como el Gobierno no cuestionó tal  análisis  de  la  Comisión,  la</w:t>
        <w:br/>
        <w:t>Corte tomó nota formalmente de la "retirada" por el Gobierno de la  objeción</w:t>
        <w:br/>
        <w:t>de no agotamiento, poniendo de ese modo un fín a  esta  cuestión  (Sentencia</w:t>
        <w:br/>
        <w:t>cit. supra, párrs. 38-39 y 52).</w:t>
        <w:br/>
        <w:t xml:space="preserve">  [8].     V.g., en la audiencia pública de la Corte del  27  de  enero  de</w:t>
        <w:br/>
        <w:t>1996, en el caso El Amparo, relativo a Venezuela.</w:t>
        <w:br/>
        <w:t xml:space="preserve">  [9].     No hay que pasar desapercibido que la cuestión del locus  standi</w:t>
        <w:br/>
        <w:t>in judicio de los individuos ante la Corte (en casos  ya  sometidos  a  ésta</w:t>
        <w:br/>
        <w:t>por la Comisión) es distinta de la del derecho de someter un  caso  concreto</w:t>
        <w:br/>
        <w:t>a la decisión de la Corte, que el artículo 61(1) de la Convención  Americana</w:t>
        <w:br/>
        <w:t>reserva actualmente sólo a  la  Comisión  y  a  los  Estados  Partes  en  la</w:t>
        <w:br/>
        <w:t>Convención.</w:t>
        <w:br/>
        <w:t xml:space="preserve">  [10].    En lo que concierne a la etapa de admisibilidad de una  petición</w:t>
        <w:br/>
        <w:t>o comunicación ante la Comisión,  la  Convención  Americana  se  refiere  al</w:t>
        <w:br/>
        <w:t>"presunto lesionado en sus derechos" (artículos  46(1)(b)  y  46(2)(b)),  al</w:t>
        <w:br/>
        <w:t>"propio peticionario"  y  al  Estado  (artículo  47(c)),  y  a  las  "partes</w:t>
        <w:br/>
        <w:t>interesadas" ante la Comisión (artículo  48(1)(f))  teniendo  claramente  en</w:t>
        <w:br/>
        <w:t>mente los individuos demandantes y los Gobiernos  demandados.  Cf.  también,</w:t>
        <w:br/>
        <w:t>en el mismo sentido, los artículos  32(a)  y  (c);  33;  34(4)  y  (7);  36;</w:t>
        <w:br/>
        <w:t>37(2)(b) y (3); y 43(1) y (2) del Reglamento de la Comisión.</w:t>
        <w:br/>
        <w:t xml:space="preserve">  [11].    En el marco de este último, a la Comisión Interamericana,  a  su</w:t>
        <w:br/>
        <w:t>vez, está reservado el  papel  de  defender  los  "intereses  públicos"  del</w:t>
        <w:br/>
        <w:t>sistema,  como  guardián  de  la  correcta  aplicación  de   la   Convención</w:t>
        <w:br/>
        <w:t>Americana; si a este rol se continúa  a  agregar  la  función  adicional  de</w:t>
        <w:br/>
        <w:t>también  defender  los   intereses   de   las   presuntas   víctimas,   como</w:t>
        <w:br/>
        <w:t>"intermediario"  entre  estas  y  la  Corte,  se  perpetúa  una   indeseable</w:t>
        <w:br/>
        <w:t>ambigüedad, que cabe evitar.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