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>CORTE INTERAMERICANA DE DERECHOS HUMANOS</w:t>
        <w:br/>
        <w:br/>
        <w:br/>
        <w:t>CASO MASACRES DE RÍO NEGRO VS. GUATEMALA</w:t>
        <w:br/>
        <w:br/>
        <w:br/>
        <w:t>SENTENCIA DE 4 DE SEPTIEMBRE DE 2012</w:t>
        <w:br/>
        <w:br/>
        <w:t>(Excepción Preliminar, Fondo, Reparaciones y Costas)</w:t>
        <w:br/>
        <w:br/>
        <w:br/>
        <w:t>En el Caso Masacres de Río Negro,</w:t>
        <w:br/>
        <w:br/>
        <w:t>la Corte  Interamericana  de  Derechos  Humanos  (en  adelante  “la  Corte</w:t>
        <w:br/>
        <w:t>Interamericana”, “la Corte” o “el Tribunal”), integrada por los siguientes</w:t>
        <w:br/>
        <w:t>Jueces y Juezas: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Jueza;</w:t>
        <w:br/>
        <w:t>Alberto Pérez Pérez, Juez, y</w:t>
        <w:br/>
        <w:t>Eduardo Vio Grossi,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63.1 de  la  Convención  Americana</w:t>
        <w:br/>
        <w:t>sobre Derechos Humanos (en  adelante,  “la  Convención  Americana”  o  “la</w:t>
        <w:br/>
        <w:t>Convención”) y con los artículos 31, 32, 41, 42, 65 y 67 del Reglamento de</w:t>
        <w:br/>
        <w:t>la Corte[1] (en adelante  también  “el  Reglamento”),  dicta  la  presente</w:t>
        <w:br/>
        <w:t>Sentencia.</w:t>
        <w:br/>
        <w:br/>
        <w:br/>
        <w:t xml:space="preserve">                             TABLA DE CONTENIDO</w:t>
        <w:br/>
        <w:t xml:space="preserve">                       Párrafo</w:t>
        <w:br/>
        <w:br/>
        <w:t>I.      INTRODUCCIÓN   DE   LA   CAUSA   Y   OBJETO   DE   LA   CONTROVERSIA</w:t>
        <w:br/>
        <w:t>1</w:t>
        <w:br/>
        <w:br/>
        <w:t>II.             PROCEDIMIENTO            ANTE            LA            CORTE</w:t>
        <w:br/>
        <w:t>4</w:t>
        <w:br/>
        <w:br/>
        <w:t>III.  COMPETENCIA                                                   15</w:t>
        <w:br/>
        <w:br/>
        <w:t>IV.   RECONOCIMIENTO PARCIAL DE RESPONSABILIDAD                     17</w:t>
        <w:br/>
        <w:br/>
        <w:t>V.    EXCEPCIÓN PRELIMINAR DE INCOMPETENCIA RATIONE TEMPORIS        29</w:t>
        <w:br/>
        <w:t xml:space="preserve">      A.     Alegatos  de  las  partes  y  de  la  Comisión   Interamericana</w:t>
        <w:br/>
        <w:t xml:space="preserve">      29</w:t>
        <w:br/>
        <w:t xml:space="preserve">      B.    Consideraciones de la Corte                                   34</w:t>
        <w:br/>
        <w:br/>
        <w:t>VI.   PRUEBA                                                        40</w:t>
        <w:br/>
        <w:t xml:space="preserve">      A.        Prueba     documental,      testimonial      y      pericial</w:t>
        <w:br/>
        <w:t xml:space="preserve">      41</w:t>
        <w:br/>
        <w:t xml:space="preserve">      B.    Admisión de la prueba                                         42</w:t>
        <w:br/>
        <w:br/>
        <w:t>VII.  CONSIDERACIONES PREVIAS                                       44</w:t>
        <w:br/>
        <w:t xml:space="preserve">      A.         Determinación      de      las      presuntas      víctimas</w:t>
        <w:br/>
        <w:t xml:space="preserve">      44</w:t>
        <w:br/>
        <w:t xml:space="preserve">      B.          Otros hechos y violaciones de  derechos  humanos  alegados</w:t>
        <w:br/>
        <w:t>por</w:t>
        <w:br/>
        <w:t xml:space="preserve">            los Representantes                                            52</w:t>
        <w:br/>
        <w:br/>
        <w:br/>
        <w:t>VIII. HECHOS                                                        55</w:t>
        <w:br/>
        <w:t xml:space="preserve">      A.                            Contexto                         general</w:t>
        <w:br/>
        <w:t>56</w:t>
        <w:br/>
        <w:t xml:space="preserve">      B.    Antecedentes de las masacres  de  la  Comunidad  de   Río  negro</w:t>
        <w:br/>
        <w:t xml:space="preserve">      65</w:t>
        <w:br/>
        <w:t xml:space="preserve">      C.    Masacre de 4 de marzo de 1980 en la Capilla de la Comunidad</w:t>
        <w:br/>
        <w:t xml:space="preserve">      de Río Negro y ejecuciones extrajudiciales del  8  de  julio  de  1980</w:t>
        <w:br/>
        <w:t xml:space="preserve">      68</w:t>
        <w:br/>
        <w:t xml:space="preserve">      D.    Masacre  de  13  de  febrero  de  1982  en  la  Aldea  de  Xococ</w:t>
        <w:br/>
        <w:t xml:space="preserve">      70</w:t>
        <w:br/>
        <w:t xml:space="preserve">      E.     Masacre  de  13  de  marzo  de  1982  en   el   Cerro   Pacoxom</w:t>
        <w:br/>
        <w:t>76</w:t>
        <w:br/>
        <w:t xml:space="preserve">      F.     Masacre  de  14  de  mayo   de   1982   en   “Los   Encuentros”</w:t>
        <w:br/>
        <w:t>80</w:t>
        <w:br/>
        <w:t xml:space="preserve">      G.     Masacre  de  14  de  septiembre  de   1982   en   “Agua   Fría”</w:t>
        <w:br/>
        <w:t xml:space="preserve">      81</w:t>
        <w:br/>
        <w:t xml:space="preserve">      H.    La vida en las montañas y el reasentamiento de los miembros</w:t>
        <w:br/>
        <w:t xml:space="preserve">       de la Comunidad de Río Negro en la colonia Pacux                   82</w:t>
        <w:br/>
        <w:t xml:space="preserve">        I. Investigación, proceso y sanción de los responsables de las</w:t>
        <w:br/>
        <w:t xml:space="preserve">       masacres                                                     84</w:t>
        <w:br/>
        <w:t xml:space="preserve">          a.      Masacres cometidas en  la  capilla  de  Río  Negro  y  Los</w:t>
        <w:br/>
        <w:t xml:space="preserve">      Encuentros       88</w:t>
        <w:br/>
        <w:t xml:space="preserve">          b.              Masacre         cometida         en          Xococ</w:t>
        <w:br/>
        <w:t xml:space="preserve">      89</w:t>
        <w:br/>
        <w:t xml:space="preserve">          c.       Masacres   de   Río   Negro   (Pacoxom)   y   Agua   Fría</w:t>
        <w:br/>
        <w:t xml:space="preserve">      92</w:t>
        <w:br/>
        <w:t xml:space="preserve">             c.1.                    Diligencias                principales</w:t>
        <w:br/>
        <w:t xml:space="preserve">                       92</w:t>
        <w:br/>
        <w:t xml:space="preserve">             c.2.                                              Exhumaciones</w:t>
        <w:br/>
        <w:t xml:space="preserve">                     102</w:t>
        <w:br/>
        <w:t xml:space="preserve">             c.3.      Solicitud de información a autoridades  estatales  y</w:t>
        <w:br/>
        <w:t xml:space="preserve">                   diligencias</w:t>
        <w:br/>
        <w:t xml:space="preserve">                 tendientes  a la captura del ex coronel  José      Antonio</w:t>
        <w:br/>
        <w:t xml:space="preserve">                   González</w:t>
        <w:br/>
        <w:t xml:space="preserve">                 Solares                                                106</w:t>
        <w:br/>
        <w:br/>
        <w:br/>
        <w:t>IX.   DERECHOS A  LA  LIBERTAD E  INTEGRIDAD PERSONALES, A LA VIDA</w:t>
        <w:br/>
        <w:t xml:space="preserve">      Y  AL  RECONOCIMIENTO DE LA   PERSONALIDAD JURÍDICA DE  LOS</w:t>
        <w:br/>
        <w:t xml:space="preserve">      MIEMBROS  DE  LA  COMUNIDAD DE   RÍO  NEGRO  DESAPARECIDOS</w:t>
        <w:br/>
        <w:t xml:space="preserve">      FORZADAMENTE, Y LOS DERECHOS DE  LOS NIÑOS  DE  RÍO NEGRO</w:t>
        <w:br/>
        <w:t xml:space="preserve">      DESAPARECIDOS FORZADAMENTE, EN RELACIÓN  CON   LAS</w:t>
        <w:br/>
        <w:t xml:space="preserve">      OBLIGACIONES DE RESPETAR Y GARANTIZAR LOS DERECHOS            109</w:t>
        <w:br/>
        <w:t xml:space="preserve">      A.     Alegatos  de  las  partes  y  de  la  Comisión   Interamericana</w:t>
        <w:br/>
        <w:t xml:space="preserve">      109</w:t>
        <w:br/>
        <w:t xml:space="preserve">      B.    La desaparición forzada como violación múltiple y continuada de</w:t>
        <w:br/>
        <w:t xml:space="preserve">          derechos humanos                                          112</w:t>
        <w:br/>
        <w:t xml:space="preserve">      C.     Desaparición  forzada  de  diecisiete  personas   llevadas   en</w:t>
        <w:br/>
        <w:t xml:space="preserve">          helicóptero</w:t>
        <w:br/>
        <w:t xml:space="preserve">      durante la masacre realizada el 14 de mayo de 1982 en</w:t>
        <w:br/>
        <w:t xml:space="preserve">      Los Encuentros                                                122</w:t>
        <w:br/>
        <w:br/>
        <w:br/>
        <w:t>X.    DERECHO A LA INTEGRIDAD PERSONAL, EN RELACIÓN CON EL DERECHO</w:t>
        <w:br/>
        <w:t xml:space="preserve">      A LA PROTECCIÓN DE LA HONRA Y DE LA DIGNIDAD, LA PROHIBICIÓN</w:t>
        <w:br/>
        <w:t xml:space="preserve">      DE LA ESCLAVITUD Y SERVIDUMBRE, LA OBLIGACIÓN DE RESPETAR LOS</w:t>
        <w:br/>
        <w:t xml:space="preserve">      DERECHOS DEL NIÑO, LA PROTECCIÓN DE LA FAMILIA, LA LIBERTAD</w:t>
        <w:br/>
        <w:t xml:space="preserve">      DE CONCIENCIA Y RELIGIÓN, Y LA OBLIGACIÓN GENERAL DE</w:t>
        <w:br/>
        <w:t xml:space="preserve">      RESPETAR          Y          GARANTIZAR          LOS          DERECHOS</w:t>
        <w:br/>
        <w:t xml:space="preserve">      128</w:t>
        <w:br/>
        <w:t xml:space="preserve">      A.    Violaciones de los derechos a la  integridad  personal  y  a  la</w:t>
        <w:br/>
        <w:t>honra y dignidad</w:t>
        <w:br/>
        <w:t xml:space="preserve">       de  María  Eustaquia  Uscap  Ivoy,  por  las  consecuencias  de   las</w:t>
        <w:br/>
        <w:t xml:space="preserve">          violaciones</w:t>
        <w:br/>
        <w:t xml:space="preserve">          sexuales                        que                         sufrió</w:t>
        <w:br/>
        <w:t xml:space="preserve">          129</w:t>
        <w:br/>
        <w:t xml:space="preserve">          A.1. Alegatos de  las  partes  y  de  la  Comisión  Interamericana</w:t>
        <w:br/>
        <w:t xml:space="preserve">            129</w:t>
        <w:br/>
        <w:t xml:space="preserve">              A.2.        Consideraciones        de         la         Corte</w:t>
        <w:br/>
        <w:t>132</w:t>
        <w:br/>
        <w:t xml:space="preserve">       B.    Violación del derecho a la integridad  personal,  en  relación</w:t>
        <w:br/>
        <w:t>con la prohibición de</w:t>
        <w:br/>
        <w:t xml:space="preserve">         la esclavitud y servidumbre, y  las  obligaciones  de  respetar  y</w:t>
        <w:br/>
        <w:t xml:space="preserve">  garantizar los</w:t>
        <w:br/>
        <w:t xml:space="preserve">         derechos del niño y la protección de la familia, en  perjuicio  de</w:t>
        <w:br/>
        <w:t xml:space="preserve">  diecisiete niños</w:t>
        <w:br/>
        <w:t xml:space="preserve">         sustraídos     de     la     Comunidad      de      Río      Negro</w:t>
        <w:br/>
        <w:t xml:space="preserve">  136</w:t>
        <w:br/>
        <w:t xml:space="preserve">          B.1.  Alegatos de las partes y  de  la  Comisión  Interamericana</w:t>
        <w:br/>
        <w:t xml:space="preserve">       136</w:t>
        <w:br/>
        <w:t xml:space="preserve">          B.2.         Consideraciones         de         la         Corte</w:t>
        <w:br/>
        <w:t xml:space="preserve">     139</w:t>
        <w:br/>
        <w:t xml:space="preserve">            C.    Violación del  derecho  a  la  integridad  personal,  en</w:t>
        <w:br/>
        <w:t>relación con la libertad de</w:t>
        <w:br/>
        <w:t xml:space="preserve">         conciencia  y  religión,  y  el  derecho  a  la  cultura  de   los</w:t>
        <w:br/>
        <w:t xml:space="preserve">     sobrevivientes de las</w:t>
        <w:br/>
        <w:t xml:space="preserve">         masacres                de                Río                Negro</w:t>
        <w:br/>
        <w:t xml:space="preserve">  151</w:t>
        <w:br/>
        <w:t xml:space="preserve">          C.1.   Alegatos de las partes  y  de  la  Comisión  Interamericana</w:t>
        <w:br/>
        <w:t xml:space="preserve">      151</w:t>
        <w:br/>
        <w:t xml:space="preserve">                   C.2.        Consideraciones       de       la       Corte</w:t>
        <w:br/>
        <w:t xml:space="preserve">      153</w:t>
        <w:br/>
        <w:t xml:space="preserve">              C.3.   Alegada violación del  artículo  16  de  la  Convención</w:t>
        <w:br/>
        <w:t>Americana        166</w:t>
        <w:br/>
        <w:br/>
        <w:br/>
        <w:t>XI.   DERECHO DE CIRCULACIÓN  Y  RESIDENCIA DE LOS MIEMBROS  DE</w:t>
        <w:br/>
        <w:t xml:space="preserve">      LA COMUNIDAD DE RÍO NEGRO EN RELACIÓN CON LA OBLIGACIÓN</w:t>
        <w:br/>
        <w:t xml:space="preserve">      DE RESPETAR LOS DERECHOS                                      169</w:t>
        <w:br/>
        <w:t xml:space="preserve">       A.     Alegatos  de  las  partes  y  de  la  Comisión  Interamericana</w:t>
        <w:br/>
        <w:t xml:space="preserve">      169</w:t>
        <w:br/>
        <w:t xml:space="preserve">                  B.         Consideraciones       de        la        Corte</w:t>
        <w:br/>
        <w:t>172</w:t>
        <w:br/>
        <w:t xml:space="preserve">          B.1.    El desplazamiento continuo de la comunidad  de  Río  Negro</w:t>
        <w:br/>
        <w:t xml:space="preserve">       178</w:t>
        <w:br/>
        <w:t xml:space="preserve">          B.2.    Imposibilidad de regreso a las tierras ancestrales de la</w:t>
        <w:br/>
        <w:t xml:space="preserve">      comunidad de Río Negro                                  179</w:t>
        <w:br/>
        <w:t xml:space="preserve">          B.3.    Medidas adoptadas por el Estado para revertir los  efectos</w:t>
        <w:br/>
        <w:t xml:space="preserve">      del</w:t>
        <w:br/>
        <w:t xml:space="preserve">      desplazamiento                                          183</w:t>
        <w:br/>
        <w:br/>
        <w:t>XII.  GARANTÍAS    JUDICIALES   Y    PROTECCIÓN   JUDICIAL   DE    LA</w:t>
        <w:br/>
        <w:t xml:space="preserve">      CONVENCIÓN AMERICANA, EN RELACIÓN CON EL ARTÍCULO 1.1 DE</w:t>
        <w:br/>
        <w:t xml:space="preserve">      LA     MISMA  Y   CON   LOS   ARTÍCULOS I  DE   LA CONVENCIÓN</w:t>
        <w:br/>
        <w:t xml:space="preserve">      INTERAMERICANA SOBRE DESAPARICIÓN FORZADA DE PERSONAS,</w:t>
        <w:br/>
        <w:t xml:space="preserve">      1, 6 Y 8 DE LA CONVENCIÓN INTERAMERICANA PARA PREVENIR</w:t>
        <w:br/>
        <w:t xml:space="preserve">      Y   SANCIONAR      LA    TORTURA,   Y   7.B   DE   LA CONVENCIÓN</w:t>
        <w:br/>
        <w:t xml:space="preserve">      INTERAMERICANA PARA PREVENIR, SANCIONAR Y ERRADICAR</w:t>
        <w:br/>
        <w:t xml:space="preserve">      LA           VIOLENCIA           CONTRA            LA            MUJER</w:t>
        <w:br/>
        <w:t xml:space="preserve">   185</w:t>
        <w:br/>
        <w:t xml:space="preserve">      A.      Alegatos  de  las  partes  y  de  la  Comisión  Interamericana</w:t>
        <w:br/>
        <w:t xml:space="preserve">            185</w:t>
        <w:br/>
        <w:t xml:space="preserve">      B.                 Consideraciones         de         la         Corte</w:t>
        <w:br/>
        <w:t xml:space="preserve">      189</w:t>
        <w:br/>
        <w:t xml:space="preserve">            B.1.  Falta de investigación de las masacres sucedidas en la</w:t>
        <w:br/>
        <w:t xml:space="preserve">               capilla    de    Río    Negro    y    en    Los    Encuentros</w:t>
        <w:br/>
        <w:t>195</w:t>
        <w:br/>
        <w:t xml:space="preserve">      B.2.  Investigación  de las   masacres  sucedidas en el  cerro</w:t>
        <w:br/>
        <w:t xml:space="preserve">                    Pacoxom         y         en          Agua          Fría</w:t>
        <w:br/>
        <w:t>197</w:t>
        <w:br/>
        <w:t xml:space="preserve">              B.2.1.       Impulso     procesal     de     las     víctimas</w:t>
        <w:br/>
        <w:t xml:space="preserve">              197</w:t>
        <w:br/>
        <w:t xml:space="preserve">                   B.2.2.       Responsables   y   tipo   penal    aplicado</w:t>
        <w:br/>
        <w:t xml:space="preserve">                 199</w:t>
        <w:br/>
        <w:t xml:space="preserve">                  B.2.3.      Falta  de  cooperación  de  las   autoridades</w:t>
        <w:br/>
        <w:t xml:space="preserve">              militares</w:t>
        <w:br/>
        <w:t xml:space="preserve">                       para proporcionar información tendiente a la captura</w:t>
        <w:br/>
        <w:t xml:space="preserve">                      de                 otros                 responsables</w:t>
        <w:br/>
        <w:t xml:space="preserve">                 207</w:t>
        <w:br/>
        <w:t xml:space="preserve">               B.3.     Investigación    de    la    masacre    de     Xococ</w:t>
        <w:br/>
        <w:t xml:space="preserve">      211</w:t>
        <w:br/>
        <w:t xml:space="preserve">             B.4.         Exhumaciones        de        restos         óseos</w:t>
        <w:br/>
        <w:t>217</w:t>
        <w:br/>
        <w:t xml:space="preserve">         B.5.     Falta     de     investigación     de     otros     hechos</w:t>
        <w:br/>
        <w:t>221</w:t>
        <w:br/>
        <w:t xml:space="preserve">          B.6.      Plazo     razonable      para      la      investigación</w:t>
        <w:br/>
        <w:t>229</w:t>
        <w:br/>
        <w:t xml:space="preserve">      B.7.  Alegada discriminación por la falta de investigación de los</w:t>
        <w:br/>
        <w:t xml:space="preserve">                      hechos           del           presente           caso</w:t>
        <w:br/>
        <w:t>231</w:t>
        <w:br/>
        <w:t xml:space="preserve">      B.8.  Solicitud de los representantes y de la Comisión para que</w:t>
        <w:br/>
        <w:t xml:space="preserve">            los hechos se califiquen como “genocidio” y “crímenes de</w:t>
        <w:br/>
        <w:t xml:space="preserve">            lesa humanidad”                                         233</w:t>
        <w:br/>
        <w:t xml:space="preserve">      B.9.  Conclusiones                                            235</w:t>
        <w:br/>
        <w:br/>
        <w:br/>
        <w:br/>
        <w:t>XIII. DERECHO A LA INTEGRIDAD PERSONAL DE LOS SOBREVIVIENTES DE LAS</w:t>
        <w:br/>
        <w:t>MASACRES DE RÍO NEGRO, EN RELACIÓN CON LA INVESTIGACIÓN Y LA</w:t>
        <w:br/>
        <w:t>OBLIGACIÓN DE RESPETAR Y GARANTIZAR LOS DERECHOS                    238</w:t>
        <w:br/>
        <w:t xml:space="preserve">       A.     Alegatos  de  las  partes  y  de  la  Comisión  Interamericana</w:t>
        <w:br/>
        <w:t xml:space="preserve">      238</w:t>
        <w:br/>
        <w:t xml:space="preserve">      B.              Consideraciones          de          la          Corte</w:t>
        <w:br/>
        <w:t>240</w:t>
        <w:br/>
        <w:br/>
        <w:br/>
        <w:t>XIV.  REPARACIONES                                                  245</w:t>
        <w:br/>
        <w:t xml:space="preserve">       A. Parte lesionada</w:t>
        <w:br/>
        <w:t xml:space="preserve">          249</w:t>
        <w:br/>
        <w:t xml:space="preserve">       B. Obligación de investigar  los  hechos  e  identificar,  juzgar  y,</w:t>
        <w:br/>
        <w:t xml:space="preserve">          eventualmente,</w:t>
        <w:br/>
        <w:t xml:space="preserve">          sancionar             a              los              responsables</w:t>
        <w:br/>
        <w:t xml:space="preserve">          254</w:t>
        <w:br/>
        <w:t xml:space="preserve">          B.1. Investigación completa, determinación, enjuiciamiento y</w:t>
        <w:br/>
        <w:t xml:space="preserve">          eventual</w:t>
        <w:br/>
        <w:t xml:space="preserve">             sanción de todos los responsables materiales e intelectuales</w:t>
        <w:br/>
        <w:t xml:space="preserve">                       254</w:t>
        <w:br/>
        <w:t xml:space="preserve">             B.1.1. Alegatos de las partes y de la Comisión Interamericana</w:t>
        <w:br/>
        <w:t xml:space="preserve">                 254</w:t>
        <w:br/>
        <w:t xml:space="preserve">             B.1.2. Consideraciones de la Corte</w:t>
        <w:br/>
        <w:t xml:space="preserve">            257</w:t>
        <w:br/>
        <w:t xml:space="preserve">          B.2. Búsqueda, identificación, determinación de la forma de muerte</w:t>
        <w:br/>
        <w:t xml:space="preserve">    y</w:t>
        <w:br/>
        <w:t xml:space="preserve">             entrega a sus familiares de los restos de las personas</w:t>
        <w:br/>
        <w:t xml:space="preserve">             localizadas e</w:t>
        <w:br/>
        <w:t xml:space="preserve">             identificadas</w:t>
        <w:br/>
        <w:t xml:space="preserve">             263</w:t>
        <w:br/>
        <w:t xml:space="preserve">       C. Medidas de reparación  integral:  satisfacción,  rehabilitación  y</w:t>
        <w:br/>
        <w:t xml:space="preserve">          garantías de</w:t>
        <w:br/>
        <w:t xml:space="preserve">          no                                                      repetición</w:t>
        <w:br/>
        <w:t xml:space="preserve">          272</w:t>
        <w:br/>
        <w:t xml:space="preserve">          C.1.             Medidas              de              satisfacción</w:t>
        <w:br/>
        <w:t xml:space="preserve">          273</w:t>
        <w:br/>
        <w:t xml:space="preserve">              C.1.1.   Publicación   y    difusión    de    la    Sentencia</w:t>
        <w:br/>
        <w:t xml:space="preserve">              273</w:t>
        <w:br/>
        <w:t xml:space="preserve">              C.1.2. Acto  público  de  reconocimiento  de  responsabilidad</w:t>
        <w:br/>
        <w:t xml:space="preserve">                 276</w:t>
        <w:br/>
        <w:t xml:space="preserve">              C.1.3. Creación de un museo  en  honor  a  las  víctimas  del</w:t>
        <w:br/>
        <w:t xml:space="preserve">              conflicto</w:t>
        <w:br/>
        <w:t xml:space="preserve">                    armado                                           interno</w:t>
        <w:br/>
        <w:t xml:space="preserve">                    279</w:t>
        <w:br/>
        <w:t xml:space="preserve">              C.1.4. Fortalecimiento de la infraestructura e implementación</w:t>
        <w:br/>
        <w:t xml:space="preserve">           de</w:t>
        <w:br/>
        <w:t xml:space="preserve">                    servicios  básicos  y  programas   sociales   en   Pacux</w:t>
        <w:br/>
        <w:t xml:space="preserve">                    281</w:t>
        <w:br/>
        <w:t xml:space="preserve">                   C.1.4.1.    Infraestructura    y    servicios     básicos</w:t>
        <w:br/>
        <w:t xml:space="preserve">                 284</w:t>
        <w:br/>
        <w:t xml:space="preserve">                   C.1.4.2. Proyecto para el rescate de la cultura maya Achí</w:t>
        <w:br/>
        <w:t xml:space="preserve">                 285</w:t>
        <w:br/>
        <w:t xml:space="preserve">                    C.2.         Medidas          de          rehabilitación</w:t>
        <w:br/>
        <w:t>286</w:t>
        <w:br/>
        <w:t xml:space="preserve">                  C.3.       Garantías        de        no        repetición</w:t>
        <w:br/>
        <w:t>290</w:t>
        <w:br/>
        <w:t xml:space="preserve">              C.3.1. Capacitación de fiscales, jueces  y  miembros  de  las</w:t>
        <w:br/>
        <w:t xml:space="preserve">              fuerzas</w:t>
        <w:br/>
        <w:t xml:space="preserve">                    militares</w:t>
        <w:br/>
        <w:t xml:space="preserve">                    290</w:t>
        <w:br/>
        <w:t xml:space="preserve">             C.4.  Otras  medidas   solicitadas   por   los   representantes</w:t>
        <w:br/>
        <w:t xml:space="preserve">      293</w:t>
        <w:br/>
        <w:t xml:space="preserve">      D. Indemnización compensatoria por  daños  materiales  e  inmateriales</w:t>
        <w:br/>
        <w:t xml:space="preserve">      296</w:t>
        <w:br/>
        <w:t xml:space="preserve">            D.1. Indemnizaciones efectuadas a través del Programa Nacional</w:t>
        <w:br/>
        <w:t xml:space="preserve">              de                                              Resarcimiento</w:t>
        <w:br/>
        <w:t xml:space="preserve">           297</w:t>
        <w:br/>
        <w:t xml:space="preserve">           D.2.          Daño         material         e         inmaterial</w:t>
        <w:br/>
        <w:t xml:space="preserve">      305</w:t>
        <w:br/>
        <w:t xml:space="preserve">                          D.2.1.      Alegatos      de      las       partes</w:t>
        <w:br/>
        <w:t xml:space="preserve">      305</w:t>
        <w:br/>
        <w:t xml:space="preserve">                         D.2.2.     Consideraciones     de     la      Corte</w:t>
        <w:br/>
        <w:t>307</w:t>
        <w:br/>
        <w:t xml:space="preserve">           D.3.               Costas                y                gastos</w:t>
        <w:br/>
        <w:t xml:space="preserve">      312</w:t>
        <w:br/>
        <w:t xml:space="preserve">                               D.3.1.     Alegatos     de     las     partes</w:t>
        <w:br/>
        <w:t xml:space="preserve">            312</w:t>
        <w:br/>
        <w:t xml:space="preserve">                        D.3.2.     Consideraciones     de      la      Corte</w:t>
        <w:br/>
        <w:t>314</w:t>
        <w:br/>
        <w:t xml:space="preserve">             D.4.  Modalidad  de  cumplimiento  de   los   pagos   ordenados</w:t>
        <w:br/>
        <w:t>318</w:t>
        <w:br/>
        <w:br/>
        <w:br/>
        <w:t>XV.   PUNTOS RESOLUTIVOS                                            324</w:t>
        <w:br/>
        <w:br/>
        <w:br/>
        <w:br/>
        <w:br/>
        <w:br/>
        <w:t>I</w:t>
        <w:br/>
        <w:br/>
        <w:br/>
        <w:t>INTRODUCCIÓN DE LA CAUSA Y OBJETO DE LA CONTROVERSIA</w:t>
        <w:br/>
        <w:br/>
        <w:br/>
        <w:t xml:space="preserve">   1. El 30 de noviembre de 2010, de conformidad con lo  dispuesto  en  los</w:t>
        <w:br/>
        <w:t xml:space="preserve">      artículos 51 y 61 de la Convención Americana y  el  artículo  35  del</w:t>
        <w:br/>
        <w:t xml:space="preserve">      Reglamento de  la  Corte,  la  Comisión  Interamericana  de  Derechos</w:t>
        <w:br/>
        <w:t xml:space="preserve">      Humanos (en adelante “la Comisión Interamericana”  o  “la  Comisión”)</w:t>
        <w:br/>
        <w:t xml:space="preserve">      sometió a la jurisdicción de la Corte el caso Masacres de  Río  Negro</w:t>
        <w:br/>
        <w:t xml:space="preserve">      en contra de la República de Guatemala (en  adelante  “el  Estado”  o</w:t>
        <w:br/>
        <w:t xml:space="preserve">      “Guatemala”), iniciado en la petición presentada  por  la  Asociación</w:t>
        <w:br/>
        <w:t xml:space="preserve">      para el Desarrollo Integral de las Víctimas de la  Violencia  en  las</w:t>
        <w:br/>
        <w:t xml:space="preserve">      Verapaces (en adelante “ADIVIMA”) el 19 de julio de 2005. La Comisión</w:t>
        <w:br/>
        <w:t xml:space="preserve">      Interamericana aprobó el Informe de admisibilidad No. 13/08 el  5  de</w:t>
        <w:br/>
        <w:t xml:space="preserve">      marzo de 2008 y, en los términos del artículo 50  de  la  Convención,</w:t>
        <w:br/>
        <w:t xml:space="preserve">      emitió el Informe de fondo No. 86/10 el 14 de julio de 2010  mediante</w:t>
        <w:br/>
        <w:t xml:space="preserve">      el cual emitió una serie de recomendaciones  para  el  Estado[2].  El</w:t>
        <w:br/>
        <w:t xml:space="preserve">      Informe de fondo fue notificado a Guatemala el 30 de julio  de  2010,</w:t>
        <w:br/>
        <w:t xml:space="preserve">      otorgándosele un plazo de 2 meses para informar sobre el cumplimiento</w:t>
        <w:br/>
        <w:t xml:space="preserve">      de las recomendaciones. El 4 de octubre de 2010  el  Estado  solicitó</w:t>
        <w:br/>
        <w:t xml:space="preserve">      una prórroga de un mes para presentar información sobre  los  avances</w:t>
        <w:br/>
        <w:t xml:space="preserve">      en las recomendaciones efectuadas por la Comisión. Esta prórroga  fue</w:t>
        <w:br/>
        <w:t xml:space="preserve">      otorgada el 30 de octubre de 2010, y la  Comisión  ordenó  al  Estado</w:t>
        <w:br/>
        <w:t xml:space="preserve">      presentar su informe a más tardar el 20  de  noviembre  de  2010.  No</w:t>
        <w:br/>
        <w:t xml:space="preserve">      obstante lo anterior, el Estado no presentó el informe requerido, por</w:t>
        <w:br/>
        <w:t xml:space="preserve">      lo que la Comisión sometió el caso  al  Tribunal  “por  la  falta  de</w:t>
        <w:br/>
        <w:t xml:space="preserve">      cumplimiento de  las  recomendaciones  por  parte  del  Estado  y  la</w:t>
        <w:br/>
        <w:t xml:space="preserve">      consecuente necesidad de  obtención  de  justicia  en  el  caso”.  La</w:t>
        <w:br/>
        <w:t xml:space="preserve">      Comisión designó como delegados a la Comisionada Dinah Shelton y a su</w:t>
        <w:br/>
        <w:t xml:space="preserve">      entonces Secretario Ejecutivo, Santiago A. Canton,  y  como  asesores</w:t>
        <w:br/>
        <w:t xml:space="preserve">      legales a su Secretaria Ejecutiva Adjunta, Elizabeth Abi-Mershed, y a</w:t>
        <w:br/>
        <w:t xml:space="preserve">      Karla I. Quintana Osuna e Isabel  Madariaga  Cuneo,  abogadas  de  la</w:t>
        <w:br/>
        <w:t xml:space="preserve">      Secretaría Ejecutiva.</w:t>
        <w:br/>
        <w:br/>
        <w:t xml:space="preserve">   2. Según indicó la Comisión Interamericana, el presente caso versa sobre</w:t>
        <w:br/>
        <w:t xml:space="preserve">      “la destrucción de la comunidad maya de Río Negro, mediante una serie</w:t>
        <w:br/>
        <w:t xml:space="preserve">      de masacres ejecutadas por el Ejército de Guatemala y miembros de las</w:t>
        <w:br/>
        <w:t xml:space="preserve">      Patrullas de Autodefensa Civil en los años  1980  y  1982,  así  como</w:t>
        <w:br/>
        <w:t xml:space="preserve">      [sobre]  la  persecución  y  eliminación  de  sus  miembros,  y   las</w:t>
        <w:br/>
        <w:t xml:space="preserve">      posteriores violaciones en contra de los sobrevivientes, incluida  la</w:t>
        <w:br/>
        <w:t xml:space="preserve">      falta de investigación de los mencionados  hechos.  En  especial,  la</w:t>
        <w:br/>
        <w:t xml:space="preserve">      Comisión presentó este caso debido a la denegación de justicia  desde</w:t>
        <w:br/>
        <w:t xml:space="preserve">      la comisión de los hechos y la  consecuente  impunidad  que  persiste</w:t>
        <w:br/>
        <w:t xml:space="preserve">      hasta la fecha […]”. Asimismo, la Comisión indicó que “dentro de  los</w:t>
        <w:br/>
        <w:t xml:space="preserve">      hechos [que se ponen] en conocimiento  de  la  Corte  [se  incluyen],</w:t>
        <w:br/>
        <w:t xml:space="preserve">      entre  otros,  los  relativos  a  las  desapariciones  forzadas,   el</w:t>
        <w:br/>
        <w:t xml:space="preserve">      desplazamiento forzado, la integridad personal de  los  familiares  y</w:t>
        <w:br/>
        <w:t xml:space="preserve">      sobrevivientes, la destrucción del tejido social de la comunidad,  la</w:t>
        <w:br/>
        <w:t xml:space="preserve">      falta de identificación de las personas  ejecutadas  y  desaparecidas</w:t>
        <w:br/>
        <w:t xml:space="preserve">      […], la consecuente falta de entierro de las mismas con base  en  las</w:t>
        <w:br/>
        <w:t xml:space="preserve">      tradiciones mayas, la imposibilidad de los sobrevivientes de regresar</w:t>
        <w:br/>
        <w:t xml:space="preserve">      a sus tierras, la falta  de  protección  a  los  niños  y  niñas,  el</w:t>
        <w:br/>
        <w:t xml:space="preserve">      señalamiento  como  “guerrilleros,  base  social  de  la   guerrilla,</w:t>
        <w:br/>
        <w:t xml:space="preserve">      enemigos internos y subversivos”, la discriminación [y] la [supuesta]</w:t>
        <w:br/>
        <w:t xml:space="preserve">      falta de investigación imparcial y efectiva de  la  multiplicidad  de</w:t>
        <w:br/>
        <w:t xml:space="preserve">      violaciones ocurridas durante y después de las masacres”. La Comisión</w:t>
        <w:br/>
        <w:t xml:space="preserve">      también alegó que los hechos del presente caso “[…] se enmarcan en un</w:t>
        <w:br/>
        <w:t xml:space="preserve">      contexto más general de masacres  en  Guatemala,  las  cuales  fueron</w:t>
        <w:br/>
        <w:t xml:space="preserve">      planificadas por agentes estatales dentro de una política de  “tierra</w:t>
        <w:br/>
        <w:t xml:space="preserve">      arrasada” dirigida por el Estado guatemalteco contra el pueblo  maya,</w:t>
        <w:br/>
        <w:t xml:space="preserve">      calificado como “enemigo interno”, en un contexto de discriminación y</w:t>
        <w:br/>
        <w:t xml:space="preserve">      racismo […]”.</w:t>
        <w:br/>
        <w:br/>
        <w:t xml:space="preserve">   3. Con base en lo  anterior,  la  Comisión  Interamericana  solicitó  al</w:t>
        <w:br/>
        <w:t xml:space="preserve">      Tribunal que declare la responsabilidad internacional del  Estado  de</w:t>
        <w:br/>
        <w:t xml:space="preserve">      Guatemala por la presunta violación de los  derechos  reconocidos  en</w:t>
        <w:br/>
        <w:t xml:space="preserve">      los siguientes artículos de la Convención Americana:  3  (Derecho  al</w:t>
        <w:br/>
        <w:t xml:space="preserve">      Reconocimiento de la Personalidad Jurídica),  4 (Derecho a la  Vida),</w:t>
        <w:br/>
        <w:t xml:space="preserve">      5  (Integridad  Personal),  6  (Prohibición  de   la   Esclavitud   y</w:t>
        <w:br/>
        <w:t xml:space="preserve">      Servidumbre), 7 (Libertad Personal),  8  (Garantías  Judiciales),  11</w:t>
        <w:br/>
        <w:t xml:space="preserve">      (Protección de la Honra y de la Dignidad), 12 (Libertad de Conciencia</w:t>
        <w:br/>
        <w:t xml:space="preserve">      y de Religión), 16 (Libertad de  Asociación),  17  (Protección  a  la</w:t>
        <w:br/>
        <w:t xml:space="preserve">      Familia),  19  (Derechos  del  Niño),  21  (Derecho  a  la  Propiedad</w:t>
        <w:br/>
        <w:t xml:space="preserve">      Privada), 22 (Derecho de Circulación y de Residencia),  24  (Igualdad</w:t>
        <w:br/>
        <w:t xml:space="preserve">      ante  la  Ley)  y  25  (Protección  Judicial),  en  relación  con  la</w:t>
        <w:br/>
        <w:t xml:space="preserve">      obligación general de respeto y  garantía  de  los  derechos  humanos</w:t>
        <w:br/>
        <w:t xml:space="preserve">      establecida en el artículo 1.1 del mismo instrumento, en perjuicio de</w:t>
        <w:br/>
        <w:t xml:space="preserve">      los miembros de la comunidad de Río Negro. Asimismo, solicitó que  se</w:t>
        <w:br/>
        <w:t xml:space="preserve">      declare el incumplimiento de las  obligaciones  establecidas  en  los</w:t>
        <w:br/>
        <w:t xml:space="preserve">      artículos  I  de  la  Convención  Interamericana  sobre  Desaparición</w:t>
        <w:br/>
        <w:t xml:space="preserve">      Forzada de  Personas  (en  adelante  “Convención  sobre  Desaparición</w:t>
        <w:br/>
        <w:t xml:space="preserve">      Forzada”); 1, 6 y 8 de la Convención Interamericana para  Prevenir  y</w:t>
        <w:br/>
        <w:t xml:space="preserve">      Sancionar la Tortura (en adelante “Convención contra la Tortura”),  y</w:t>
        <w:br/>
        <w:t xml:space="preserve">      7.b de  la  Convención  Interamericana  para  Prevenir,  Sancionar  y</w:t>
        <w:br/>
        <w:t xml:space="preserve">      Erradicar la Violencia contra la Mujer “Convención de Belem do Pará”.</w:t>
        <w:br/>
        <w:t xml:space="preserve">      Adicionalmente, la Comisión Interamericana solicitó al  Tribunal  que</w:t>
        <w:br/>
        <w:t xml:space="preserve">      ordene al Estado determinadas medidas de reparación.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4. El sometimiento del caso por parte de la Comisión Interamericana  fue</w:t>
        <w:br/>
        <w:t xml:space="preserve">      notificado al Estado y a los representantes de las presuntas víctimas</w:t>
        <w:br/>
        <w:t xml:space="preserve">       el 29 de marzo de 2011. El  6  de  junio  de  2011  la  organización</w:t>
        <w:br/>
        <w:t xml:space="preserve">      ADIVIMA, en representación de  las  presuntas  víctimas,  remitió  su</w:t>
        <w:br/>
        <w:t xml:space="preserve">      escrito de solicitudes, argumentos y pruebas (en adelante “escrito de</w:t>
        <w:br/>
        <w:t xml:space="preserve">      solicitudes y argumentos”), en los términos de los artículos 25 y  40</w:t>
        <w:br/>
        <w:t xml:space="preserve">      del Reglamento. Los representantes coincidieron, en general, con  las</w:t>
        <w:br/>
        <w:t xml:space="preserve">      violaciones alegadas por la Comisión Interamericana. En este sentido,</w:t>
        <w:br/>
        <w:t xml:space="preserve">      los representantes no alegaron el incumplimiento de las  obligaciones</w:t>
        <w:br/>
        <w:t xml:space="preserve">      establecidas en los artículos I de la Convención  sobre  Desaparición</w:t>
        <w:br/>
        <w:t xml:space="preserve">      Forzada, y 1, 6 y 7 de la Convención contra la Tortura. Sin  embargo,</w:t>
        <w:br/>
        <w:t xml:space="preserve">      adicionalmente a los alegatos  de  la  Comisión,  los  representantes</w:t>
        <w:br/>
        <w:t xml:space="preserve">      estimaron violado el derecho reconocido en el artículo 18 (Derecho al</w:t>
        <w:br/>
        <w:t xml:space="preserve">      Nombre) de la Convención Americana, y en el artículo 4 (derecho a  la</w:t>
        <w:br/>
        <w:t xml:space="preserve">      vida) de la Convención, este último en  relación  con  las  supuestas</w:t>
        <w:br/>
        <w:t xml:space="preserve">      condiciones en que viven los miembros sobrevivientes de la  comunidad</w:t>
        <w:br/>
        <w:t xml:space="preserve">      de Río Negro que fueron reubicados en la colonia  Pacux.  Finalmente,</w:t>
        <w:br/>
        <w:t xml:space="preserve">      solicitaron al Tribunal que ordenara al Estado  diversas  medidas  de</w:t>
        <w:br/>
        <w:t xml:space="preserve">      reparación.</w:t>
        <w:br/>
        <w:br/>
        <w:t xml:space="preserve">   5. El 22  de  noviembre  de  2011  el  Estado  presentó  un  escrito  de</w:t>
        <w:br/>
        <w:t xml:space="preserve">      contestación a la presentación del caso y de observaciones al escrito</w:t>
        <w:br/>
        <w:t xml:space="preserve">      de solicitudes y argumentos (en adelante “la contestación”). En dicho</w:t>
        <w:br/>
        <w:t xml:space="preserve">      escrito Guatemala impugnó la competencia de la Corte para conocer  de</w:t>
        <w:br/>
        <w:t xml:space="preserve">      las violaciones que ocurrieron antes de que el Estado reconociera  la</w:t>
        <w:br/>
        <w:t xml:space="preserve">      competencia contenciosa del  Tribunal  porque  “no  son  de  carácter</w:t>
        <w:br/>
        <w:t xml:space="preserve">      continuado […]”. No obstante, el Estado reconoció su  responsabilidad</w:t>
        <w:br/>
        <w:t xml:space="preserve">      internacional en relación con algunas de las violaciones alegadas por</w:t>
        <w:br/>
        <w:t xml:space="preserve">      la  Comisión  y  los  representantes,  y  aceptó   algunas   de   las</w:t>
        <w:br/>
        <w:t xml:space="preserve">      pretensiones de reparación formuladas por éstos.  Asimismo,  presentó</w:t>
        <w:br/>
        <w:t xml:space="preserve">      al Tribunal una  lista  de  víctimas  presuntamente  ya  indemnizadas</w:t>
        <w:br/>
        <w:t xml:space="preserve">      mediante el Programa Nacional de  Resarcimiento.  El  Estado  designó</w:t>
        <w:br/>
        <w:t xml:space="preserve">      como Agente a la señora María Elena de Jesús Rodríguez López  y  como</w:t>
        <w:br/>
        <w:t xml:space="preserve">      Agente Alterna a la señora Enma Estela Hernández Tuy de Iboy.</w:t>
        <w:br/>
        <w:br/>
        <w:t xml:space="preserve">   6. El 14 y 17 de  marzo  de  2012,  la  Comisión  Interamericana  y  los</w:t>
        <w:br/>
        <w:t xml:space="preserve">      representantes, respectivamente, presentaron sus observaciones  a  la</w:t>
        <w:br/>
        <w:t xml:space="preserve">      impugnación  de  la  competencia  temporal   de   la   Corte   y   al</w:t>
        <w:br/>
        <w:t xml:space="preserve">      reconocimiento parcial de responsabilidad hechos por el Estado (supra</w:t>
        <w:br/>
        <w:t xml:space="preserve">      párr. 5).</w:t>
        <w:br/>
        <w:br/>
        <w:t xml:space="preserve">   7. Con posterioridad a  la  presentación  de  los  escritos  principales</w:t>
        <w:br/>
        <w:t xml:space="preserve">      (supra párrs. 1 a 5), el Presidente  del  Tribunal  ordenó,  mediante</w:t>
        <w:br/>
        <w:t xml:space="preserve">      Resolución de 31 de mayo de 2012, recibir mediante declaración jurada</w:t>
        <w:br/>
        <w:t xml:space="preserve">      ante fedatario público (en adelante “affidávit”),  las  declaraciones</w:t>
        <w:br/>
        <w:t xml:space="preserve">      de cuatro presuntas víctimas, la declaración  de  un  testigo,  y  el</w:t>
        <w:br/>
        <w:t xml:space="preserve">      dictamen de tres peritos, propuestos por la Comisión  Interamericana,</w:t>
        <w:br/>
        <w:t xml:space="preserve">      el Estado y los representantes,  respectivamente.  Las  partes  y  la</w:t>
        <w:br/>
        <w:t xml:space="preserve">      Comisión  tuvieron   la   oportunidad   de   formular   preguntas   y</w:t>
        <w:br/>
        <w:t xml:space="preserve">      observaciones a  las  presuntas  víctimas  y  peritos.  Asimismo,  el</w:t>
        <w:br/>
        <w:t xml:space="preserve">      Presidente convocó a la Comisión Interamericana, a los representantes</w:t>
        <w:br/>
        <w:t xml:space="preserve">      y al Estado a una audiencia pública para recibir  la  declaración  de</w:t>
        <w:br/>
        <w:t xml:space="preserve">      dos presuntas víctimas y dos dictámenes periciales ofrecidos por  los</w:t>
        <w:br/>
        <w:t xml:space="preserve">      representantes y la  Comisión  Interamericana,  respectivamente,  así</w:t>
        <w:br/>
        <w:t xml:space="preserve">      como para escuchar los alegatos finales orales de los  representantes</w:t>
        <w:br/>
        <w:t xml:space="preserve">      y del Estado, y las observaciones finales orales de la Comisión sobre</w:t>
        <w:br/>
        <w:t xml:space="preserve">      la excepción preliminar, el fondo, las reparaciones y las costas[3].</w:t>
        <w:br/>
        <w:br/>
        <w:t xml:space="preserve">   8. El 12 de junio de 2012, el Presidente  de  la  Corte  solicitó  a  la</w:t>
        <w:br/>
        <w:t xml:space="preserve">      Comisión Interamericana la remisión de la lista de presuntas víctimas</w:t>
        <w:br/>
        <w:t xml:space="preserve">      pero organizada por núcleos familiares.</w:t>
        <w:br/>
        <w:br/>
        <w:t xml:space="preserve">   9. La audiencia pública fue celebrada los días 19 y 20 de junio de  2012</w:t>
        <w:br/>
        <w:t xml:space="preserve">      durante el 95º Período Ordinario de Sesiones  de  la  Corte.  Durante</w:t>
        <w:br/>
        <w:t xml:space="preserve">      ésta,  el  Tribunal  solicitó  a  las  partes   y   a   la   Comisión</w:t>
        <w:br/>
        <w:t xml:space="preserve">      Interamericana la remisión de determinadas aclaraciones,  información</w:t>
        <w:br/>
        <w:t xml:space="preserve">      adicional y prueba para mejor resolver, al presentar sus  alegatos  y</w:t>
        <w:br/>
        <w:t xml:space="preserve">      observaciones finales escritos[4].</w:t>
        <w:br/>
        <w:br/>
        <w:t xml:space="preserve">  10. Luego de dos prórrogas, el 3 de julio de 2012 la Comisión presentó la</w:t>
        <w:br/>
        <w:t xml:space="preserve">      lista de presuntas víctimas organizada por núcleos familiares  (supra</w:t>
        <w:br/>
        <w:t xml:space="preserve">      párr. 8).</w:t>
        <w:br/>
        <w:br/>
        <w:t xml:space="preserve">  11. El 5 y 6 de julio de 2012, respectivamente, la  Clínica  de  Derechos</w:t>
        <w:br/>
        <w:t xml:space="preserve">      Humanos de la Pontificia Universidad Javeriana Cali “Grupo de Litigio</w:t>
        <w:br/>
        <w:t xml:space="preserve">      Estratégico y Estructural GLEE” y el Programa de Derechos Humanos  de</w:t>
        <w:br/>
        <w:t xml:space="preserve">      la Universidad Veracruzana presentaron escritos en calidad de  amicus</w:t>
        <w:br/>
        <w:t xml:space="preserve">      curiae en el presente caso.</w:t>
        <w:br/>
        <w:br/>
        <w:t xml:space="preserve">  12. El 20 de julio de 2012 los representantes, el Estado  y  la  Comisión</w:t>
        <w:br/>
        <w:t xml:space="preserve">      Interamericana remitieron sus respectivos  alegatos  y  observaciones</w:t>
        <w:br/>
        <w:t xml:space="preserve">      finales  escritas  vía  electrónica.  Junto  con  sus  escritos,   la</w:t>
        <w:br/>
        <w:t xml:space="preserve">      Comisión, los representantes y el Estado remitieron la mayor parte de</w:t>
        <w:br/>
        <w:t xml:space="preserve">      las  aclaraciones  y  documentos  solicitados  durante  la  audiencia</w:t>
        <w:br/>
        <w:t xml:space="preserve">      pública (supra párr. 9). El 23 de julio de 2012  el  Estado  presentó</w:t>
        <w:br/>
        <w:t xml:space="preserve">      otra parte de los documentos solicitados por el Tribunal.  El  27  de</w:t>
        <w:br/>
        <w:t xml:space="preserve">      julio de 2012 los representantes remitieron el  original  impreso  de</w:t>
        <w:br/>
        <w:t xml:space="preserve">      sus alegatos finales escritos en el que agregaron una fe de  erratas.</w:t>
        <w:br/>
        <w:t xml:space="preserve">      Las aclaraciones y prueba para mejor resolver fueron  transmitidos  a</w:t>
        <w:br/>
        <w:t xml:space="preserve">      la Comisión Interamericana y a las partes  para  que  formularan  las</w:t>
        <w:br/>
        <w:t xml:space="preserve">      observaciones que estimaran pertinentes.</w:t>
        <w:br/>
        <w:br/>
        <w:t xml:space="preserve">  13.  El  13  de  agosto  de  2012   la   Comisión   Interamericana,   los</w:t>
        <w:br/>
        <w:t xml:space="preserve">      representantes  y  el  Estado  remitieron  sus  observaciones  a  las</w:t>
        <w:br/>
        <w:t xml:space="preserve">      aclaraciones  y  prueba  para  mejor  resolver  presentada  con   las</w:t>
        <w:br/>
        <w:t xml:space="preserve">      observaciones y alegatos finales escritos (supra párr. 12). Asimismo,</w:t>
        <w:br/>
        <w:t xml:space="preserve">      el Estado presentó una copia  del  expediente  de  investigación,  en</w:t>
        <w:br/>
        <w:t xml:space="preserve">      respuesta a lo  solicitado  por  el  Tribunal  durante  la  audiencia</w:t>
        <w:br/>
        <w:t xml:space="preserve">      pública.</w:t>
        <w:br/>
        <w:br/>
        <w:t xml:space="preserve">  14. El 27 de agosto de 2012 los representantes y la Comisión  presentaron</w:t>
        <w:br/>
        <w:t xml:space="preserve">      sus observaciones sobre la  copia  del  expediente  de  investigación</w:t>
        <w:br/>
        <w:t xml:space="preserve">      remitido por el Estado (supra párr. 13).</w:t>
        <w:br/>
        <w:br/>
        <w:t xml:space="preserve">                                     III</w:t>
        <w:br/>
        <w:br/>
        <w:t>COMPETENCIA</w:t>
        <w:br/>
        <w:br/>
        <w:br/>
        <w:t xml:space="preserve">  15. Guatemala es Estado Parte de la Convención Americana desde el  25  de</w:t>
        <w:br/>
        <w:t xml:space="preserve">      mayo de 1978 y reconoció la competencia contenciosa de la Corte el  9</w:t>
        <w:br/>
        <w:t xml:space="preserve">      de  marzo  de  1987.  En  el  instrumento  de  reconocimiento  de  la</w:t>
        <w:br/>
        <w:t xml:space="preserve">      competencia de la Corte el Estado expresó que tal  reconocimiento  es</w:t>
        <w:br/>
        <w:t xml:space="preserve">      aplicable a “casos sucedidos con posterioridad a la  fecha  [en]  que</w:t>
        <w:br/>
        <w:t xml:space="preserve">      esta declaración fuera presentada al Secretario de la Organización de</w:t>
        <w:br/>
        <w:t xml:space="preserve">      Estados Americanos”, lo cual ocurrió el 9 de  marzo  de  1987  (infra</w:t>
        <w:br/>
        <w:t xml:space="preserve">      párrs. 35 a 39). En estos términos, y de conformidad con el  artículo</w:t>
        <w:br/>
        <w:t xml:space="preserve">      62.3 de la Convención  Americana,  el  Tribunal  es  competente  para</w:t>
        <w:br/>
        <w:t xml:space="preserve">      conocer de algunos hechos y violaciones alegadas en el presente caso,</w:t>
        <w:br/>
        <w:t xml:space="preserve">      de conformidad con lo señalado en  los  Capítulos  IV  y  V  de  esta</w:t>
        <w:br/>
        <w:t xml:space="preserve">      Sentencia (infra párrs. 17 a 39).</w:t>
        <w:br/>
        <w:br/>
        <w:t xml:space="preserve">  16. Además, la Corte también es competente para conocer de algunos hechos</w:t>
        <w:br/>
        <w:t xml:space="preserve">      y presuntas violaciones  de  derechos  humanos  relacionados  con  el</w:t>
        <w:br/>
        <w:t xml:space="preserve">      incumplimiento   de   algunas   disposiciones   de   la    Convención</w:t>
        <w:br/>
        <w:t xml:space="preserve">      Interamericana para Prevenir y Sancionar la Tortura,  ratificada  por</w:t>
        <w:br/>
        <w:t xml:space="preserve">      Guatemala el 29 de enero de 1987;  de  la  Convención  Interamericana</w:t>
        <w:br/>
        <w:t xml:space="preserve">      para Prevenir, Sancionar y Erradicar la Violencia  contra  la  Mujer,</w:t>
        <w:br/>
        <w:t xml:space="preserve">      ratificada por el Estado el 4 de  abril  de  1995,  y  la  Convención</w:t>
        <w:br/>
        <w:t xml:space="preserve">      Interamericana sobre Desaparición Forzada de Personas, ratificada por</w:t>
        <w:br/>
        <w:t xml:space="preserve">      Guatemala el 25 de febrero de 2000, en términos del reconocimiento de</w:t>
        <w:br/>
        <w:t xml:space="preserve">      responsabilidad formulado por el Estado (infra Capítulo IV).</w:t>
        <w:br/>
        <w:br/>
        <w:br/>
        <w:t xml:space="preserve">                                     IV</w:t>
        <w:br/>
        <w:t xml:space="preserve">                  RECONOCIMIENTO PARCIAL DE RESPONSABILIDAD</w:t>
        <w:br/>
        <w:br/>
        <w:br/>
        <w:br/>
        <w:t xml:space="preserve">  17. En el escrito de contestación el  Estado  reconoció  parcialmente  su</w:t>
        <w:br/>
        <w:t xml:space="preserve">      responsabilidad  internacional  en  relación  con  algunas   de   las</w:t>
        <w:br/>
        <w:t xml:space="preserve">      violaciones alegadas en el presente caso, en los siguientes términos:</w:t>
        <w:br/>
        <w:br/>
        <w:t xml:space="preserve"> a) la violación de los  artículos  3  (derecho  al  reconocimiento  de  la</w:t>
        <w:br/>
        <w:t xml:space="preserve">    personalidad jurídica),  4  (derecho  a  la  vida),  5  (derecho  a  la</w:t>
        <w:br/>
        <w:t xml:space="preserve">    integridad personal) y  7  (derecho  a  la  libertad  personal)  de  la</w:t>
        <w:br/>
        <w:t xml:space="preserve">    Convención Americana, en relación con  el  artículo  1.1  de  la  misma</w:t>
        <w:br/>
        <w:t xml:space="preserve">    (obligación de respetar los derechos), así como el incumplimiento de la</w:t>
        <w:br/>
        <w:t xml:space="preserve">    obligación  establecida  en  el  artículo  I  de  la  Convención  sobre</w:t>
        <w:br/>
        <w:t xml:space="preserve">    Desaparición Forzada, en  perjuicio  de  Ramona  Lajuj  y  Manuel  Chen</w:t>
        <w:br/>
        <w:t xml:space="preserve">    Sánchez. El Estado expresó su “aceptación total” porque ambas  personas</w:t>
        <w:br/>
        <w:t xml:space="preserve">    fueron “víctimas de desaparición  forzada”.  Respecto  a  Manuel  Chen,</w:t>
        <w:br/>
        <w:t xml:space="preserve">    adicionalmente, el Estado también reconoció la violación  del  artículo</w:t>
        <w:br/>
        <w:t xml:space="preserve">    19 (derechos del niño) de la Convención, en su perjuicio;</w:t>
        <w:br/>
        <w:br/>
        <w:br/>
        <w:t xml:space="preserve"> b) la violación de los artículos 5 (derecho a la integridad personal) y 11</w:t>
        <w:br/>
        <w:t xml:space="preserve">    (derecho a  la  protección  de  la  honra  y  de  la  dignidad)  de  la</w:t>
        <w:br/>
        <w:t xml:space="preserve">    Convención, en perjuicio de  María  Eustaquia  Uscap  Ivoy.  El  Estado</w:t>
        <w:br/>
        <w:t xml:space="preserve">    manifestó su “aceptación parcial” en razón de que “los efectos  físicos</w:t>
        <w:br/>
        <w:t xml:space="preserve">    y emocionales de la violación que sufrió [la señora Uscap Ivoy, por ser</w:t>
        <w:br/>
        <w:t xml:space="preserve">    víctima sobreviviente] pudieron trascender y persistir  en  el  espacio</w:t>
        <w:br/>
        <w:t xml:space="preserve">    temporal a partir del cual la  Corte  tiene  competencia  para  conocer</w:t>
        <w:br/>
        <w:t xml:space="preserve">    violaciones en contra del Estado”;</w:t>
        <w:br/>
        <w:br/>
        <w:br/>
        <w:t xml:space="preserve"> c) la violación del artículo 5 (derecho a la integridad  personal)  de  la</w:t>
        <w:br/>
        <w:t xml:space="preserve">    Convención, en relación con el artículo 1.1 de la misma (obligación  de</w:t>
        <w:br/>
        <w:t xml:space="preserve">    respetar los derechos), en perjuicio de los miembros de la comunidad de</w:t>
        <w:br/>
        <w:t xml:space="preserve">    Río Negro sobrevivientes de las masacres, así como en perjuicio de  los</w:t>
        <w:br/>
        <w:t xml:space="preserve">    familiares de los miembros  de  la  comunidad.  El  Estado  expresó  su</w:t>
        <w:br/>
        <w:t xml:space="preserve">    “aceptación parcial”, en razón de que “dicha violación pudo  trascender</w:t>
        <w:br/>
        <w:t xml:space="preserve">    y persistir en el tiempo a partir del cual la Corte  tiene  competencia</w:t>
        <w:br/>
        <w:t xml:space="preserve">    para conocer [las] violaciones”;</w:t>
        <w:br/>
        <w:br/>
        <w:br/>
        <w:t xml:space="preserve"> d) la violación de  los  artículos  6  (prohibición  de  la  esclavitud  y</w:t>
        <w:br/>
        <w:t xml:space="preserve">    servidumbre) y 17 (protección  a  la  familia)  de  la  Convención,  en</w:t>
        <w:br/>
        <w:t xml:space="preserve">    relación con  el  artículo  1.1  de  la  misma,  en  perjuicio  de  los</w:t>
        <w:br/>
        <w:t xml:space="preserve">    siguientes 17 niños: Agustín Chen Osorio, Celestina  Uscap  Ivoy,  Cruz</w:t>
        <w:br/>
        <w:t xml:space="preserve">    Pérez Osorio, Froilan  Uscap  Ivoy,  Jesús  Tecú  Osorio,  José  Osorio</w:t>
        <w:br/>
        <w:t xml:space="preserve">    Osorio, Juan Chen Chen, Juan Chen Osorio, Juan Pérez Osorio, Juan Uscap</w:t>
        <w:br/>
        <w:t xml:space="preserve">    Ivoy, Juana Chen Osorio, María Eustaquia Uscap Ivoy, Pedro Sic Sánchez,</w:t>
        <w:br/>
        <w:t xml:space="preserve">    Silveria Lajuj Tum, Tomasa Osorio Chen,  Florinda  Uscap  Ivoy  y  Juan</w:t>
        <w:br/>
        <w:t xml:space="preserve">    Burrero. El Estado manifestó su aceptación parcial “en virtud [de]  que</w:t>
        <w:br/>
        <w:t xml:space="preserve">    dichas violaciones a derechos humanos pudieron trascender  y  persistir</w:t>
        <w:br/>
        <w:t xml:space="preserve">    en el tiempo a partir del cual la Corte tiene competencia para  conocer</w:t>
        <w:br/>
        <w:t xml:space="preserve">    violaciones en contra del Estado”;</w:t>
        <w:br/>
        <w:br/>
        <w:br/>
        <w:t xml:space="preserve"> e) la violación del artículo 19  (derechos  del  niño)  de  la  Convención</w:t>
        <w:br/>
        <w:t xml:space="preserve">    Americana en perjuicio de “aquellos niños que  no  habían  cumplido  18</w:t>
        <w:br/>
        <w:t xml:space="preserve">    años al momento de ser ratificada la competencia de la Corte”;</w:t>
        <w:br/>
        <w:br/>
        <w:br/>
        <w:t xml:space="preserve"> f) la violación de los artículos 12 (libertad de conciencia y de religión)</w:t>
        <w:br/>
        <w:t xml:space="preserve">    y 16 (libertad de asociación) de la  Convención,  en  relación  con  el</w:t>
        <w:br/>
        <w:t xml:space="preserve">    artículo 1.1 de la misma, en perjuicio de los miembros de la  comunidad</w:t>
        <w:br/>
        <w:t xml:space="preserve">    de Río Negro. El Estado expresó su “aceptación parcial” por  considerar</w:t>
        <w:br/>
        <w:t xml:space="preserve">    que “dichas violaciones pudieron trascender en el tiempo  y  comprender</w:t>
        <w:br/>
        <w:t xml:space="preserve">    el espacio temporal de competencia” de la Corte;</w:t>
        <w:br/>
        <w:br/>
        <w:br/>
        <w:t xml:space="preserve"> g) la violación del artículo 22 (derecho de circulación y  de  residencia)</w:t>
        <w:br/>
        <w:t xml:space="preserve">    de la Convención Americana, en relación  con  el  artículo  1.1  de  la</w:t>
        <w:br/>
        <w:t xml:space="preserve">    misma. Al respecto, el Estado concretamente  aceptó  “parcialmente”  la</w:t>
        <w:br/>
        <w:t xml:space="preserve">    violación del derecho a la residencia en razón de que “los miembros  de</w:t>
        <w:br/>
        <w:t xml:space="preserve">    la comunidad de Río  Negro  fueron  reubicados  en  la  Colonia  Pacux”</w:t>
        <w:br/>
        <w:t xml:space="preserve">    posteriormente a 1987, fecha del reconocimiento de  competencia  de  la</w:t>
        <w:br/>
        <w:t xml:space="preserve">    Corte;</w:t>
        <w:br/>
        <w:br/>
        <w:br/>
        <w:t xml:space="preserve"> h) la violación de los artículos 8 (garantías judiciales) y 25 (protección</w:t>
        <w:br/>
        <w:t xml:space="preserve">    judicial) de la Convención Americana, en relación con el  artículo  1.1</w:t>
        <w:br/>
        <w:t xml:space="preserve">    de la misma y con los artículos 1, 6 y 8 de  la  Convención  contra  la</w:t>
        <w:br/>
        <w:t xml:space="preserve">    Tortura, y el artículo 7.b de la Convención Belém do Pará, en perjuicio</w:t>
        <w:br/>
        <w:t xml:space="preserve">    de los  sobrevivientes  y  familiares  de  las  personas  torturadas  y</w:t>
        <w:br/>
        <w:t xml:space="preserve">    ejecutadas extrajudicialmente en las  diferentes  masacres.  El  Estado</w:t>
        <w:br/>
        <w:t xml:space="preserve">    manifestó su “aceptación parcial” por considerar que “no ha garantizado</w:t>
        <w:br/>
        <w:t xml:space="preserve">    en su totalidad la efectividad de [tales]  derechos  […]  en  cuanto  a</w:t>
        <w:br/>
        <w:t xml:space="preserve">    investigar los hechos y sancionar a los responsables de los  mismos,  a</w:t>
        <w:br/>
        <w:t xml:space="preserve">    partir de que aceptó la competencia” de la Corte, a pesar de que se han</w:t>
        <w:br/>
        <w:t xml:space="preserve">    realizado algunas investigaciones  y  que  algunas  personas  han  sido</w:t>
        <w:br/>
        <w:t xml:space="preserve">    condenadas por las masacres, e</w:t>
        <w:br/>
        <w:br/>
        <w:br/>
        <w:t xml:space="preserve"> i) la violación de los artículos 8 (garantías judiciales) y 25 (protección</w:t>
        <w:br/>
        <w:t xml:space="preserve">    judicial) de la Convención Americana, en relación con el  artículo  1.1</w:t>
        <w:br/>
        <w:t xml:space="preserve">    de la misma y con  el  artículo  I  de  Convención  sobre  Desaparición</w:t>
        <w:br/>
        <w:t xml:space="preserve">    Forzada, en perjuicio de Ramona Lajuj y Manuel Chen Sánchez. El  Estado</w:t>
        <w:br/>
        <w:t xml:space="preserve">    manifestó su “aceptación total” en virtud de que ambas personas  fueron</w:t>
        <w:br/>
        <w:t xml:space="preserve">    las únicas  víctimas  de  desaparición  forzada  identificadas  por  la</w:t>
        <w:br/>
        <w:t xml:space="preserve">    Comisión Interamericana.</w:t>
        <w:br/>
        <w:br/>
        <w:t xml:space="preserve">  18. Por otro lado, en el escrito  de  contestación  el  Estado  se  opuso</w:t>
        <w:br/>
        <w:t xml:space="preserve">      expresamente a que se declare su  responsabilidad  internacional  por</w:t>
        <w:br/>
        <w:t xml:space="preserve">      las siguientes violaciones de derechos humanos:</w:t>
        <w:br/>
        <w:br/>
        <w:t xml:space="preserve">    a)     la violación de los artículos 4 (derecho a la vida), 5  (derecho</w:t>
        <w:br/>
        <w:t xml:space="preserve">    a la integridad personal), 7 (derecho a  la  libertad  personal)  y  19</w:t>
        <w:br/>
        <w:t xml:space="preserve">    (derechos del niño) de la Convención  Americana,  en  relación  con  el</w:t>
        <w:br/>
        <w:t xml:space="preserve">    artículo 1.1 de la misma (obligación  de  respetar  los  derechos)  “en</w:t>
        <w:br/>
        <w:t xml:space="preserve">    perjuicio de los miembros adultos y niños de la comunidad de Río  Negro</w:t>
        <w:br/>
        <w:t xml:space="preserve">    ejecutados extrajudicialmente”;</w:t>
        <w:br/>
        <w:br/>
        <w:br/>
        <w:t xml:space="preserve">    b)     la violación  de  los  artículos  5  (derecho  a  la  integridad</w:t>
        <w:br/>
        <w:t xml:space="preserve">    personal) y 11 (protección de la honra y la dignidad) de la  Convención</w:t>
        <w:br/>
        <w:t xml:space="preserve">    Americana, en  relación  con  el  artículo  1.1  de  este  tratado,  en</w:t>
        <w:br/>
        <w:t xml:space="preserve">    perjuicio de J.O.S., V.C., M.T.  y,  adicionalmente,  del  artículo  19</w:t>
        <w:br/>
        <w:t xml:space="preserve">    (derechos del niño) de la Convención en perjuicio de J.O.S.,  en  razón</w:t>
        <w:br/>
        <w:t xml:space="preserve">    de que de conformidad con el Informe  de  fondo  de  la  Comisión,  las</w:t>
        <w:br/>
        <w:t xml:space="preserve">    alegadas violaciones sexuales de las que fueron objeto  sucedieron  con</w:t>
        <w:br/>
        <w:t xml:space="preserve">    anterioridad a la fecha de reconocimiento de la competencia contenciosa</w:t>
        <w:br/>
        <w:t xml:space="preserve">    de la Corte;</w:t>
        <w:br/>
        <w:br/>
        <w:br/>
        <w:t xml:space="preserve">    c)     la violación del artículo 11.1 (protección de la honra y  de  la</w:t>
        <w:br/>
        <w:t xml:space="preserve">    dignidad) de la Convención Americana, en relación con el  artículo  1.1</w:t>
        <w:br/>
        <w:t xml:space="preserve">    de la misma (obligación de respetar los derechos), “en  virtud  de  que</w:t>
        <w:br/>
        <w:t xml:space="preserve">    dichas violaciones pudieron haber ocurrido entre 1980 y 1982 cuando  se</w:t>
        <w:br/>
        <w:t xml:space="preserve">    perpetraron las masacres,  años  en  los  cuales  el  Estado  no  había</w:t>
        <w:br/>
        <w:t xml:space="preserve">    reconocido la competencia de la Corte”;</w:t>
        <w:br/>
        <w:br/>
        <w:br/>
        <w:t xml:space="preserve">    d)     la violación del artículo 21 (derecho  a  la  propiedad)  de  la</w:t>
        <w:br/>
        <w:t xml:space="preserve">    Convención, en relación con el artículo 1.1 de la misma (obligación  de</w:t>
        <w:br/>
        <w:t xml:space="preserve">    respetar los derechos), ya que “los hechos alegados ocurrieron antes de</w:t>
        <w:br/>
        <w:t xml:space="preserve">    que el Estado hubiera reconocido la competencia de la Corte”, y a  que,</w:t>
        <w:br/>
        <w:t xml:space="preserve">    conforme fue referido por  los  representantes,  “las  víctimas  fueron</w:t>
        <w:br/>
        <w:t xml:space="preserve">    reubicadas en la colonia Pacux, lugar de su residencia actual”;</w:t>
        <w:br/>
        <w:br/>
        <w:br/>
        <w:t xml:space="preserve">    e)     la violación del artículo  24  (igualdad  ante  la  ley)  de  la</w:t>
        <w:br/>
        <w:t xml:space="preserve">    Convención, en relación con el artículo 1.1 de la misma (obligación  de</w:t>
        <w:br/>
        <w:t xml:space="preserve">    respetar los derechos), “en virtud [de] que el hecho de  pertenecer  al</w:t>
        <w:br/>
        <w:t xml:space="preserve">    grupo Maya Achí no fue una limitante para  ser  tratados  con  igualdad</w:t>
        <w:br/>
        <w:t xml:space="preserve">    ante la  ley  guatemalteca”,  además  de  que  los  representantes  “no</w:t>
        <w:br/>
        <w:t xml:space="preserve">    fundamentan con situaciones de hecho tal violación”;</w:t>
        <w:br/>
        <w:br/>
        <w:br/>
        <w:t xml:space="preserve">    f)     la violación del  artículo  22  (derecho  de  circulación  y  de</w:t>
        <w:br/>
        <w:t xml:space="preserve">    residencia) de la Convención Americana, en relación con el artículo 1.1</w:t>
        <w:br/>
        <w:t xml:space="preserve">    de la misma. Al respecto, el Estado concretamente rechazó la  violación</w:t>
        <w:br/>
        <w:t xml:space="preserve">    del derecho de circulación, en razón de  que  “este  fenómeno  no  pudo</w:t>
        <w:br/>
        <w:t xml:space="preserve">    haber persistido posterior[mente] al 9 de marzo de 1987”,  fecha en que</w:t>
        <w:br/>
        <w:t xml:space="preserve">    Guatemala reconoció la competencia temporal del Tribunal];</w:t>
        <w:br/>
        <w:br/>
        <w:br/>
        <w:t xml:space="preserve">    g)     la violación de los artículos 8.1 (garantías  judiciales)  y  25</w:t>
        <w:br/>
        <w:t xml:space="preserve">    (protección judicial) de la Convención Americana, en relación  con  los</w:t>
        <w:br/>
        <w:t xml:space="preserve">    artículos 1.1 (obligación de respetar  los  derechos)  y  2  (deber  de</w:t>
        <w:br/>
        <w:t xml:space="preserve">    adoptar disposiciones de derecho interno) del mismo instrumento, porque</w:t>
        <w:br/>
        <w:t xml:space="preserve">    la Comisión Interamericana no especificó en  perjuicio  de  quiénes  se</w:t>
        <w:br/>
        <w:t xml:space="preserve">    cometieron las violaciones alegadas;</w:t>
        <w:br/>
        <w:br/>
        <w:br/>
        <w:t xml:space="preserve">    h)      la  violación  del  artículo  18  (derecho  al  nombre)  de  la</w:t>
        <w:br/>
        <w:t xml:space="preserve">    Convención Americana, en virtud de que los representantes “no  realizan</w:t>
        <w:br/>
        <w:t xml:space="preserve">    ninguna relación de hechos  sobre  la  posible  violación  del  derecho</w:t>
        <w:br/>
        <w:t xml:space="preserve">    contenido en esta disposición”, y de que “estas  supuestas  violaciones</w:t>
        <w:br/>
        <w:t xml:space="preserve">    fueron realizadas antes de que el Estado aceptara  la  competencia  del</w:t>
        <w:br/>
        <w:t xml:space="preserve">    Tribunal, e</w:t>
        <w:br/>
        <w:br/>
        <w:br/>
        <w:t xml:space="preserve">    i) la violación del artículo 19 (derechos del niño)  de  la  Convención</w:t>
        <w:br/>
        <w:t xml:space="preserve">    Americana en perjuicio de María Eustaquia Uscap Ivoy, pues ya era mayor</w:t>
        <w:br/>
        <w:t xml:space="preserve">    de edad al reconocer la competencia contenciosa de la Corte.</w:t>
        <w:br/>
        <w:br/>
        <w:t xml:space="preserve">  19. En el escrito de contestación el Estado también aceptó a  algunas  de</w:t>
        <w:br/>
        <w:t xml:space="preserve">      las “víctimas del presente caso”, para lo cual aportó  una  lista  de</w:t>
        <w:br/>
        <w:t xml:space="preserve">      nombres. Asimismo, presentó una lista de  víctimas  presuntamente  ya</w:t>
        <w:br/>
        <w:t xml:space="preserve">      indemnizadas mediante el Programa Nacional de Resarcimiento, y aceptó</w:t>
        <w:br/>
        <w:t xml:space="preserve">      algunas  de  las  pretensiones  de  reparación  solicitadas  por  los</w:t>
        <w:br/>
        <w:t xml:space="preserve">      representantes.</w:t>
        <w:br/>
        <w:br/>
        <w:t xml:space="preserve">  20. En relación con la “aceptación total” de las violaciones señaladas en</w:t>
        <w:br/>
        <w:t xml:space="preserve">      los incisos a) e i) del párrafo 17, la Comisión consideró que  ya  no</w:t>
        <w:br/>
        <w:t xml:space="preserve">      existe controversia “sobre  el  marco  fáctico  que  sustenta  dichas</w:t>
        <w:br/>
        <w:t xml:space="preserve">      violaciones, ni de las consecuencias jurídicas planteadas”. En cuanto</w:t>
        <w:br/>
        <w:t xml:space="preserve">      al resto  de  violaciones,  la  Comisión  Interamericana  señaló  que</w:t>
        <w:br/>
        <w:t xml:space="preserve">      entendía que “la aceptación parcial de responsabilidad […]  tiene  un</w:t>
        <w:br/>
        <w:t xml:space="preserve">      alcance amplio consistente con  los  términos  del  reconocimiento  y</w:t>
        <w:br/>
        <w:t xml:space="preserve">      tomando  en  cuenta  la  jurisprudencia  del  sistema  interamericano</w:t>
        <w:br/>
        <w:t xml:space="preserve">      relativa a violaciones continuas, así como los  hechos  que  tuvieron</w:t>
        <w:br/>
        <w:t xml:space="preserve">      lugar dentro de la  competencia  temporal  del  Tribunal”.  Asimismo,</w:t>
        <w:br/>
        <w:t xml:space="preserve">      aunque valoró positivamente dicho reconocimiento parcial, indicó  que</w:t>
        <w:br/>
        <w:t xml:space="preserve">      “persisten algunas violaciones respecto de las cuales el Estado no ha</w:t>
        <w:br/>
        <w:t xml:space="preserve">      aceptado responsabilidad y que aún se  encuentran  en  controversia”.</w:t>
        <w:br/>
        <w:t xml:space="preserve">      Por lo tanto, la Comisión solicitó a la Corte que: “a) otorgue plenos</w:t>
        <w:br/>
        <w:t xml:space="preserve">      efectos jurídicos al reconocimiento de  responsabilidad  estatal;  b)</w:t>
        <w:br/>
        <w:t xml:space="preserve">      efectúe  una  descripción  pormenorizada  de  los  hechos  y  de  las</w:t>
        <w:br/>
        <w:t xml:space="preserve">      violaciones ocurridas;  c)  haga  un  análisis  de  fondo  sobre  las</w:t>
        <w:br/>
        <w:t xml:space="preserve">      violaciones parcialmente aceptadas y las objetadas, y  d)  proceda  a</w:t>
        <w:br/>
        <w:t xml:space="preserve">      declarar la responsabilidad internacional del Estado al respecto”.</w:t>
        <w:br/>
        <w:br/>
        <w:t xml:space="preserve">  21. De manera general, los representantes señalaron que había  una  serie</w:t>
        <w:br/>
        <w:t xml:space="preserve">      de inconsistencias en el escrito de contestación del Estado  ya  que,</w:t>
        <w:br/>
        <w:t xml:space="preserve">      por una parte, había impugnado la competencia temporal  del  Tribunal</w:t>
        <w:br/>
        <w:t xml:space="preserve">      pero que, por otro lado, el Estado había efectuado un  reconocimiento</w:t>
        <w:br/>
        <w:t xml:space="preserve">      de responsabilidad internacional. En tal sentido, los  representantes</w:t>
        <w:br/>
        <w:t xml:space="preserve">      consideraron que Guatemala había  cometido  estoppel,  para  lo  cual</w:t>
        <w:br/>
        <w:t xml:space="preserve">      citaron diversa jurisprudencia de la Corte Interamericana conforme  a</w:t>
        <w:br/>
        <w:t xml:space="preserve">      la cual “un Estado que ha adoptado una determinada posición, la  cual</w:t>
        <w:br/>
        <w:t xml:space="preserve">      produce efectos jurídicos […] no puede […] asumir otra  conducta  que</w:t>
        <w:br/>
        <w:t xml:space="preserve">      sea contradictoria con la primera”. Por lo tanto, los  representantes</w:t>
        <w:br/>
        <w:t xml:space="preserve">      consideraron que la postura  del  Estado  era  incompatible  con  “la</w:t>
        <w:br/>
        <w:t xml:space="preserve">      naturaleza y gravedad de las violaciones alegadas, las  exigencias  e</w:t>
        <w:br/>
        <w:t xml:space="preserve">      interés de la justicia, [y] las circunstancias particulares del  caso</w:t>
        <w:br/>
        <w:t xml:space="preserve">      […]”.</w:t>
        <w:br/>
        <w:br/>
        <w:t xml:space="preserve">  22. De conformidad con los  artículos  62  y  64  del  Reglamento,  y  en</w:t>
        <w:br/>
        <w:t xml:space="preserve">      ejercicio de sus poderes de tutela judicial internacional de derechos</w:t>
        <w:br/>
        <w:t xml:space="preserve">      humanos, cuestión de orden público internacional  que  trasciende  la</w:t>
        <w:br/>
        <w:t xml:space="preserve">      voluntad de las partes, incumbe al Tribunal velar porque los actos de</w:t>
        <w:br/>
        <w:t xml:space="preserve">      reconocimiento de responsabilidad resulten aceptables para los  fines</w:t>
        <w:br/>
        <w:t xml:space="preserve">      que busca cumplir el sistema interamericano.  En  esta  tarea  no  se</w:t>
        <w:br/>
        <w:t xml:space="preserve">      limita  únicamente  a  constatar,  registrar   o   tomar   nota   del</w:t>
        <w:br/>
        <w:t xml:space="preserve">      reconocimiento efectuado por el Estado, o a verificar las condiciones</w:t>
        <w:br/>
        <w:t xml:space="preserve">      formales de los mencionados actos, sino que los debe  confrontar  con</w:t>
        <w:br/>
        <w:t xml:space="preserve">      la naturaleza y gravedad de las violaciones alegadas, las  exigencias</w:t>
        <w:br/>
        <w:t xml:space="preserve">      e interés de la justicia, las circunstancias  particulares  del  caso</w:t>
        <w:br/>
        <w:t xml:space="preserve">      concreto, y la actitud y posición de las partes[5], de manera tal que</w:t>
        <w:br/>
        <w:t xml:space="preserve">      pueda precisar, en cuanto  sea  posible  y  en  el  ejercicio  de  su</w:t>
        <w:br/>
        <w:t xml:space="preserve">      competencia, la verdad de lo acontecido[6]. Además, la evolución  del</w:t>
        <w:br/>
        <w:t xml:space="preserve">      sistema de protección de derechos humanos permite que hoy en día  las</w:t>
        <w:br/>
        <w:t xml:space="preserve">      presuntas víctimas  o  sus  familiares  puedan  presentar  de  manera</w:t>
        <w:br/>
        <w:t xml:space="preserve">      autónoma su escrito de solicitudes, argumentos y pruebas, y  esgrimir</w:t>
        <w:br/>
        <w:t xml:space="preserve">      pretensiones, coincidentes o no, con las de la  Comisión.  Por  ende,</w:t>
        <w:br/>
        <w:t xml:space="preserve">      cuando se presenta un reconocimiento de  responsabilidad,  el  Estado</w:t>
        <w:br/>
        <w:t xml:space="preserve">      debe expresar claramente  si  se  aceptan  también  las  pretensiones</w:t>
        <w:br/>
        <w:t xml:space="preserve">      formuladas por las presuntas víctimas o sus familiares[7].</w:t>
        <w:br/>
        <w:br/>
        <w:t xml:space="preserve">  23. La Corte observa que el reconocimiento de  responsabilidad  efectuado</w:t>
        <w:br/>
        <w:t xml:space="preserve">      por el Estado implica un allanamiento a algunos alegatos  de  derecho</w:t>
        <w:br/>
        <w:t xml:space="preserve">      formulados  tanto  por  la  Comisión  Interamericana  como  por   los</w:t>
        <w:br/>
        <w:t xml:space="preserve">      representantes. Sin embargo, el Estado rechazó  expresamente  que  la</w:t>
        <w:br/>
        <w:t xml:space="preserve">      Corte conozca de las demás violaciones de derechos  humanos  alegadas</w:t>
        <w:br/>
        <w:t xml:space="preserve">      por éstos. Por otro lado, Guatemala reconoció sólo a algunas  de  las</w:t>
        <w:br/>
        <w:t xml:space="preserve">      presuntas víctimas del caso.  Finalmente,  el  Estado  alegó  que  ya</w:t>
        <w:br/>
        <w:t xml:space="preserve">      indemnizó a varias de las presuntas víctimas  del  presente  caso,  y</w:t>
        <w:br/>
        <w:t xml:space="preserve">      aunque aceptó algunas de las pretensiones de  reparación  solicitadas</w:t>
        <w:br/>
        <w:t xml:space="preserve">      por los representantes, se opuso a otras de ellas.</w:t>
        <w:br/>
        <w:br/>
        <w:t xml:space="preserve">  24. Adicionalmente a todo lo anterior, la Corte observa  que  durante  la</w:t>
        <w:br/>
        <w:t xml:space="preserve">      audiencia pública, al referirse al reconocimiento de  responsabilidad</w:t>
        <w:br/>
        <w:t xml:space="preserve">      efectuado a través del escrito de contestación, el Estado no  reiteró</w:t>
        <w:br/>
        <w:t xml:space="preserve">      el reconocimiento de la violación de los derechos reconocidos en  los</w:t>
        <w:br/>
        <w:t xml:space="preserve">      artículos 3, 4, 5 y 7 de la Convención Americana, en relación con  el</w:t>
        <w:br/>
        <w:t xml:space="preserve">      artículo 1.1 de la misma, así como el incumplimiento de la obligación</w:t>
        <w:br/>
        <w:t xml:space="preserve">      establecida en el artículo I  de  la  Convención  sobre  Desaparición</w:t>
        <w:br/>
        <w:t xml:space="preserve">      Forzada,  en  perjuicio  de  Ramona  Lajuj  y  Manuel  Chen  Sánchez,</w:t>
        <w:br/>
        <w:t xml:space="preserve">      presuntas víctimas de desaparición forzada. Sobre este punto, en  sus</w:t>
        <w:br/>
        <w:t xml:space="preserve">      alegatos finales escritos, la Comisión Interamericana señaló  que  el</w:t>
        <w:br/>
        <w:t xml:space="preserve">      Estado incurrió en estoppel, por lo cual  solicitó  al  Tribunal  que</w:t>
        <w:br/>
        <w:t xml:space="preserve">      “asuma como válida la posición del  Estado  guatemalteco  manifestada</w:t>
        <w:br/>
        <w:t xml:space="preserve">      mediante el escrito de  [contestación]”,  y  que  le  otorgue  plenos</w:t>
        <w:br/>
        <w:t xml:space="preserve">      efectos jurídicos. Al respecto, sobre este punto,  la  Corte  observa</w:t>
        <w:br/>
        <w:t xml:space="preserve">      que, en sus alegatos finales escritos, el Estado volvió a reiterar su</w:t>
        <w:br/>
        <w:t xml:space="preserve">      reconocimiento de responsabilidad  por  la  desaparición  forzada  de</w:t>
        <w:br/>
        <w:t xml:space="preserve">      Ramona Lajuj y Manuel Chen Sánchez, en los términos señalados  en  el</w:t>
        <w:br/>
        <w:t xml:space="preserve">      párrafo 17 inciso a), de esta Sentencia.  Por  lo  tanto,  al  ya  no</w:t>
        <w:br/>
        <w:t xml:space="preserve">      existir  controversia,   el   Tribunal   tomará   en   cuenta   dicho</w:t>
        <w:br/>
        <w:t xml:space="preserve">      reconocimiento de responsabilidad.</w:t>
        <w:br/>
        <w:br/>
        <w:t xml:space="preserve">  25. Asimismo, como ya fue señalado en la  Sentencia,  en  el  escrito  de</w:t>
        <w:br/>
        <w:t xml:space="preserve">      contestación  el  Estado  reconoció  la  violación  del  derecho   de</w:t>
        <w:br/>
        <w:t xml:space="preserve">      residencia reconocido en el artículo 22 de  la  Convención  Americana</w:t>
        <w:br/>
        <w:t xml:space="preserve">      (supra párr. 17 inciso g) y, expresamente, se  opuso  al  alegato  de</w:t>
        <w:br/>
        <w:t xml:space="preserve">      violación del derecho de circulación, también  establecido  en  dicha</w:t>
        <w:br/>
        <w:t xml:space="preserve">      disposición (supra párr.  18  inciso  f).  En  el  mismo  sentido  se</w:t>
        <w:br/>
        <w:t xml:space="preserve">      manifestó durante la audiencia pública. No obstante, en sus  alegatos</w:t>
        <w:br/>
        <w:t xml:space="preserve">      finales escritos, el Estado  expresó  exactamente  lo  contrario,  es</w:t>
        <w:br/>
        <w:t xml:space="preserve">      decir, reconoció la violación del  derecho  de  circulación  pero  se</w:t>
        <w:br/>
        <w:t xml:space="preserve">      opuso a la violación del derecho  de  residencia.  Para  este  último</w:t>
        <w:br/>
        <w:t xml:space="preserve">      solicitó a  la  Corte  que  tenga  en  cuenta  las  reparaciones  que</w:t>
        <w:br/>
        <w:t xml:space="preserve">      supuestamente ya se han efectuado a través del Instituto Nacional  de</w:t>
        <w:br/>
        <w:t xml:space="preserve">      Electrificación (INDE). Al respecto, la Corte recuerda que  según  la</w:t>
        <w:br/>
        <w:t xml:space="preserve">      práctica internacional, cuando una parte en un  litigio  ha  adoptado</w:t>
        <w:br/>
        <w:t xml:space="preserve">      una  actitud  determinada  que  redunda  en  beneficio  propio  o  en</w:t>
        <w:br/>
        <w:t xml:space="preserve">      deterioro de la contraria, no puede luego, en  virtud  del  principio</w:t>
        <w:br/>
        <w:t xml:space="preserve">      del estoppel, asumir otra conducta  que  sea  contradictoria  con  la</w:t>
        <w:br/>
        <w:t xml:space="preserve">      primera y que cambie el estado de las cosas en base al cual  se  guió</w:t>
        <w:br/>
        <w:t xml:space="preserve">      la otra parte[8]. En el presente caso, el Estado se allanó, desde  la</w:t>
        <w:br/>
        <w:t xml:space="preserve">      primera  oportunidad  procesal,  a  la  violación  del   derecho   de</w:t>
        <w:br/>
        <w:t xml:space="preserve">      residencia y, en esos términos, a lo largo del  proceso  la  Comisión</w:t>
        <w:br/>
        <w:t xml:space="preserve">      Interamericana y los representantes han  presentado  sus  alegatos  y</w:t>
        <w:br/>
        <w:t xml:space="preserve">      pretensiones. En tal sentido, los alegatos finales escritos no son el</w:t>
        <w:br/>
        <w:t xml:space="preserve">      momento procesal oportuno para oponerse  al  alegato  relativo  a  la</w:t>
        <w:br/>
        <w:t xml:space="preserve">      violación del derecho de residencia. Por lo  anterior,  la  Corte  no</w:t>
        <w:br/>
        <w:t xml:space="preserve">      dará efectos jurídicos al desconocimiento de la violación del derecho</w:t>
        <w:br/>
        <w:t xml:space="preserve">      de residencia efectuado por el Estado.</w:t>
        <w:br/>
        <w:br/>
        <w:t xml:space="preserve">  26. Por otra parte, dado que la violación del derecho de circulación  fue</w:t>
        <w:br/>
        <w:t xml:space="preserve">      alegada por la Comisión y  los  representantes  en  sus  escritos  de</w:t>
        <w:br/>
        <w:t xml:space="preserve">      presentación del caso, y de solicitudes y argumentos, respectivamente</w:t>
        <w:br/>
        <w:t xml:space="preserve">      (supra párr. 4), en vista de la particular gravedad de los  hechos  y</w:t>
        <w:br/>
        <w:t xml:space="preserve">      violaciones alegadas en el  presente  caso,  el  Tribunal  admite  el</w:t>
        <w:br/>
        <w:t xml:space="preserve">      allanamiento de la violación del derecho de  circulación  manifestado</w:t>
        <w:br/>
        <w:t xml:space="preserve">      por el Estado en sus alegatos finales escritos, así como lo ha  hecho</w:t>
        <w:br/>
        <w:t xml:space="preserve">      la Corte en otros casos en  los  cuales  los  Estados,  antes  de  la</w:t>
        <w:br/>
        <w:t xml:space="preserve">      emisión de la Sentencia respectiva, han manifestado su reconocimiento</w:t>
        <w:br/>
        <w:t xml:space="preserve">      de responsabilidad en diversas etapas procesales[9].</w:t>
        <w:br/>
        <w:br/>
        <w:t xml:space="preserve">  27. Dado que los procesos ante esta Corte se refieren a la tutela de  los</w:t>
        <w:br/>
        <w:t xml:space="preserve">      derechos  humanos,  cuestión  de  orden  público  internacional   que</w:t>
        <w:br/>
        <w:t xml:space="preserve">      trasciende la voluntad de las partes, el Tribunal debe  velar  porque</w:t>
        <w:br/>
        <w:t xml:space="preserve">      los actos de allanamiento resulten  aceptables  para  los  fines  que</w:t>
        <w:br/>
        <w:t xml:space="preserve">      busca cumplir el sistema interamericano. En esta tarea no  se  limita</w:t>
        <w:br/>
        <w:t xml:space="preserve">      únicamente a verificar las condiciones formales  de  los  mencionados</w:t>
        <w:br/>
        <w:t xml:space="preserve">      actos, sino que los debe confrontar con la naturaleza y  gravedad  de</w:t>
        <w:br/>
        <w:t xml:space="preserve">      las violaciones alegadas, las exigencias e interés  de  la  justicia,</w:t>
        <w:br/>
        <w:t xml:space="preserve">      las circunstancias particulares del caso  concreto  y  la  actitud  y</w:t>
        <w:br/>
        <w:t xml:space="preserve">      posición de las partes.</w:t>
        <w:br/>
        <w:br/>
        <w:t xml:space="preserve">  28. El Tribunal valora positivamente la voluntad del Estado de  reconocer</w:t>
        <w:br/>
        <w:t xml:space="preserve">      parcialmente su responsabilidad internacional, por  su  trascendencia</w:t>
        <w:br/>
        <w:t xml:space="preserve">      en el marco del sistema interamericano de protección de los  derechos</w:t>
        <w:br/>
        <w:t xml:space="preserve">      humanos. Ello constituye una contribución positiva al  desarrollo  de</w:t>
        <w:br/>
        <w:t xml:space="preserve">      este proceso, a  la  vigencia  de  los  principios  que  inspiran  la</w:t>
        <w:br/>
        <w:t xml:space="preserve">      Convención[10] y, en parte, a la satisfacción de las  necesidades  de</w:t>
        <w:br/>
        <w:t xml:space="preserve">      reparación de las víctimas de violaciones  de  derechos  humanos[11].</w:t>
        <w:br/>
        <w:t xml:space="preserve">      Por lo tanto, la Corte acepta el  reconocimiento  de  responsabilidad</w:t>
        <w:br/>
        <w:t xml:space="preserve">      del Estado de las violaciones señaladas en  el  párrafo  17  de  esta</w:t>
        <w:br/>
        <w:t xml:space="preserve">      Sentencia. Sin embargo, subsiste la  controversia  en  cuanto  a  las</w:t>
        <w:br/>
        <w:t xml:space="preserve">      supuestas  violaciones  señaladas  en  el  párrafo   18,   sobre   la</w:t>
        <w:br/>
        <w:t xml:space="preserve">      determinación de las presuntas víctimas  y  algunas  pretensiones  de</w:t>
        <w:br/>
        <w:t xml:space="preserve">      reparación de los representantes. Asimismo, en  consideración  de  la</w:t>
        <w:br/>
        <w:t xml:space="preserve">      gravedad de los hechos  y  de  las  violaciones  alegadas,  la  Corte</w:t>
        <w:br/>
        <w:t xml:space="preserve">      procederá a la determinación amplia y puntual de los hechos ocurridos</w:t>
        <w:br/>
        <w:t xml:space="preserve">      relacionados con las violaciones de derechos humanos reconocidas  por</w:t>
        <w:br/>
        <w:t xml:space="preserve">      el Estado, toda vez que  ello  contribuye  a  la  reparación  de  las</w:t>
        <w:br/>
        <w:t xml:space="preserve">      víctimas, a evitar que se repitan hechos similares y a satisfacer, en</w:t>
        <w:br/>
        <w:t xml:space="preserve">      suma, los fines de  la  jurisdicción  interamericana  sobre  derechos</w:t>
        <w:br/>
        <w:t xml:space="preserve">      humanos[12]. Consecuentemente, el Tribunal resolverá lo conducente en</w:t>
        <w:br/>
        <w:t xml:space="preserve">      los Capítulos V y VII a XIV de esta Sentencia.</w:t>
        <w:br/>
        <w:br/>
        <w:br/>
        <w:br/>
        <w:t xml:space="preserve">                                      V</w:t>
        <w:br/>
        <w:t xml:space="preserve">           EXCEPCIÓN PRELIMINAR DE INCOMPETENCIA RATIONE TEMPORIS</w:t>
        <w:br/>
        <w:br/>
        <w:br/>
        <w:t>A.    Alegatos de las partes y de la Comisión Interamericana</w:t>
        <w:br/>
        <w:br/>
        <w:t xml:space="preserve">  29.  Sin  indicar  expresamente  que  se  trataba   de   una   “excepción</w:t>
        <w:br/>
        <w:t xml:space="preserve">      preliminar”, el Estado alegó que la Corte  Interamericana  carece  de</w:t>
        <w:br/>
        <w:t xml:space="preserve">      competencia temporal para pronunciarse sobre la  “totalidad”  de  las</w:t>
        <w:br/>
        <w:t xml:space="preserve">      violaciones de derechos humanos alegadas en el presente caso,  puesto</w:t>
        <w:br/>
        <w:t xml:space="preserve">      que dichas violaciones ocurrieron entre los  años  1980  y  1982,  es</w:t>
        <w:br/>
        <w:t xml:space="preserve">      decir, antes de que Guatemala reconociera la competencia  contenciosa</w:t>
        <w:br/>
        <w:t xml:space="preserve">      del Tribunal, y porque son violaciones que no persisten a la fecha  y</w:t>
        <w:br/>
        <w:t xml:space="preserve">      no son de carácter continuado. El  Estado  precisó  que  ratificó  la</w:t>
        <w:br/>
        <w:t xml:space="preserve">      Convención Americana sobre Derechos Humanos el 25 de  mayo  de  1978,</w:t>
        <w:br/>
        <w:t xml:space="preserve">      pero que aceptó la jurisdicción contenciosa de la Corte el 9 de marzo</w:t>
        <w:br/>
        <w:t xml:space="preserve">      de 1987. Asimismo, señaló que la competencia del  Tribunal  no  puede</w:t>
        <w:br/>
        <w:t xml:space="preserve">      ser retroactiva en virtud de que en el instrumento de  reconocimiento</w:t>
        <w:br/>
        <w:t xml:space="preserve">      de  la  competencia  de  la  Corte  el   Estado   expresó   que   tal</w:t>
        <w:br/>
        <w:t xml:space="preserve">      reconocimiento es aplicable a “casos sucedidos con posterioridad a la</w:t>
        <w:br/>
        <w:t xml:space="preserve">      fecha [en] que esta declaración fuera presentada al Secretario de  la</w:t>
        <w:br/>
        <w:t xml:space="preserve">      Organización de Estados Americanos”, lo cual ocurrió el 9 de marzo de</w:t>
        <w:br/>
        <w:t xml:space="preserve">      1987 (supra párr. 15).  Esta impugnación fue reiterada por el  Estado</w:t>
        <w:br/>
        <w:t xml:space="preserve">      durante la audiencia pública (supra párr. 9). No obstante, el  Estado</w:t>
        <w:br/>
        <w:t xml:space="preserve">      también reconoció parcialmente su  responsabilidad  internacional  en</w:t>
        <w:br/>
        <w:t xml:space="preserve">      relación con algunas de las violaciones alegadas por  la  Comisión  y</w:t>
        <w:br/>
        <w:t xml:space="preserve">      los representantes (supra Capítulo IV).</w:t>
        <w:br/>
        <w:br/>
        <w:t xml:space="preserve">  30. La Comisión Interamericana expresó,  en  primer  lugar  y  de  manera</w:t>
        <w:br/>
        <w:t xml:space="preserve">      general, que puso en conocimiento  de  la  Corte  las  “conductas  de</w:t>
        <w:br/>
        <w:t xml:space="preserve">      carácter continuado que persisten con posterioridad [al 9 de marzo de</w:t>
        <w:br/>
        <w:t xml:space="preserve">      1987] y las actuaciones que constituyen hechos independientes  y  que</w:t>
        <w:br/>
        <w:t xml:space="preserve">      configuran violaciones específicas y autónomas ocurridas después  del</w:t>
        <w:br/>
        <w:t xml:space="preserve">      reconocimiento de la competencia del  Tribunal”.  Por  lo  tanto,  en</w:t>
        <w:br/>
        <w:t xml:space="preserve">      concepto de la Comisión, la Corte tiene competencia,  “entre  otros”,</w:t>
        <w:br/>
        <w:t xml:space="preserve">      sobre  los  siguientes  hechos:  las  desapariciones   forzadas,   el</w:t>
        <w:br/>
        <w:t xml:space="preserve">      desplazamiento forzado, la integridad personal de  los  familiares  y</w:t>
        <w:br/>
        <w:t xml:space="preserve">      sobrevivientes, la destrucción del tejido social de la comunidad,  la</w:t>
        <w:br/>
        <w:t xml:space="preserve">      falta de identificación de las personas ejecutadas  y  desaparecidas,</w:t>
        <w:br/>
        <w:t xml:space="preserve">      la consecuente falta de entierro  de  las  mismas  con  base  en  las</w:t>
        <w:br/>
        <w:t xml:space="preserve">      tradiciones mayas, la imposibilidad de los sobrevivientes de regresar</w:t>
        <w:br/>
        <w:t xml:space="preserve">      a sus tierras, la falta  de  protección  a  los  niños  y  niñas,  el</w:t>
        <w:br/>
        <w:t xml:space="preserve">      señalamiento  como  “guerrilleros,  base  social  de  la   guerrilla,</w:t>
        <w:br/>
        <w:t xml:space="preserve">      enemigos internos y subversivos”, la discriminación, así  como  sobre</w:t>
        <w:br/>
        <w:t xml:space="preserve">      la falta de investigación imparcial y efectiva de la multiplicidad de</w:t>
        <w:br/>
        <w:t xml:space="preserve">      violaciones ocurridas durante y después de las masacres.</w:t>
        <w:br/>
        <w:br/>
        <w:t xml:space="preserve">  31. Asimismo, la Comisión indicó un segundo  grupo  de  hechos  concretos</w:t>
        <w:br/>
        <w:t xml:space="preserve">      sobre los cuales considera que la Corte tiene competencia, es  decir,</w:t>
        <w:br/>
        <w:t xml:space="preserve">      aquellos que se refieren a la “denegación de justicia a la luz de  la</w:t>
        <w:br/>
        <w:t xml:space="preserve">      obligación procesal derivada del deber de  garantía,  ya  que  dichas</w:t>
        <w:br/>
        <w:t xml:space="preserve">      violaciones se encuentran  dentro  de  la  competencia  temporal  del</w:t>
        <w:br/>
        <w:t xml:space="preserve">      Tribunal”. En tal sentido, señaló  que  la  Corte  tiene  competencia</w:t>
        <w:br/>
        <w:t xml:space="preserve">      sobre: “las detenciones  arbitrarias,  tortura,  violación  sexual  y</w:t>
        <w:br/>
        <w:t xml:space="preserve">      ejecución extrajudicial […] de miembros de la Comunidad de Río Negro,</w:t>
        <w:br/>
        <w:t xml:space="preserve">      el posterior  ocultamiento  de  los  cuerpos,  y  el  sometimiento  a</w:t>
        <w:br/>
        <w:t xml:space="preserve">      esclavitud de algunos niños sobrevivientes”. Por  lo  tanto,  en  sus</w:t>
        <w:br/>
        <w:t xml:space="preserve">      observaciones a la excepción preliminar interpuesta por el Estado, la</w:t>
        <w:br/>
        <w:t xml:space="preserve">      Comisión solicitó a la Corte que se pronuncie,  por  un  lado,  sobre</w:t>
        <w:br/>
        <w:t xml:space="preserve">      “los artículos 4, 5, 7 y 19 de la Convención Americana,  en  relación</w:t>
        <w:br/>
        <w:t xml:space="preserve">      con el artículo 1.1 de la misma, en perjuicio de las víctimas de  las</w:t>
        <w:br/>
        <w:t xml:space="preserve">      masacres” y, por otro lado,  sobre  “los  artículos  5  y  11  de  la</w:t>
        <w:br/>
        <w:t xml:space="preserve">      Convención Americana, en relación con el artículo 1.1 de la misma, en</w:t>
        <w:br/>
        <w:t xml:space="preserve">      perjuicio de las víctimas de violación sexual, J.O.S., V.C.,  M.T.  y</w:t>
        <w:br/>
        <w:t xml:space="preserve">      María Eustaquia Uscap Ivoy, y además sobre el artículo 19  del  mismo</w:t>
        <w:br/>
        <w:t xml:space="preserve">      instrumento, en relación con el artículo 1.1, en perjuicio de  J.O.S.</w:t>
        <w:br/>
        <w:t xml:space="preserve">      y María Eustaquia Uscap Ivoy”.</w:t>
        <w:br/>
        <w:br/>
        <w:t xml:space="preserve">  32. En tercer lugar, la Comisión  hizo  referencia  a  que  la  falta  de</w:t>
        <w:br/>
        <w:t xml:space="preserve">      investigación “imposibilitó el goce de la posibilidad de  ejercer  de</w:t>
        <w:br/>
        <w:t xml:space="preserve">      manera continua” los derechos reconocidos en “los artículos 11.1,  21</w:t>
        <w:br/>
        <w:t xml:space="preserve">      y 24 de la Convención Americana, en relación con el artículo  1.1  de</w:t>
        <w:br/>
        <w:t xml:space="preserve">      la misma, en perjuicio de los miembros de la comunidad de Río Negro”,</w:t>
        <w:br/>
        <w:t xml:space="preserve">      por lo cual consideró que la Corte debe conocer de tales violaciones.</w:t>
        <w:br/>
        <w:t xml:space="preserve">      Finalmente, la Comisión  reiteró  que  “los  hechos  en  los  que  se</w:t>
        <w:br/>
        <w:t xml:space="preserve">      sustentan  las  violaciones  relacionadas  con  los  efectos  en  los</w:t>
        <w:br/>
        <w:t xml:space="preserve">      respectivos núcleos familiares, la falta de acceso a la  información,</w:t>
        <w:br/>
        <w:t xml:space="preserve">      la denegación de justicia, la falta de investigación  efectiva  y  la</w:t>
        <w:br/>
        <w:t xml:space="preserve">      consecuente impunidad en  que  se  encuentran,  entre  otros”,  están</w:t>
        <w:br/>
        <w:t xml:space="preserve">      “dentro de  la  competencia  temporal  del  Tribunal”.  Por  todo  lo</w:t>
        <w:br/>
        <w:t xml:space="preserve">      anterior, la Comisión consideró que “no existe sustento jurídico para</w:t>
        <w:br/>
        <w:t xml:space="preserve">      la interposición de la excepción preliminar”, por lo cual solicitó  a</w:t>
        <w:br/>
        <w:t xml:space="preserve">      la Corte que la desestime.</w:t>
        <w:br/>
        <w:br/>
        <w:t xml:space="preserve">  33. Los representantes indicaron que debido a  que  el  Estado  no  había</w:t>
        <w:br/>
        <w:t xml:space="preserve">      señalado  expresamente  que  su  alegato  correspondía  al   de   una</w:t>
        <w:br/>
        <w:t xml:space="preserve">      “excepción preliminar”, y a que debió presentarla en  observancia  de</w:t>
        <w:br/>
        <w:t xml:space="preserve">      los requisitos establecidos en el Reglamento, en su opinión el Estado</w:t>
        <w:br/>
        <w:t xml:space="preserve">      había renunciado tácitamente a dicha defensa. No obstante, en caso de</w:t>
        <w:br/>
        <w:t xml:space="preserve">      que la Corte decidiera “examinar la  aparente  excepción  preliminar”</w:t>
        <w:br/>
        <w:t xml:space="preserve">      alegaron que  “el  acto  de  exterminio  cometido  en  contra  de  la</w:t>
        <w:br/>
        <w:t xml:space="preserve">      comunidad de Río Negro se encuentra fuera de la competencia temporal”</w:t>
        <w:br/>
        <w:t xml:space="preserve">      de la Corte, como lo señaló el Estado, pero que éste omitió referirse</w:t>
        <w:br/>
        <w:t xml:space="preserve">      al contexto en que se hizo dicha aseveración. Asimismo, señalaron que</w:t>
        <w:br/>
        <w:t xml:space="preserve">      “la omisión de las obligaciones procesales  derivadas  del  deber  de</w:t>
        <w:br/>
        <w:t xml:space="preserve">      garantía es un hecho que subsiste” y que, asimismo, “existen diversas</w:t>
        <w:br/>
        <w:t xml:space="preserve">      violaciones cuyos efectos continúan al día de hoy”. Por lo tanto, los</w:t>
        <w:br/>
        <w:t xml:space="preserve">      representantes precisaron que no es su intención que se  declare  “la</w:t>
        <w:br/>
        <w:t xml:space="preserve">      responsabilidad  internacional  del  Estado  […]  por  la   obvia   e</w:t>
        <w:br/>
        <w:t xml:space="preserve">      ineluctable transgresión de la obligación general de respeto  a  raíz</w:t>
        <w:br/>
        <w:t xml:space="preserve">      de  los  hechos  anteriores  al  reconocimiento  de  la   competencia</w:t>
        <w:br/>
        <w:t xml:space="preserve">      contenciosa  de  la  Corte”,  sino  por  el  “incumplimiento  de   la</w:t>
        <w:br/>
        <w:t xml:space="preserve">      obligación general de garantía”. En tal sentido, alegaron que no  hay</w:t>
        <w:br/>
        <w:t xml:space="preserve">      controversia en cuanto a  que  la  competencia  del  Tribunal  no  se</w:t>
        <w:br/>
        <w:t xml:space="preserve">      extiende a hechos anteriores al 9  de  marzo  de  1987,  por  lo  que</w:t>
        <w:br/>
        <w:t xml:space="preserve">      consideran que la impugnación de competencia temporal  planteada  por</w:t>
        <w:br/>
        <w:t xml:space="preserve">      el  Estado  “carece  en  su  totalidad  de  asidero  fáctico,  legal,</w:t>
        <w:br/>
        <w:t xml:space="preserve">      jurisprudencial y por lo tanto es, indefectiblemente, improcedente”.</w:t>
        <w:br/>
        <w:br/>
        <w:br/>
        <w:t>B.    Consideraciones de la Corte</w:t>
        <w:br/>
        <w:br/>
        <w:t xml:space="preserve">  34. En primer lugar, el Tribunal considera pertinente señalar que si bien</w:t>
        <w:br/>
        <w:t xml:space="preserve">      la Convención Americana y el Reglamento no desarrollan el concepto de</w:t>
        <w:br/>
        <w:t xml:space="preserve">      “excepción preliminar”, en su jurisprudencia  la  Corte  ha  afirmado</w:t>
        <w:br/>
        <w:t xml:space="preserve">      reiteradamente que por este medio se cuestiona  la  admisibilidad  de</w:t>
        <w:br/>
        <w:t xml:space="preserve">      una demanda o la competencia del Tribunal  para  conocer  determinado</w:t>
        <w:br/>
        <w:t xml:space="preserve">      caso o alguno de sus aspectos, en razón de la persona, la materia, el</w:t>
        <w:br/>
        <w:t xml:space="preserve">      tiempo o el lugar[13]. Una excepción preliminar tiene  por  finalidad</w:t>
        <w:br/>
        <w:t xml:space="preserve">      obtener una decisión que prevenga o impida el análisis sobre el fondo</w:t>
        <w:br/>
        <w:t xml:space="preserve">      del aspecto cuestionado o del caso  en  su  conjunto.  Por  ello,  el</w:t>
        <w:br/>
        <w:t xml:space="preserve">      planteamiento   debe   satisfacer   las   características   jurídicas</w:t>
        <w:br/>
        <w:t xml:space="preserve">      esenciales en contenido y finalidad que le confieran el  carácter  de</w:t>
        <w:br/>
        <w:t xml:space="preserve">      excepción preliminar[14]. Por  lo  anterior,  la  Corte  estima  que,</w:t>
        <w:br/>
        <w:t xml:space="preserve">      aunque el Estado no  haya  denominado  expresamente  como  “excepción</w:t>
        <w:br/>
        <w:t xml:space="preserve">      preliminar” al conjunto de alegatos  con  base  en  los  cuales  está</w:t>
        <w:br/>
        <w:t xml:space="preserve">      impugnando la competencia  temporal  de  la  Corte  para  conocer  de</w:t>
        <w:br/>
        <w:t xml:space="preserve">      algunas violaciones de derechos humanos alegadas en el presente caso,</w:t>
        <w:br/>
        <w:t xml:space="preserve">      tales alegatos cumplen con las características  jurídicas  esenciales</w:t>
        <w:br/>
        <w:t xml:space="preserve">      que corresponden a una excepción preliminar de incompetencia  ratione</w:t>
        <w:br/>
        <w:t xml:space="preserve">      temporis pues tienen  como  fundamento  una  situación  temporal,  es</w:t>
        <w:br/>
        <w:t xml:space="preserve">      decir, la fecha del reconocimiento de la competencia  contenciosa  de</w:t>
        <w:br/>
        <w:t xml:space="preserve">      la Corte, para excluir tales violaciones de este caso. Por lo  tanto,</w:t>
        <w:br/>
        <w:t xml:space="preserve">      a continuación el Tribunal analizará  los  alegatos  correspondientes</w:t>
        <w:br/>
        <w:t xml:space="preserve">      bajo este rubro.</w:t>
        <w:br/>
        <w:br/>
        <w:t xml:space="preserve">  35. El Tribunal observa que el Estado pretende inhibir  a  la  Corte  del</w:t>
        <w:br/>
        <w:t xml:space="preserve">      conocimiento  de  las  violaciones  de  derechos  humanos  que  hayan</w:t>
        <w:br/>
        <w:t xml:space="preserve">      sucedido con anterioridad al  9  de  marzo  de  1987,  fecha  en  que</w:t>
        <w:br/>
        <w:t xml:space="preserve">      Guatemala aceptó la competencia contenciosa del Tribunal, que no sean</w:t>
        <w:br/>
        <w:t xml:space="preserve">      de carácter continuado o permanente y que no persistan hasta  el  día</w:t>
        <w:br/>
        <w:t xml:space="preserve">      de hoy.  No  obstante,  el  Estado  no  precisó  cuáles  serían  esas</w:t>
        <w:br/>
        <w:t xml:space="preserve">      violaciones. La Corte reitera que  como  todo  órgano  con  funciones</w:t>
        <w:br/>
        <w:t xml:space="preserve">      jurisdiccionales, tiene el poder  inherente  a  sus  atribuciones  de</w:t>
        <w:br/>
        <w:t xml:space="preserve">      determinar el alcance de su  propia  competencia  (compétence  de  la</w:t>
        <w:br/>
        <w:t xml:space="preserve">      compétence/Kompetenz-Kompetenz). Los instrumentos  de  reconocimiento</w:t>
        <w:br/>
        <w:t xml:space="preserve">      de la cláusula facultativa de la jurisdicción  obligatoria  (artículo</w:t>
        <w:br/>
        <w:t xml:space="preserve">      62.1 de la Convención) presuponen la admisión, por los Estados que la</w:t>
        <w:br/>
        <w:t xml:space="preserve">      presentan, del derecho de la Corte a resolver cualquier  controversia</w:t>
        <w:br/>
        <w:t xml:space="preserve">      relativa a su jurisdicción[15].</w:t>
        <w:br/>
        <w:br/>
        <w:t xml:space="preserve">  36. A efectos de determinar si tiene o no  competencia  para  conocer  un</w:t>
        <w:br/>
        <w:t xml:space="preserve">      caso o un aspecto del mismo, de acuerdo con el artículo  62.1  de  la</w:t>
        <w:br/>
        <w:t xml:space="preserve">      Convención Americana, el Tribunal  debe  tomar  en  consideración  la</w:t>
        <w:br/>
        <w:t xml:space="preserve">      fecha de reconocimiento de la competencia por parte del  Estado,  los</w:t>
        <w:br/>
        <w:t xml:space="preserve">      términos  en  que  el  mismo  se  ha   dado   y   el   principio   de</w:t>
        <w:br/>
        <w:t xml:space="preserve">      irretroactividad, dispuesto en el artículo 28  de  la  Convención  de</w:t>
        <w:br/>
        <w:t xml:space="preserve">      Viena sobre el Derecho de los Tratados de 1969. Aun cuando el  Estado</w:t>
        <w:br/>
        <w:t xml:space="preserve">      está obligado a respetar y garantizar los derechos protegidos  en  la</w:t>
        <w:br/>
        <w:t xml:space="preserve">      Convención  Americana  desde  la  fecha  en  que  la   ratificó,   la</w:t>
        <w:br/>
        <w:t xml:space="preserve">      competencia de la Corte para declarar una violación a sus  normas  se</w:t>
        <w:br/>
        <w:t xml:space="preserve">      rige por el referido reconocimiento por parte del Estado.</w:t>
        <w:br/>
        <w:br/>
        <w:t xml:space="preserve">  37. Guatemala reconoció la competencia contenciosa de la Corte  el  9  de</w:t>
        <w:br/>
        <w:t xml:space="preserve">      marzo de 1987, y en su declaración indicó  que  el  Tribunal  tendría</w:t>
        <w:br/>
        <w:t xml:space="preserve">      competencia para los “casos  acaecidos  con  posterioridad”  a  dicho</w:t>
        <w:br/>
        <w:t xml:space="preserve">      reconocimiento (supra párr. 15). Con base en ello y en  el  principio</w:t>
        <w:br/>
        <w:t xml:space="preserve">      de irretroactividad, la Corte puede conocer de los actos o hechos que</w:t>
        <w:br/>
        <w:t xml:space="preserve">      hayan  tenido  lugar  con  posterioridad  a   la   fecha   de   dicho</w:t>
        <w:br/>
        <w:t xml:space="preserve">      reconocimiento[16] y  que  hayan  generado  violaciones  de  derechos</w:t>
        <w:br/>
        <w:t xml:space="preserve">      humanos de ejecución instantánea y continuada o permanente. Por  otro</w:t>
        <w:br/>
        <w:t xml:space="preserve">      lado,  el  Tribunal  también  tiene  competencia  para   conocer   de</w:t>
        <w:br/>
        <w:t xml:space="preserve">      violaciones de derechos humanos de carácter continuado  o  permanente</w:t>
        <w:br/>
        <w:t xml:space="preserve">      aunque el primer acto de ejecución haya  tenido  lugar  antes  de  la</w:t>
        <w:br/>
        <w:t xml:space="preserve">      fecha del reconocimiento de competencia contenciosa de la  Corte,  si</w:t>
        <w:br/>
        <w:t xml:space="preserve">      dichas   violaciones   persisten   con    posterioridad    a    dicho</w:t>
        <w:br/>
        <w:t xml:space="preserve">      reconocimiento, puesto que se continúan cometiendo, de manera que  no</w:t>
        <w:br/>
        <w:t xml:space="preserve">      se infringe el principio de irretroactividad[17].</w:t>
        <w:br/>
        <w:br/>
        <w:t xml:space="preserve">  38. Teniendo en cuenta lo  anterior,  la  Corte  tiene  competencia  para</w:t>
        <w:br/>
        <w:t xml:space="preserve">      conocer los hechos y las presuntas violaciones  de  derechos  humanos</w:t>
        <w:br/>
        <w:t xml:space="preserve">      relativas a las desapariciones forzadas (infra Capítulo IX); la falta</w:t>
        <w:br/>
        <w:t xml:space="preserve">      de investigación imparcial y efectiva de los hechos  (infra  Capítulo</w:t>
        <w:br/>
        <w:t xml:space="preserve">      XII); la afectación a la integridad  personal  de  los  familiares  y</w:t>
        <w:br/>
        <w:t xml:space="preserve">      sobrevivientes en relación con la investigación de los hechos  (infra</w:t>
        <w:br/>
        <w:t xml:space="preserve">      Capítulo XIII); la falta de identificación de las personas ejecutadas</w:t>
        <w:br/>
        <w:t xml:space="preserve">      y desaparecidas (infra Capítulo  XII);  la  “destrucción  del  tejido</w:t>
        <w:br/>
        <w:t xml:space="preserve">      social de la comunidad” (infra Capítulos X y XI), y el desplazamiento</w:t>
        <w:br/>
        <w:t xml:space="preserve">      forzado (infra Capítulo XI).</w:t>
        <w:br/>
        <w:br/>
        <w:t xml:space="preserve">  39. Por otro lado, el Tribunal considera que no  tiene  competencia  para</w:t>
        <w:br/>
        <w:t xml:space="preserve">      pronunciarse sobre el alegado señalamiento  de  los  miembros  de  la</w:t>
        <w:br/>
        <w:t xml:space="preserve">      comunidad  de  Río  Negro  como  “guerrilleros,  base  social  de  la</w:t>
        <w:br/>
        <w:t xml:space="preserve">      guerrilla,  enemigos  internos  y   subversivos”,   y   su   supuesta</w:t>
        <w:br/>
        <w:t xml:space="preserve">      “discriminación”,  pues  de  conformidad  con  el  Informe  de  fondo</w:t>
        <w:br/>
        <w:t xml:space="preserve">      presentado  por  la  Comisión,  tales  violaciones   sucedieron   con</w:t>
        <w:br/>
        <w:t xml:space="preserve">      anterioridad al 9 de marzo de  1987.  Finalmente,  en  cuanto  a  los</w:t>
        <w:br/>
        <w:t xml:space="preserve">      hechos relativos a  la  “denegación  de  justicia  a  la  luz  de  la</w:t>
        <w:br/>
        <w:t xml:space="preserve">      obligación  procesal  derivada  del  deber  de  garantía”,  la  Corte</w:t>
        <w:br/>
        <w:t xml:space="preserve">      considera pertinente precisar que, si bien  ha  sostenido  que  tiene</w:t>
        <w:br/>
        <w:t xml:space="preserve">      competencia para analizar  hechos  que  se  refieran  a  la  presunta</w:t>
        <w:br/>
        <w:t xml:space="preserve">      denegación de justicia a la luz de la  obligación  procesal  derivada</w:t>
        <w:br/>
        <w:t xml:space="preserve">      del deber  de  garantía  emanada  de  determinados  artículos  de  la</w:t>
        <w:br/>
        <w:t xml:space="preserve">      Convención Americana que reconocen derechos sustantivos,  tales  como</w:t>
        <w:br/>
        <w:t xml:space="preserve">      los artículos 4 y 5, que se refieren  al  derecho  a  la  vida  y  al</w:t>
        <w:br/>
        <w:t xml:space="preserve">      derecho a la integridad personal, respectivamente, en relación con el</w:t>
        <w:br/>
        <w:t xml:space="preserve">      artículo 1.1 de dicho instrumento,  tales  hechos  deben  encontrarse</w:t>
        <w:br/>
        <w:t xml:space="preserve">      dentro de la competencia temporal del Tribunal[18].  En  el  presente</w:t>
        <w:br/>
        <w:t xml:space="preserve">      supuesto la Comisión y los representantes incluyen hechos relativos a</w:t>
        <w:br/>
        <w:t xml:space="preserve">      las presuntas  detenciones  arbitrarias,  la  tortura,  la  violación</w:t>
        <w:br/>
        <w:t xml:space="preserve">      sexual  y  la  ejecución  extrajudicial  de  varios  miembros  de  la</w:t>
        <w:br/>
        <w:t xml:space="preserve">      Comunidad de Río Negro. No  obstante,  tales  hechos  sucedieron  con</w:t>
        <w:br/>
        <w:t xml:space="preserve">      anterioridad al 9 de marzo de 1987, por lo cual, ante la  impugnación</w:t>
        <w:br/>
        <w:t xml:space="preserve">      de competencia temporal realizada por el Estado, el Tribunal no puede</w:t>
        <w:br/>
        <w:t xml:space="preserve">      pronunciarse sobre los mismos. No obstante, la  Corte  analizará  los</w:t>
        <w:br/>
        <w:t xml:space="preserve">      alegatos sobre la supuesta denegación de justicia  a  la  luz  de  la</w:t>
        <w:br/>
        <w:t xml:space="preserve">      alegada violación de los derechos reconocidos en los artículos 8 y 25</w:t>
        <w:br/>
        <w:t xml:space="preserve">      de la Convención Americana, sobre los cuales  el  Tribunal  sí  tiene</w:t>
        <w:br/>
        <w:t xml:space="preserve">      competencia. En esos términos, la Corte acepta el alegato del  Estado</w:t>
        <w:br/>
        <w:t xml:space="preserve">      sobre la falta de competencia ratione temporis.</w:t>
        <w:br/>
        <w:br/>
        <w:br/>
        <w:br/>
        <w:t>VI</w:t>
        <w:br/>
        <w:t>PRUEBA</w:t>
        <w:br/>
        <w:br/>
        <w:br/>
        <w:t xml:space="preserve">  40. Con base en lo establecido en los artículos  46,  50,  57  y  58  del</w:t>
        <w:br/>
        <w:t xml:space="preserve">      Reglamento, así como en su jurisprudencia respecto de la prueba y  su</w:t>
        <w:br/>
        <w:t xml:space="preserve">      apreciación, la Corte examinará y valorará los elementos  probatorios</w:t>
        <w:br/>
        <w:t xml:space="preserve">      documentales remitidos  en  diversas  oportunidades  procesales,  las</w:t>
        <w:br/>
        <w:t xml:space="preserve">      declaraciones de las  presuntas  víctimas  así  como  los  dictámenes</w:t>
        <w:br/>
        <w:t xml:space="preserve">      periciales  rendidos  mediante  declaración  jurada  ante   fedatario</w:t>
        <w:br/>
        <w:t xml:space="preserve">      público (affidávit) y en la audiencia pública  ante  la  Corte.  Para</w:t>
        <w:br/>
        <w:t xml:space="preserve">      ello, este Tribunal se atendrá a los principios de la  sana  crítica,</w:t>
        <w:br/>
        <w:t xml:space="preserve">      dentro del marco normativo correspondiente[19].</w:t>
        <w:br/>
        <w:br/>
        <w:br/>
        <w:br/>
        <w:br/>
        <w:br/>
        <w:t>A.    Prueba documental, testimonial y pericial</w:t>
        <w:br/>
        <w:br/>
        <w:br/>
        <w:t xml:space="preserve">  41. El Tribunal recibió diversos documentos presentados como  prueba  por</w:t>
        <w:br/>
        <w:t xml:space="preserve">      la Comisión Interamericana, por los representantes y por  el  Estado,</w:t>
        <w:br/>
        <w:t xml:space="preserve">      así como las  declaraciones  y  dictámenes  rendidos  ante  fedatario</w:t>
        <w:br/>
        <w:t xml:space="preserve">      público de las  siguientes  personas:  María  Eustaquia  Uscap  Iboy,</w:t>
        <w:br/>
        <w:t xml:space="preserve">      Antonia Osorio Sánchez, Bruna Perez Osorio, María Osorio  Chen,  Juan</w:t>
        <w:br/>
        <w:t xml:space="preserve">      Méndez, Fredy Armando Peccerelli Monterroso, y Alfredo Itzep  Manuel.</w:t>
        <w:br/>
        <w:t xml:space="preserve">      Asimismo,  durante  la  audiencia  pública  la  Corte   recibió   las</w:t>
        <w:br/>
        <w:t xml:space="preserve">      declaraciones de Jesús Tecu Osorio y Carlos Chen Osorio, así como los</w:t>
        <w:br/>
        <w:t xml:space="preserve">      dictámenes periciales de Rosalina Tuyuc Velásquez y de  Michael  Paul</w:t>
        <w:br/>
        <w:t xml:space="preserve">      Hermann Mörth[20].</w:t>
        <w:br/>
        <w:br/>
        <w:br/>
        <w:br/>
        <w:t>B.    Admisión de la prueba</w:t>
        <w:br/>
        <w:br/>
        <w:br/>
        <w:t xml:space="preserve">  42. En el presente caso, como  en  otros,  el  Tribunal  admite  aquellos</w:t>
        <w:br/>
        <w:t xml:space="preserve">      documentos remitidos por las partes en la debida oportunidad procesal</w:t>
        <w:br/>
        <w:t xml:space="preserve">      que no fueron controvertidos ni objetados, ni cuya  autenticidad  fue</w:t>
        <w:br/>
        <w:t xml:space="preserve">      puesta en duda exclusivamente en la medida en que son  pertinentes  y</w:t>
        <w:br/>
        <w:t xml:space="preserve">      útiles para la determinación de los hechos y eventuales consecuencias</w:t>
        <w:br/>
        <w:t xml:space="preserve">      jurídicas[21].  El  Estado  presentó  extemporáneamente   la   prueba</w:t>
        <w:br/>
        <w:t xml:space="preserve">      documental ofrecida mediante  su  escrito  de  contestación[22],  dos</w:t>
        <w:br/>
        <w:t xml:space="preserve">      documentos solicitados por el Tribunal durante la  audiencia  pública</w:t>
        <w:br/>
        <w:t xml:space="preserve">      como prueba para mejor resolver[23], y otro documento  no  solicitado</w:t>
        <w:br/>
        <w:t xml:space="preserve">      pero mencionado por el Estado en sus alegatos  finales  escritos[24].</w:t>
        <w:br/>
        <w:t xml:space="preserve">      No obstante, en aplicación del artículo 58.a del Reglamento, la Corte</w:t>
        <w:br/>
        <w:t xml:space="preserve">      decide admitir tales documentos  por  considerarlos  útiles  para  la</w:t>
        <w:br/>
        <w:t xml:space="preserve">      resolución del presente caso.  Asimismo,  al  presentar  el  original</w:t>
        <w:br/>
        <w:t xml:space="preserve">      impreso de  sus  alegatos  finales  escritos,  mediante  una  “fe  de</w:t>
        <w:br/>
        <w:t xml:space="preserve">      erratas” los representantes agregaron un apartado sobre  “Precisiones</w:t>
        <w:br/>
        <w:t xml:space="preserve">      relativas a los  listados  de  víctimas  remitidos  con  el  presente</w:t>
        <w:br/>
        <w:t xml:space="preserve">      escrito”  que  no  fue  incluido  al  remitir  dichos  alegatos   vía</w:t>
        <w:br/>
        <w:t xml:space="preserve">      electrónica  (supra  párr.  12).   Por   referirse   a   aclaraciones</w:t>
        <w:br/>
        <w:t xml:space="preserve">      solicitadas por el Tribunal durante la audiencia pública  respecto  a</w:t>
        <w:br/>
        <w:t xml:space="preserve">      la identificación e individualización de las presuntas  víctimas,  la</w:t>
        <w:br/>
        <w:t xml:space="preserve">      Corte admite dichas precisiones por ser útiles para esos efectos.</w:t>
        <w:br/>
        <w:br/>
        <w:t xml:space="preserve">  43. Por otra parte, la Corte estima pertinentes las declaraciones de  las</w:t>
        <w:br/>
        <w:t xml:space="preserve">      presuntas víctimas y  los  dictámenes  periciales  rendidos  mediante</w:t>
        <w:br/>
        <w:t xml:space="preserve">      affidávit y durante la audiencia  pública  sólo  en  aquello  que  se</w:t>
        <w:br/>
        <w:t xml:space="preserve">      ajuste al objeto que fue definido por el Presidente del  Tribunal  en</w:t>
        <w:br/>
        <w:t xml:space="preserve">      la Resolución mediante la cual ordenó  recibirlos  (supra  párr.  7).</w:t>
        <w:br/>
        <w:t xml:space="preserve">      Éstos serán valorados en conjunto con los demás elementos del  acervo</w:t>
        <w:br/>
        <w:t xml:space="preserve">      probatorio. Asimismo, conforme a la jurisprudencia de este  Tribunal,</w:t>
        <w:br/>
        <w:t xml:space="preserve">      las declaraciones rendidas por las presuntas víctimas no  pueden  ser</w:t>
        <w:br/>
        <w:t xml:space="preserve">      valoradas aisladamente sino dentro del conjunto de  las  pruebas  del</w:t>
        <w:br/>
        <w:t xml:space="preserve">      proceso, ya que son útiles en la medida en  que  pueden  proporcionar</w:t>
        <w:br/>
        <w:t xml:space="preserve">      mayor   información   sobre   las   presuntas   violaciones   y   sus</w:t>
        <w:br/>
        <w:t xml:space="preserve">      consecuencias[25].</w:t>
        <w:br/>
        <w:br/>
        <w:br/>
        <w:t xml:space="preserve">                                     VII</w:t>
        <w:br/>
        <w:t xml:space="preserve">                           CONSIDERACIONES PREVIAS</w:t>
        <w:br/>
        <w:br/>
        <w:br/>
        <w:t>A.    Determinación de las presuntas víctimas</w:t>
        <w:br/>
        <w:br/>
        <w:t xml:space="preserve">  44. Durante la audiencia pública  la  Corte  hizo  notar  a  la  Comisión</w:t>
        <w:br/>
        <w:t xml:space="preserve">      Interamericana y a los representantes que  sus  listas  de  presuntas</w:t>
        <w:br/>
        <w:t xml:space="preserve">      víctimas supuestamente ejecutadas en las masacres de Xococ,  Pacoxom,</w:t>
        <w:br/>
        <w:t xml:space="preserve">      Los Encuentros y Agua Fría (infra párrs.  70  a  81)  son  diferentes</w:t>
        <w:br/>
        <w:t xml:space="preserve">      entre sí. Particularmente, las listas de la Comisión incluyen  a  más</w:t>
        <w:br/>
        <w:t xml:space="preserve">      personas que las listas de los representantes. Asimismo,  durante  la</w:t>
        <w:br/>
        <w:t xml:space="preserve">      audiencia pública, el Tribunal  también  mencionó  que  la   Comisión</w:t>
        <w:br/>
        <w:t xml:space="preserve">      presentó una lista de 17 personas, que  para  1982  eran  menores  de</w:t>
        <w:br/>
        <w:t xml:space="preserve">      edad, que presuntamente fueron sometidas a esclavitud. Estas personas</w:t>
        <w:br/>
        <w:t xml:space="preserve">      fueron reconocidas como víctimas por  el  Estado  en  el  escrito  de</w:t>
        <w:br/>
        <w:t xml:space="preserve">      contestación. En la lista presentada por  la  Comisión  se  encuentra</w:t>
        <w:br/>
        <w:t xml:space="preserve">      referido el nombre de Juan Burrero,  sin  embargo,  esta  persona  no</w:t>
        <w:br/>
        <w:t xml:space="preserve">      figura  en  la  lista  remitida  por  los  representantes  de   niños</w:t>
        <w:br/>
        <w:t xml:space="preserve">      supuestamente sometidos a esclavitud. La Comisión no presentó  prueba</w:t>
        <w:br/>
        <w:t xml:space="preserve">      sobre la identidad o posible existencia de  Juan  Burrero.  Al  mismo</w:t>
        <w:br/>
        <w:t xml:space="preserve">      tiempo, la lista de los representantes relativa a los menores de edad</w:t>
        <w:br/>
        <w:t xml:space="preserve">      que supuestamente fueron sometidos a actos de esclavitud contiene dos</w:t>
        <w:br/>
        <w:t xml:space="preserve">      nombres, los de Juan Osorio Alvarado y de Bernarda Lajuj Osorio,  que</w:t>
        <w:br/>
        <w:t xml:space="preserve">      no aparecen en la lista respectiva de  la  Comisión  y  que,  por  lo</w:t>
        <w:br/>
        <w:t xml:space="preserve">      tanto,  no  fueron  reconocidos  como  víctimas  por  el  Estado.  Al</w:t>
        <w:br/>
        <w:t xml:space="preserve">      respecto, la Corte solicitó a la Comisión y a los representantes  que</w:t>
        <w:br/>
        <w:t xml:space="preserve">      aclararan estas situaciones y que, en su caso, presentaran la  prueba</w:t>
        <w:br/>
        <w:t xml:space="preserve">      correspondiente  que  permitiera  verificar  la  identidad   de   las</w:t>
        <w:br/>
        <w:t xml:space="preserve">      presuntas víctimas al presentar sus observaciones y alegatos  finales</w:t>
        <w:br/>
        <w:t xml:space="preserve">      escritos, respectivamente.</w:t>
        <w:br/>
        <w:br/>
        <w:t xml:space="preserve">  45. Posteriormente a la celebración de la audiencia pública, como  ya  se</w:t>
        <w:br/>
        <w:t xml:space="preserve">      mencionó en esta Sentencia (supra párrs. 8 y  10),  a  solicitud  del</w:t>
        <w:br/>
        <w:t xml:space="preserve">      Presidente  del  Tribunal   la   Comisión   Interamericana   presentó</w:t>
        <w:br/>
        <w:t xml:space="preserve">      nuevamente la lista de  presuntas  víctimas  organizada  por  núcleos</w:t>
        <w:br/>
        <w:t xml:space="preserve">      familiares. Al respecto, en sus alegatos finales escritos, el  Estado</w:t>
        <w:br/>
        <w:t xml:space="preserve">      hizo referencia a una serie de  presuntas  inconsistencias  entre  la</w:t>
        <w:br/>
        <w:t xml:space="preserve">      lista de 22 de febrero de 2011  y  la  lista  de  presuntas  víctimas</w:t>
        <w:br/>
        <w:t xml:space="preserve">      ordenadas por núcleo familiar. En términos generales, el Estado alegó</w:t>
        <w:br/>
        <w:t xml:space="preserve">      que el número total  de  presuntas  víctimas  no  coincide  en  ambas</w:t>
        <w:br/>
        <w:t xml:space="preserve">      listas; que  tampoco  coinciden  los  nombres  de  algunas  presuntas</w:t>
        <w:br/>
        <w:t xml:space="preserve">      víctimas; que algunas de ellas están  identificadas  como  ejecutadas</w:t>
        <w:br/>
        <w:t xml:space="preserve">      pero, al mismo tiempo, como  sobrevivientes,  o  viceversa;  que  los</w:t>
        <w:br/>
        <w:t xml:space="preserve">      apellidos  de  algunas  presuntas  víctimas  no  coinciden  con   los</w:t>
        <w:br/>
        <w:t xml:space="preserve">      apellidos de sus supuestos familiares, o que no se indicó la relación</w:t>
        <w:br/>
        <w:t xml:space="preserve">      de parentesco, y que en diversos núcleos familiares aparecen personas</w:t>
        <w:br/>
        <w:t xml:space="preserve">      con los mismos nombres, sin indicar si se trata  de  homónimos  o  de</w:t>
        <w:br/>
        <w:t xml:space="preserve">      personas distintas, lo cual podría conllevar a una doble  reparación.</w:t>
        <w:br/>
        <w:br/>
        <w:br/>
        <w:br/>
        <w:t xml:space="preserve">  46. Asimismo,  en  sus  alegatos  finales  escritos,  los  representantes</w:t>
        <w:br/>
        <w:t xml:space="preserve">      realizaron una serie de correcciones a su lista de presuntas víctimas</w:t>
        <w:br/>
        <w:t xml:space="preserve">      presentada  mediante  el  escrito  de   solicitudes   y   argumentos.</w:t>
        <w:br/>
        <w:t xml:space="preserve">      Básicamente,  los  representantes  corrigieron  el  nombre  de   tres</w:t>
        <w:br/>
        <w:t xml:space="preserve">      presuntas víctimas, se desistieron  de  doce  presuntas  víctimas  en</w:t>
        <w:br/>
        <w:t xml:space="preserve">      virtud de que luego de los esfuerzos  realizados  para  comprobar  su</w:t>
        <w:br/>
        <w:t xml:space="preserve">      identidad “se determinó que no existe documento alguno o persona  que</w:t>
        <w:br/>
        <w:t xml:space="preserve">      pueda dar fe  y  acreditar  [su]  existencia”,  y  agregaron  a  tres</w:t>
        <w:br/>
        <w:t xml:space="preserve">      presuntas  víctimas  de  las   cuales   anteriormente   no   tuvieron</w:t>
        <w:br/>
        <w:t xml:space="preserve">      conocimiento. Los representantes también aclararon que “Juan Burrero”</w:t>
        <w:br/>
        <w:t xml:space="preserve">      es “Juan Osorio Alvarado”, y que en la comunidad se  le  conocía  más</w:t>
        <w:br/>
        <w:t xml:space="preserve">      por el primer nombre debido al apellido de su padre. Por lo tanto, se</w:t>
        <w:br/>
        <w:t xml:space="preserve">      trata de la misma persona. Asimismo, aclararon que la señora Bernarda</w:t>
        <w:br/>
        <w:t xml:space="preserve">      Lajuj  Osorio  es  “sobreviviente”  de  la  alegada  masacre  de  Los</w:t>
        <w:br/>
        <w:t xml:space="preserve">      Encuentros  cometida  el  14  de  mayo  de  1982  (infra  párr.  80).</w:t>
        <w:br/>
        <w:t xml:space="preserve">      Finalmente,  los  representantes  remitieron  un  listado  final   de</w:t>
        <w:br/>
        <w:t xml:space="preserve">      presuntas víctimas. Indicaron que la identificación de tales personas</w:t>
        <w:br/>
        <w:t xml:space="preserve">      se hizo a través de partidas de nacimiento y de defunción, y a través</w:t>
        <w:br/>
        <w:t xml:space="preserve">      de la declaración de familiares, conocidos o  personas  que  pudieran</w:t>
        <w:br/>
        <w:t xml:space="preserve">      dar certeza de su existencia, todo lo cual se ha hecho  ante  notario</w:t>
        <w:br/>
        <w:t xml:space="preserve">      público. Al respecto, el Estado solicitó a la Corte  que  dejara  sin</w:t>
        <w:br/>
        <w:t xml:space="preserve">      efectos el reconocimiento de responsabilidad  internacional  por  las</w:t>
        <w:br/>
        <w:t xml:space="preserve">      violaciones de los derechos establecidos en los artículos 6 y  17  de</w:t>
        <w:br/>
        <w:t xml:space="preserve">      la Convención Americana (supra párr. 17, inciso d) en contra de  “las</w:t>
        <w:br/>
        <w:t xml:space="preserve">      supuestas  víctimas  Juan  Burrero  y  lo  aplicable  a  Juan  Osorio</w:t>
        <w:br/>
        <w:t xml:space="preserve">      Alvarado”, en virtud de que éste último  no  era  menor  de  edad  al</w:t>
        <w:br/>
        <w:t xml:space="preserve">      momento de los hechos. Asimismo, el  Estado  manifestó  su  “profunda</w:t>
        <w:br/>
        <w:t xml:space="preserve">      preocupación por las múltiples inconsistencias en  la  identificación</w:t>
        <w:br/>
        <w:t xml:space="preserve">      de las presuntas víctimas, familiares y sobrevivientes  del  presente</w:t>
        <w:br/>
        <w:t xml:space="preserve">      caso”, por lo cual “resulta improcedente que, sin  contar  con  plena</w:t>
        <w:br/>
        <w:t xml:space="preserve">      certeza de los nombres consignados en las distintas listas aportadas,</w:t>
        <w:br/>
        <w:t xml:space="preserve">      se pretenda incluir nuevas presuntas víctimas”. En  ese  sentido,  el</w:t>
        <w:br/>
        <w:t xml:space="preserve">      Estado  “protest[ó]   los   efectos   de   todo   reconocimiento   de</w:t>
        <w:br/>
        <w:t xml:space="preserve">      responsabilidad en relación con las presuntas víctimas, familiares  y</w:t>
        <w:br/>
        <w:t xml:space="preserve">      sobrevivientes en los que [el Tribunal] determinare error o confusión</w:t>
        <w:br/>
        <w:t xml:space="preserve">      en su identificación”.</w:t>
        <w:br/>
        <w:br/>
        <w:t xml:space="preserve">  47. Por otro lado, tomando en cuenta la lista final de presuntas víctimas</w:t>
        <w:br/>
        <w:t xml:space="preserve">      de los representantes y sus correcciones, la  Corte  observa  que  el</w:t>
        <w:br/>
        <w:t xml:space="preserve">      número total  de  presuntas  víctimas  presentadas  por  la  Comisión</w:t>
        <w:br/>
        <w:t xml:space="preserve">      Interamericana a través del cuadro de núcleos familiares no  coincide</w:t>
        <w:br/>
        <w:t xml:space="preserve">      con el total de presuntas víctimas identificadas  e  individualizadas</w:t>
        <w:br/>
        <w:t xml:space="preserve">      por los representantes. No obstante, la  mayoría  de  tales  personas</w:t>
        <w:br/>
        <w:t xml:space="preserve">      concuerdan en ambas listas.</w:t>
        <w:br/>
        <w:br/>
        <w:t xml:space="preserve">  48. El Tribunal recuerda que, de conformidad con  el  artículo  35.2  del</w:t>
        <w:br/>
        <w:t xml:space="preserve">      Reglamento, “[c]uando se justificare que no fue  posible  identificar</w:t>
        <w:br/>
        <w:t xml:space="preserve">      [en el sometimiento del caso] a alguna o algunas  presuntas  víctimas</w:t>
        <w:br/>
        <w:t xml:space="preserve">      de los hechos […] por tratarse de  casos  de  violaciones  masivas  o</w:t>
        <w:br/>
        <w:t xml:space="preserve">      colectivas, el Tribunal decidirá en su oportunidad si  las  considera</w:t>
        <w:br/>
        <w:t xml:space="preserve">      víctimas”. De este modo, la Corte observa que en el sometimiento  del</w:t>
        <w:br/>
        <w:t xml:space="preserve">      caso, durante la audiencia pública y  en  sus  observaciones  finales</w:t>
        <w:br/>
        <w:t xml:space="preserve">      escritas, la Comisión Interamericana se refirió a la imposibilidad de</w:t>
        <w:br/>
        <w:t xml:space="preserve">      identificar a todas las presuntas víctimas del presente caso  ya  que</w:t>
        <w:br/>
        <w:t xml:space="preserve">      éste tiene una naturaleza excepcional debido a su gravedad  y  a  sus</w:t>
        <w:br/>
        <w:t xml:space="preserve">      dimensiones masivas, así como a “las características  específicas  de</w:t>
        <w:br/>
        <w:t xml:space="preserve">      este caso y además de  que  se  trata  de  un  pueblo  indígena”.  La</w:t>
        <w:br/>
        <w:t xml:space="preserve">      Comisión indicó que la falta de prueba respecto  a  la  existencia  e</w:t>
        <w:br/>
        <w:t xml:space="preserve">      identidad de las presuntas víctimas presentas por ella se debe, entre</w:t>
        <w:br/>
        <w:t xml:space="preserve">      otras, a que los hechos  del  caso  se  dieron  en  el  marco  de  un</w:t>
        <w:br/>
        <w:t xml:space="preserve">      conflicto armado; a “que familias enteras fueron desaparecidas y  […]</w:t>
        <w:br/>
        <w:t xml:space="preserve">      no hay nadie que  pueda  hablar  por  [ellas…]”;  a  la  migración  y</w:t>
        <w:br/>
        <w:t xml:space="preserve">      desplazamiento forzoso de testigos; al hecho de que la  comunidad  de</w:t>
        <w:br/>
        <w:t xml:space="preserve">      Río  Negro  estaba  conformada  por  cinco  clanes  familiares  cuyos</w:t>
        <w:br/>
        <w:t xml:space="preserve">      miembros compartían los mismos nombres y apellidos, así como al hecho</w:t>
        <w:br/>
        <w:t xml:space="preserve">      de “que la comunidad de Río Negro se encontraba a horas de camino  de</w:t>
        <w:br/>
        <w:t xml:space="preserve">      la  población  más  cercana  donde  se  podrían   haber   registrado”</w:t>
        <w:br/>
        <w:t xml:space="preserve">      nacimientos y muertes. La Comisión resaltó, además, que la  comunidad</w:t>
        <w:br/>
        <w:t xml:space="preserve">      de Río Negro tiene una tradición oral  y  memoria  colectiva  de  las</w:t>
        <w:br/>
        <w:t xml:space="preserve">      víctimas de las masacres pero que,  sin  embargo,  los  testigos  “no</w:t>
        <w:br/>
        <w:t xml:space="preserve">      necesariamente […] han declarado a nivel interno”, ya que  el  Estado</w:t>
        <w:br/>
        <w:t xml:space="preserve">      “no ha  brindado  las  garantías  judiciales  y  protección  judicial</w:t>
        <w:br/>
        <w:t xml:space="preserve">      suficientes en el presente caso”. Por todo lo anterior,  la  Comisión</w:t>
        <w:br/>
        <w:t xml:space="preserve">      solicitó la aplicación del artículo 35.2 del Reglamento  al  presente</w:t>
        <w:br/>
        <w:t xml:space="preserve">      caso y que la Corte diera “valor  pleno”  a  las  listas  de  nombres</w:t>
        <w:br/>
        <w:t xml:space="preserve">      aportadas por los representantes. La Comisión no  solicitó  lo  mismo</w:t>
        <w:br/>
        <w:t xml:space="preserve">      respecto a sus propias listas. Por su  parte,  durante  la  audiencia</w:t>
        <w:br/>
        <w:t xml:space="preserve">      pública  y  en  sus  alegatos  finales  escritos  los  representantes</w:t>
        <w:br/>
        <w:t xml:space="preserve">      presentaron argumentos similares a los de la Comisión  y  solicitaron</w:t>
        <w:br/>
        <w:t xml:space="preserve">      que la Corte determine la identidad de las víctimas “con base  en  la</w:t>
        <w:br/>
        <w:t xml:space="preserve">      sana crítica”. Durante la audiencia pública el Estado indicó que  “no</w:t>
        <w:br/>
        <w:t xml:space="preserve">      t[enía] ningún problema con tener una alguna amplitud  para  el  caso</w:t>
        <w:br/>
        <w:t xml:space="preserve">      [sic], siempre haciendo la  salvedad  [referida]  en  [su]  excepción</w:t>
        <w:br/>
        <w:t xml:space="preserve">      pre[liminar…] y [sus] cuestionamientos”.</w:t>
        <w:br/>
        <w:br/>
        <w:t xml:space="preserve">  49. Dadas  las  inconsistencias  entre  las  listas  presentadas  por  la</w:t>
        <w:br/>
        <w:t xml:space="preserve">      Comisión y  los  representantes,  durante  la  audiencia  pública  el</w:t>
        <w:br/>
        <w:t xml:space="preserve">      Tribunal señaló que antes de que  se  emitiera  la  Sentencia,  debía</w:t>
        <w:br/>
        <w:t xml:space="preserve">      tenerse el “mayor nivel de concordancia posible  en  cuanto  a  [las]</w:t>
        <w:br/>
        <w:t xml:space="preserve">      identificaciones y los elementos de sustentación de que esas personas</w:t>
        <w:br/>
        <w:t xml:space="preserve">      existieron”. La Corte precisó que ello no necesariamente debe hacerse</w:t>
        <w:br/>
        <w:t xml:space="preserve">      a través del certificado de nacimiento o de defunción, pero que puede</w:t>
        <w:br/>
        <w:t xml:space="preserve">      haber otros elementos o documentos que dentro del contexto pueden ser</w:t>
        <w:br/>
        <w:t xml:space="preserve">      razonables y aceptables, ya que la Corte sólo podría  incluir  en  la</w:t>
        <w:br/>
        <w:t xml:space="preserve">      lista de víctimas, para todos los efectos, a  aquéllas  personas  que</w:t>
        <w:br/>
        <w:t xml:space="preserve">      estuvieran razonablemente identificadas. El Tribunal también  expresó</w:t>
        <w:br/>
        <w:t xml:space="preserve">      que “la petición de contar con las listas no obedec[ía] a un criterio</w:t>
        <w:br/>
        <w:t xml:space="preserve">      formalista que alej[ara]  la  justicia”  sino  que,  precisamente  el</w:t>
        <w:br/>
        <w:t xml:space="preserve">      propósito  era  “poder  acercar  la  justicia  a  las  personas   que</w:t>
        <w:br/>
        <w:t xml:space="preserve">      eventualmente sean consideradas víctimas,  y  para  que  una  persona</w:t>
        <w:br/>
        <w:t xml:space="preserve">      pueda ser considerada víctima y se acoja a una reparación, tiene  que</w:t>
        <w:br/>
        <w:t xml:space="preserve">      estar identificada”. De esta manera, el propósito de la Corte “no  es</w:t>
        <w:br/>
        <w:t xml:space="preserve">      trabar con  formalismos  el  desarrollo  del  proceso  sino,  por  el</w:t>
        <w:br/>
        <w:t xml:space="preserve">      contrario, acercar la definición que se  dé  en  la  Sentencia  a  la</w:t>
        <w:br/>
        <w:t xml:space="preserve">      exigencia de justicia que con razón tienen  las  poblaciones  de  los</w:t>
        <w:br/>
        <w:t xml:space="preserve">      cinco lugares en donde se han producido [los]  hechos”  del  presente</w:t>
        <w:br/>
        <w:t xml:space="preserve">      caso. Al  respecto,  el  Tribunal  constató  que  los  representantes</w:t>
        <w:br/>
        <w:t xml:space="preserve">      presentaron prueba sobre la identidad de las personas  que  señalaron</w:t>
        <w:br/>
        <w:t xml:space="preserve">      como presuntas víctimas en este caso,  particularmente,  certificados</w:t>
        <w:br/>
        <w:t xml:space="preserve">      de  nacimiento  y  defunción,  y  declaraciones  rendidas  por  otras</w:t>
        <w:br/>
        <w:t xml:space="preserve">      personas ante fedatario público. En el expediente el Tribunal también</w:t>
        <w:br/>
        <w:t xml:space="preserve">      cuenta con declaraciones rendidas ante  autoridades  ministeriales  y</w:t>
        <w:br/>
        <w:t xml:space="preserve">      judiciales en los procesos penales internos en los cuales también  se</w:t>
        <w:br/>
        <w:t xml:space="preserve">      mencionan  los  nombres  de  presuntas  víctimas  indicadas  por  los</w:t>
        <w:br/>
        <w:t xml:space="preserve">      representantes. Dado que dichas pruebas no fueron  objetadas  por  el</w:t>
        <w:br/>
        <w:t xml:space="preserve">      Estado, para la Corte son suficientes para acreditar la existencia  e</w:t>
        <w:br/>
        <w:t xml:space="preserve">      identidad de las presuntas víctimas indicadas por los  representantes</w:t>
        <w:br/>
        <w:t xml:space="preserve">      las cuales, como ya  se  dijo,  coinciden  en  su  gran  mayoría  con</w:t>
        <w:br/>
        <w:t xml:space="preserve">      aquellas presentadas por la Comisión.</w:t>
        <w:br/>
        <w:br/>
        <w:t xml:space="preserve">  50.  Por  otro  lado,  el  Tribunal  observa  que,  posteriormente  a  la</w:t>
        <w:br/>
        <w:t xml:space="preserve">      presentación de sus alegatos finales escritos, el Estado se  desistió</w:t>
        <w:br/>
        <w:t xml:space="preserve">      del reconocimiento de responsabilidad internacional por la  violación</w:t>
        <w:br/>
        <w:t xml:space="preserve">      de los derechos reconocidos en los artículos 6 y 17 de la  Convención</w:t>
        <w:br/>
        <w:t xml:space="preserve">      Americana en perjuicio de “Juan Burrero”, dado que el nombre correcto</w:t>
        <w:br/>
        <w:t xml:space="preserve">      de dicha persona es “Juan Osorio Alvarado” quien, según el Estado, al</w:t>
        <w:br/>
        <w:t xml:space="preserve">      momento de los hechos, no era menor de  edad.  Sin  embargo,  por  un</w:t>
        <w:br/>
        <w:t xml:space="preserve">      lado, de la prueba que consta en el expediente surge que Juan  Osorio</w:t>
        <w:br/>
        <w:t xml:space="preserve">      Alvarado sí era menor de edad en ese momento y a la fecha en  que  el</w:t>
        <w:br/>
        <w:t xml:space="preserve">      Estado reconoció la competencia  contenciosa  del  Tribunal[26].  Por</w:t>
        <w:br/>
        <w:t xml:space="preserve">      otro lado,  el  Tribunal  observa  que  en  al  menos  tres  momentos</w:t>
        <w:br/>
        <w:t xml:space="preserve">      procesales, es  decir,  en  la  contestación  del  caso,  durante  la</w:t>
        <w:br/>
        <w:t xml:space="preserve">      audiencia pública y en  los  alegatos  finales  escritos,  el  Estado</w:t>
        <w:br/>
        <w:t xml:space="preserve">      reiteró su reconocimiento de responsabilidad por la violación de  los</w:t>
        <w:br/>
        <w:t xml:space="preserve">      derechos ya referidos en perjuicio de “Juan Burrero”.  Es  decir,  el</w:t>
        <w:br/>
        <w:t xml:space="preserve">      Estado pudo verificar la identidad y el nombre de Juan Burrero y, sin</w:t>
        <w:br/>
        <w:t xml:space="preserve">      embargo,  no  lo  objetó  sino  después  de  que  los  representantes</w:t>
        <w:br/>
        <w:t xml:space="preserve">      corrigieron el nombre de  dicha  persona,  indicando  que  su  nombre</w:t>
        <w:br/>
        <w:t xml:space="preserve">      correcto es Juan Osorio Alvarado. En ese sentido, dado que  se  trata</w:t>
        <w:br/>
        <w:t xml:space="preserve">      de la misma persona, no es procedente el alegato del Estado para  que</w:t>
        <w:br/>
        <w:t xml:space="preserve">      no se tenga a Juan Osorio Alvarado como presunta a víctima.</w:t>
        <w:br/>
        <w:br/>
        <w:t xml:space="preserve">  51. Finalmente,  con  base  en  lo  señalado  en  el  artículo  35.2  del</w:t>
        <w:br/>
        <w:t xml:space="preserve">      Reglamento del Tribunal, por tratarse de cinco masacres,  tomando  en</w:t>
        <w:br/>
        <w:t xml:space="preserve">      cuenta la magnitud del caso, la naturaleza de los hechos y el  tiempo</w:t>
        <w:br/>
        <w:t xml:space="preserve">      transcurrido,  el  Tribunal  estima  razonable   que   sea   complejo</w:t>
        <w:br/>
        <w:t xml:space="preserve">      identificar e individualizar a cada una de las presuntas víctimas. No</w:t>
        <w:br/>
        <w:t xml:space="preserve">      obstante, como ya se mencionó, en aras de poder resolver el  presente</w:t>
        <w:br/>
        <w:t xml:space="preserve">      caso es necesario que la Corte cuente con un mínimo de certeza  sobre</w:t>
        <w:br/>
        <w:t xml:space="preserve">      la  existencia  de  tales  personas.  Con  base  en  lo  anterior,  y</w:t>
        <w:br/>
        <w:t xml:space="preserve">      considerando que no  existe  oposición  del  Estado  para  que  otras</w:t>
        <w:br/>
        <w:t xml:space="preserve">      personas sean incluidas como presuntas  víctimas,  siempre  y  cuando</w:t>
        <w:br/>
        <w:t xml:space="preserve">      ello sea acorde con la excepción  preliminar  interpuesta,  y  no  se</w:t>
        <w:br/>
        <w:t xml:space="preserve">      “determinare error o confusión en su identificación”, en  atención  a</w:t>
        <w:br/>
        <w:t xml:space="preserve">      las particularidades del  presente  caso,  el  Tribunal  tendrá  como</w:t>
        <w:br/>
        <w:t xml:space="preserve">      presuntas   víctimas   a   aquellas    personas    identificadas    e</w:t>
        <w:br/>
        <w:t xml:space="preserve">      individualizadas por los  representantes  que  hayan  sufrido  alguna</w:t>
        <w:br/>
        <w:t xml:space="preserve">      violación de derechos humanos que se encuentre dentro del  ámbito  de</w:t>
        <w:br/>
        <w:t xml:space="preserve">      competencia temporal de la Corte  y  del  reconocimiento  parcial  de</w:t>
        <w:br/>
        <w:t xml:space="preserve">      responsabilidad del  Estado,  de  acuerdo  con  lo  resuelto  en  los</w:t>
        <w:br/>
        <w:t xml:space="preserve">      Capítulos IV y V de esta Sentencia, en  virtud  de  que  el  Tribunal</w:t>
        <w:br/>
        <w:t xml:space="preserve">      cuenta con la prueba necesaria para verificar la  identidad  de  cada</w:t>
        <w:br/>
        <w:t xml:space="preserve">      una de esas personas[27].</w:t>
        <w:br/>
        <w:br/>
        <w:br/>
        <w:t>B.    Otros hechos y violaciones de  derechos  humanos  alegadas  por  los</w:t>
        <w:br/>
        <w:t>representantes</w:t>
        <w:br/>
        <w:br/>
        <w:t xml:space="preserve">  52. Los representantes alegaron la supuesta desaparición  forzada  de  32</w:t>
        <w:br/>
        <w:t xml:space="preserve">      personas ocurrida con posterioridad a las cinco masacres  objeto  del</w:t>
        <w:br/>
        <w:t xml:space="preserve">      presente caso. Sin embargo, este Tribunal constata que la Comisión no</w:t>
        <w:br/>
        <w:t xml:space="preserve">      hizo mención de los hechos alegados  por  los  representantes  en  su</w:t>
        <w:br/>
        <w:t xml:space="preserve">      Informe de fondo (supra párrs. 1 a 3), por lo que constituyen  nuevos</w:t>
        <w:br/>
        <w:t xml:space="preserve">      hechos que no forman parte del marco fáctico del caso.  Al  respecto,</w:t>
        <w:br/>
        <w:t xml:space="preserve">      la Corte ha sostenido reiteradamente que  el  sometimiento  del  caso</w:t>
        <w:br/>
        <w:t xml:space="preserve">      constituye el marco fáctico del proceso ante la Corte, por lo que  no</w:t>
        <w:br/>
        <w:t xml:space="preserve">      es admisible alegar nuevos hechos  distintos  de  los  planteados  en</w:t>
        <w:br/>
        <w:t xml:space="preserve">      dicho escrito, sin perjuicio de exponer  aquellos  que  se  califican</w:t>
        <w:br/>
        <w:t xml:space="preserve">      como supervinientes o permitan explicar, aclarar o desestimar los que</w:t>
        <w:br/>
        <w:t xml:space="preserve">      han sido mencionados en el sometimiento,  o  bien,  responder  a  las</w:t>
        <w:br/>
        <w:t xml:space="preserve">      pretensiones del demandante[28]. En  consecuencia,  la  Corte  no  se</w:t>
        <w:br/>
        <w:t xml:space="preserve">      pronunciará sobre estos alegatos.</w:t>
        <w:br/>
        <w:br/>
        <w:t xml:space="preserve">  53. En  el  petitorio  del  escrito  de  solicitudes  y  argumentos,  los</w:t>
        <w:br/>
        <w:t xml:space="preserve">      representantes solicitaron a la Corte que declare la  responsabilidad</w:t>
        <w:br/>
        <w:t xml:space="preserve">      internacional del Estado por la  violación  del  artículo  18  de  la</w:t>
        <w:br/>
        <w:t xml:space="preserve">      Convención Americana, relativo al “derecho al nombre”.  No  obstante,</w:t>
        <w:br/>
        <w:t xml:space="preserve">      en dicho escrito los representantes  no  señalaron  los  alegatos  de</w:t>
        <w:br/>
        <w:t xml:space="preserve">      hecho y de derecho que fundamentarían dicha violación, ni  precisaron</w:t>
        <w:br/>
        <w:t xml:space="preserve">      quiénes serían las víctimas de dichas violaciones. Por lo  tanto,  la</w:t>
        <w:br/>
        <w:t xml:space="preserve">      Corte no se pronunciará sobre este punto.</w:t>
        <w:br/>
        <w:br/>
        <w:t xml:space="preserve">  54. Por otro lado, en los alegatos finales  escritos  los  representantes</w:t>
        <w:br/>
        <w:t xml:space="preserve">      invocaron, por primera vez, la violación de los artículos 8.1 y  25.1</w:t>
        <w:br/>
        <w:t xml:space="preserve">      de la Convención Americana, en relación con los artículos 1.1 y 2  de</w:t>
        <w:br/>
        <w:t xml:space="preserve">      la misma, con base en que los jueces internos no han hecho un control</w:t>
        <w:br/>
        <w:t xml:space="preserve">      de convencionalidad en las sentencias que se han  dictado  sobre  los</w:t>
        <w:br/>
        <w:t xml:space="preserve">      hechos del presente caso. La Corte observa que este  alegato  no  fue</w:t>
        <w:br/>
        <w:t xml:space="preserve">      formulado en el momento procesal oportuno, es decir, en el escrito de</w:t>
        <w:br/>
        <w:t xml:space="preserve">      solicitudes y  argumentos.  Al  ser  extemporáneo,  la  Corte  no  se</w:t>
        <w:br/>
        <w:t xml:space="preserve">      pronunciará al respecto.</w:t>
        <w:br/>
        <w:br/>
        <w:br/>
        <w:br/>
        <w:t xml:space="preserve">                                    VIII</w:t>
        <w:br/>
        <w:t xml:space="preserve">                                   HECHOS</w:t>
        <w:br/>
        <w:br/>
        <w:br/>
        <w:t xml:space="preserve">  55. De manera preliminar,  el  Tribunal  estima  necesario  aclarar  que,</w:t>
        <w:br/>
        <w:t xml:space="preserve">      conforme a su jurisprudencia, el principio de irretroactividad  y  la</w:t>
        <w:br/>
        <w:t xml:space="preserve">      cláusula facultativa de reconocimiento de la competencia  contenciosa</w:t>
        <w:br/>
        <w:t xml:space="preserve">      de esta Corte no implican que un acto ocurrido antes de la misma deba</w:t>
        <w:br/>
        <w:t xml:space="preserve">      ser excluido de toda consideración cuando pueda ser relevante para la</w:t>
        <w:br/>
        <w:t xml:space="preserve">      determinación de los hechos y las violaciones de derechos humanos que</w:t>
        <w:br/>
        <w:t xml:space="preserve">      están dentro de su competencia temporal. En este sentido,   la  Corte</w:t>
        <w:br/>
        <w:t xml:space="preserve">      observa  que  para  resolver  los  distintos  casos  sometidos  a  su</w:t>
        <w:br/>
        <w:t xml:space="preserve">      conocimiento ha requerido tomar en cuenta el contexto y otros  hechos</w:t>
        <w:br/>
        <w:t xml:space="preserve">      que se encuentran fuera de su competencia, pues el entorno político e</w:t>
        <w:br/>
        <w:t xml:space="preserve">      histórico  es   determinante   para   el   establecimiento   de   las</w:t>
        <w:br/>
        <w:t xml:space="preserve">      consecuencias jurídicas del caso, comprendiendo tanto  la  naturaleza</w:t>
        <w:br/>
        <w:t xml:space="preserve">      de  las  violaciones  a  la  Convención  como  las   correspondientes</w:t>
        <w:br/>
        <w:t xml:space="preserve">      reparaciones[29]. Por esta razón, el análisis de  los  hechos  y  las</w:t>
        <w:br/>
        <w:t xml:space="preserve">      violaciones de derechos humanos sobre los cuales tiene competencia la</w:t>
        <w:br/>
        <w:t xml:space="preserve">      Corte, en los términos de los resuelto en los Capítulos IV  y  V,  no</w:t>
        <w:br/>
        <w:t xml:space="preserve">      puede aislarse de la consideración de los antecedentes y el  contexto</w:t>
        <w:br/>
        <w:t xml:space="preserve">      en el que  dichos  hechos  supuestamente  ocurrieron,  ni  se  pueden</w:t>
        <w:br/>
        <w:t xml:space="preserve">      determinar las  consecuencias  jurídicas  respectivas   en  el  vacío</w:t>
        <w:br/>
        <w:t xml:space="preserve">      propio de la descontextualización, en tanto  que  se  alega  que  los</w:t>
        <w:br/>
        <w:t xml:space="preserve">      hechos  del  presente  caso  no  son  hechos  aislados  sucedidos  en</w:t>
        <w:br/>
        <w:t xml:space="preserve">      Guatemala. En el  presente  Capítulo  la  Corte  hará  referencia  al</w:t>
        <w:br/>
        <w:t xml:space="preserve">      contexto general así  como  a  los  hechos  concretos  de  las  cinco</w:t>
        <w:br/>
        <w:t xml:space="preserve">      masacres sometidas a  su  conocimiento.  Esto  no  significa  que  el</w:t>
        <w:br/>
        <w:t xml:space="preserve">      Tribunal   deba   derivar   de    ellos    consecuencias    jurídicas</w:t>
        <w:br/>
        <w:t xml:space="preserve">      particulares[30]. Aunado a lo anterior, la Corte  estima  conveniente</w:t>
        <w:br/>
        <w:t xml:space="preserve">      señalar que éste no es el primer caso contra Guatemala en el cual  se</w:t>
        <w:br/>
        <w:t xml:space="preserve">      alegan violaciones de derechos humanos sucedidas durante el conflicto</w:t>
        <w:br/>
        <w:t xml:space="preserve">      armado interno. Este Tribunal ya ha  tenido  numerosas  oportunidades</w:t>
        <w:br/>
        <w:t xml:space="preserve">      para pronunciarse sobre el contexto general de  dicho  conflicto[31].</w:t>
        <w:br/>
        <w:t xml:space="preserve">      Por lo tanto, por lo que se refiere a ese acápite, la Corte solamente</w:t>
        <w:br/>
        <w:t xml:space="preserve">      hará referencia a los hechos más relevantes para el presente caso.</w:t>
        <w:br/>
        <w:br/>
        <w:br/>
        <w:t xml:space="preserve">     A) Contexto general</w:t>
        <w:br/>
        <w:br/>
        <w:t xml:space="preserve">  56.  Tanto  la  Corte  Interamericana[32]  como  informes  de  organismos</w:t>
        <w:br/>
        <w:t xml:space="preserve">      internos de Guatemala[33] han establecido que entre los años  1962  y</w:t>
        <w:br/>
        <w:t xml:space="preserve">      1996 hubo un  conflicto  armado  interno  en  Guatemala  que  provocó</w:t>
        <w:br/>
        <w:t xml:space="preserve">      grandes costos humanos, materiales, institucionales y morales[34]. La</w:t>
        <w:br/>
        <w:t xml:space="preserve">      Comisión de Esclarecimiento Histórico (en adelante “CEH”) estimó  que</w:t>
        <w:br/>
        <w:t xml:space="preserve">      “el saldo  en  muertos  y  desaparecidos  del  enfrentamiento  armado</w:t>
        <w:br/>
        <w:t xml:space="preserve">      interno llegó a más  de  doscientas  mil  personas”[35],  y  que  las</w:t>
        <w:br/>
        <w:t xml:space="preserve">      fuerzas del Estado y grupos paramilitares fueron responsables del 93%</w:t>
        <w:br/>
        <w:t xml:space="preserve">      de las violaciones a los derechos humanos  cometidas,  incluyendo  el</w:t>
        <w:br/>
        <w:t xml:space="preserve">      92% de las desapariciones forzadas[36].</w:t>
        <w:br/>
        <w:br/>
        <w:t xml:space="preserve">  57. Durante dicho conflicto, el Estado aplicó lo que  denominó  “Doctrina</w:t>
        <w:br/>
        <w:t xml:space="preserve">      de  Seguridad  Nacional”,  acrecentando  la  intervención  del  poder</w:t>
        <w:br/>
        <w:t xml:space="preserve">      militar para enfrentar a la “subversión”,   concepto  que  incluía  a</w:t>
        <w:br/>
        <w:t xml:space="preserve">      toda persona u  organización  que  representara  cualquier  forma  de</w:t>
        <w:br/>
        <w:t xml:space="preserve">      oposición al Estado, con lo cual dicha noción se equiparaba a  la  de</w:t>
        <w:br/>
        <w:t xml:space="preserve">      “enemigo interno”[37].  La CEH concluyó que  en  aplicación  de  esta</w:t>
        <w:br/>
        <w:t xml:space="preserve">      Doctrina, el 91% de las violaciones registradas se produjo entre  los</w:t>
        <w:br/>
        <w:t xml:space="preserve">      años 1978 y 1983, bajo las dictaduras de los  generales  Romeo  Lucas</w:t>
        <w:br/>
        <w:t xml:space="preserve">      García (1978-1982) y José Efraín Ríos Montt (1982-1983)[38].  Durante</w:t>
        <w:br/>
        <w:t xml:space="preserve">      estos  años,  operativos  militares  consistentes  principalmente  en</w:t>
        <w:br/>
        <w:t xml:space="preserve">      matanzas de población, conocidas  como  masacres  u  “operaciones  de</w:t>
        <w:br/>
        <w:t xml:space="preserve">      tierra arrasada”[39], se concentraron en  las  regiones  del  Quiché,</w:t>
        <w:br/>
        <w:t xml:space="preserve">      Huehuetenango, Chimaltenango, Alta y Baja Verapaz,  la  costa  sur  y</w:t>
        <w:br/>
        <w:t xml:space="preserve">      Ciudad de Guatemala[40].  De  acuerdo  con  el  Informe  de  la  CEH,</w:t>
        <w:br/>
        <w:t xml:space="preserve">      alrededor de 626 masacres fueron ejecutadas mediante actos de extrema</w:t>
        <w:br/>
        <w:t xml:space="preserve">      crueldad destinados a eliminar a las personas o  grupos  de  personas</w:t>
        <w:br/>
        <w:t xml:space="preserve">      “definidos como enemigo”, y a “aterrorizar a la población”[41].</w:t>
        <w:br/>
        <w:br/>
        <w:t xml:space="preserve">  58. Con base en la referida Doctrina de Seguridad Nacional,  el  ejército</w:t>
        <w:br/>
        <w:t xml:space="preserve">      de Guatemala identificó a  los  miembros  del  pueblo  indígena  maya</w:t>
        <w:br/>
        <w:t xml:space="preserve">      dentro de la categoría de “enemigo interno”, por considerar que estos</w:t>
        <w:br/>
        <w:t xml:space="preserve">      constituían o podían constituir la base social de  la  guerrilla[42].</w:t>
        <w:br/>
        <w:t xml:space="preserve">      Según la CEH, el pueblo maya fue el grupo étnico más afectado por las</w:t>
        <w:br/>
        <w:t xml:space="preserve">      violaciones de derechos humanos cometidas durante  el  enfrentamiento</w:t>
        <w:br/>
        <w:t xml:space="preserve">      armado[43], sufriendo el desplazamiento forzado[44] y la  destrucción</w:t>
        <w:br/>
        <w:t xml:space="preserve">      de sus comunidades, viviendas, ganado, cosechas y otros elementos  de</w:t>
        <w:br/>
        <w:t xml:space="preserve">      supervivencia. En este  sentido,  “[l]a  destrucción  intencional  de</w:t>
        <w:br/>
        <w:t xml:space="preserve">      viviendas, instrumentos de labranza, cosechas,  animales  domésticos,</w:t>
        <w:br/>
        <w:t xml:space="preserve">      indudablemente acarreaba el frío, el  hambre  y  la  enfermedad.  Las</w:t>
        <w:br/>
        <w:t xml:space="preserve">      matanzas y la  destrucción  de  bienes  se  realizaban  simultánea  o</w:t>
        <w:br/>
        <w:t xml:space="preserve">      sucesivamente en contra de  las  mismas  comunidades,  ya  que  ambas</w:t>
        <w:br/>
        <w:t xml:space="preserve">      acciones formaban parte de un patrón común de actuación en contra del</w:t>
        <w:br/>
        <w:t xml:space="preserve">      grupo”. Es decir,  a  las  personas  que  habían  logrado  huir  para</w:t>
        <w:br/>
        <w:t xml:space="preserve">      salvarse  de  las  masacres  “no  debía  quedarles   nada   para   su</w:t>
        <w:br/>
        <w:t xml:space="preserve">      subsistencia. Había entonces dos opciones para las  comunidades:  una</w:t>
        <w:br/>
        <w:t xml:space="preserve">      muerte rápida, por machete o bala, y una muy  posible  muerte  lenta,</w:t>
        <w:br/>
        <w:t xml:space="preserve">      por hambre o por enfermedades”[45].</w:t>
        <w:br/>
        <w:br/>
        <w:t xml:space="preserve">  59. Igualmente, este Tribunal ha establecido  que  durante  el  conflicto</w:t>
        <w:br/>
        <w:t xml:space="preserve">      armado las mujeres fueron particularmente seleccionadas como víctimas</w:t>
        <w:br/>
        <w:t xml:space="preserve">      de violencia sexual. Así, durante y de modo previo a las  mencionadas</w:t>
        <w:br/>
        <w:t xml:space="preserve">      masacres u “operaciones de tierra arrasada”, miembros de las  fuerzas</w:t>
        <w:br/>
        <w:t xml:space="preserve">      de seguridad del Estado perpetraron violaciones  sexuales  masivas  o</w:t>
        <w:br/>
        <w:t xml:space="preserve">      indiscriminadas y públicas, acompañadas en ocasiones de la muerte  de</w:t>
        <w:br/>
        <w:t xml:space="preserve">      mujeres embarazadas y de  la  inducción  de  abortos.  Esta  práctica</w:t>
        <w:br/>
        <w:t xml:space="preserve">      estaba dirigida a destruir la dignidad de la mujer a nivel  cultural,</w:t>
        <w:br/>
        <w:t xml:space="preserve">      social, familiar e individual[46]. Además, cabe señalar que según  la</w:t>
        <w:br/>
        <w:t xml:space="preserve">      CEH, cuando eran perpetradas en contra  de  comunidades  mayas,  “las</w:t>
        <w:br/>
        <w:t xml:space="preserve">      violaciones masivas tenían un efecto simbólico, ya  que  las  mujeres</w:t>
        <w:br/>
        <w:t xml:space="preserve">      mayas tienen a  su  cargo  la  reproducción  social  del  grupo[…  y]</w:t>
        <w:br/>
        <w:t xml:space="preserve">      personifican  los  valores  que  deben   ser   reproducidos   en   la</w:t>
        <w:br/>
        <w:t xml:space="preserve">      comunidad”[47].</w:t>
        <w:br/>
        <w:br/>
        <w:t xml:space="preserve">  60. Asimismo, los niños de las comunidades indígenas estuvieron expuestos</w:t>
        <w:br/>
        <w:t xml:space="preserve">      a una multiplicidad de violaciones a  sus  derechos  humanos,  siendo</w:t>
        <w:br/>
        <w:t xml:space="preserve">      víctimas   directas   de   desapariciones    forzadas,    ejecuciones</w:t>
        <w:br/>
        <w:t xml:space="preserve">      arbitrarias,  torturas,  secuestros,  violaciones  sexuales  y  otros</w:t>
        <w:br/>
        <w:t xml:space="preserve">      hechos violatorios a  sus  derechos  fundamentales.  Las  amenazas  y</w:t>
        <w:br/>
        <w:t xml:space="preserve">      torturas en contra de los niños fueron utilizadas, además,  como  una</w:t>
        <w:br/>
        <w:t xml:space="preserve">      forma de torturar a sus familias[48]. Igualmente, durante esta  época</w:t>
        <w:br/>
        <w:t xml:space="preserve">      existió un  patrón  de  separación  de  niños  de  sus  familias  con</w:t>
        <w:br/>
        <w:t xml:space="preserve">      posterioridad a las masacres, y de sustracción y retención ilegal  de</w:t>
        <w:br/>
        <w:t xml:space="preserve">      los mismos, todo ello perpetrado por las fuerzas militares  y  grupos</w:t>
        <w:br/>
        <w:t xml:space="preserve">      armados ilegales. Dicha práctica implicó, en muchos casos, que se les</w:t>
        <w:br/>
        <w:t xml:space="preserve">      cambiara el nombre y se les negara la identidad a los  niños.[49]  La</w:t>
        <w:br/>
        <w:t xml:space="preserve">      separación de niños de sus familias condujo, en algunos casos,  a  la</w:t>
        <w:br/>
        <w:t xml:space="preserve">      adopción ilegal o a la venta de aquéllos, a  quienes  también  fueron</w:t>
        <w:br/>
        <w:t xml:space="preserve">      negados el derecho a conocer su cultura[50]. El  informe  de  la  CEH</w:t>
        <w:br/>
        <w:t xml:space="preserve">      también señala que “[d]espués de  [las]  masacres  u  operaciones  de</w:t>
        <w:br/>
        <w:t xml:space="preserve">      tierra arrasada, muchos niños que ya podían  valerse  por  sí  mismos</w:t>
        <w:br/>
        <w:t xml:space="preserve">      fueron  llevados  por  los  militares,   comisionados   militares   o</w:t>
        <w:br/>
        <w:t xml:space="preserve">      patrulleros para ser sometidos a condición servil en sus casas  o  en</w:t>
        <w:br/>
        <w:t xml:space="preserve">      las de otras familias. Algunos de estos niños se vieron  sometidos  a</w:t>
        <w:br/>
        <w:t xml:space="preserve">      situaciones de explotación y abuso sistemático”[51]. La CEH determinó</w:t>
        <w:br/>
        <w:t xml:space="preserve">      que “los niños debían realizar trabajos domésticos o diversas  tareas</w:t>
        <w:br/>
        <w:t xml:space="preserve">      que les encargaban en las casas donde se encontraban. Sufrieron  todo</w:t>
        <w:br/>
        <w:t xml:space="preserve">      tipo  de  maltrato  físico  y  psicológico.  Estos  niños  sufrieron,</w:t>
        <w:br/>
        <w:t xml:space="preserve">      conjuntamente  con  la  violación  de  su  derecho  a   la   libertad</w:t>
        <w:br/>
        <w:t xml:space="preserve">      individual, la vulneración de todos sus derechos  humanos,  pues  por</w:t>
        <w:br/>
        <w:t xml:space="preserve">      las condiciones de servidumbre a la que fueron sometidos  también  se</w:t>
        <w:br/>
        <w:t xml:space="preserve">      afectaron su integridad física y psicológica, se les mantuvo  en  una</w:t>
        <w:br/>
        <w:t xml:space="preserve">      situación de explotación económica, abuso  y  permanente  miedo”[52].</w:t>
        <w:br/>
        <w:t xml:space="preserve">      Asimismo,  el  Informe  Guatemala  Nunca  Más  del  Proyecto  de   la</w:t>
        <w:br/>
        <w:t xml:space="preserve">      Recuperación de la  Memoria  Histórica  de  la  Oficina  de  Derechos</w:t>
        <w:br/>
        <w:t xml:space="preserve">      Humanos del Arzobispado de Guatemala (en  adelante  “Informe  REMHI”)</w:t>
        <w:br/>
        <w:t xml:space="preserve">      indica que “[a]parecen algunos casos de niños que fueron separados de</w:t>
        <w:br/>
        <w:t xml:space="preserve">      sus  familias  o  comunidades,  secuestrados  y  adoptados  de  forma</w:t>
        <w:br/>
        <w:t xml:space="preserve">      fraudulenta por algunos de los  victimarios  de  sus  familias.  Esta</w:t>
        <w:br/>
        <w:t xml:space="preserve">      práctica  les  ha  condenado  a  vivir  con  los  asesinos   de   sus</w:t>
        <w:br/>
        <w:t xml:space="preserve">      familiares”[53]. Este informe cita declaraciones del  General  Héctor</w:t>
        <w:br/>
        <w:t xml:space="preserve">      Gramajo publicado en el periódico guatemalteco “Prensa Libre”  del  6</w:t>
        <w:br/>
        <w:t xml:space="preserve">      de abril de 1989, según  las  cuales  “en  determinados  momentos  se</w:t>
        <w:br/>
        <w:t xml:space="preserve">      volvió moda en las filas del Ejército hacerse cargo de pequeños de  3</w:t>
        <w:br/>
        <w:t xml:space="preserve">      o 4 años […]”[54].</w:t>
        <w:br/>
        <w:br/>
        <w:t xml:space="preserve">  61. Todos estos hechos, además, tuvieron  y  todavía  tienen  importantes</w:t>
        <w:br/>
        <w:t xml:space="preserve">      efectos culturales en los pueblos mayas. Las violaciones de  derechos</w:t>
        <w:br/>
        <w:t xml:space="preserve">      humanos sucedidas durante el conflicto armado  interno  en  Guatemala</w:t>
        <w:br/>
        <w:t xml:space="preserve">      también significó la pérdida de los valores y prácticas culturales  y</w:t>
        <w:br/>
        <w:t xml:space="preserve">      religiosas de los  pueblos  mayas,  así  como  de  sus  instituciones</w:t>
        <w:br/>
        <w:t xml:space="preserve">      sociales, económicas y políticas[55]. Particularmente entre los  años</w:t>
        <w:br/>
        <w:t xml:space="preserve">      1980 y 1983, las desapariciones forzadas, el uso de la tortura y  las</w:t>
        <w:br/>
        <w:t xml:space="preserve">      ejecuciones arbitrarias[56], entre otros, afectaron  las  estructuras</w:t>
        <w:br/>
        <w:t xml:space="preserve">      de autoridad y  liderazgo  indígena,  destruyendo  el  tejido  y  las</w:t>
        <w:br/>
        <w:t xml:space="preserve">      relaciones sociales tradicionales  al  interior  de  las  comunidades</w:t>
        <w:br/>
        <w:t xml:space="preserve">      mayas[57]. De acuerdo a la perita Rosalina Tuyuc, uno de los  efectos</w:t>
        <w:br/>
        <w:t xml:space="preserve">      más representativos es “la falta de seguimiento para poder  practicar</w:t>
        <w:br/>
        <w:t xml:space="preserve">      sobre  todo  los  consejos,  pero   también   todo   el   significado</w:t>
        <w:br/>
        <w:t xml:space="preserve">      principalmente del calendario maya, el significado de los  ciclos  de</w:t>
        <w:br/>
        <w:t xml:space="preserve">      la siembra, de las cosechas, como también el  papel  que  tienen  las</w:t>
        <w:br/>
        <w:t xml:space="preserve">      mujeres y los hombres con relación a [la] cultura [maya]”. De acuerdo</w:t>
        <w:br/>
        <w:t xml:space="preserve">      a la perita, durante muchos años no fue posible hablar de ello ya que</w:t>
        <w:br/>
        <w:t xml:space="preserve">      los ancianos, como autoridades ancestrales, fueron  de  los  primeros</w:t>
        <w:br/>
        <w:t xml:space="preserve">      blancos de la persecución. La perita Tuyuc explicó  que  “la  columna</w:t>
        <w:br/>
        <w:t xml:space="preserve">      vertebral de la cultura de los  pueblos  mayas  se  deposita  en  los</w:t>
        <w:br/>
        <w:t xml:space="preserve">      ancianos, pero también en el papel de los  padres  de  familia”,  por</w:t>
        <w:br/>
        <w:t xml:space="preserve">      ello, la muerte de los ancianos “significó una pérdida enorme para la</w:t>
        <w:br/>
        <w:t xml:space="preserve">      identidad”. Los efectos para la vida cultural de  los  pueblos  mayas</w:t>
        <w:br/>
        <w:t xml:space="preserve">      serán irreparables “porque no habrá posibilidad de recuperar [tantos]</w:t>
        <w:br/>
        <w:t xml:space="preserve">      años perdidos para conocer la cosmovisión maya”[58]. Al respecto,  el</w:t>
        <w:br/>
        <w:t xml:space="preserve">      Informe de la CEH indica que con la desaparición de las personas  “se</w:t>
        <w:br/>
        <w:t xml:space="preserve">      perdió  también  el  conocimiento  técnico-moderno   y   tradicional-</w:t>
        <w:br/>
        <w:t xml:space="preserve">      acumulado a lo largo de años, así como la posibilidad de transmitirlo</w:t>
        <w:br/>
        <w:t xml:space="preserve">      con naturalidad a  las  nuevas  generaciones,  [con  lo  cual]  puede</w:t>
        <w:br/>
        <w:t xml:space="preserve">      comenzar a dimensionarse la magnitud del impacto a largo plazo”[59].</w:t>
        <w:br/>
        <w:br/>
        <w:t xml:space="preserve">  62. El Informe de la CEH también da  cuenta  de  que  “las  familias  que</w:t>
        <w:br/>
        <w:t xml:space="preserve">      sufrieron las acciones de  la  política  de  tierra  arrasada  y  que</w:t>
        <w:br/>
        <w:t xml:space="preserve">      tuvieron que desplazarse, al  empobrecimiento  inmediato  habrían  de</w:t>
        <w:br/>
        <w:t xml:space="preserve">      sumar las grandes dificultades de recuperación debido  a  la  pérdida</w:t>
        <w:br/>
        <w:t xml:space="preserve">      completa del patrimonio, a veces acumulado  a  lo  largo  de  años  e</w:t>
        <w:br/>
        <w:t xml:space="preserve">      incluso de generaciones”.  En  ese  sentido,  las  personas  muertas,</w:t>
        <w:br/>
        <w:t xml:space="preserve">      desaparecidas o  desplazadas  durante  el  enfrentamiento  armado  en</w:t>
        <w:br/>
        <w:t xml:space="preserve">      muchos casos eran “un importante sostén, si no  el  único,  para  sus</w:t>
        <w:br/>
        <w:t xml:space="preserve">      familias. Su pérdida implicó entonces el empobrecimiento inmediato de</w:t>
        <w:br/>
        <w:t xml:space="preserve">      la familia”[60].</w:t>
        <w:br/>
        <w:br/>
        <w:t xml:space="preserve">  63. En razón de todo lo expuesto, la Corte constata que las  masacres  de</w:t>
        <w:br/>
        <w:t xml:space="preserve">      la comunidad de Río Negro se enmarcaron en un contexto sistemático de</w:t>
        <w:br/>
        <w:t xml:space="preserve">      violaciones graves y masivas de los derechos  humanos  en  Guatemala.</w:t>
        <w:br/>
        <w:t xml:space="preserve">      Según la CEH, “[e]n general,  de  las  violaciones  de  los  derechos</w:t>
        <w:br/>
        <w:t xml:space="preserve">      humanos y de las infracciones al  Derecho  Internacional  Humanitario</w:t>
        <w:br/>
        <w:t xml:space="preserve">      cometid[as,] se deriva una ineludible responsabilidad del  Estado  de</w:t>
        <w:br/>
        <w:t xml:space="preserve">      Guatemala”[61].</w:t>
        <w:br/>
        <w:br/>
        <w:t xml:space="preserve">  64. Posteriormente, en el año  1990  se  inició  un  proceso  de  paz  en</w:t>
        <w:br/>
        <w:t xml:space="preserve">      Guatemala que culminó en 1996. Dentro de este período fueron firmados</w:t>
        <w:br/>
        <w:t xml:space="preserve">      doce acuerdos,  entre  ellos,  uno  para  el  establecimiento  de  la</w:t>
        <w:br/>
        <w:t xml:space="preserve">      Comisión para el Esclarecimiento Histórico, la cual inició  su  labor</w:t>
        <w:br/>
        <w:t xml:space="preserve">      en el año 1997[62]. Dicha Comisión  conoció  de  numerosas  masacres,</w:t>
        <w:br/>
        <w:t xml:space="preserve">      incluidas las del Municipio de Rabinal, Departamento de Baja Verapaz,</w:t>
        <w:br/>
        <w:t xml:space="preserve">      Guatemala[63], lugar  en  el  cual  tuvieron  lugar  los  hechos  del</w:t>
        <w:br/>
        <w:t xml:space="preserve">      presente caso.</w:t>
        <w:br/>
        <w:br/>
        <w:br/>
        <w:t>B)    Antecedentes de las masacres de la comunidad de Río Negro</w:t>
        <w:br/>
        <w:br/>
        <w:t xml:space="preserve">  65. La cuenca del Río Chixoy o Río Negro ha sido habitada por comunidades</w:t>
        <w:br/>
        <w:t xml:space="preserve">      mayas desde el período preclásico maya, y el pueblo Achí se asentó en</w:t>
        <w:br/>
        <w:t xml:space="preserve">      dicho lugar en los primeros años del siglo XIX[64]. Durante la década</w:t>
        <w:br/>
        <w:t xml:space="preserve">      de los setenta del siglo XX d. C., la  comunidad  maya  Achí  de  Río</w:t>
        <w:br/>
        <w:t xml:space="preserve">      Negro, asentada a las orillas del mismo en el municipio  de  Rabinal,</w:t>
        <w:br/>
        <w:t xml:space="preserve">      contaba con una población de aproximadamente 800 personas organizadas</w:t>
        <w:br/>
        <w:t xml:space="preserve">      de forma comunal, que transmitía su  cosmovisión[65]  e  historia  de</w:t>
        <w:br/>
        <w:t xml:space="preserve">      generación en generación mediante una tradición oral y escrita. Vivía</w:t>
        <w:br/>
        <w:t xml:space="preserve">      de la agricultura, la pesca y el  intercambio  de  productos  con  la</w:t>
        <w:br/>
        <w:t xml:space="preserve">      comunidad vecina de Xococ, entre otras[66].</w:t>
        <w:br/>
        <w:br/>
        <w:t xml:space="preserve">  66. En el año 1975 el Instituto Nacional  de  Electrificación  (INDE)  de</w:t>
        <w:br/>
        <w:t xml:space="preserve">      Guatemala  presentó  el  proyecto  de  construcción  de  la   represa</w:t>
        <w:br/>
        <w:t xml:space="preserve">      hidroeléctrica “Pueblo Viejo-Quixal” en la cuenca del Río Chixoy[67].</w:t>
        <w:br/>
        <w:t xml:space="preserve">      Según la CEH, "[e]l  plan  contempló  la  inundación  de  más  de  50</w:t>
        <w:br/>
        <w:t xml:space="preserve">      kilómetros a lo largo del río y algunos afluentes, lo cual  afectaría</w:t>
        <w:br/>
        <w:t xml:space="preserve">      a  cerca  de  3445  personas  […]",  quienes  debían  desplazarse   y</w:t>
        <w:br/>
        <w:t xml:space="preserve">      reasentarse en otro lugar. En el año  1977  comenzaron  los  trabajos</w:t>
        <w:br/>
        <w:t xml:space="preserve">      sobre la desviación del río, muro y el túnel[68], y en junio de  1978</w:t>
        <w:br/>
        <w:t xml:space="preserve">      el gobierno declaró el área en emergencia nacional[69], por lo que el</w:t>
        <w:br/>
        <w:t xml:space="preserve">      “INDE se comprometió a buscar y a entregar a los desplazados  iguales</w:t>
        <w:br/>
        <w:t xml:space="preserve">      o mejores tierras que las que iban  a  ser  inundadas”.  Sin  embargo</w:t>
        <w:br/>
        <w:t xml:space="preserve">      “[l]as autoridades pretendieron asentar a los pobladores de Río Negro</w:t>
        <w:br/>
        <w:t xml:space="preserve">      en Pacux, un lugar árido, y en casas que rompían su esquema  cultural</w:t>
        <w:br/>
        <w:t xml:space="preserve">      de vida”[70]. Como consecuencia, la comunidad rechazó las  propuestas</w:t>
        <w:br/>
        <w:t xml:space="preserve">      del Estado y se resistió a  dejar  sus  tierras.  Por  su  parte,  el</w:t>
        <w:br/>
        <w:t xml:space="preserve">      ejército guatemalteco declaró que el rechazo de la comunidad se debió</w:t>
        <w:br/>
        <w:t xml:space="preserve">      a influencias subversivas[71]. Para el mes  de  enero  de  1983  “las</w:t>
        <w:br/>
        <w:t xml:space="preserve">      compuertas de la represa se c[erraron]  y  com[enzó]  a  llenarse  el</w:t>
        <w:br/>
        <w:t xml:space="preserve">      embalse”[72]. Como consecuencia, la mayor parte  del  territorio  que</w:t>
        <w:br/>
        <w:t xml:space="preserve">      ocupaba la comunidad de Río Negro quedó inundada. Otro de los lugares</w:t>
        <w:br/>
        <w:t xml:space="preserve">      inundados fue Los Encuentros, sitio arqueológico y lugar sagrado para</w:t>
        <w:br/>
        <w:t xml:space="preserve">      los mayas de la zona[73].</w:t>
        <w:br/>
        <w:br/>
        <w:t xml:space="preserve">  67. A continuación el Tribunal hará referencia a las masacres alegadas en</w:t>
        <w:br/>
        <w:t xml:space="preserve">      el presente caso. De acuerdo a la CEH, “las matanzas que  revistieron</w:t>
        <w:br/>
        <w:t xml:space="preserve">      la forma de masacres fueron acompañadas de la destrucción y quema  de</w:t>
        <w:br/>
        <w:t xml:space="preserve">      bienes. En el norte de Rabinal, la  región  próxima  al  embalse  del</w:t>
        <w:br/>
        <w:t xml:space="preserve">      Chixoy fue completamente arrasada”. En esta  área  se  encontraba  la</w:t>
        <w:br/>
        <w:t xml:space="preserve">      comunidad de Río Negro, entre otras[74]. Asimismo, la CEH se  refirió</w:t>
        <w:br/>
        <w:t xml:space="preserve">      a las masacres de Río Negro, Los Encuentros y Agua Fría, a las que el</w:t>
        <w:br/>
        <w:t xml:space="preserve">      Tribunal se referirá a continuación, como tres de las cuatro masacres</w:t>
        <w:br/>
        <w:t xml:space="preserve">      en las cuales “los patrulleros actuaron […] con  mayores  índices  de</w:t>
        <w:br/>
        <w:t xml:space="preserve">      crueldad”[75].</w:t>
        <w:br/>
        <w:br/>
        <w:br/>
        <w:t>C)    Masacre de 4 de marzo de 1980 en la capilla de la comunidad  de  Río</w:t>
        <w:br/>
        <w:t>Negro y ejecuciones extrajudiciales del 8 de julio de 1980</w:t>
        <w:br/>
        <w:br/>
        <w:t xml:space="preserve">  68. El 4 de marzo de 1980 dos miembros del  ejército  guatemalteco  y  un</w:t>
        <w:br/>
        <w:t xml:space="preserve">      agente de la Policía Militar Ambulante (en adelante “PMA”) llegaron a</w:t>
        <w:br/>
        <w:t xml:space="preserve">      la aldea de Río Negro en búsqueda de algunas personas que acusaban de</w:t>
        <w:br/>
        <w:t xml:space="preserve">      haber robado víveres de los trabajadores del INDE que  construían  la</w:t>
        <w:br/>
        <w:t xml:space="preserve">      represa en el Río Chixoy[76]. Los miembros de  la  comunidad  de  Río</w:t>
        <w:br/>
        <w:t xml:space="preserve">      Negro se reunieron frente a la capilla de  la  aldea,  tras  lo  cual</w:t>
        <w:br/>
        <w:t xml:space="preserve">      surgió una discusión y aparentemente fue golpeado  el  agente  de  la</w:t>
        <w:br/>
        <w:t xml:space="preserve">      PMA[77]. La prueba que consta en el expediente discrepa en  cuanto  a</w:t>
        <w:br/>
        <w:t xml:space="preserve">      si fue dicho agente o sus compañeros quienes seguidamente  dispararon</w:t>
        <w:br/>
        <w:t xml:space="preserve">      en contra de las personas ahí reunidas, resultando en  la  muerte  de</w:t>
        <w:br/>
        <w:t xml:space="preserve">      seis de éstas[78], mientras que otra persona fue herida y  trasladada</w:t>
        <w:br/>
        <w:t xml:space="preserve">      al   hospital   de    Cobán,    Alta    Verapaz,    donde    falleció</w:t>
        <w:br/>
        <w:t xml:space="preserve">      posteriormente[79]. Las siete  personas  ejecutadas  eran  líderes  y</w:t>
        <w:br/>
        <w:t xml:space="preserve">      representantes de la comunidad[80].</w:t>
        <w:br/>
        <w:br/>
        <w:t xml:space="preserve">  69. Luego de esta masacre, Valeriano Osorio Chen y Evaristo  Osorio,  dos</w:t>
        <w:br/>
        <w:t xml:space="preserve">      líderes del comité de la comunidad de Río Negro que negociaba con  el</w:t>
        <w:br/>
        <w:t xml:space="preserve">      INDE el reasentamiento,  fueron  convocados  a  una  reunión  que  se</w:t>
        <w:br/>
        <w:t xml:space="preserve">      realizaría el 8 de julio de 1980 en las  oficinas  de  dicha  entidad</w:t>
        <w:br/>
        <w:t xml:space="preserve">      estatal en “Chinatzul, […] entre Santa Cruz y San Cristóbal Verapaz”,</w:t>
        <w:br/>
        <w:t xml:space="preserve">      con la instrucción de que llevaran consigo los libros  que  contenían</w:t>
        <w:br/>
        <w:t xml:space="preserve">      los acuerdos suscritos y compromisos adquiridos por la misma[81]. Los</w:t>
        <w:br/>
        <w:t xml:space="preserve">      dos líderes comunitarios partieron ese día con el propósito de acudir</w:t>
        <w:br/>
        <w:t xml:space="preserve">      a la reunión con el INDE, sin embargo, no regresaron de  esa  cita  y</w:t>
        <w:br/>
        <w:t xml:space="preserve">      sus cuerpos  desnudos  fueron  encontrados  varios  días  después  en</w:t>
        <w:br/>
        <w:t xml:space="preserve">      Purulha, Baja Verapaz, con heridas producidas por armas de fuego[82].</w:t>
        <w:br/>
        <w:br/>
        <w:br/>
        <w:br/>
        <w:br/>
        <w:t>D)    Masacre de 13 de febrero de 1982 en la Aldea de Xococ</w:t>
        <w:br/>
        <w:br/>
        <w:t xml:space="preserve">  70. A principios  de  febrero  de  1982,  un  grupo  de  hombres  armados</w:t>
        <w:br/>
        <w:t xml:space="preserve">      incendiaron el mercado de  la  aldea  de  Xococ  y  mataron  a  cinco</w:t>
        <w:br/>
        <w:t xml:space="preserve">      personas. El ejército guatemalteco identificó  estos  hechos  con  la</w:t>
        <w:br/>
        <w:t xml:space="preserve">      guerrilla y con la comunidad de Río Negro, por lo que la comunidad de</w:t>
        <w:br/>
        <w:t xml:space="preserve">      Xococ se declaró  enemiga  de  esta  última  y  rompió  los  vínculos</w:t>
        <w:br/>
        <w:t xml:space="preserve">      comerciales que tenía con la misma.  El  ejército  armó,  adiestró  y</w:t>
        <w:br/>
        <w:t xml:space="preserve">      organizó a los pobladores de Xococ en patrullas de autodefensa civil,</w:t>
        <w:br/>
        <w:t xml:space="preserve">      quienes se enfrentaron con la comunidad de Río Negro[83].</w:t>
        <w:br/>
        <w:br/>
        <w:t xml:space="preserve">  71. El 6 o 7 de febrero de 1982[84] los patrulleros de Xococ citaron a su</w:t>
        <w:br/>
        <w:t xml:space="preserve">      aldea a varios miembros de la comunidad de Río Negro  en  nombre  del</w:t>
        <w:br/>
        <w:t xml:space="preserve">      ejército guatemalteco. Al llegar a Xococ, las personas citadas fueron</w:t>
        <w:br/>
        <w:t xml:space="preserve">      objeto de castigos y recriminaciones por parte de los patrulleros  de</w:t>
        <w:br/>
        <w:t xml:space="preserve">      Xococ, quienes les acusaron de ser guerrilleros y de haber quemado el</w:t>
        <w:br/>
        <w:t xml:space="preserve">      mercado. Los patrulleros retuvieron las cédulas de identificación  de</w:t>
        <w:br/>
        <w:t xml:space="preserve">      las personas de Río Negro presentes y les ordenaron volver el  sábado</w:t>
        <w:br/>
        <w:t xml:space="preserve">      siguiente para recuperarlas[85].</w:t>
        <w:br/>
        <w:br/>
        <w:t xml:space="preserve">  72. El 13 de febrero de 1982 varios miembros de la comunidad de Río Negro</w:t>
        <w:br/>
        <w:t xml:space="preserve">      regresaron a Xococ a recoger sus cédulas[86]. Ahí los  esperaban  los</w:t>
        <w:br/>
        <w:t xml:space="preserve">      “[p]atrulleros de [a]utodefensa  [c]ivil  de  Xococ  [y]  militares”,</w:t>
        <w:br/>
        <w:t xml:space="preserve">      armados con  “garrotes,  palos,  lazos  y  machetes  […]”[87].  Estos</w:t>
        <w:br/>
        <w:t xml:space="preserve">      rodearon a los pobladores de Río Negro que se encontraban  presentes,</w:t>
        <w:br/>
        <w:t xml:space="preserve">      recogieron dinero (limosnas) de ellos y luego les dejaron  hacer  sus</w:t>
        <w:br/>
        <w:t xml:space="preserve">      compras en el mercado[88]. Hacia el medio  día,  los  patrulleros  de</w:t>
        <w:br/>
        <w:t xml:space="preserve">      Xococ formaron a las personas de Río Negro en filas y separaron a los</w:t>
        <w:br/>
        <w:t xml:space="preserve">      hombres de las  mujeres  y  los  niños[89].  De  conformidad  con  el</w:t>
        <w:br/>
        <w:t xml:space="preserve">      testimonio de la señora Teodora Chen, miembro de la comunidad de  Río</w:t>
        <w:br/>
        <w:t xml:space="preserve">      Negro que sobrevivió a estos hechos, los hombres fueron llevados  por</w:t>
        <w:br/>
        <w:t xml:space="preserve">      “una bajada” y, luego de escuchar “un tonel [r]edoblant[e]”, entendió</w:t>
        <w:br/>
        <w:t xml:space="preserve">      que los habían matado[90].</w:t>
        <w:br/>
        <w:br/>
        <w:t xml:space="preserve">  73. Posteriormente, los patrulleros de Xococ congregaron a los pobladores</w:t>
        <w:br/>
        <w:t xml:space="preserve">      de Río Negro restantes frente a una iglesia, amarraron a algunos  y/o</w:t>
        <w:br/>
        <w:t xml:space="preserve">      los atacaron “con garrotes [y]  machetes”.  Luego  encerraron  a  las</w:t>
        <w:br/>
        <w:t xml:space="preserve">      personas en un edificio sin agua ni comida, y  algunas  permanecieron</w:t>
        <w:br/>
        <w:t xml:space="preserve">      así durante dos días[91].</w:t>
        <w:br/>
        <w:br/>
        <w:t xml:space="preserve">  74. En los testimonios del expediente del presente  caso  consta  que  el</w:t>
        <w:br/>
        <w:t xml:space="preserve">      grupo de miembros de la comunidad de Río Negro que fue  trasladado  a</w:t>
        <w:br/>
        <w:t xml:space="preserve">      Xococ constó de aproximadamente 70 personas, en  su  mayoría  hombres</w:t>
        <w:br/>
        <w:t xml:space="preserve">      adultos, pero también niños y mujeres[92], algunas de ellas en estado</w:t>
        <w:br/>
        <w:t xml:space="preserve">      de embarazo[93]. Sin embargo, sólo  dos  personas  regresaron  a  Río</w:t>
        <w:br/>
        <w:t xml:space="preserve">      Negro[94].</w:t>
        <w:br/>
        <w:br/>
        <w:t xml:space="preserve">  75. Finalmente, durante la tarde del domingo 14 de febrero  de  1982,  la</w:t>
        <w:br/>
        <w:t xml:space="preserve">      señora Teodora Chen escapó de sus captores y  caminó  toda  la  noche</w:t>
        <w:br/>
        <w:t xml:space="preserve">      hacia Río Negro, llegando en horas de la mañana siguiente a contar lo</w:t>
        <w:br/>
        <w:t xml:space="preserve">      que había ocurrido en Xococ.  Ella  sugirió  a  los  miembros  de  su</w:t>
        <w:br/>
        <w:t xml:space="preserve">      comunidad esconderse, por lo que varias personas dejaron sus casas  y</w:t>
        <w:br/>
        <w:t xml:space="preserve">      se fueron a  vivir  a  los  cerros  aledaños[95].  Ese  día  llegaron</w:t>
        <w:br/>
        <w:t xml:space="preserve">      soldados y patrulleros de Xococ a Río Negro preguntando en cada  casa</w:t>
        <w:br/>
        <w:t xml:space="preserve">      por los hombres, a quienes acusaban de haberse unido a la  guerrilla.</w:t>
        <w:br/>
        <w:t xml:space="preserve">      De conformidad con el testimonio de Francisco Chen Osorio que  consta</w:t>
        <w:br/>
        <w:t xml:space="preserve">      en el expediente, “los patrulleros y soldados  dejaron  dicho  a  las</w:t>
        <w:br/>
        <w:t xml:space="preserve">      mujeres [que] si no aparec[ían] los hombres, entre un  mes  se  [iban</w:t>
        <w:br/>
        <w:t xml:space="preserve">      ellas]”[96].</w:t>
        <w:br/>
        <w:br/>
        <w:br/>
        <w:t>E)    Masacre de 13 de marzo de 1982 en el Cerro de Pacoxom</w:t>
        <w:br/>
        <w:br/>
        <w:t xml:space="preserve">  76. Un mes después, alrededor de las seis de la mañana del 13 de marzo de</w:t>
        <w:br/>
        <w:t xml:space="preserve">      1982, llegaron a la comunidad de  Río  Negro  miembros  del  ejército</w:t>
        <w:br/>
        <w:t xml:space="preserve">      guatemalteco y patrulleros de la aldea de Xococ[97]  cargando  armas,</w:t>
        <w:br/>
        <w:t xml:space="preserve">      palas, piochas, lazos, alambres y machetes.  Pasaron  casa  por  casa</w:t>
        <w:br/>
        <w:t xml:space="preserve">      preguntando por los hombres, pero la mayoría no se encontraba  debido</w:t>
        <w:br/>
        <w:t xml:space="preserve">      a que pernoctaban en el monte  por  motivos  de  seguridad.  Mediante</w:t>
        <w:br/>
        <w:t xml:space="preserve">      acusaciones de que la ausencia de los hombres era muestra de  que  se</w:t>
        <w:br/>
        <w:t xml:space="preserve">      encontraban con la guerrilla, les exigieron a las mujeres, incluso  a</w:t>
        <w:br/>
        <w:t xml:space="preserve">      las embarazadas, a los ancianos y a los niños  salir  de  sus  casas,</w:t>
        <w:br/>
        <w:t xml:space="preserve">      supuestamente  para  participar  en  una  reunión,  y  saquearon   la</w:t>
        <w:br/>
        <w:t xml:space="preserve">      aldea[98].</w:t>
        <w:br/>
        <w:br/>
        <w:t xml:space="preserve">  77. Posteriormente, los patrulleros y soldados obligaron a las  personas,</w:t>
        <w:br/>
        <w:t xml:space="preserve">      principalmente mujeres, algunas de ellas amarradas del  cuello  o  de</w:t>
        <w:br/>
        <w:t xml:space="preserve">      las manos,  a  caminar  por   aproximadamente  3  kilómetros  montaña</w:t>
        <w:br/>
        <w:t xml:space="preserve">      arriba, sin agua ni comida, hasta un cerro conocido  como  “Pacoxom”.</w:t>
        <w:br/>
        <w:t xml:space="preserve">      Camino  a  dicho  cerro,  los  soldados  y  patrulleros   insultaron,</w:t>
        <w:br/>
        <w:t xml:space="preserve">      empujaron, golpearon y azotaron con ramas y garrotes a las  personas,</w:t>
        <w:br/>
        <w:t xml:space="preserve">      incluso a mujeres embarazadas, y mataron  a  algunas  que  no  podían</w:t>
        <w:br/>
        <w:t xml:space="preserve">      continuar. También obligaron a las mujeres  a  bailar,  según  ellos,</w:t>
        <w:br/>
        <w:t xml:space="preserve">      como lo hacían con los guerrilleros. Algunas de las niñas  y  mujeres</w:t>
        <w:br/>
        <w:t xml:space="preserve">      fueron apartadas del grupo y violadas sexualmente,  y  consta  en  el</w:t>
        <w:br/>
        <w:t xml:space="preserve">      expediente que al menos una de  ellas  se  encontraba  en  estado  de</w:t>
        <w:br/>
        <w:t xml:space="preserve">      embarazo[99]. María Eustaquia Uscap Ivoy, menor de edad para la época</w:t>
        <w:br/>
        <w:t xml:space="preserve">      de los hechos, fue una de las personas que fue llevada  al  cerro  de</w:t>
        <w:br/>
        <w:t xml:space="preserve">      Pacoxom. Al llegar a dicho lugar un soldado le quitó a su hermano,  a</w:t>
        <w:br/>
        <w:t xml:space="preserve">      quien llevaba en la espalda. Posteriormente, fue conducida a una loma</w:t>
        <w:br/>
        <w:t xml:space="preserve">      donde fue violada por dos soldados y dos  patrulleros.  Al  regresar,</w:t>
        <w:br/>
        <w:t xml:space="preserve">      encontró que su abuela, con quien había  sido  llevada  al  cerro  de</w:t>
        <w:br/>
        <w:t xml:space="preserve">      Pacoxom, había sido asesinada.  Luego  de  ello,  la  llevaron  hasta</w:t>
        <w:br/>
        <w:t xml:space="preserve">      Xococ, en donde fue violada, nuevamente,  por  un  patrullero  en  el</w:t>
        <w:br/>
        <w:t xml:space="preserve">      mercado de aquel lugar[100].</w:t>
        <w:br/>
        <w:br/>
        <w:t xml:space="preserve">  78. Al llegar al cerro de Pacoxom, los patrulleros y soldados  escarbaron</w:t>
        <w:br/>
        <w:t xml:space="preserve">      una fosa y procedieron a matar a las personas de  Río  Negro  que  se</w:t>
        <w:br/>
        <w:t xml:space="preserve">      encontraban presentes. Ahorcaron a varias  personas  usando  palos  o</w:t>
        <w:br/>
        <w:t xml:space="preserve">      lazos, y a otras las mataron con machetes o disparándoles. Mataron  a</w:t>
        <w:br/>
        <w:t xml:space="preserve">      los bebés y a los niños con machetes, agarrándolos de los pies o  del</w:t>
        <w:br/>
        <w:t xml:space="preserve">      pelo para lanzarlos contra  las  piedras  o  los  árboles  hasta  que</w:t>
        <w:br/>
        <w:t xml:space="preserve">      perdieran la vida, o también amontonándolos en pequeños  grupos  para</w:t>
        <w:br/>
        <w:t xml:space="preserve">      dispararles a todos juntos. Los cadáveres de las personas  masacradas</w:t>
        <w:br/>
        <w:t xml:space="preserve">      fueron  tirados  a  una  quebrada  cercana  o  a  una  fosa  que  los</w:t>
        <w:br/>
        <w:t xml:space="preserve">      patrulleros  y  soldados  habían  cavado,  la   cual   posteriormente</w:t>
        <w:br/>
        <w:t xml:space="preserve">      cubrieron con piedras y ramas[101].</w:t>
        <w:br/>
        <w:br/>
        <w:t xml:space="preserve">  79. Asimismo, durante la masacre, los patrulleros y militares  escogieron</w:t>
        <w:br/>
        <w:t xml:space="preserve">      a 17 niños de la comunidad de Río Negro para llevárselos consigo a la</w:t>
        <w:br/>
        <w:t xml:space="preserve">      aldea  de  Xococ[102].  De  conformidad  con  el  reconocimiento   de</w:t>
        <w:br/>
        <w:t xml:space="preserve">      responsabilidad del Estado y con  las  aclaraciones  hechas  por  los</w:t>
        <w:br/>
        <w:t xml:space="preserve">      representantes (supra párrs. 17, inciso d), y 12), tales niños  eran:</w:t>
        <w:br/>
        <w:t xml:space="preserve">      Agustín Chen Osorio, Celestina Uscap Ivoy, Cruz Pérez Osorio, Froilan</w:t>
        <w:br/>
        <w:t xml:space="preserve">      Uscap Ivoy, Jesús Tecú Osorio, José Osorio Osorio,  Juan  Chen  Chen,</w:t>
        <w:br/>
        <w:t xml:space="preserve">      Juan Chen Osorio, Juan Pérez Osorio,  Juan  Uscap  Ivoy,  Juana  Chen</w:t>
        <w:br/>
        <w:t xml:space="preserve">      Osorio, María Eustaquia Uscap Ivoy, Pedro Sic Sánchez, Silveria Lajuj</w:t>
        <w:br/>
        <w:t xml:space="preserve">      Tum, Tomasa Osorio Chen, Florinda Uscap Ivoy y Juan Osorio  Alvarado.</w:t>
        <w:br/>
        <w:t xml:space="preserve">      Algunos de estos niños se ofrecieron ellos mismos o las  madres  para</w:t>
        <w:br/>
        <w:t xml:space="preserve">      que se los llevaran los patrulleros para así evitar que los  mataran.</w:t>
        <w:br/>
        <w:t xml:space="preserve">      Luego de las masacres, los niños  fueron  obligados  a  caminar,  con</w:t>
        <w:br/>
        <w:t xml:space="preserve">      hambre y sed, hasta Xococ,  donde  a  algunos  se  los  llevaron  los</w:t>
        <w:br/>
        <w:t xml:space="preserve">      soldados o los patrulleros, mientras que otros fueron conducidos a la</w:t>
        <w:br/>
        <w:t xml:space="preserve">      iglesia de la  aldea  para  ser  entregados  a  los  miembros  de  la</w:t>
        <w:br/>
        <w:t xml:space="preserve">      comunidad de Xococ. Los niños de Río Negro fueron obligados  a  vivir</w:t>
        <w:br/>
        <w:t xml:space="preserve">      con tales personas, algunos  por  períodos  de  dos  a  cuatro  años,</w:t>
        <w:br/>
        <w:t xml:space="preserve">      aproximadamente[103], y fueron forzados  a  trabajar.  Consta  en  el</w:t>
        <w:br/>
        <w:t xml:space="preserve">      expediente  que  algunos  de  estos   niños   fueron   amenazados   y</w:t>
        <w:br/>
        <w:t xml:space="preserve">      maltratados[104], y  se  les  prohibió  el  contacto  con  familiares</w:t>
        <w:br/>
        <w:t xml:space="preserve">      sobrevivientes de las masacres. A algunos niños  se  les  impuso  una</w:t>
        <w:br/>
        <w:t xml:space="preserve">      nueva identidad, hasta que fueron recuperados por familiares  gracias</w:t>
        <w:br/>
        <w:t xml:space="preserve">      a gestiones realizadas ante la autoridad  municipal[105].  Además  de</w:t>
        <w:br/>
        <w:t xml:space="preserve">      los  17  niños  mencionados,  pocas  personas  sobrevivieron   a   la</w:t>
        <w:br/>
        <w:t xml:space="preserve">      masacre[106]. Consta en el expediente que fueron asesinados al  menos</w:t>
        <w:br/>
        <w:t xml:space="preserve">      70 mujeres y 107 niños[107].</w:t>
        <w:br/>
        <w:br/>
        <w:br/>
        <w:t>F)    Masacre de 14 de mayo de 1982 en “Los Encuentros”</w:t>
        <w:br/>
        <w:br/>
        <w:t xml:space="preserve">  80. Algunos de los sobrevivientes de la masacre ocurrida  en  Pacoxom  se</w:t>
        <w:br/>
        <w:t xml:space="preserve">      refugiaron en un sitio sagrado conocido  como  “Los  Encuentros”.  En</w:t>
        <w:br/>
        <w:t xml:space="preserve">      dicho lugar, el 14 de mayo de 1982, aproximadamente a las  13  horas,</w:t>
        <w:br/>
        <w:t xml:space="preserve">      un  grupo  de  soldados  y  patrulleros  atacaron  a  la   comunidad,</w:t>
        <w:br/>
        <w:t xml:space="preserve">      disparando  y  lanzando  granadas.  Violaron  sexualmente  a   varias</w:t>
        <w:br/>
        <w:t xml:space="preserve">      mujeres, incendiaron casas, y colgaron y amarraron a varias  personas</w:t>
        <w:br/>
        <w:t xml:space="preserve">      de los árboles, obligándolos a pararse en una plancha que ardía sobre</w:t>
        <w:br/>
        <w:t xml:space="preserve">      fuego hasta que fallecieran. De este modo, los patrulleros y soldados</w:t>
        <w:br/>
        <w:t xml:space="preserve">      mataron a por lo menos 79 personas[108]. Asimismo, en al  menos  tres</w:t>
        <w:br/>
        <w:t xml:space="preserve">      ocasiones, llegó a la comunidad un helicóptero del ejército  al  cual</w:t>
        <w:br/>
        <w:t xml:space="preserve">      hicieron abordar a por lo menos a 15 personas de las que no se volvió</w:t>
        <w:br/>
        <w:t xml:space="preserve">      a tener noticia. Varios de los sobrevivientes huyeron a las montañas,</w:t>
        <w:br/>
        <w:t xml:space="preserve">      donde  se  refugiaron  del  asedio  por  parte  del  ejército  y  los</w:t>
        <w:br/>
        <w:t xml:space="preserve">      patrulleros[109].</w:t>
        <w:br/>
        <w:br/>
        <w:br/>
        <w:t>G)    Masacre de 14 de septiembre de 1982 en “Agua Fría”</w:t>
        <w:br/>
        <w:br/>
        <w:t xml:space="preserve">  81. Un  grupo  de  sobrevivientes  de  las  masacres  de  Pacoxom  y  Los</w:t>
        <w:br/>
        <w:t xml:space="preserve">      Encuentros huyeron a un caserío  conocido  como  “Agua  Fría”  en  el</w:t>
        <w:br/>
        <w:t xml:space="preserve">      departamento de Quiché, Guatemala. El 14 de septiembre de 1982  llegó</w:t>
        <w:br/>
        <w:t xml:space="preserve">      a dicho lugar un grupo de soldados y patrulleros, quienes agruparon a</w:t>
        <w:br/>
        <w:t xml:space="preserve">      las personas en un inmueble[110]. Les dispararon desde afuera y luego</w:t>
        <w:br/>
        <w:t xml:space="preserve">      le prendieron fuego al inmueble[111], matando a aproximadamente a  92</w:t>
        <w:br/>
        <w:t xml:space="preserve">      personas[112]. Consta en el expediente que por lo menos una  persona,</w:t>
        <w:br/>
        <w:t xml:space="preserve">      la señora Timotea Lajuj López, sobrevivió a  la masacre debido  a  la</w:t>
        <w:br/>
        <w:t xml:space="preserve">      intervención de su hermano, quien prestaba servicio militar[113].</w:t>
        <w:br/>
        <w:br/>
        <w:br/>
        <w:t>H)    La vida en las montañas y el reasentamiento de los  miembros  de  la</w:t>
        <w:br/>
        <w:t>Comunidad de Río Negro en la colonia Pacux</w:t>
        <w:br/>
        <w:br/>
        <w:t xml:space="preserve">  82. De acuerdo con el informe de la CEH, “[a]lgunas comunidades, como Río</w:t>
        <w:br/>
        <w:t xml:space="preserve">      Negro, fueron víctimas de una persecución sistemática, dirigida a  su</w:t>
        <w:br/>
        <w:t xml:space="preserve">      eliminación total” [114]. Aquellas personas que lograron  escapar  de</w:t>
        <w:br/>
        <w:t xml:space="preserve">      las distintas masacres perpetradas en contra de la comunidad  de  Río</w:t>
        <w:br/>
        <w:t xml:space="preserve">      Negro se refugiaron en las montañas, algunos por años, despojados  de</w:t>
        <w:br/>
        <w:t xml:space="preserve">      todas sus  pertenencias,  durmiendo  a  la  intemperie  y  moviéndose</w:t>
        <w:br/>
        <w:t xml:space="preserve">      continuamente a fin de huir de los soldados  y  patrulleros  que  los</w:t>
        <w:br/>
        <w:t xml:space="preserve">      perseguían aún después  de  las  masacres.  Algunas  personas  fueron</w:t>
        <w:br/>
        <w:t xml:space="preserve">      muertas mediante disparo durante dichas  persecuciones.  Además,  los</w:t>
        <w:br/>
        <w:t xml:space="preserve">      integrantes de la  comunidad  de  Río  Negro  experimentaron  severas</w:t>
        <w:br/>
        <w:t xml:space="preserve">      dificultades para encontrar comida, a  la  vez  que  varios  niños  y</w:t>
        <w:br/>
        <w:t xml:space="preserve">      adultos murieron  de  hambre  pues  el  ejército  y  los  patrulleros</w:t>
        <w:br/>
        <w:t xml:space="preserve">      destruían los sembradíos que lograban tener. Algunas mujeres dieron a</w:t>
        <w:br/>
        <w:t xml:space="preserve">      luz en la montaña, y sólo  pudieron  registrar  a  sus  hijos  tiempo</w:t>
        <w:br/>
        <w:t xml:space="preserve">      después,  con  fechas  y  lugares  de  nacimiento  falsos,[115]  para</w:t>
        <w:br/>
        <w:t xml:space="preserve">      protegerlos.</w:t>
        <w:br/>
        <w:br/>
        <w:t xml:space="preserve">  83. Al entrar en vigor una ley  de  amnistía  en  el  año  1983,  algunos</w:t>
        <w:br/>
        <w:t xml:space="preserve">      sobrevivientes de las masacres  bajaron  de  las  montañas  y  fueron</w:t>
        <w:br/>
        <w:t xml:space="preserve">      reasentados por el gobierno en la colonia Pacux, ubicada  detrás  del</w:t>
        <w:br/>
        <w:t xml:space="preserve">      destacamento militar de Rabinal. Sin embargo, la violencia contra los</w:t>
        <w:br/>
        <w:t xml:space="preserve">      miembros de la comunidad de Río Negro continuó  en  dicho  lugar.  Al</w:t>
        <w:br/>
        <w:t xml:space="preserve">      respecto, consta en el expediente que algunas  de  las  personas  que</w:t>
        <w:br/>
        <w:t xml:space="preserve">      pretendieron vivir ahí fueron interrogadas, detenidas  por  días  sin</w:t>
        <w:br/>
        <w:t xml:space="preserve">      comer[116],   amenazadas,   obligadas   a   trabajar    forzosamente,</w:t>
        <w:br/>
        <w:t xml:space="preserve">      torturadas[117],  desaparecidas[118]  y  asesinadas,  y  que  algunas</w:t>
        <w:br/>
        <w:t xml:space="preserve">      mujeres fueron violadas sexualmente[119].</w:t>
        <w:br/>
        <w:br/>
        <w:t xml:space="preserve">  84. Consta en el expediente  que  al  menos  289  sobrevivientes  de  las</w:t>
        <w:br/>
        <w:t xml:space="preserve">      masacres de  Río  Negro  identificados  por  los  representantes  aún</w:t>
        <w:br/>
        <w:t xml:space="preserve">      residen  en  la  colonia  semiurbana  de  Pacux.  Al   respecto,   de</w:t>
        <w:br/>
        <w:t xml:space="preserve">      conformidad con el “Informe Final de la Comisión  Técnica  de  Apoyo”</w:t>
        <w:br/>
        <w:t xml:space="preserve">      del INDE, emitido en enero de 2008  y  proporcionado  por  el  Estado</w:t>
        <w:br/>
        <w:t xml:space="preserve">      junto con sus alegatos finales escritos, en el año 2006 se  suscribió</w:t>
        <w:br/>
        <w:t xml:space="preserve">      un  “Acuerdo  Político”  entre  el  Gobierno  de   Guatemala   y   la</w:t>
        <w:br/>
        <w:t xml:space="preserve">      Coordinadora de Comunidades  Afectadas  por  la  Construcción  de  la</w:t>
        <w:br/>
        <w:t xml:space="preserve">      Hidroeléctrica Chixoy (COCAHICH), entre ellas la de Río  Negro,  para</w:t>
        <w:br/>
        <w:t xml:space="preserve">      la  “identificación,  verificación  y  en  su  caso,   el   Plan   de</w:t>
        <w:br/>
        <w:t xml:space="preserve">      Reparaciones  de  los  daños  y  perjuicios  ocasionados   a   dichas</w:t>
        <w:br/>
        <w:t xml:space="preserve">      comunidades por la construcción del Embalse  y  la  Represa  del  Río</w:t>
        <w:br/>
        <w:t xml:space="preserve">      Chixoy”. A partir de dicho acuerdo, el Estado de Guatemala  construyó</w:t>
        <w:br/>
        <w:t xml:space="preserve">      en Pacux 150 viviendas y 4 edificios públicos, los que incluyeron una</w:t>
        <w:br/>
        <w:t xml:space="preserve">      “iglesia católica, escuela, puesto de salud y salón comunal”, y  dotó</w:t>
        <w:br/>
        <w:t xml:space="preserve">      a la comunidad con un “molino de nixtamal,[…]  agua  por  sistema  de</w:t>
        <w:br/>
        <w:t xml:space="preserve">      bombeo y cisterna elevada. Además, se compró […] 150 medias pajas  de</w:t>
        <w:br/>
        <w:t xml:space="preserve">      agua  [sic]”  y  se  “introdujo  la  energía  eléctrica  domiciliaria</w:t>
        <w:br/>
        <w:t xml:space="preserve">      drenajes y calles de acceso”. También “se entreg[aron]  6  fincas  en</w:t>
        <w:br/>
        <w:t xml:space="preserve">      forma  comunal  para  cultivos[,]  3  manzanas  por  familia”,  y  se</w:t>
        <w:br/>
        <w:t xml:space="preserve">      proporcionaron  profesores  de  educación   primaria,   auxiliar   de</w:t>
        <w:br/>
        <w:t xml:space="preserve">      enfermería,  promotores  culturales  y  capacitación  en  tejido  por</w:t>
        <w:br/>
        <w:t xml:space="preserve">      telares, construcción de estufas Lorena y aspectos de  tipo  pecuario</w:t>
        <w:br/>
        <w:t xml:space="preserve">      [sic]”. Sin embargo, según consta en el mencionado informe de 2008, a</w:t>
        <w:br/>
        <w:t xml:space="preserve">      la fecha de su emisión, aún no se habían gestionado  y  obtenido  los</w:t>
        <w:br/>
        <w:t xml:space="preserve">      recursos necesarios para concluir la etapa de reparación acordada. El</w:t>
        <w:br/>
        <w:t xml:space="preserve">      Estado tampoco explicó al  Tribunal,  cuatro  años  después,  si  tal</w:t>
        <w:br/>
        <w:t xml:space="preserve">      reparación se había llevado a cabo en los términos acordados.</w:t>
        <w:br/>
        <w:br/>
        <w:t xml:space="preserve">  85. Por otro lado, y no obstante los esfuerzos del Estado, según la  CEH,</w:t>
        <w:br/>
        <w:t xml:space="preserve">      “[e]n Pacux las condiciones de vida son precarias y  las  tierras  no</w:t>
        <w:br/>
        <w:t xml:space="preserve">      son adecuadas para su  agricultura  de  subsistencia”[120].  En  este</w:t>
        <w:br/>
        <w:t xml:space="preserve">      sentido, de conformidad con la  declaración  rendida  ante  fedatario</w:t>
        <w:br/>
        <w:t xml:space="preserve">      público por la señora Bruna Pérez Osorio:</w:t>
        <w:br/>
        <w:br/>
        <w:t xml:space="preserve">    “[e]n Pacux [los miembros de la comunidad] no  t[ienen]  terrenos  para</w:t>
        <w:br/>
        <w:t xml:space="preserve">    sembrar[, …] todo lo t[ienen] que comprar. [… En Río Negro] había  cómo</w:t>
        <w:br/>
        <w:t xml:space="preserve">    satisfacer [sus] necesidades, en cambio, en  Pacux  no  hay.  Sólo  hay</w:t>
        <w:br/>
        <w:t xml:space="preserve">    problemas. […] Ya no t[ienen] acceso al río […], en Pacux sólo  hay  un</w:t>
        <w:br/>
        <w:t xml:space="preserve">    río pero contaminado, no se puede ir a lavar o a bañar a[h]í”[121].</w:t>
        <w:br/>
        <w:br/>
        <w:t xml:space="preserve">  86. En este mismo sentido, durante la audiencia pública celebrada  en  el</w:t>
        <w:br/>
        <w:t xml:space="preserve">      presente caso, Carlos Chen Osorio indicó que:</w:t>
        <w:br/>
        <w:br/>
        <w:t xml:space="preserve">    “[e]n Pacux hay una extrema pobreza porque ya no es igual como antes en</w:t>
        <w:br/>
        <w:t xml:space="preserve">    Río Negro […] hoy día no podemos hacer nada en  Pacux  porque  toda  la</w:t>
        <w:br/>
        <w:t xml:space="preserve">    tierra era de 15x30, ya no podemos ir a  visitar  Los  Encuentros,  los</w:t>
        <w:br/>
        <w:t xml:space="preserve">    sitios arqueológicos […]. [E]n Pacux [..] las mujeres [y]  los  hombres</w:t>
        <w:br/>
        <w:t xml:space="preserve">    […] a veces consiguen un día trabajo y otros […] no,  entonces  lo  que</w:t>
        <w:br/>
        <w:t xml:space="preserve">    [se gana] el día de hoy es para consumir el día de hoy,  mañana  si  no</w:t>
        <w:br/>
        <w:t xml:space="preserve">    [se] consigue trabajo no hay  nada.  En  Pacux  no  contamos  con  agua</w:t>
        <w:br/>
        <w:t xml:space="preserve">    potable, tenemos un centro de  salud  sin  medicina  y  sin  enfermera,</w:t>
        <w:br/>
        <w:t xml:space="preserve">    tenemos una escuela […] muy pobre […]. Ya no  podemos  hacer  mayor[es]</w:t>
        <w:br/>
        <w:t xml:space="preserve">    cosas como en Río Negro, ahora estamos en una  situación  muy  delicada</w:t>
        <w:br/>
        <w:t xml:space="preserve">    porque la comunidad se está creciendo y no hay tierra  para  vivir,  no</w:t>
        <w:br/>
        <w:t xml:space="preserve">    hay fuente de trabajo […] antes tenemos la madera,  tenemos  todos  los</w:t>
        <w:br/>
        <w:t xml:space="preserve">    recursos que necesitamos […] fueron robados nuestros  ganados  entonces</w:t>
        <w:br/>
        <w:t xml:space="preserve">    la gente están pobre […]”.[122]</w:t>
        <w:br/>
        <w:br/>
        <w:t xml:space="preserve">  87. Asimismo, en cuanto a la vida cultural de la comunidad de  Río  Negro</w:t>
        <w:br/>
        <w:t xml:space="preserve">      en la colonia Pacux, el perito Alfredo Itzep Manuel  indicó  que  “la</w:t>
        <w:br/>
        <w:t xml:space="preserve">      pérdida de las condiciones naturales de vida de esta comunidad afectó</w:t>
        <w:br/>
        <w:t xml:space="preserve">      todos los elementos de la cultura Maya Achí”. Implicó la  pérdida  de</w:t>
        <w:br/>
        <w:t xml:space="preserve">      “la relación que tenía con la naturaleza”, de “la celebración de  las</w:t>
        <w:br/>
        <w:t xml:space="preserve">      fiestas tradicionales ligadas  a  la  agricultura  y  el  agua”,  del</w:t>
        <w:br/>
        <w:t xml:space="preserve">      “contacto con [sus] principales lugares sagrados y  cementerios,  que</w:t>
        <w:br/>
        <w:t xml:space="preserve">      eran referentes culturales de los ancestros y de la  historia  de  su</w:t>
        <w:br/>
        <w:t xml:space="preserve">      pueblo”, así como de los  elementos  materiales  para  la  producción</w:t>
        <w:br/>
        <w:t xml:space="preserve">      artesanal  y  musical[123].  Igualmente,  la  comunidad   sufrió   la</w:t>
        <w:br/>
        <w:t xml:space="preserve">      “destrucción  de  [su]  estructura  social  […]”,  puesto   que   “se</w:t>
        <w:br/>
        <w:t xml:space="preserve">      redefini[eron]  forzadamente  las  relaciones  con  otras   personas,</w:t>
        <w:br/>
        <w:t xml:space="preserve">      situación que afectó principalmente a  los  niños  de  ese  entonces,</w:t>
        <w:br/>
        <w:t xml:space="preserve">      influyendo  en  las  formas  de  traspaso  transgeneracional  de   la</w:t>
        <w:br/>
        <w:t xml:space="preserve">      cultura”. Según el perito, la Comunidad de Río Negro perdió,  además,</w:t>
        <w:br/>
        <w:t xml:space="preserve">      a sus “guías espirituales, comadronas y dirigentes comunitarios,  que</w:t>
        <w:br/>
        <w:t xml:space="preserve">      velaban  por  el  cumplimiento  de  los  principios  de  la   cultura</w:t>
        <w:br/>
        <w:t xml:space="preserve">      […]”[124]. Por ello, la comunidad no ha podido “realizar sus rituales</w:t>
        <w:br/>
        <w:t xml:space="preserve">      espirituales […y se] observa[n] procesos de  desintegración  familiar</w:t>
        <w:br/>
        <w:t xml:space="preserve">      […]”, así como “la pérdida paulatina del idioma Maya Achí”[125].</w:t>
        <w:br/>
        <w:br/>
        <w:br/>
        <w:t>I)    Investigación, proceso y sanción de los responsables de las masacres</w:t>
        <w:br/>
        <w:br/>
        <w:br/>
        <w:t>a.    Masacres cometidas en la capilla de Río Negro y Los Encuentros</w:t>
        <w:br/>
        <w:br/>
        <w:t xml:space="preserve">  88. Sobre estas masacres no hay investigación alguna. Así lo alegaron  la</w:t>
        <w:br/>
        <w:t xml:space="preserve">      Comisión Interamericana y los representantes. Por su parte, el Estado</w:t>
        <w:br/>
        <w:t xml:space="preserve">      no negó estos hechos.</w:t>
        <w:br/>
        <w:br/>
        <w:br/>
        <w:t>b.    Masacre cometida en Xococ</w:t>
        <w:br/>
        <w:br/>
        <w:t xml:space="preserve">  89. Este proceso se inició a partir de  la  declaración  rendida  por  la</w:t>
        <w:br/>
        <w:t xml:space="preserve">      señora Denese Joy Burck, cuyo  nombre  guatemalteco  es  Dominga  Sic</w:t>
        <w:br/>
        <w:t xml:space="preserve">      Ruiz, ante la Fiscalía Especial del Ministerio Público de  la  ciudad</w:t>
        <w:br/>
        <w:t xml:space="preserve">      de Guatemala el 19 de marzo de 2001, sobre los hechos ocurridos en la</w:t>
        <w:br/>
        <w:t xml:space="preserve">      comunidad de Xococ el 13 de febrero de 1982 y en el cerro Pacoxom  el</w:t>
        <w:br/>
        <w:t xml:space="preserve">      13 de marzo de 1982. La señora Burck es sobreviviente de  la  masacre</w:t>
        <w:br/>
        <w:t xml:space="preserve">      de Pacoxom[126].</w:t>
        <w:br/>
        <w:br/>
        <w:t xml:space="preserve">  90. Por orden  del  Juez  de  Primera  Instancia  Departamental  de  Baja</w:t>
        <w:br/>
        <w:t xml:space="preserve">      Verapaz, del 4 al 17  de  septiembre  la  Fundación  de  Antropología</w:t>
        <w:br/>
        <w:t xml:space="preserve">      Forense de Guatemala llevó  a  cabo  la  exhumación  de  unos  restos</w:t>
        <w:br/>
        <w:t xml:space="preserve">      encontrados en la aldea de Xococ. La fase de procesamiento,  análisis</w:t>
        <w:br/>
        <w:t xml:space="preserve">      de la información y elaboración de un informe pericial se realizó del</w:t>
        <w:br/>
        <w:t xml:space="preserve">      1 al 8 de marzo del 2002[127]. En dicho  informe  se  indica  que  se</w:t>
        <w:br/>
        <w:t xml:space="preserve">      recuperaron 44 osamentas de personas. Además, se pudo  identificar  a</w:t>
        <w:br/>
        <w:t xml:space="preserve">      las víctimas  Tereso  Osorio  Chen  y  Crispín  Tum  Iboy[128].  Este</w:t>
        <w:br/>
        <w:t xml:space="preserve">      peritaje fue remitido al Ministerio Público y al Juez de Paz de  Baja</w:t>
        <w:br/>
        <w:t xml:space="preserve">      Verapaz, así como al Juez de Primera Instancia Penal,  Narcoactividad</w:t>
        <w:br/>
        <w:t xml:space="preserve">      y Delitos contra el Ambiente de Rabinal, Baja Verapaz[129].</w:t>
        <w:br/>
        <w:br/>
        <w:t xml:space="preserve">  91. Por otro lado, el 27 de marzo de 2003 el señor  Carlos  Chen  Osorio,</w:t>
        <w:br/>
        <w:t xml:space="preserve">      sobreviviente de la masacre de Xococ,  compareció  ante  la  Fiscalía</w:t>
        <w:br/>
        <w:t xml:space="preserve">      Distrital de Salamá, Baja Verapaz, para  declarar  sobre  los  hechos</w:t>
        <w:br/>
        <w:t xml:space="preserve">      ocurridos  en  dicha  comunidad[130].  La  Corte   no   tiene   mayor</w:t>
        <w:br/>
        <w:t xml:space="preserve">      información  sobre  actuaciones  posteriores  en  el  marco  de  esta</w:t>
        <w:br/>
        <w:t xml:space="preserve">      investigación.</w:t>
        <w:br/>
        <w:br/>
        <w:br/>
        <w:t>c.    Masacres de Río Negro (Pacoxom) y Agua Fría</w:t>
        <w:br/>
        <w:br/>
        <w:t>c.1.  Diligencias principales</w:t>
        <w:br/>
        <w:br/>
        <w:t xml:space="preserve">  92. El 11 de agosto de 1993 Jesús Tecú Osorio  y  Francisco  Chen  Osorio</w:t>
        <w:br/>
        <w:t xml:space="preserve">      presentaron una solicitud ante el Juzgado  de  Primera  Instancia  de</w:t>
        <w:br/>
        <w:t xml:space="preserve">      Salamá, Baja Verapaz, (en adelante “Juzgado  de  Primera  Instancia”)</w:t>
        <w:br/>
        <w:t xml:space="preserve">      para la realización de una diligencia de exhumación en la  Aldea  Río</w:t>
        <w:br/>
        <w:t xml:space="preserve">      Negro (Pacoxom)[131]. Esta solicitud fue ratificada por ambos  el  13</w:t>
        <w:br/>
        <w:t xml:space="preserve">      de agosto de 1993, por lo que ese mismo día dicho Juzgado instruyó la</w:t>
        <w:br/>
        <w:t xml:space="preserve">      averiguación y dio intervención al Ministerio Público,  solicitándole</w:t>
        <w:br/>
        <w:t xml:space="preserve">      información sobre los ex patrulleros sindicados  Carlos  Chen,  Pedro</w:t>
        <w:br/>
        <w:t xml:space="preserve">      González, Tomás Gómez Gónzalez y Pedro González Gómez[132].</w:t>
        <w:br/>
        <w:br/>
        <w:t xml:space="preserve">  93. Por otro lado, el 25 de mayo de 1994 la Auxiliatura Departamental del</w:t>
        <w:br/>
        <w:t xml:space="preserve">      Procurador  de  los  Derechos  Humanos  de  Guatemala  (en   adelante</w:t>
        <w:br/>
        <w:t xml:space="preserve">      “Auxiliatura  Departamental”)  presentó  ante  el  Juez  de   Primera</w:t>
        <w:br/>
        <w:t xml:space="preserve">      Instancia una “denuncia de cementerio clandestino”  en  Agua  Fría  y</w:t>
        <w:br/>
        <w:t xml:space="preserve">      solicitó, entre otras cosas, que se diera intervención al  ministerio</w:t>
        <w:br/>
        <w:t xml:space="preserve">      público, que se ordenara la exhumación de los restos mortales que  se</w:t>
        <w:br/>
        <w:t xml:space="preserve">      encontraran, la investigación de los hechos y que se librara orden de</w:t>
        <w:br/>
        <w:t xml:space="preserve">      captura contra los responsables[133]. Ésta se derivó, a  su  vez,  de</w:t>
        <w:br/>
        <w:t xml:space="preserve">      una denuncia presentada ante  la  Auxiliatura  Departamental  por  el</w:t>
        <w:br/>
        <w:t xml:space="preserve">      señor Víctor Mendoza Sic el 20 de mayo de 1994  sobre  la  existencia</w:t>
        <w:br/>
        <w:t xml:space="preserve">      del  cementerio  clandestino  mencionado[134].  Ésta   denuncia   fue</w:t>
        <w:br/>
        <w:t xml:space="preserve">      ratificada posteriormente por el señor Mendoza Sic ante el Juzgado de</w:t>
        <w:br/>
        <w:t xml:space="preserve">      Primera Instancia el 10 de junio de  1994[135].  La  denuncia  de  la</w:t>
        <w:br/>
        <w:t xml:space="preserve">      Auxiliatura  Departamental  fue  admitida  por  el  Juez  de  Primera</w:t>
        <w:br/>
        <w:t xml:space="preserve">      Instancia el 26 de mayo de 1994, por lo que ordenó, entre  otros,  la</w:t>
        <w:br/>
        <w:t xml:space="preserve">      intervención del ministerio público y el reconocimiento judicial  del</w:t>
        <w:br/>
        <w:t xml:space="preserve">      lugar donde se encuentra el cementerio clandestino[136].</w:t>
        <w:br/>
        <w:br/>
        <w:t xml:space="preserve">  94. El 14 de junio de 1994 el Juzgado  de  Primera  Instancia  ordenó  la</w:t>
        <w:br/>
        <w:t xml:space="preserve">      detención de Carlos Chen Gómez, Tomás Gómez González, Pedro  González</w:t>
        <w:br/>
        <w:t xml:space="preserve">      Gómez y Fermín Lajuj Xitumul por  el  delito  de  asesinato  por  los</w:t>
        <w:br/>
        <w:t xml:space="preserve">      hechos sucedidos durante la masacre de Pacoxom[137]. Dichas personas,</w:t>
        <w:br/>
        <w:t xml:space="preserve">      excepto Tomás Gómez González,  se  presentaron  voluntariamente  ante</w:t>
        <w:br/>
        <w:t xml:space="preserve">      dicho Juzgado el 25 de julio de 1994[138], luego de  lo  cual  fueron</w:t>
        <w:br/>
        <w:t xml:space="preserve">      formalmente detenidos[139].</w:t>
        <w:br/>
        <w:br/>
        <w:t xml:space="preserve">  95. Dentro del proceso penal relativo a la masacre de Agua Fría, el 19 de</w:t>
        <w:br/>
        <w:t xml:space="preserve">      octubre de 1994 el Auxiliar Departamental solicitó al Fiscal Especial</w:t>
        <w:br/>
        <w:t xml:space="preserve">      del Ministerio Público  del  Departamento  de  Baja  Verapaz  que  se</w:t>
        <w:br/>
        <w:t xml:space="preserve">      indagara a los ex patrulleros Pedro Gónzalez  Gómez,  Carlos  Chen  y</w:t>
        <w:br/>
        <w:t xml:space="preserve">      Fermín Lajuj Xitumul, sindicados dentro del expediente de la  masacre</w:t>
        <w:br/>
        <w:t xml:space="preserve">      de Pacoxom (supra párr.  94) como presuntos responsables  también  de</w:t>
        <w:br/>
        <w:t xml:space="preserve">      la masacre de Agua Fría[140].</w:t>
        <w:br/>
        <w:br/>
        <w:t xml:space="preserve">  96. El 17 de febrero de 1995 el ministerio público solicitó al Juzgado de</w:t>
        <w:br/>
        <w:t xml:space="preserve">      Primera Instancia la conexión  de  las  causas  de  las  masacres  de</w:t>
        <w:br/>
        <w:t xml:space="preserve">      Pacoxom y Agua Fría[141], lo cual fue concedido el 20 de  febrero  de</w:t>
        <w:br/>
        <w:t xml:space="preserve">      1995[142]. El 7 de marzo de 1995  el  Juzgado  de  Primera  Instancia</w:t>
        <w:br/>
        <w:t xml:space="preserve">      Penal de Narcoactividad y Delitos contra el Ambiente de Baja  Verapaz</w:t>
        <w:br/>
        <w:t xml:space="preserve">      (en adelante “Juzgado de Primera Instancia Penal  de  Baja  Verapaz”)</w:t>
        <w:br/>
        <w:t xml:space="preserve">      dictó   el   auto   de   procesamiento   de   los   tres   inculpados</w:t>
        <w:br/>
        <w:t xml:space="preserve">      mencionados[143]. Aproximadamente un año después, el 20 de  marzo  de</w:t>
        <w:br/>
        <w:t xml:space="preserve">      1996 el ministerio público presentó la acusación  por  el  delito  de</w:t>
        <w:br/>
        <w:t xml:space="preserve">      asesinato, entre  otros,  por  los  hechos  sucedidos  durante  ambas</w:t>
        <w:br/>
        <w:t xml:space="preserve">      masacres, y solicitó al Juzgado de Primera Instancia  Penal  de  Baja</w:t>
        <w:br/>
        <w:t xml:space="preserve">      Verapaz  la  apertura  del  juicio[144].  Dicho  Juzgado  decretó  la</w:t>
        <w:br/>
        <w:t xml:space="preserve">      apertura del juicio el 9 de mayo de 1996[145].</w:t>
        <w:br/>
        <w:br/>
        <w:t xml:space="preserve">  97.  El  30  de  noviembre  de  1998  el  Tribunal  de  Sentencia  Penal,</w:t>
        <w:br/>
        <w:t xml:space="preserve">      Narcoactividad y Delitos contra  el  Ambiente  de  Baja  Verapaz  (en</w:t>
        <w:br/>
        <w:t xml:space="preserve">      adelante  “Tribunal  de  Sentencia  Penal  de  Baja  Verapaz”)  dictó</w:t>
        <w:br/>
        <w:t xml:space="preserve">      sentencia condenatoria a Fermín Lajuj Xitumul, Carlos  Chen  y  Pedro</w:t>
        <w:br/>
        <w:t xml:space="preserve">      Gónzalez Gómez, y los declaró responsables del  delito  de  asesinato</w:t>
        <w:br/>
        <w:t xml:space="preserve">      cometido en contra de Martha Julia Chen Osorio, Margarita Chen  Uscap</w:t>
        <w:br/>
        <w:t xml:space="preserve">      y Demetria Osorio Lajuj, víctimas de la masacre  del  cerro  Pacoxom.</w:t>
        <w:br/>
        <w:t xml:space="preserve">      Sin embargo, los absolvió de responsabilidad por  los  hechos  de  la</w:t>
        <w:br/>
        <w:t xml:space="preserve">      masacre de Agua Fría, al no haber sido posible identificar restos  de</w:t>
        <w:br/>
        <w:t xml:space="preserve">      personas presuntamente pertenecientes a miembros de la  comunidad  de</w:t>
        <w:br/>
        <w:t xml:space="preserve">      Río Negro  que  fallecieron  durante  dicha  masacre[146].  El  7  de</w:t>
        <w:br/>
        <w:t xml:space="preserve">      diciembre de 1998 esta sentencia fue ampliada[147].</w:t>
        <w:br/>
        <w:br/>
        <w:t xml:space="preserve">  98. La defensa de los las tres personas sentenciadas interpuso un recurso</w:t>
        <w:br/>
        <w:t xml:space="preserve">      de apelación especial el 15 de diciembre de 1998 solicitando  que  se</w:t>
        <w:br/>
        <w:t xml:space="preserve">      anulara la sentencia de 30  de  noviembre  de  1998[148].  El  25  de</w:t>
        <w:br/>
        <w:t xml:space="preserve">      febrero de 1999 la Sala Décimo Cuarta  de  la  Corte  de  Apelaciones</w:t>
        <w:br/>
        <w:t xml:space="preserve">      Penal, Narcoactividad y Delitos contra el Ambiente  de  Alta  Verapaz</w:t>
        <w:br/>
        <w:t xml:space="preserve">      declaró la nulidad de dicha  sentencia  y  ordenó  que  “un  tribunal</w:t>
        <w:br/>
        <w:t xml:space="preserve">      integrado por jueces  distintos  a  los  que  pronunciaron  el  fallo</w:t>
        <w:br/>
        <w:t xml:space="preserve">      anulado” dictara una nueva sentencia[149]. Por  lo  tanto,  el  7  de</w:t>
        <w:br/>
        <w:t xml:space="preserve">      octubre de 1999 el Tribunal  de  Sentencia  Penal,  Narcoactividad  y</w:t>
        <w:br/>
        <w:t xml:space="preserve">      Delitos contra el Ambiente del Departamento de  Baja  Verapaz  emitió</w:t>
        <w:br/>
        <w:t xml:space="preserve">      una nueva sentencia en la que resolvió que los tres  implicados  eran</w:t>
        <w:br/>
        <w:t xml:space="preserve">      responsables de los asesinatos de Marta Julia Chen Osorio y  Demetria</w:t>
        <w:br/>
        <w:t xml:space="preserve">      Osorio Lajuj[150]. El 27 de octubre de 1999 la defensa de los señores</w:t>
        <w:br/>
        <w:t xml:space="preserve">      Fermín Lajuj Xitumul, Carlos Chen y Pedro  Gónzalez  Gómez  interpuso</w:t>
        <w:br/>
        <w:t xml:space="preserve">      nuevamente  un   recurso   de   apelación   especial   contra   dicha</w:t>
        <w:br/>
        <w:t xml:space="preserve">      sentencia[151].</w:t>
        <w:br/>
        <w:br/>
        <w:t xml:space="preserve">  99. El 1 de febrero de  2000  la  Sala  Décimo  Cuarta  de  la  Corte  de</w:t>
        <w:br/>
        <w:t xml:space="preserve">      Apelaciones de Cobán, Alta Verapaz, resolvió que los procesados  eran</w:t>
        <w:br/>
        <w:t xml:space="preserve">      responsables en grado de autores  del  delito  de  asesinato  por  la</w:t>
        <w:br/>
        <w:t xml:space="preserve">      muerte de Marta Julia Chen Osorio y  Demetria  Osorio  Lajuj,  y  les</w:t>
        <w:br/>
        <w:t xml:space="preserve">      impuso  la  pena  de  50   años   de   prisión,   inconmutables[152].</w:t>
        <w:br/>
        <w:t xml:space="preserve">      Posteriormente, Carlos Chen  interpuso  un  recurso  de  casación  en</w:t>
        <w:br/>
        <w:t xml:space="preserve">      contra de esta sentencia, el cual fue rechazado por la  Cámara  Penal</w:t>
        <w:br/>
        <w:t xml:space="preserve">      de la Corte Suprema de Justicia  el  15  de  marzo  de  2000  por  no</w:t>
        <w:br/>
        <w:t xml:space="preserve">      encontrarse debidamente fundamentado[153]. A pesar  de  ello,  Carlos</w:t>
        <w:br/>
        <w:t xml:space="preserve">      Chen  interpuso  un  recurso  de   reposición   que   fue   declarado</w:t>
        <w:br/>
        <w:t xml:space="preserve">      improcedente por dicha Cámara Penal el 25 de abril de 2000[154].</w:t>
        <w:br/>
        <w:br/>
        <w:t xml:space="preserve"> 100. El 24 de octubre de 2002 el ministerio público solicitó al Juzgado de</w:t>
        <w:br/>
        <w:t xml:space="preserve">      Primera Instancia Penal, Narcoactividad y Delitos contra el  Ambiente</w:t>
        <w:br/>
        <w:t xml:space="preserve">      de Baja Verapaz que  emitiera  orden  de  aprehensión  contra  Miguel</w:t>
        <w:br/>
        <w:t xml:space="preserve">      Alvarado Sic, Tomás Vino Alvarado, Francisco Alvarado Lajuj,  Serapio</w:t>
        <w:br/>
        <w:t xml:space="preserve">      Lajuj Cuxum, Pablo Ruíz  Alvarado,  Bonifacio  Cuxum  López,  Macario</w:t>
        <w:br/>
        <w:t xml:space="preserve">      Alvarado Toj, Lucas Lajuj Alvarado y Víctor  González  López  por  el</w:t>
        <w:br/>
        <w:t xml:space="preserve">      delito de asesinato de Marta Julia  Chen  Osorio  y  Demetria  Osorio</w:t>
        <w:br/>
        <w:t xml:space="preserve">      Lajuj[155]. El 4 de marzo y el 16 de mayo de 2003 el Juez de  Primera</w:t>
        <w:br/>
        <w:t xml:space="preserve">      Instancia Penal de Baja Verapaz dictó auto de  prisión  preventiva  y</w:t>
        <w:br/>
        <w:t xml:space="preserve">      procesamiento a Francisco Alvarado Lajuj y a Macario Alvarado Toj,  y</w:t>
        <w:br/>
        <w:t xml:space="preserve">      a Lucas Lajuj Alvarado, Bonifacio Cuxum López, Pablo Ruiz Alvarado  y</w:t>
        <w:br/>
        <w:t xml:space="preserve">      Tomás   Vino   Alvarado,   respectivamente,   por   el   delito    de</w:t>
        <w:br/>
        <w:t xml:space="preserve">      asesinato[156]. El 13 de junio de 2003 el ministerio público solicitó</w:t>
        <w:br/>
        <w:t xml:space="preserve">      la apertura a  juicio  y  formuló  acusación  en  contra  de  Macario</w:t>
        <w:br/>
        <w:t xml:space="preserve">      Alvarado Toj, Francisco Alvarado Lajuj, Tomas  Vino  Alvarado,  Pablo</w:t>
        <w:br/>
        <w:t xml:space="preserve">      Ruiz Alvarado, Bonifacio Cuxum López y Lucas Lajuj Alvarado[157].</w:t>
        <w:br/>
        <w:br/>
        <w:t xml:space="preserve"> 101. El 10 de julio de 2003 el Tribunal de Sentencia Penal de Baja Verapaz</w:t>
        <w:br/>
        <w:t xml:space="preserve">      declaró la apertura del juicio[158]. El 28  de  octubre  de  2004  se</w:t>
        <w:br/>
        <w:t xml:space="preserve">      realizó la audiencia de debate oral y público[159]. Finalmente, el 28</w:t>
        <w:br/>
        <w:t xml:space="preserve">      de mayo de 2008 el  Tribunal  de  Sentencia  Penal  de  Baja  Verapaz</w:t>
        <w:br/>
        <w:t xml:space="preserve">      condenó a 30 años  de  prisión  a  Macario  Alvarado  Toj,  Francisco</w:t>
        <w:br/>
        <w:t xml:space="preserve">      Alvarado Lajuj, Tomás Vino Alvarado,  Pablo  Ruiz  Alvarado  y  Lucas</w:t>
        <w:br/>
        <w:t xml:space="preserve">      Lajuj Alvarado por el delito de asesinato en contra  de  26  personas</w:t>
        <w:br/>
        <w:t xml:space="preserve">      durante la masacre de Pacoxom incluyendo a Marta Julia Chen Osorio  y</w:t>
        <w:br/>
        <w:t xml:space="preserve">      Demetria Osorio Lajuj[160]. Asimismo, ordenó la certificación  de  la</w:t>
        <w:br/>
        <w:t xml:space="preserve">      decisión al ministerio público para que iniciara “las investigaciones</w:t>
        <w:br/>
        <w:t xml:space="preserve">      pertinentes a fin de determinar  la  responsabilidad  de  los  mandos</w:t>
        <w:br/>
        <w:t xml:space="preserve">      generales, superiores y subalternos del  ejército  nacional,  en  los</w:t>
        <w:br/>
        <w:t xml:space="preserve">      hechos que originaron el […] proceso” y “a efecto  de  determinar  la</w:t>
        <w:br/>
        <w:t xml:space="preserve">      responsabilidad de José Antonio Solares González en los hechos objeto</w:t>
        <w:br/>
        <w:t xml:space="preserve">      del […] proceso”[161].</w:t>
        <w:br/>
        <w:br/>
        <w:br/>
        <w:br/>
        <w:br/>
        <w:t>c.2.  Exhumaciones</w:t>
        <w:br/>
        <w:br/>
        <w:t xml:space="preserve"> 102. El 7 de octubre de 1993 se llevó a cabo una diligencia de  exhumación</w:t>
        <w:br/>
        <w:t xml:space="preserve">      en la aldea de Río Negro (Pacoxom)[162]. El 4  de  mayo  de  1994  el</w:t>
        <w:br/>
        <w:t xml:space="preserve">      Médico  Forense  Departamental  presentó  un   “informe   sobre   las</w:t>
        <w:br/>
        <w:t xml:space="preserve">      diligencias de exhumación en  Río  Negro  ante  el  Juez  de  Primera</w:t>
        <w:br/>
        <w:t xml:space="preserve">      Instancia del Departamento de Baja Verapaz”.  Según  el  informe,  el</w:t>
        <w:br/>
        <w:t xml:space="preserve">      cementerio clandestino estaba dividido  en  3  fosas  en  las  cuales</w:t>
        <w:br/>
        <w:t xml:space="preserve">      estaban inhumadas 143 personas, entre niños, mujeres y ancianos[163].</w:t>
        <w:br/>
        <w:t xml:space="preserve">      Se logró establecer la identificación de 3 osamentas, a saber,  Marta</w:t>
        <w:br/>
        <w:t xml:space="preserve">      Julia Chen Osorio, Demetrio Osorio Lajuj y Margarita Chen Uscap[164].</w:t>
        <w:br/>
        <w:br/>
        <w:t xml:space="preserve"> 103. Por otro lado, el 19, 20 y 21 de febrero de  1996  en  un  cementerio</w:t>
        <w:br/>
        <w:t xml:space="preserve">      clandestino se realizó la exhumación de  restos  de  miembros  de  la</w:t>
        <w:br/>
        <w:t xml:space="preserve">      comunidad de Río Negro que fallecieron durante  la  masacre  de  Agua</w:t>
        <w:br/>
        <w:t xml:space="preserve">      Fría[165]. El 18 de  marzo  de  1996  la  Fundación  de  Antropología</w:t>
        <w:br/>
        <w:t xml:space="preserve">      Forense de Guatemala, la cual participó en dicha  diligencia,  emitió</w:t>
        <w:br/>
        <w:t xml:space="preserve">      un informe antropológico  en  donde  precisó  que,  de  las  muestras</w:t>
        <w:br/>
        <w:t xml:space="preserve">      obtenidas mejor preservadas, habían muerto un mínimo 14  personas,  y</w:t>
        <w:br/>
        <w:t xml:space="preserve">      que no se excluía “la posibilidad de que  hayan  sido  más,  pero  en</w:t>
        <w:br/>
        <w:t xml:space="preserve">      ningún momento menos”. Asimismo, el informe indica que  a  pesar  del</w:t>
        <w:br/>
        <w:t xml:space="preserve">      estado de los restos óseos se había podido determinar que  la  muerte</w:t>
        <w:br/>
        <w:t xml:space="preserve">      de las víctimas había sido violenta[166] y que en “fecha reciente” el</w:t>
        <w:br/>
        <w:t xml:space="preserve">      cementerio había sido saqueado en parte, “ignorándose la  cantidad  y</w:t>
        <w:br/>
        <w:t xml:space="preserve">      cualidad de la evidencia perdida”[167].</w:t>
        <w:br/>
        <w:br/>
        <w:t xml:space="preserve"> 104. El 8, 9 y 11 de abril de 1997 se  llevó  a  cabo  una  diligencia  de</w:t>
        <w:br/>
        <w:t xml:space="preserve">      exhumación en un lugar denominado “Monte Redondo”,  en  la  aldea  de</w:t>
        <w:br/>
        <w:t xml:space="preserve">      Chitucán, Municipio de Rabinal, durante  la  cual  se  exhumaron  los</w:t>
        <w:br/>
        <w:t xml:space="preserve">      cadáveres de Juana Osorio, Mateo Pérez Siana,  Estefanía  y  Gregoria</w:t>
        <w:br/>
        <w:t xml:space="preserve">      Pérez Vargas[168]. No  obstante,  dichas  personas  no  figuran  como</w:t>
        <w:br/>
        <w:t xml:space="preserve">      víctimas del presente caso[169].</w:t>
        <w:br/>
        <w:br/>
        <w:t xml:space="preserve"> 105. El Tribunal no cuenta con mayor información acerca del estado de  las</w:t>
        <w:br/>
        <w:t xml:space="preserve">      exhumaciones o si se han realizado nuevas diligencias en el marco  de</w:t>
        <w:br/>
        <w:t xml:space="preserve">      la investigación de las masacres de Pacoxom y Agua Fría.</w:t>
        <w:br/>
        <w:br/>
        <w:br/>
        <w:t>c.3.  Solicitud de  información  a  autoridades  estatales  y  diligencias</w:t>
        <w:br/>
        <w:t>tendientes a la captura del ex coronel José Antonio González Solares</w:t>
        <w:br/>
        <w:br/>
        <w:t xml:space="preserve"> 106. El 8 de noviembre de 1993 el Juzgado de Primera  Instancia  Penal  de</w:t>
        <w:br/>
        <w:t xml:space="preserve">      Baja  Verapaz  solicitó   al   Comandante   de   Reservas   Militares</w:t>
        <w:br/>
        <w:t xml:space="preserve">      Departamental información sobre los señores Carlos Chen Gómez,  Tomás</w:t>
        <w:br/>
        <w:t xml:space="preserve">      Gómez Gonzáles y Pedro Gonzáles Gómez, con el fin  de  determinar  si</w:t>
        <w:br/>
        <w:t xml:space="preserve">      dichas personas integraban las PAC para el 13 de marzo de  1982[170].</w:t>
        <w:br/>
        <w:t xml:space="preserve">      Esta solicitud fue reiterada el 25 de enero de  1994[171].  El  6  de</w:t>
        <w:br/>
        <w:t xml:space="preserve">      febrero de 1994 el Comandante  de  Reservas  Militares  Departamental</w:t>
        <w:br/>
        <w:t xml:space="preserve">      informó al Juez que debía dirigir su solicitud al  Comandante  de  la</w:t>
        <w:br/>
        <w:t xml:space="preserve">      Zona Militar No.  4  dado  que  dentro  de  las  funciones  de  dicha</w:t>
        <w:br/>
        <w:t xml:space="preserve">      comandancia no estaba “el  control  de  los  Comités  Voluntarios  de</w:t>
        <w:br/>
        <w:t xml:space="preserve">      Defensa Civil” y su organización[172]. Por lo tanto, el 14 de febrero</w:t>
        <w:br/>
        <w:t xml:space="preserve">      de 1994 el Juez dirigió su solicitud de información al Comandante  de</w:t>
        <w:br/>
        <w:t xml:space="preserve">      dicha zona militar, quien el 9 de marzo de 1994 respondió  que  dicha</w:t>
        <w:br/>
        <w:t xml:space="preserve">      zona militar había sido creada el 23 de mayo de 1983, por lo  que  no</w:t>
        <w:br/>
        <w:t xml:space="preserve">      existían registros ni archivos de los integrantes de las PAC antes de</w:t>
        <w:br/>
        <w:t xml:space="preserve">      esa fecha[173].</w:t>
        <w:br/>
        <w:br/>
        <w:t xml:space="preserve"> 107. De acuerdo a la información y documentación presentada por las partes</w:t>
        <w:br/>
        <w:t xml:space="preserve">      y la Comisión Interamericana, diez años después, el 15  de  abril  de</w:t>
        <w:br/>
        <w:t xml:space="preserve">      2003 se libró orden de aprehensión en  contra  del  ex  coronel  José</w:t>
        <w:br/>
        <w:t xml:space="preserve">      Antonio Solares  González  como  “autor  intelectual  del  delito  de</w:t>
        <w:br/>
        <w:t xml:space="preserve">      asesinato”[174]. Al respecto, se han llevado a cabo  allanamientos  y</w:t>
        <w:br/>
        <w:t xml:space="preserve">      se  han  presentado  solicitudes  de  búsqueda,   entre   otros,   al</w:t>
        <w:br/>
        <w:t xml:space="preserve">      Departamento de Tránsito de la Policía Nacional Civil, a la Dirección</w:t>
        <w:br/>
        <w:t xml:space="preserve">      Nacional de Inmigración, el Ministerio de  la  Defensa  Nacional,  al</w:t>
        <w:br/>
        <w:t xml:space="preserve">      Instituto de Previsión Militar y a los bancos del sistema del Crédito</w:t>
        <w:br/>
        <w:t xml:space="preserve">      Hipotecario Nacional de Guatemala[175].</w:t>
        <w:br/>
        <w:br/>
        <w:t xml:space="preserve"> 108. El 14 de mayo de 2003 el Ministerio Público solicitó apoyo al  Fiscal</w:t>
        <w:br/>
        <w:t xml:space="preserve">      General de la  República  para  concluir  con  la  investigación  del</w:t>
        <w:br/>
        <w:t xml:space="preserve">      proceso. El Ministerio Público expresó que era “necesario cumplir con</w:t>
        <w:br/>
        <w:t xml:space="preserve">      la orden de aprehensión a efecto de  que  el  autor  intelectual  del</w:t>
        <w:br/>
        <w:t xml:space="preserve">      hecho [fuera] juzgado juntamente con los ejecutores […] para derribar</w:t>
        <w:br/>
        <w:t xml:space="preserve">      el muro de impunidad que existe en casos  similares”[176].  Asimismo,</w:t>
        <w:br/>
        <w:t xml:space="preserve">      informó que el señor Solares González había interpuesto  “un  recurso</w:t>
        <w:br/>
        <w:t xml:space="preserve">      de  exhibición  personal  ante  la  Sala   Cuarta   de   Apelaciones,</w:t>
        <w:br/>
        <w:t xml:space="preserve">      desconociéndose,  hasta  el   momento,   la   resolución   de   dicho</w:t>
        <w:br/>
        <w:t xml:space="preserve">      recurso”[177]. El 12 de marzo de 2009 el ministerio público  solicitó</w:t>
        <w:br/>
        <w:t xml:space="preserve">      al Juzgado de Primera Instancia Penal de Baja Verapaz  que  declarara</w:t>
        <w:br/>
        <w:t xml:space="preserve">      la rebeldía del señor Solares González y se reiterara las órdenes  de</w:t>
        <w:br/>
        <w:t xml:space="preserve">      aprehensión y de arraigo en su contra, entre otros[178], lo cual  fue</w:t>
        <w:br/>
        <w:t xml:space="preserve">      concedido al día siguiente por dicho Juzgado[179]. Hasta la fecha  no</w:t>
        <w:br/>
        <w:t xml:space="preserve">      se ha capturado a José Antonio Solares González.</w:t>
        <w:br/>
        <w:br/>
        <w:br/>
        <w:t xml:space="preserve">                                     IX</w:t>
        <w:br/>
        <w:t xml:space="preserve">       DERECHOS A LA LIBERTAD E INTEGRIDAD PERSONALES, A LA VIDA Y AL</w:t>
        <w:br/>
        <w:t xml:space="preserve"> RECONOCIMIENTO DE LA PERSONALIDAD JURÍDICA DE LOS MIEMBROS DE LA COMUNIDAD</w:t>
        <w:br/>
        <w:t xml:space="preserve">   DE RÍO NEGRO DESAPARECIDOS FORZADAMENTE, Y LOS DERECHOS DE LOS NIÑOS DE</w:t>
        <w:br/>
        <w:t xml:space="preserve">  RÍO NEGRO DESAPARECIDOS FORZOSAMENTE, EN RELACIÓN CON LAS OBLIGACIONES DE</w:t>
        <w:br/>
        <w:t xml:space="preserve">                     RESPETAR Y GARANTIZAR LOS DERECHOS</w:t>
        <w:br/>
        <w:br/>
        <w:br/>
        <w:t>A.    Alegatos de las partes y de la Comisión Interamericana</w:t>
        <w:br/>
        <w:br/>
        <w:t xml:space="preserve"> 109. La Comisión alegó que durante la masacre de 14 de  mayo  de  1982  que</w:t>
        <w:br/>
        <w:t xml:space="preserve">      tuvo lugar en Los Encuentros (supra párr. 80), miembros  del  ejército</w:t>
        <w:br/>
        <w:t xml:space="preserve">      guatemalteco y patrulleros de autodefensa  civil  “desaparecieron  [a]</w:t>
        <w:br/>
        <w:t xml:space="preserve">      alrededor  de  15  personas,  de  las  cuales   la   [Comisión   pudo]</w:t>
        <w:br/>
        <w:t xml:space="preserve">      identificar, al menos, a Ramona Lajuj y [al menor de edad] Manuel Chen</w:t>
        <w:br/>
        <w:t xml:space="preserve">      Sánchez”. Según la Comisión, la desaparición forzada de estas personas</w:t>
        <w:br/>
        <w:t xml:space="preserve">      constituye una violación continuada y pluriofensiva, agravada  por  el</w:t>
        <w:br/>
        <w:t xml:space="preserve">      hecho  de  que  se  enmarcó  dentro  de  un  contexto  de  persecución</w:t>
        <w:br/>
        <w:t xml:space="preserve">      sistemática en contra de la comunidad de Río Negro. Así, alegó que, al</w:t>
        <w:br/>
        <w:t xml:space="preserve">      ser “subid[o]s por la fuerza a helicópteros, al  margen  de  cualquier</w:t>
        <w:br/>
        <w:t xml:space="preserve">      presupuesto establecido […en la ley]”,  Ramona  Lajuj  y  Manuel  Chen</w:t>
        <w:br/>
        <w:t xml:space="preserve">      Sánchez sufrieron un “estado de detención ilegal y arbitraria  que  de</w:t>
        <w:br/>
        <w:t xml:space="preserve">      por sí [los] coloc[ó…] en una situación de vulnerabilidad de  la  cual</w:t>
        <w:br/>
        <w:t xml:space="preserve">      surge el riesgo de que se violen otros derechos […]”.  De  este  modo,</w:t>
        <w:br/>
        <w:t xml:space="preserve">      señaló que resulta evidente que estas personas sintieron un gran temor</w:t>
        <w:br/>
        <w:t xml:space="preserve">      y angustia “al verse  […]  abordadas  por  militares  y  patrulleros”.</w:t>
        <w:br/>
        <w:t xml:space="preserve">      Igualmente, la Comisión indicó  que  el  hecho  de  que  las  personas</w:t>
        <w:br/>
        <w:t xml:space="preserve">      mencionadas han  permanecido  desaparecidas  por  varios  años  en  un</w:t>
        <w:br/>
        <w:t xml:space="preserve">      contexto de violencia es suficiente para concluir que fueron  privadas</w:t>
        <w:br/>
        <w:t xml:space="preserve">      de su vida. Finalmente, la  Comisión  alegó  que  la  desaparición  de</w:t>
        <w:br/>
        <w:t xml:space="preserve">      Ramona Lajuj y Manuel Chen Sánchez ocasionó  su  exclusión  del  orden</w:t>
        <w:br/>
        <w:t xml:space="preserve">      jurídico e institucional del Estado, con  el  propósito  de  crear  un</w:t>
        <w:br/>
        <w:t xml:space="preserve">      vacío jurídico e impedir  que  estas  personas  pudieran  ejercer  sus</w:t>
        <w:br/>
        <w:t xml:space="preserve">      derechos. Por todo lo anterior, la Comisión alegó que el Estado violó,</w:t>
        <w:br/>
        <w:t xml:space="preserve">      en perjuicio de Ramona Lajuj y Manuel Chen Sánchez, los  artículos  3,</w:t>
        <w:br/>
        <w:t xml:space="preserve">      4, 5 y 7 de la Convención Americana, en relación con el  artículo  1.1</w:t>
        <w:br/>
        <w:t xml:space="preserve">      de la misma, y que  incumplió  las  obligaciones  establecidas  en  el</w:t>
        <w:br/>
        <w:t xml:space="preserve">      artículo I de la Convención sobre Desaparición Forzada.  Respecto  del</w:t>
        <w:br/>
        <w:t xml:space="preserve">      niño Manuel Chen Sánchez, la  Comisión  alegó  que  el  Estado  violó,</w:t>
        <w:br/>
        <w:t xml:space="preserve">      adicionalmente, el artículo 19 de la Convención Americana.</w:t>
        <w:br/>
        <w:br/>
        <w:t xml:space="preserve"> 110. Los representantes se adhirieron a  los  alegatos  de  la  Comisión  y</w:t>
        <w:br/>
        <w:t xml:space="preserve">      remitieron una lista al Tribunal en la cual identificaron,  además  de</w:t>
        <w:br/>
        <w:t xml:space="preserve">      Ramona Lajuj y Manuel Chen Sánchez, a otras 15  de  las  personas  que</w:t>
        <w:br/>
        <w:t xml:space="preserve">      supuestamente  fueron  obligadas  a  subir  a  un  helicóptero  y  que</w:t>
        <w:br/>
        <w:t xml:space="preserve">      posteriormente fueron desaparecidas por el ejército el 14 de  mayo  de</w:t>
        <w:br/>
        <w:t xml:space="preserve">      1982, durante la masacre  de  Los  Encuentros  (supra  párr.  80).  Al</w:t>
        <w:br/>
        <w:t xml:space="preserve">      respecto, alegaron que  la  desaparición  forzada  de  estas  personas</w:t>
        <w:br/>
        <w:t xml:space="preserve">      generó en su perjuicio la violación de los artículos 3, 4.1, 5.1,  5.2</w:t>
        <w:br/>
        <w:t xml:space="preserve">      y 7.1 de la Convención Americana, en relación con el artículo  1.1  de</w:t>
        <w:br/>
        <w:t xml:space="preserve">      dicho tratado.</w:t>
        <w:br/>
        <w:br/>
        <w:t xml:space="preserve"> 111.  Por  su  parte,  el  Estado  manifestó  su  “aceptación   total”   de</w:t>
        <w:br/>
        <w:t xml:space="preserve">      responsabilidad por  las  violaciones  alegadas  por  la  Comisión  en</w:t>
        <w:br/>
        <w:t xml:space="preserve">      perjuicio de Ramona Lajuj y  Manuel  Chen  Sánchez  (supra  párr.  17,</w:t>
        <w:br/>
        <w:t xml:space="preserve">      inciso a). Sin embargo, no se pronunció respecto de las demás personas</w:t>
        <w:br/>
        <w:t xml:space="preserve">      mencionadas por la Comisión y los representantes.</w:t>
        <w:br/>
        <w:br/>
        <w:br/>
        <w:t>B.    La desaparición  forzada  como  violación  múltiple  y  continuada  de</w:t>
        <w:br/>
        <w:t>derechos humanos</w:t>
        <w:br/>
        <w:br/>
        <w:t xml:space="preserve"> 112. En su jurisprudencia constante iniciada desde 1988[180], la  Corte  ha</w:t>
        <w:br/>
        <w:t xml:space="preserve">      establecido el carácter permanente o  continuado  de  la  desaparición</w:t>
        <w:br/>
        <w:t xml:space="preserve">      forzada de personas, el cual ha sido reconocido  de  manera  reiterada</w:t>
        <w:br/>
        <w:t xml:space="preserve">      por el Derecho Internacional de los  Derechos  Humanos.  La  Corte  ha</w:t>
        <w:br/>
        <w:t xml:space="preserve">      calificado al conjunto de violaciones múltiples y continuas de  varios</w:t>
        <w:br/>
        <w:t xml:space="preserve">      derechos protegidos por la Convención  como  desaparición  forzada  de</w:t>
        <w:br/>
        <w:t xml:space="preserve">      personas, con base en el desarrollo que para la época se había dado en</w:t>
        <w:br/>
        <w:t xml:space="preserve">      el ámbito del Derecho Internacional de los Derechos  Humanos[181].  La</w:t>
        <w:br/>
        <w:t xml:space="preserve">      jurisprudencia de este Tribunal ha sido precursora de la consolidación</w:t>
        <w:br/>
        <w:t xml:space="preserve">      de una perspectiva comprensiva de la pluriofensividad de los  derechos</w:t>
        <w:br/>
        <w:t xml:space="preserve">      afectados y el carácter permanente o continuado de  la  figura  de  la</w:t>
        <w:br/>
        <w:t xml:space="preserve">      desaparición  forzada  de  personas[182],  en  la  cual  el  acto   de</w:t>
        <w:br/>
        <w:t xml:space="preserve">      desaparición y su ejecución inician con la privación de la libertad de</w:t>
        <w:br/>
        <w:t xml:space="preserve">      la persona y la subsiguiente falta de información sobre su destino,  y</w:t>
        <w:br/>
        <w:t xml:space="preserve">      permanece  mientras  no  se  conozca  el  paradero   de   la   persona</w:t>
        <w:br/>
        <w:t xml:space="preserve">      desaparecida o se identifiquen con certeza sus restos[183]. Esta Corte</w:t>
        <w:br/>
        <w:t xml:space="preserve">      realizó dicha caracterización de la desaparición forzada  incluso  con</w:t>
        <w:br/>
        <w:t xml:space="preserve">      anterioridad a la  definición  contenida  en  el  artículo  II  de  la</w:t>
        <w:br/>
        <w:t xml:space="preserve">      Convención Interamericana sobre Desaparición Forzada de Personas.</w:t>
        <w:br/>
        <w:br/>
        <w:t xml:space="preserve"> 113. Como ya fue señalado, los actos constitutivos de desaparición  forzada</w:t>
        <w:br/>
        <w:t xml:space="preserve">      tienen carácter permanente mientras no se conozca el  paradero  de  la</w:t>
        <w:br/>
        <w:t xml:space="preserve">      víctima o se  hallen  sus  restos.  Sin  embargo,  particularmente  en</w:t>
        <w:br/>
        <w:t xml:space="preserve">      relación con este último aspecto, no se trata meramente  del  acto  de</w:t>
        <w:br/>
        <w:t xml:space="preserve">      encontrar los  restos  de  una  determinada  persona  sino  que  ello,</w:t>
        <w:br/>
        <w:t xml:space="preserve">      lógicamente, debe ir acompañado de la realización  de  las  pruebas  o</w:t>
        <w:br/>
        <w:t xml:space="preserve">      análisis  que  permitan  comprobar  que,  efectivamente,  esos  restos</w:t>
        <w:br/>
        <w:t xml:space="preserve">      corresponden a esa  persona.  Por  lo  tanto,  en  casos  de  presunta</w:t>
        <w:br/>
        <w:t xml:space="preserve">      desaparición forzada en que existan indicios de que la alegada víctima</w:t>
        <w:br/>
        <w:t xml:space="preserve">      ha fallecido, la determinación de si se ha configurado dicho  fenómeno</w:t>
        <w:br/>
        <w:t xml:space="preserve">      y la cesación del  mismo,  en  caso  de  que  los  restos  hayan  sido</w:t>
        <w:br/>
        <w:t xml:space="preserve">      localizados, necesariamente, establecer de la manera más fehaciente la</w:t>
        <w:br/>
        <w:t xml:space="preserve">      identidad del individuo a  quien  pertenecen  dichos  restos.  En  tal</w:t>
        <w:br/>
        <w:t xml:space="preserve">      sentido, la  autoridad  correspondiente  debe  proceder  a  la  pronta</w:t>
        <w:br/>
        <w:t xml:space="preserve">      exhumación de éstos  para  que  sean  examinados  por  un  profesional</w:t>
        <w:br/>
        <w:t xml:space="preserve">      competente[184].  Mientras  los  restos  no  sean  identificados,   la</w:t>
        <w:br/>
        <w:t xml:space="preserve">      desaparición forzada sigue ejecutándose.</w:t>
        <w:br/>
        <w:br/>
        <w:t xml:space="preserve"> 114. El fenómeno de  la  desaparición  forzada  de  personas  requiere  ser</w:t>
        <w:br/>
        <w:t xml:space="preserve">      analizado desde una perspectiva integral en razón de la pluralidad  de</w:t>
        <w:br/>
        <w:t xml:space="preserve">      conductas que, cohesionadas por  un  único  fin,  vulneran  de  manera</w:t>
        <w:br/>
        <w:t xml:space="preserve">      permanente, mientras subsistan, bienes  jurídicos  protegidos  por  la</w:t>
        <w:br/>
        <w:t xml:space="preserve">      Convención[185]. La Corte ha verificado la consolidación internacional</w:t>
        <w:br/>
        <w:t xml:space="preserve">      en el análisis de esta conducta, la cual configura una grave violación</w:t>
        <w:br/>
        <w:t xml:space="preserve">      de  derechos  humanos   dada   la   particular   relevancia   de   las</w:t>
        <w:br/>
        <w:t xml:space="preserve">      transgresiones  que  conlleva  y  la  naturaleza   de   los   derechos</w:t>
        <w:br/>
        <w:t xml:space="preserve">      lesionados, por lo que implica un craso  abandono  de  los  principios</w:t>
        <w:br/>
        <w:t xml:space="preserve">      esenciales en que se fundamenta el Sistema Interamericano[186],  y  su</w:t>
        <w:br/>
        <w:t xml:space="preserve">      prohibición ha alcanzado carácter de jus cogens[187].</w:t>
        <w:br/>
        <w:br/>
        <w:t xml:space="preserve"> 115.  La  jurisprudencia  de  este  Tribunal  ha  señalado  como  elementos</w:t>
        <w:br/>
        <w:t xml:space="preserve">      concurrentes  y  constitutivos  de  la  desaparición  forzada:  a)  la</w:t>
        <w:br/>
        <w:t xml:space="preserve">      privación de la  libertad;  b)  la  intervención  directa  de  agentes</w:t>
        <w:br/>
        <w:t xml:space="preserve">      estatales o la aquiescencia de éstos, y c) la negativa de reconocer la</w:t>
        <w:br/>
        <w:t xml:space="preserve">      detención y  de  revelar  la  suerte  o  el  paradero  de  la  persona</w:t>
        <w:br/>
        <w:t xml:space="preserve">      interesada[188].  Dicha  caracterización  es  consistente  con   otras</w:t>
        <w:br/>
        <w:t xml:space="preserve">      definiciones      contenidas      en      diferentes      instrumentos</w:t>
        <w:br/>
        <w:t xml:space="preserve">      internacionales[189],  la  jurisprudencia  del  Sistema   Europeo   de</w:t>
        <w:br/>
        <w:t xml:space="preserve">      Derechos Humanos[190], decisiones del Comité de Derechos  Humanos  del</w:t>
        <w:br/>
        <w:t xml:space="preserve">      Pacto Internacional de Derechos Civiles y Políticos[191], y decisiones</w:t>
        <w:br/>
        <w:t xml:space="preserve">      de altos tribunales nacionales[192].</w:t>
        <w:br/>
        <w:br/>
        <w:t xml:space="preserve"> 116. Al respecto, esta Corte ha señalado que “la privación de libertad  con</w:t>
        <w:br/>
        <w:t xml:space="preserve">      la cual inicia una  desaparición  forzada,  cualquiera  que  fuere  su</w:t>
        <w:br/>
        <w:t xml:space="preserve">      forma, es contraria al artículo 7 de  la  Convención  Americana”[193].</w:t>
        <w:br/>
        <w:t xml:space="preserve">      Igualmente, por la naturaleza misma de  la  desaparición  forzada,  la</w:t>
        <w:br/>
        <w:t xml:space="preserve">      Corte ha estimado que el Estado colocó a las  personas  en  una  grave</w:t>
        <w:br/>
        <w:t xml:space="preserve">      situación de vulnerabilidad y riesgo de sufrir daños irreparables a su</w:t>
        <w:br/>
        <w:t xml:space="preserve">      integridad personal y vida[194].  En  este  sentido,  la  desaparición</w:t>
        <w:br/>
        <w:t xml:space="preserve">      forzada es violatoria del derecho a la integridad personal porque  “el</w:t>
        <w:br/>
        <w:t xml:space="preserve">      solo hecho del aislamiento prolongado y de la incomunicación coactiva,</w:t>
        <w:br/>
        <w:t xml:space="preserve">      representa un tratamiento cruel e inhumano [...] en contradicción  con</w:t>
        <w:br/>
        <w:t xml:space="preserve">      los párrafos 1 y 2 [del artículo 5 de la Convención]”[195].</w:t>
        <w:br/>
        <w:br/>
        <w:t xml:space="preserve"> 117. Del mismo modo, el Tribunal  ha  reconocido  que  el  sometimiento  de</w:t>
        <w:br/>
        <w:t xml:space="preserve">      detenidos  a  cuerpos  represivos  oficiales,  agentes   estatales   o</w:t>
        <w:br/>
        <w:t xml:space="preserve">      particulares  que  actúen  con  su  aquiescencia  o  tolerancia,   que</w:t>
        <w:br/>
        <w:t xml:space="preserve">      impunemente practiquen la tortura y el asesinato, representa,  por  sí</w:t>
        <w:br/>
        <w:t xml:space="preserve">      mismo, una infracción al deber de prevención de violaciones al derecho</w:t>
        <w:br/>
        <w:t xml:space="preserve">      a la integridad personal y a la vida, aún en el  supuesto  de  que  no</w:t>
        <w:br/>
        <w:t xml:space="preserve">      puedan demostrarse los hechos violatorios en el caso concreto[196]. En</w:t>
        <w:br/>
        <w:t xml:space="preserve">      el presente caso, la  Corte  consideró  demostrado  que  en  Guatemala</w:t>
        <w:br/>
        <w:t xml:space="preserve">      existía  una  práctica   de   desapariciones   forzadas,   ejecuciones</w:t>
        <w:br/>
        <w:t xml:space="preserve">      extrajudiciales y tratos crueles o torturas por parte de organismos de</w:t>
        <w:br/>
        <w:t xml:space="preserve">      seguridad en la época de los hechos (supra párrs. 56 a 64).</w:t>
        <w:br/>
        <w:br/>
        <w:t xml:space="preserve"> 118. Por otro lado, este Tribunal ha estimado que, en casos de desaparición</w:t>
        <w:br/>
        <w:t xml:space="preserve">      forzada, atendiendo al carácter múltiple  y  complejo  de  esta  grave</w:t>
        <w:br/>
        <w:t xml:space="preserve">      violación  de  derechos  humanos,  su  ejecución  puede  conllevar  la</w:t>
        <w:br/>
        <w:t xml:space="preserve">      vulneración  específica  del   derecho   al   reconocimiento   de   la</w:t>
        <w:br/>
        <w:t xml:space="preserve">      personalidad jurídica, debido a que la consecuencia de la  negativa  a</w:t>
        <w:br/>
        <w:t xml:space="preserve">      reconocer la privación de libertad o paradero de  la  persona  es,  en</w:t>
        <w:br/>
        <w:t xml:space="preserve">      conjunto con los otros elementos de la desaparición,  la  “sustracción</w:t>
        <w:br/>
        <w:t xml:space="preserve">      de la protección de la ley” o bien  la  vulneración  de  la  seguridad</w:t>
        <w:br/>
        <w:t xml:space="preserve">      personal  y  jurídica  del  individuo  que  impide   directamente   el</w:t>
        <w:br/>
        <w:t xml:space="preserve">      reconocimiento de la personalidad jurídica[197].</w:t>
        <w:br/>
        <w:br/>
        <w:t xml:space="preserve"> 119. En tal sentido, la Corte ha considerado que el  contenido  propio  del</w:t>
        <w:br/>
        <w:t xml:space="preserve">      derecho  al  reconocimiento  de  la  personalidad  jurídica  es   que,</w:t>
        <w:br/>
        <w:t xml:space="preserve">      precisamente, se reconozca a  la  persona,  en  cualquier  parte  como</w:t>
        <w:br/>
        <w:t xml:space="preserve">      sujeto de derechos y obligaciones, y  que  pueda  ésta  gozar  de  los</w:t>
        <w:br/>
        <w:t xml:space="preserve">      derechos civiles fundamentales, lo cual implica la  capacidad  de  ser</w:t>
        <w:br/>
        <w:t xml:space="preserve">      titular de derechos (capacidad y goce) y de deberes; la  violación  de</w:t>
        <w:br/>
        <w:t xml:space="preserve">      aquel  reconocimiento  supone  desconocer  en  términos  absolutos  la</w:t>
        <w:br/>
        <w:t xml:space="preserve">      posibilidad de ser  titular  de  los  derechos  y  deberes  civiles  y</w:t>
        <w:br/>
        <w:t xml:space="preserve">      fundamentales[198]. Más allá de que la persona desaparecida  no  pueda</w:t>
        <w:br/>
        <w:t xml:space="preserve">      continuar gozando y  ejerciendo  otros,  y  eventualmente  todos,  los</w:t>
        <w:br/>
        <w:t xml:space="preserve">      derechos de los cuales también es titular, su  desaparición  busca  no</w:t>
        <w:br/>
        <w:t xml:space="preserve">      sólo una de las más graves formas de sustracción  de  una  persona  de</w:t>
        <w:br/>
        <w:t xml:space="preserve">      todo  ámbito  del  ordenamiento  jurídico,  sino  también   negar   su</w:t>
        <w:br/>
        <w:t xml:space="preserve">      existencia misma y dejarla en una  suerte  de  limbo  o  situación  de</w:t>
        <w:br/>
        <w:t xml:space="preserve">      indeterminación jurídica ante la sociedad y el Estado[199].</w:t>
        <w:br/>
        <w:br/>
        <w:t xml:space="preserve"> 120. Por lo que se refiere  a  los  derechos  del  niño  protegidos  en  la</w:t>
        <w:br/>
        <w:t xml:space="preserve">      Convención, la Corte ha establecido  que  los  niños  tienen  derechos</w:t>
        <w:br/>
        <w:t xml:space="preserve">      especiales a los que corresponden deberes específicos por parte de  la</w:t>
        <w:br/>
        <w:t xml:space="preserve">      familia, la sociedad y el Estado. Su condición  exige  una  protección</w:t>
        <w:br/>
        <w:t xml:space="preserve">      especial debida por este último y  que  debe  ser  entendida  como  un</w:t>
        <w:br/>
        <w:t xml:space="preserve">      derecho adicional  y  complementario  a  los  demás  derechos  que  la</w:t>
        <w:br/>
        <w:t xml:space="preserve">      Convención reconoce a toda persona[200]. La  prevalencia  del  interés</w:t>
        <w:br/>
        <w:t xml:space="preserve">      superior del niño debe ser entendida como la necesidad de satisfacción</w:t>
        <w:br/>
        <w:t xml:space="preserve">      de todos los derechos de los niños, que obliga  al  Estado  e  irradia</w:t>
        <w:br/>
        <w:t xml:space="preserve">      efectos en la  interpretación  de  todos  los  demás  derechos  de  la</w:t>
        <w:br/>
        <w:t xml:space="preserve">      Convención cuando el caso se refiera a menores de edad[201]. El Estado</w:t>
        <w:br/>
        <w:t xml:space="preserve">      debe prestar especial atención a las necesidades y a los  derechos  de</w:t>
        <w:br/>
        <w:t xml:space="preserve">      los  niños,  en   consideración   a   su   condición   particular   de</w:t>
        <w:br/>
        <w:t xml:space="preserve">      vulnerabilidad[202].</w:t>
        <w:br/>
        <w:br/>
        <w:t xml:space="preserve"> 121. En consideración de lo  anterior,  así  como  del  reconocimiento  de</w:t>
        <w:br/>
        <w:t xml:space="preserve">      responsabilidad efectuado por el  Estado  y  la  prueba  allegada  al</w:t>
        <w:br/>
        <w:t xml:space="preserve">      Tribunal, la Corte analizará los alegatos de las partes  relativos  a</w:t>
        <w:br/>
        <w:t xml:space="preserve">      la desaparición forzada de al menos quince personas transportadas  en</w:t>
        <w:br/>
        <w:t xml:space="preserve">      un helicóptero durante la masacre perpetrada el 14 de mayo de 1982 en</w:t>
        <w:br/>
        <w:t xml:space="preserve">      la comunidad de Los Encuentros (supra párr. 80),  cuyo  paradero  hoy</w:t>
        <w:br/>
        <w:t xml:space="preserve">      día todavía se desconoce, adicionalmente a Ramona Lajuj y el entonces</w:t>
        <w:br/>
        <w:t xml:space="preserve">      niño  Manuel  Chen  Sánchez,  víctimas  de  desaparición  forzada  ya</w:t>
        <w:br/>
        <w:t xml:space="preserve">      reconocida por el Estado.</w:t>
        <w:br/>
        <w:br/>
        <w:br/>
        <w:t>C.    Desaparición forzada de diecisiete personas llevadas en  helicóptero</w:t>
        <w:br/>
        <w:t>durante la masacre realizada el 14 de mayo de 1982 en Los Encuentros</w:t>
        <w:br/>
        <w:br/>
        <w:t xml:space="preserve"> 122. Respecto a los hechos de la masacre del 14 de mayo  de  1982  en  Los</w:t>
        <w:br/>
        <w:t xml:space="preserve">      Encuentros (supra párr. 80), el Tribunal observa,  en  primer  lugar,</w:t>
        <w:br/>
        <w:t xml:space="preserve">      que el Estado reconoció la desaparición forzada de la  señora  Ramona</w:t>
        <w:br/>
        <w:t xml:space="preserve">      Lajuj[203] y del niño Manuel Chen Sánchez (supra párr. 17, inciso a),</w:t>
        <w:br/>
        <w:t xml:space="preserve">      quienes, según consta en el expediente, formaron parte  del  referido</w:t>
        <w:br/>
        <w:t xml:space="preserve">      grupo  de  personas  obligadas  a  subir  a  un  helicóptero  en  Los</w:t>
        <w:br/>
        <w:t xml:space="preserve">      Encuentros[204].   Al   respecto,   Manuel   Chen    Sánchez    tenía</w:t>
        <w:br/>
        <w:t xml:space="preserve">      aproximadamente dos años en el momento en  que  fue  desaparecido,  y</w:t>
        <w:br/>
        <w:t xml:space="preserve">      habría cumplido siete años al momento en  que  el  Estado  aceptó  la</w:t>
        <w:br/>
        <w:t xml:space="preserve">      competencia contenciosa del Tribunal[205].</w:t>
        <w:br/>
        <w:br/>
        <w:t xml:space="preserve"> 123. Por otro lado, si bien la Comisión no identificó  e  individualizó  a</w:t>
        <w:br/>
        <w:t xml:space="preserve">      otras personas presuntamente desaparecidas durante la masacre de  Los</w:t>
        <w:br/>
        <w:t xml:space="preserve">      Encuentros (supra párr. 109), a pesar de que este hecho se  encuentra</w:t>
        <w:br/>
        <w:t xml:space="preserve">      referido en el Informe de fondo del presente caso, los representantes</w:t>
        <w:br/>
        <w:t xml:space="preserve">      remitieron una lista al Tribunal en la que  constan  los  nombres  de</w:t>
        <w:br/>
        <w:t xml:space="preserve">      otras quince personas supuestamente subidas a un helicóptero ese  día</w:t>
        <w:br/>
        <w:t xml:space="preserve">      (supra párr. 110), de las cuales todavía no se sabe su paradero[206].</w:t>
        <w:br/>
        <w:t xml:space="preserve">      Tales personas son Aurelia  Alvarado  Ivoy,  Cornelio  Osorio  Lajúj,</w:t>
        <w:br/>
        <w:t xml:space="preserve">      Demetria Osorio Tahuico, Fermin  Tum  Chén,  Francisco  Chen  Osorio,</w:t>
        <w:br/>
        <w:t xml:space="preserve">      Francísco Sánchez Sic, Héctor López  Osorio,  Jerónimo  Osorio  Chen,</w:t>
        <w:br/>
        <w:t xml:space="preserve">      Luciano Osorio Chen, Pablo Osorio Tahuico, Pedro  Chén  Rojas,  Pedro</w:t>
        <w:br/>
        <w:t xml:space="preserve">      López Osorio, Pedro Osorio Chén, Sebastiana Osorio Tahuico y  Soterio</w:t>
        <w:br/>
        <w:t xml:space="preserve">      Pérez Tum. El Estado no se refirió a dicha lista habiendo  tenido  la</w:t>
        <w:br/>
        <w:t xml:space="preserve">      oportunidad de hacerlo (supra párrs. 5, y  111).  Los  representantes</w:t>
        <w:br/>
        <w:t xml:space="preserve">      también presentaron como prueba de la  identidad  de  tales  personas</w:t>
        <w:br/>
        <w:t xml:space="preserve">      actas de defunción, en ocho de las  cuales  se  consigna  su  “muerte</w:t>
        <w:br/>
        <w:t xml:space="preserve">      presunta” o que la causa de muerte “se ignora” o “se desconoce”[207].</w:t>
        <w:br/>
        <w:t xml:space="preserve">      Como ya se mencionó, entre estas personas se encuentra Francisco Chen</w:t>
        <w:br/>
        <w:t xml:space="preserve">      Osorio. Además de su acta de defunción, en la  cual  se  consigna  su</w:t>
        <w:br/>
        <w:t xml:space="preserve">      “muerte presunta”, su nombre fue mencionado por José Osorio Sic  ante</w:t>
        <w:br/>
        <w:t xml:space="preserve">      la autoridad judicial como parte de las personas que fueron subidas a</w:t>
        <w:br/>
        <w:t xml:space="preserve">      un helicóptero el 14 de mayo de 1982[208].</w:t>
        <w:br/>
        <w:br/>
        <w:t xml:space="preserve"> 124. Al respecto, la Corte observa que, de conformidad con la  información</w:t>
        <w:br/>
        <w:t xml:space="preserve">      aportada por los representantes y el Estado (supra párr. 12),  en  el</w:t>
        <w:br/>
        <w:t xml:space="preserve">      momento en que fueron expedidos dichos  certificados  la  legislación</w:t>
        <w:br/>
        <w:t xml:space="preserve">      guatemalteca,  particularmente,  el  Decreto  75-97   “Ley   Temporal</w:t>
        <w:br/>
        <w:t xml:space="preserve">      Especial de Documentación Personal” surgido mediante los Acuerdos  de</w:t>
        <w:br/>
        <w:t xml:space="preserve">      Paz (supra párr. 64)  y,  posteriormente,  el  Decreto  09-2006  “Ley</w:t>
        <w:br/>
        <w:t xml:space="preserve">      Temporal Especial de para la Documentación de Personas”, permitían la</w:t>
        <w:br/>
        <w:t xml:space="preserve">      inscripción  de  una  “muerte  presunta”  al  registro  de  defunción</w:t>
        <w:br/>
        <w:t xml:space="preserve">      correspondiente  si  la   persona   presuntamente   difunta   hubiere</w:t>
        <w:br/>
        <w:t xml:space="preserve">      “desaparecido por detención, arresto o privación  de  su  libertad[;]</w:t>
        <w:br/>
        <w:t xml:space="preserve">      desaparecido durante un enfrentamiento  armado  en  que  haya  tomado</w:t>
        <w:br/>
        <w:t xml:space="preserve">      parte o se encontrare en la zona de violencia generalizada[,  después</w:t>
        <w:br/>
        <w:t xml:space="preserve">      de transcurridos más de cinco años de su desaparición,] o  cuando  la</w:t>
        <w:br/>
        <w:t xml:space="preserve">      defunción haya ocurrido cuando el fallecido era refugiado, desplazado</w:t>
        <w:br/>
        <w:t xml:space="preserve">      externo y no se cuenta con la documentación del mismo”.</w:t>
        <w:br/>
        <w:br/>
        <w:t xml:space="preserve"> 125. De acuerdo a las aclaraciones de los representantes (supra párr. 12),</w:t>
        <w:br/>
        <w:t xml:space="preserve">      el propósito del Decreto 09-2006, como  lo  fue  del  Decreto  75-97,</w:t>
        <w:br/>
        <w:t xml:space="preserve">      ambos ya referidos, es,  entre  otros,  permitir  la  inscripción  de</w:t>
        <w:br/>
        <w:t xml:space="preserve">      defunciones de víctimas del conflicto armado interno,  sin  necesidad</w:t>
        <w:br/>
        <w:t xml:space="preserve">      de acudir ante juez pues puede hacerse sólo ante el registrador, para</w:t>
        <w:br/>
        <w:t xml:space="preserve">      tratar de solucionar problemas tales como trámites  sucesorios.  Para</w:t>
        <w:br/>
        <w:t xml:space="preserve">      el Tribunal, en el marco del presente  caso,  no  es  relevante  para</w:t>
        <w:br/>
        <w:t xml:space="preserve">      determinar la desaparición forzada de una persona el hecho de que  en</w:t>
        <w:br/>
        <w:t xml:space="preserve">      el acta de defunción no se consigne con precisión la causa de muerte.</w:t>
        <w:br/>
        <w:t xml:space="preserve">      Todo lo contrario, el hecho es que, hasta hoy en día, se desconoce el</w:t>
        <w:br/>
        <w:t xml:space="preserve">      paradero de las 17 personas que fueron subidas a un helicóptero el 14</w:t>
        <w:br/>
        <w:t xml:space="preserve">      de mayo de 1982 durante la masacre de Los Encuentros.</w:t>
        <w:br/>
        <w:br/>
        <w:t xml:space="preserve"> 126. De este modo, como fue señalado anteriormente (supra  párr.  51),  en</w:t>
        <w:br/>
        <w:t xml:space="preserve">      aplicación del artículo 35.2 del Reglamento, y  dado  que  no  existe</w:t>
        <w:br/>
        <w:t xml:space="preserve">      oposición del Estado (supra párr. 48), tomando en cuenta el  contexto</w:t>
        <w:br/>
        <w:t xml:space="preserve">      y  las  circunstancias  del  presente  caso,  según  las  cuales   la</w:t>
        <w:br/>
        <w:t xml:space="preserve">      desaparición forzada  de  personas  fue  una  práctica  realizada  en</w:t>
        <w:br/>
        <w:t xml:space="preserve">      Guatemala durante el conflicto armado interno,  y  el  hecho  de  que</w:t>
        <w:br/>
        <w:t xml:space="preserve">      hasta el momento, luego de ser obligados a subir a un helicóptero, no</w:t>
        <w:br/>
        <w:t xml:space="preserve">      se tiene noticia de su paradero, la Corte estima que las 17  personas</w:t>
        <w:br/>
        <w:t xml:space="preserve">      señaladas por los representantes son víctimas de desaparición forzada</w:t>
        <w:br/>
        <w:t xml:space="preserve">      hasta la fecha.</w:t>
        <w:br/>
        <w:br/>
        <w:t xml:space="preserve"> 127. Por todo lo anterior, el Tribunal considera que el Estado  violó  los</w:t>
        <w:br/>
        <w:t xml:space="preserve">      derechos reconocidos en los artículos 3, 4.1, 5.1, 5.2, y 7.1  de  la</w:t>
        <w:br/>
        <w:t xml:space="preserve">      Convención Americana, en relación con el artículo 1.1  de  la  misma,</w:t>
        <w:br/>
        <w:t xml:space="preserve">      todos ellos en relación  con  las  obligaciones  establecidas  en  el</w:t>
        <w:br/>
        <w:t xml:space="preserve">      artículo  I.a)  de  la  Convención  sobre  Desaparición  Forzada,  en</w:t>
        <w:br/>
        <w:t xml:space="preserve">      perjuicio de Ramona Lajuj,  Manuel  Chen  Sánchez,  Aurelia  Alvarado</w:t>
        <w:br/>
        <w:t xml:space="preserve">      Ivoy, Cornelio Osorio Lajúj,  Demetria  Osorio  Tahuico,  Fermin  Tum</w:t>
        <w:br/>
        <w:t xml:space="preserve">      Chén, Francisco Chen Osorio,  Francísco  Sánchez  Sic,  Héctor  López</w:t>
        <w:br/>
        <w:t xml:space="preserve">      Osorio, Jerónimo Osorio  Chen,  Luciano  Osorio  Chen,  Pablo  Osorio</w:t>
        <w:br/>
        <w:t xml:space="preserve">      Tahuico, Pedro Chén Rojas, Pedro López  Osorio,  Pedro  Osorio  Chén,</w:t>
        <w:br/>
        <w:t xml:space="preserve">      Sebastiana Osorio Tahuico y Soterio Pérez  Tum.  Asimismo,  la  Corte</w:t>
        <w:br/>
        <w:t xml:space="preserve">      considera que el Estado, adicionalmente, violó el artículo 19  de  la</w:t>
        <w:br/>
        <w:t xml:space="preserve">      Convención Americana, en relación con el artículo 1.1 de la misma, en</w:t>
        <w:br/>
        <w:t xml:space="preserve">      perjuicio de Manuel Chen Sánchez, menor de edad  al  momento  de  los</w:t>
        <w:br/>
        <w:t xml:space="preserve">      hechos.</w:t>
        <w:br/>
        <w:br/>
        <w:br/>
        <w:t xml:space="preserve">                                      X</w:t>
        <w:br/>
        <w:t xml:space="preserve">      DERECHO A LA INTEGRIDAD PERSONAL, EN RELACIÓN CON EL DERECHO A LA</w:t>
        <w:br/>
        <w:t xml:space="preserve"> PROTECCIÓN DE LA HONRA Y DE LA DIGNIDAD, LA PROHIBICIÓN DE LA ESCLAVITUD Y</w:t>
        <w:br/>
        <w:t xml:space="preserve"> SERVIDUMBRE, LA OBLIGACIÓN DE RESPETAR Y GARANTIZAR LOS DERECHOS DEL NIÑO,</w:t>
        <w:br/>
        <w:t xml:space="preserve">   LA PROTECCIÓN A LA FAMILIA, LA LIBERTAD DE CONCIENCIA Y RELIGIÓN, Y LA</w:t>
        <w:br/>
        <w:t xml:space="preserve">          OBLIGACIÓN GENERAL DE RESPETAR Y GARANTIZAR LOS DERECHOS</w:t>
        <w:br/>
        <w:br/>
        <w:br/>
        <w:t xml:space="preserve"> 128.  En  este  Capítulo,  tomando  en   cuenta   el   reconocimiento   de</w:t>
        <w:br/>
        <w:t xml:space="preserve">      responsabilidad realizado por el Estado (supra párr.  17),  la  Corte</w:t>
        <w:br/>
        <w:t xml:space="preserve">      analizará las presuntas afectaciones  a  la  integridad  personal  en</w:t>
        <w:br/>
        <w:t xml:space="preserve">      relación con: a) las consecuencias de las  violaciones  sexuales  que</w:t>
        <w:br/>
        <w:t xml:space="preserve">      sufrió la señora María Eustaquia Uscap Ivoy, b) las consecuencias  en</w:t>
        <w:br/>
        <w:t xml:space="preserve">      los 17 niños que fueron sustraídos de la comunidad  de  Río  Negro  y</w:t>
        <w:br/>
        <w:t xml:space="preserve">      sometidos a  condiciones  de  esclavitud  y  servidumbre,  y  c)  los</w:t>
        <w:br/>
        <w:t xml:space="preserve">      sobrevivientes de las masacres de Río Negro, por las  afectaciones  a</w:t>
        <w:br/>
        <w:t xml:space="preserve">      su libertad de conciencia y religión, y  las  consecuencias  para  la</w:t>
        <w:br/>
        <w:t xml:space="preserve">      integridad de los sobrevivientes de las masacres de Río Negro  debido</w:t>
        <w:br/>
        <w:t xml:space="preserve">      a la afectación a su cultura y al tejido social de su comunidad.</w:t>
        <w:br/>
        <w:br/>
        <w:br/>
        <w:t>A.    Violaciones de los derechos a la integridad personal y a la honra  y</w:t>
        <w:br/>
        <w:t>dignidad de María Eustaquia Uscap  Ivoy,  por  las  consecuencias  de  las</w:t>
        <w:br/>
        <w:t>violaciones sexuales que sufrió</w:t>
        <w:br/>
        <w:br/>
        <w:t>A.1.  Alegatos de las partes y de la Comisión Interamericana</w:t>
        <w:br/>
        <w:br/>
        <w:t xml:space="preserve"> 129. La Comisión y los representantes manifestaron que la violación sexual</w:t>
        <w:br/>
        <w:t xml:space="preserve">      cometida por miembros de las fuerzas de seguridad del  Estado  afectó</w:t>
        <w:br/>
        <w:t xml:space="preserve">      la integridad física, psíquica y moral de las víctimas, quebrantó  su</w:t>
        <w:br/>
        <w:t xml:space="preserve">      dignidad e invadió una de las esferas más íntimas de su vida,  la  de</w:t>
        <w:br/>
        <w:t xml:space="preserve">      su espacio físico y sexual, despojándolas de su  capacidad  de  tomar</w:t>
        <w:br/>
        <w:t xml:space="preserve">      decisiones respecto  de  sus  cuerpos.  Asimismo,  alegaron  que  las</w:t>
        <w:br/>
        <w:t xml:space="preserve">      violaciones sexuales de las mujeres de  la  comunidad  de  Río  Negro</w:t>
        <w:br/>
        <w:t xml:space="preserve">      constituyeron actos de tortura, puesto  que  fueron  perpetrados  por</w:t>
        <w:br/>
        <w:t xml:space="preserve">      agentes del Estado, generaron sufrimientos mentales y físicos severos</w:t>
        <w:br/>
        <w:t xml:space="preserve">      a las víctimas y tuvieron el propósito  de  humillar  a  éstas  y  de</w:t>
        <w:br/>
        <w:t xml:space="preserve">      exterminar a la comunidad. De este modo, alegaron  que  la  violación</w:t>
        <w:br/>
        <w:t xml:space="preserve">      sexual de  las  mujeres  constituyó  un  “arma  de  terror”  para  la</w:t>
        <w:br/>
        <w:t xml:space="preserve">      destrucción de la población maya, ya que “rompi[ó] lazos conyugales y</w:t>
        <w:br/>
        <w:t xml:space="preserve">      sociales,  gener[ó]  aislamiento  social  y  vergüenza   comunitaria,</w:t>
        <w:br/>
        <w:t xml:space="preserve">      provoc[ó]  abortos  y  filicidios,  [e]   impidi[ó]   matrimonios   y</w:t>
        <w:br/>
        <w:t xml:space="preserve">      nacimientos” dentro del grupo. Entre estos casos, la Comisión  y  los</w:t>
        <w:br/>
        <w:t xml:space="preserve">      representantes mencionaron el de María Eustaquia Uscap Ivoy.</w:t>
        <w:br/>
        <w:br/>
        <w:t xml:space="preserve"> 130. El Estado manifestó “su aceptación parcial” de las violaciones de los</w:t>
        <w:br/>
        <w:t xml:space="preserve">      artículos 5 y 11 de la Convención Americana  en  perjuicio  de  María</w:t>
        <w:br/>
        <w:t xml:space="preserve">      Eustaquia Uscap Ivoy, dado que, “por ser víctima  sobreviviente,  los</w:t>
        <w:br/>
        <w:t xml:space="preserve">      efectos físicos y emocionales de la  violación  que  sufrió  pudieron</w:t>
        <w:br/>
        <w:t xml:space="preserve">      trascender y persistir en el espacio temporal a partir  del  cual  la</w:t>
        <w:br/>
        <w:t xml:space="preserve">      Corte tiene competencia”.</w:t>
        <w:br/>
        <w:br/>
        <w:br/>
        <w:t>A.2.  Consideraciones de la Corte</w:t>
        <w:br/>
        <w:br/>
        <w:t xml:space="preserve"> 131. De conformidad con el reconocimiento de responsabilidad internacional</w:t>
        <w:br/>
        <w:t xml:space="preserve">      formulado por el Estado (supra párr.  17,  inciso  b),  la  Corte  se</w:t>
        <w:br/>
        <w:t xml:space="preserve">      pronunciará a continuación sobre las afectaciones a los derechos a la</w:t>
        <w:br/>
        <w:t xml:space="preserve">      integridad personal y a la honra y dignidad de la señora  Uscap  Ivoy</w:t>
        <w:br/>
        <w:t xml:space="preserve">      producidas a consecuencia de las violaciones sexuales que sufrió.</w:t>
        <w:br/>
        <w:br/>
        <w:t xml:space="preserve"> 132. En relación  con  el  artículo  5  de  la  Convención,  la  Corte  ha</w:t>
        <w:br/>
        <w:t xml:space="preserve">      considerado que la violación  sexual  es  una  experiencia  sumamente</w:t>
        <w:br/>
        <w:t xml:space="preserve">      traumática que tiene severas consecuencias y causa gran daño físico y</w:t>
        <w:br/>
        <w:t xml:space="preserve">      psicológico   que   deja   a   la   víctima   “humillada   física   y</w:t>
        <w:br/>
        <w:t xml:space="preserve">      emocionalmente”, situación difícilmente superable  por  el  paso  del</w:t>
        <w:br/>
        <w:t xml:space="preserve">      tiempo, a  diferencia  de  lo  que  acontece  en  otras  experiencias</w:t>
        <w:br/>
        <w:t xml:space="preserve">      traumáticas[209].  De  ello  se  desprende  que  es  inherente  a  la</w:t>
        <w:br/>
        <w:t xml:space="preserve">      violación sexual el sufrimiento severo de la víctima, aun  cuando  no</w:t>
        <w:br/>
        <w:t xml:space="preserve">      exista evidencia de lesiones o enfermedades físicas. En efecto, no en</w:t>
        <w:br/>
        <w:t xml:space="preserve">      todos los casos las  consecuencias  de  una  violación  sexual  serán</w:t>
        <w:br/>
        <w:t xml:space="preserve">      enfermedades o lesiones corporales. Las mujeres víctimas de violación</w:t>
        <w:br/>
        <w:t xml:space="preserve">      sexual también experimentan severos daños y secuelas psicológicas,  e</w:t>
        <w:br/>
        <w:t xml:space="preserve">      inclusive, sociales[210]. La Corte también  ha  establecido  que,  en</w:t>
        <w:br/>
        <w:t xml:space="preserve">      determinadas  situaciones,  la   violación   sexual   también   puede</w:t>
        <w:br/>
        <w:t xml:space="preserve">      constituir una forma de tortura de la víctima[211].</w:t>
        <w:br/>
        <w:br/>
        <w:t xml:space="preserve"> 133. Por otro lado, la Corte ha precisado que si bien el artículo 11 de la</w:t>
        <w:br/>
        <w:t xml:space="preserve">      Convención Americana se titula  “Protección  de  la  Honra  y  de  la</w:t>
        <w:br/>
        <w:t xml:space="preserve">      Dignidad”, su contenido incluye, entre otros,  la  protección  de  la</w:t>
        <w:br/>
        <w:t xml:space="preserve">      vida privada[212]. El concepto de vida privada comprende entre  otros</w:t>
        <w:br/>
        <w:t xml:space="preserve">      ámbitos protegidos, la vida sexual[213].</w:t>
        <w:br/>
        <w:br/>
        <w:t xml:space="preserve"> 134. Al respecto, en el  acervo  probatorio  se  encuentra  una  sentencia</w:t>
        <w:br/>
        <w:t xml:space="preserve">      emitida el 28 de mayo de 2008 por el  Tribunal  de  Sentencia  Penal,</w:t>
        <w:br/>
        <w:t xml:space="preserve">      Narcoactividad y Delitos contra el Ambiente del Departamento de  Baja</w:t>
        <w:br/>
        <w:t xml:space="preserve">      Verapaz, Salamá,  que  otorga  valor  probatorio  a  una  declaración</w:t>
        <w:br/>
        <w:t xml:space="preserve">      realizada oralmente por la señora Uscap Ivoy. Entre otros, la  señora</w:t>
        <w:br/>
        <w:t xml:space="preserve">      Uscap  Ivoy  indicó  en  dicha  ocasión,  que  había   sido   violada</w:t>
        <w:br/>
        <w:t xml:space="preserve">      sexualmente durante la  masacre  ocurrida  en  Pacoxom[214].  En  ese</w:t>
        <w:br/>
        <w:t xml:space="preserve">      sentido, de los hechos del presente caso se desprende que  la  señora</w:t>
        <w:br/>
        <w:t xml:space="preserve">      Uscap Ivoy en varias ocasiones fue víctima  de  violaciones  sexuales</w:t>
        <w:br/>
        <w:t xml:space="preserve">      por parte de patrulleros y militares, siendo aún menor de edad (supra</w:t>
        <w:br/>
        <w:t xml:space="preserve">      párr.  77).  Además,  mediante  declaración  rendida  ante  fedatario</w:t>
        <w:br/>
        <w:t xml:space="preserve">      público ante esta Corte, la señora Uscap Ivoy manifestó que “[l]o que</w:t>
        <w:br/>
        <w:t xml:space="preserve">      [le] hicieron no es una mentira, eso duele[,] y [que]  por  eso  [se]</w:t>
        <w:br/>
        <w:t xml:space="preserve">      involucr[ó] en buscar la justicia en Guatemala”[215]. Sobre esto,  la</w:t>
        <w:br/>
        <w:t xml:space="preserve">      Corte  observa  que  la  perita  Rosalina  Tuyuc  señaló  durante  la</w:t>
        <w:br/>
        <w:t xml:space="preserve">      audiencia pública que “la violación sexual signific[a, para la  mujer</w:t>
        <w:br/>
        <w:t xml:space="preserve">      maya,…] la deshonra, las críticas, los señalamientos y  la  vergüenza</w:t>
        <w:br/>
        <w:t xml:space="preserve">      que de alguna manera ocasiona dentro de la familia [y…] la vecindad”.</w:t>
        <w:br/>
        <w:br/>
        <w:t xml:space="preserve"> 135. De lo  anterior,  en  vista  del  reconocimiento  de  responsabilidad</w:t>
        <w:br/>
        <w:t xml:space="preserve">      formulado por Guatemala, por las  consecuencias  de  las  violaciones</w:t>
        <w:br/>
        <w:t xml:space="preserve">      sexuales sufridas por la señora María Eustaquia Uscap Ivoy, la  Corte</w:t>
        <w:br/>
        <w:t xml:space="preserve">      establece  que  el  Estado  violó  en  su  perjuicio   los   derechos</w:t>
        <w:br/>
        <w:t xml:space="preserve">      reconocidos en los artículos  5.1,  11.1  y  11.2  de  la  Convención</w:t>
        <w:br/>
        <w:t xml:space="preserve">      Americana, en relación con el artículo 1.1. de la misma.</w:t>
        <w:br/>
        <w:br/>
        <w:br/>
        <w:t>B.    Violación del derecho a la integridad personal, en relación  con  la</w:t>
        <w:br/>
        <w:t>prohibición de la esclavitud y servidumbre, y las obligaciones de respetar</w:t>
        <w:br/>
        <w:t>y garantizar los derechos del niño y  la  protección  de  la  familia,  en</w:t>
        <w:br/>
        <w:t>perjuicio de diecisiete niños sustraídos de la Comunidad de Río Negro</w:t>
        <w:br/>
        <w:br/>
        <w:t>B.1.  Alegatos de las partes y de la Comisión Interamericana</w:t>
        <w:br/>
        <w:br/>
        <w:t xml:space="preserve"> 136. La Comisión indicó que diecisiete niños pertenecientes a la comunidad</w:t>
        <w:br/>
        <w:t xml:space="preserve">      de Río Negro que sobrevivieron a las  masacres  fueron  entregados  y</w:t>
        <w:br/>
        <w:t xml:space="preserve">      obligados, bajo amenaza[216], a vivir  con  sus  victimarios  durante</w:t>
        <w:br/>
        <w:t xml:space="preserve">      varios años  para  la  realización  de  trabajos  forzados  que  eran</w:t>
        <w:br/>
        <w:t xml:space="preserve">      inadecuados para su edad. Según  la  Comisión,  estos  niños  “fueron</w:t>
        <w:br/>
        <w:t xml:space="preserve">      utilizados para  la  servidumbre  de  la  casa  […,]  maltrata[dos…],</w:t>
        <w:br/>
        <w:t xml:space="preserve">      golpe[ados…]  y  oblig[ados…]  a  trabajar  demasiado”.  La  Comisión</w:t>
        <w:br/>
        <w:t xml:space="preserve">      enfatizó que los niños y niñas fueron sometidos a  trabajos  forzados</w:t>
        <w:br/>
        <w:t xml:space="preserve">      con la aquiescencia de miembros del ejército, y que  los  victimarios</w:t>
        <w:br/>
        <w:t xml:space="preserve">      también les tenían prohibido, incluso con amenazas de muerte,  hablar</w:t>
        <w:br/>
        <w:t xml:space="preserve">      con sus familiares, en caso de  que  éstos  estuvieran  vivos  y  los</w:t>
        <w:br/>
        <w:t xml:space="preserve">      encontraran en la calle. Por todo lo anterior, la Comisión alegó  que</w:t>
        <w:br/>
        <w:t xml:space="preserve">      Guatemala  violó  los  artículos  6.2,  17  y  19  de  la  Convención</w:t>
        <w:br/>
        <w:t xml:space="preserve">      Americana, en relación con el artículo 1.1 de la misma, en  perjuicio</w:t>
        <w:br/>
        <w:t xml:space="preserve">      de Agustín Chen Osorio, Celestina  Uscap  Ivoy,  Cruz  Pérez  Osorio,</w:t>
        <w:br/>
        <w:t xml:space="preserve">      Froilan Uscap Ivoy, Jesús Tecú Osorio, José Osorio Osorio, Juan  Chen</w:t>
        <w:br/>
        <w:t xml:space="preserve">      Chen, Juan Chen Osorio, Juan Pérez Osorio,  Juan  Uscap  Ivoy,  Juana</w:t>
        <w:br/>
        <w:t xml:space="preserve">      Chen Osorio, María Eustaquia Uscap Ivoy, Pedro Sic Sánchez,  Silveria</w:t>
        <w:br/>
        <w:t xml:space="preserve">      Lajuj Tum, Tomasa Osorio Chen, Florinda  Uscap  Ivoy  y  Juan  Osorio</w:t>
        <w:br/>
        <w:t xml:space="preserve">      Alvarado.</w:t>
        <w:br/>
        <w:br/>
        <w:t xml:space="preserve"> 137. Los representantes alegaron que  se  vulneraron  los  derechos  a  la</w:t>
        <w:br/>
        <w:t xml:space="preserve">      dignidad,  a  la  libertad  personal  y  a  la  integridad  física  y</w:t>
        <w:br/>
        <w:t xml:space="preserve">      psicológica de dieciocho niños sobrevivientes de la  masacre  de  Río</w:t>
        <w:br/>
        <w:t xml:space="preserve">      Negro, “[d]ebido a que la única razón por la que no fueron asesinados</w:t>
        <w:br/>
        <w:t xml:space="preserve">      fue para ser llevados a Xococ a  las  casas  de  los  patrulleros  de</w:t>
        <w:br/>
        <w:t xml:space="preserve">      Autodefensa Civil (PAC) y ser esclavizados por los victimarios de sus</w:t>
        <w:br/>
        <w:t xml:space="preserve">      familiares, amigos y conocidos”[217].  Asimismo,  alegaron  que,  “al</w:t>
        <w:br/>
        <w:t xml:space="preserve">      haber sido sometidos estos niños a una situación  de  esclavitud,  se</w:t>
        <w:br/>
        <w:t xml:space="preserve">      agravó la situación de destrucción  de  su  núcleo  familiar  que  se</w:t>
        <w:br/>
        <w:t xml:space="preserve">      sumaba a las atrocidades de las que fue víctima  [la]  comunidad  [de</w:t>
        <w:br/>
        <w:t xml:space="preserve">      Río Negro]”. Así, “el Estado no solamente dejó de garantizar el pleno</w:t>
        <w:br/>
        <w:t xml:space="preserve">      ejercicio de sus derechos sino que  de  igual  manera  no  prestó  la</w:t>
        <w:br/>
        <w:t xml:space="preserve">      protección especial de la que es titular  todo  niño”.  Por  todo  lo</w:t>
        <w:br/>
        <w:t xml:space="preserve">      anterior, los  representantes  afirmaron  que  el  Estado  violó  los</w:t>
        <w:br/>
        <w:t xml:space="preserve">      artículos 6, 17 y 19 de la Convención  Americana,  en  perjuicio  de:</w:t>
        <w:br/>
        <w:t xml:space="preserve">      Agustín Chen Osorio, Celestina Uscap Ivoy, Cruz Pérez Osorio, Froilan</w:t>
        <w:br/>
        <w:t xml:space="preserve">      Uscap Ivoy, Jesús Tecú Osorio, José Osorio Osorio,  Juan  Chen  Chen,</w:t>
        <w:br/>
        <w:t xml:space="preserve">      Juan Chen Osorio, Juan Pérez Osorio,  Juan  Uscap  Ivoy,  Juana  Chen</w:t>
        <w:br/>
        <w:t xml:space="preserve">      Osorio, María Eustaquia Uscap Ivoy, Pedro Sic Sánchez, Silveria Lajuj</w:t>
        <w:br/>
        <w:t xml:space="preserve">      Tum, Tomasa Osorio Chen, Florinda Uscap Ivoy, Juan Osorio Alvarado  y</w:t>
        <w:br/>
        <w:t xml:space="preserve">      Bernarda Lajuj Osorio.</w:t>
        <w:br/>
        <w:br/>
        <w:t xml:space="preserve"> 138. El Estado “manif[estó] su aceptación parcial por  las  violaciones  a</w:t>
        <w:br/>
        <w:t xml:space="preserve">      derechos  humanos  protegidos  en  los  artículos  6  y  17   de   la</w:t>
        <w:br/>
        <w:t xml:space="preserve">      [Convención]”,  en perjuicio de Agustín Chen Osorio, Celestina  Uscap</w:t>
        <w:br/>
        <w:t xml:space="preserve">      Ivoy, Cruz Pérez Osorio, Froilan Uscap Ivoy, Jesús Tecú Osorio,  José</w:t>
        <w:br/>
        <w:t xml:space="preserve">      Osorio Osorio, Juan Chen Chen, Juan Chen Osorio, Juan  Pérez  Osorio,</w:t>
        <w:br/>
        <w:t xml:space="preserve">      Juan Uscap Ivoy, Juana Chen Osorio, María Eustaquia Uscap Ivoy, Pedro</w:t>
        <w:br/>
        <w:t xml:space="preserve">      Sic Sánchez, Silveria Lajuj Tum, Tomasa Osorio Chen,  Florinda  Uscap</w:t>
        <w:br/>
        <w:t xml:space="preserve">      Ivoy y Juan Burrero, es decir, Juan Osorio Alvarado (supra párr.  17,</w:t>
        <w:br/>
        <w:t xml:space="preserve">      inciso d). Lo anterior, “en virtud que dichas violaciones a  derechos</w:t>
        <w:br/>
        <w:t xml:space="preserve">      humanos pudieron trascender y persistir en el  tiempo  a  partir  del</w:t>
        <w:br/>
        <w:t xml:space="preserve">      cual la Corte tiene competencia para conocer  violaciones  en  contra</w:t>
        <w:br/>
        <w:t xml:space="preserve">      del Estado […]”. En relación con el artículo 19 de la Convención,  el</w:t>
        <w:br/>
        <w:t xml:space="preserve">      Estado “reconoc[ió] su responsabilidad [respecto de]  aquellos  niños</w:t>
        <w:br/>
        <w:t xml:space="preserve">      que no habían cumplido 18  años  al  momento  de  ser  ratificada  la</w:t>
        <w:br/>
        <w:t xml:space="preserve">      competencia de la  Corte  […].  En  relación  con  la  víctima  Maria</w:t>
        <w:br/>
        <w:t xml:space="preserve">      Eustaquia Uscap Ivoy[,] el  Estado[…]  manifest[ó]  su  oposición  en</w:t>
        <w:br/>
        <w:t xml:space="preserve">      cuanto a la vulneración de este derecho”, puesto que  al  momento  de</w:t>
        <w:br/>
        <w:t xml:space="preserve">      aceptar la competencia contenciosa de la Corte, esta persona  ya  era</w:t>
        <w:br/>
        <w:t xml:space="preserve">      mayor de edad (supra párrs. 17, inciso e, y 18, inciso i).</w:t>
        <w:br/>
        <w:br/>
        <w:br/>
        <w:t>B.2.  Consideraciones de la Corte</w:t>
        <w:br/>
        <w:br/>
        <w:t xml:space="preserve"> 139. En su  contestación  al  sometimiento  del  caso,  el  Estado  aceptó</w:t>
        <w:br/>
        <w:t xml:space="preserve">      responsabilidad  “parcial”  por  la   violación   de   los   derechos</w:t>
        <w:br/>
        <w:t xml:space="preserve">      reconocidos en los artículos 6 y 17 de la Convención, en perjuicio de</w:t>
        <w:br/>
        <w:t xml:space="preserve">      Agustín Chen Osorio, Celestina Uscap Ivoy, Cruz Pérez Osorio, Froilan</w:t>
        <w:br/>
        <w:t xml:space="preserve">      Uscap Ivoy, Jesús Tecú Osorio, José Osorio Osorio,  Juan  Chen  Chen,</w:t>
        <w:br/>
        <w:t xml:space="preserve">      Juan Chen Osorio, Juan Pérez Osorio,  Juan  Uscap  Ivoy,  Juana  Chen</w:t>
        <w:br/>
        <w:t xml:space="preserve">      Osorio, María Eustaquia Uscap Ivoy, Pedro Sic Sánchez, Silveria Lajuj</w:t>
        <w:br/>
        <w:t xml:space="preserve">      Tum, Tomasa Osorio Chen, Florinda Uscap Ivoy  y  Juan  Burrero,  este</w:t>
        <w:br/>
        <w:t xml:space="preserve">      último también conocido como Juan Osorio Alvarado, puesto que “dichas</w:t>
        <w:br/>
        <w:t xml:space="preserve">      violaciones a derechos humanos pudieron trascender y persistir en  el</w:t>
        <w:br/>
        <w:t xml:space="preserve">      tiempo a partir del cual la Corte tiene  competencia”.  Asimismo,  el</w:t>
        <w:br/>
        <w:t xml:space="preserve">      Estado reconoció su responsabilidad por la violación del artículo  19</w:t>
        <w:br/>
        <w:t xml:space="preserve">      de la Convención en perjuicio de todas las personas  mencionadas  que</w:t>
        <w:br/>
        <w:t xml:space="preserve">      no habían cumplido 18 años al momento en que  aceptó  la  competencia</w:t>
        <w:br/>
        <w:t xml:space="preserve">      contenciosa del Tribunal, es  decir,  el  9  de  marzo  de  1987.  En</w:t>
        <w:br/>
        <w:t xml:space="preserve">      relación a este último punto, el Estado se opuso,  en  específico,  a</w:t>
        <w:br/>
        <w:t xml:space="preserve">      que se declare la violación del  artículo  19  de  la  Convención  en</w:t>
        <w:br/>
        <w:t xml:space="preserve">      perjuicio de María Eustaquia Uscap Ivoy.</w:t>
        <w:br/>
        <w:br/>
        <w:t xml:space="preserve"> 140. En vista del  reconocimiento  del  Estado,  la  Corte  analizará  las</w:t>
        <w:br/>
        <w:t xml:space="preserve">      afectaciones a la integridad personal de las personas mencionadas  en</w:t>
        <w:br/>
        <w:t xml:space="preserve">      el párrafo anterior que subsisten hasta la actualidad. Para ello,  el</w:t>
        <w:br/>
        <w:t xml:space="preserve">      Tribunal hará algunas consideraciones generales sobre la  prohibición</w:t>
        <w:br/>
        <w:t xml:space="preserve">      de la esclavitud y la servidumbre, establecida en el artículo 6 de la</w:t>
        <w:br/>
        <w:t xml:space="preserve">      Convención, así como sobre los derechos del niño y la protección a la</w:t>
        <w:br/>
        <w:t xml:space="preserve">      familia, reconocidos en los artículos 19 y 17 de  dicho  tratado.  La</w:t>
        <w:br/>
        <w:t xml:space="preserve">      Corte no se referirá en este apartado  a  la  señora  Bernarda  Lajuj</w:t>
        <w:br/>
        <w:t xml:space="preserve">      Osorio, quien, de conformidad con la  información  aportada  por  los</w:t>
        <w:br/>
        <w:t xml:space="preserve">      representantes, es  sobreviviente  de  la  masacre  ocurrida  en  Los</w:t>
        <w:br/>
        <w:t xml:space="preserve">      Encuentros (supra párrs. 12 y 46).</w:t>
        <w:br/>
        <w:br/>
        <w:t xml:space="preserve"> 141. De confomidad con el artículo 6 de la Convención, “[n]adie puede  ser</w:t>
        <w:br/>
        <w:t xml:space="preserve">      sometido a esclavitud o servidumbre, y tanto éstas, como la trata  de</w:t>
        <w:br/>
        <w:t xml:space="preserve">      esclavos y la trata de mujeres están prohibidas en todas sus formas”.</w:t>
        <w:br/>
        <w:t xml:space="preserve">      En su conocido obiter dictum de la sentencia dictada en el caso de la</w:t>
        <w:br/>
        <w:t xml:space="preserve">      Barcelona Traction,  Light  and  Power  Company,  Limited,  la  Corte</w:t>
        <w:br/>
        <w:t xml:space="preserve">      Internacional de Justicia precisó que  en  el  derecho  internacional</w:t>
        <w:br/>
        <w:t xml:space="preserve">      contemporáneo  la  protección  contra  la  esclavitud,  y  contra  la</w:t>
        <w:br/>
        <w:t xml:space="preserve">      discriminación racial, es una obligación  internacional  erga  omnes,</w:t>
        <w:br/>
        <w:t xml:space="preserve">      derivada “de los principios y reglas relativos a los derechos básicos</w:t>
        <w:br/>
        <w:t xml:space="preserve">      de  la  persona  humana”  y,  por  lo  tanto,  atañe  a   todos   los</w:t>
        <w:br/>
        <w:t xml:space="preserve">      Estados[218].</w:t>
        <w:br/>
        <w:br/>
        <w:t xml:space="preserve"> 142. Por otro lado, el artículo 19 de la  Convención  Americana  establece</w:t>
        <w:br/>
        <w:t xml:space="preserve">      que “[t]odo niño tiene derecho a las medidas  de  protección  que  su</w:t>
        <w:br/>
        <w:t xml:space="preserve">      condición de menor requiere por parte de su familia, de la sociedad y</w:t>
        <w:br/>
        <w:t xml:space="preserve">      del  Estado”.  A  criterio  de  la  Corte,  “esta  disposición   debe</w:t>
        <w:br/>
        <w:t xml:space="preserve">      entenderse como un derecho adicional, complementario, que el  tratado</w:t>
        <w:br/>
        <w:t xml:space="preserve">      establece para  seres  que  por  su  desarrollo  físico  y  emocional</w:t>
        <w:br/>
        <w:t xml:space="preserve">      necesitan de protección especial”[219]. Por lo tanto, el Estado  debe</w:t>
        <w:br/>
        <w:t xml:space="preserve">      asumir  una  posición  especial  de  garante  con  mayor  cuidado   y</w:t>
        <w:br/>
        <w:t xml:space="preserve">      responsabilidad, y debe tomar medidas  especiales  orientadas  en  el</w:t>
        <w:br/>
        <w:t xml:space="preserve">      principio del interés  superior  del  niño[220].  Este  principio  se</w:t>
        <w:br/>
        <w:t xml:space="preserve">      fundamenta  en  la  dignidad   misma   del   ser   humano,   en   las</w:t>
        <w:br/>
        <w:t xml:space="preserve">      características propias de los niños y las niñas, y en  la  necesidad</w:t>
        <w:br/>
        <w:t xml:space="preserve">      de propiciar el desarrollo de éstos, con pleno aprovechamiento de sus</w:t>
        <w:br/>
        <w:t xml:space="preserve">      potencialidades[221]. En tal sentido, el Estado debe prestar especial</w:t>
        <w:br/>
        <w:t xml:space="preserve">      atención a las  necesidades  y  a  los  derechos  de  los  niños,  en</w:t>
        <w:br/>
        <w:t xml:space="preserve">      consideración  a  su  condición  particular  de  vulnerabilidad[222].</w:t>
        <w:br/>
        <w:t xml:space="preserve">      Asimismo,  la  Corte  ha  afirmado  reiteradamente  que   “tanto   la</w:t>
        <w:br/>
        <w:t xml:space="preserve">      Convención Americana como la Convención sobre los Derechos  del  Niño</w:t>
        <w:br/>
        <w:t xml:space="preserve">      forman parte de un muy  comprensivo  corpus  juris  internacional  de</w:t>
        <w:br/>
        <w:t xml:space="preserve">      protección de los niños que debe servir […] para fijar el contenido y</w:t>
        <w:br/>
        <w:t xml:space="preserve">      los alcances de la disposición general definida en el artículo 19  de</w:t>
        <w:br/>
        <w:t xml:space="preserve">      la Convención Americana”[223].</w:t>
        <w:br/>
        <w:br/>
        <w:t xml:space="preserve"> 143. De este modo, la Corte considera importante señalar  que,  entre  las</w:t>
        <w:br/>
        <w:t xml:space="preserve">      medidas especiales de protección que  deben  adoptar  los  Estados  a</w:t>
        <w:br/>
        <w:t xml:space="preserve">      favor de los niños indígenas, se encuentra la de promover y  proteger</w:t>
        <w:br/>
        <w:t xml:space="preserve">      el derecho de éstos a vivir de acuerdo  con  su  propia  cultura,  su</w:t>
        <w:br/>
        <w:t xml:space="preserve">      propia religión y  su  propio  idioma[224],  obligación  adicional  y</w:t>
        <w:br/>
        <w:t xml:space="preserve">      complementaria definida en el artículo 30[225] de la Convención sobre</w:t>
        <w:br/>
        <w:t xml:space="preserve">      los Derechos del Niño[226], de la que Guatemala es Parte desde  el  6</w:t>
        <w:br/>
        <w:t xml:space="preserve">      de junio de 1990, y la cual dota de contenido al artículo  19  de  la</w:t>
        <w:br/>
        <w:t xml:space="preserve">      Convención Americana. Además, en la Observación General  No.  11,  el</w:t>
        <w:br/>
        <w:t xml:space="preserve">      Comité de  los  Derechos  del  Niño  consideró  que  “[e]l  ejercicio</w:t>
        <w:br/>
        <w:t xml:space="preserve">      efectivo de [los derechos de los niños indígenas] a la cultura, a  la</w:t>
        <w:br/>
        <w:t xml:space="preserve">      religión y al idioma constituyen  unos  cimientos  esenciales  de  un</w:t>
        <w:br/>
        <w:t xml:space="preserve">      Estado culturalmente diverso’’[227], y que este derecho constituye un</w:t>
        <w:br/>
        <w:t xml:space="preserve">      importante reconocimiento de las tradiciones y los valores colectivos</w:t>
        <w:br/>
        <w:t xml:space="preserve">      de las culturas indígenas[228].</w:t>
        <w:br/>
        <w:br/>
        <w:t xml:space="preserve"> 144. En casos anteriores, esta Corte ha sostenido que  el  desarrollo  del</w:t>
        <w:br/>
        <w:t xml:space="preserve">      niño es un  concepto  holístico  que  abarca  el  desarrollo  físico,</w:t>
        <w:br/>
        <w:t xml:space="preserve">      mental,  espiritual,  moral,  psicológico  y  social[229].  Para   el</w:t>
        <w:br/>
        <w:t xml:space="preserve">      desarrollo pleno y armonioso de su personalidad, los niños indígenas,</w:t>
        <w:br/>
        <w:t xml:space="preserve">      de acuerdo con su cosmovisión, preferiblemente requieren  formarse  y</w:t>
        <w:br/>
        <w:t xml:space="preserve">      crecer dentro de su entorno natural y cultural,  ya  que  poseen  una</w:t>
        <w:br/>
        <w:t xml:space="preserve">      identidad  distintiva  que  los  vincula  con  su  tierra,   cultura,</w:t>
        <w:br/>
        <w:t xml:space="preserve">      religión, e idioma[230].</w:t>
        <w:br/>
        <w:br/>
        <w:t xml:space="preserve"> 145. Por otro lado, el artículo 17 de la Convención Americana reconoce que</w:t>
        <w:br/>
        <w:t xml:space="preserve">      la familia es el elemento natural y  fundamental  de  la  sociedad  y</w:t>
        <w:br/>
        <w:t xml:space="preserve">      tiene derecho a la protección de la sociedad y el  Estado[231].  Dada</w:t>
        <w:br/>
        <w:t xml:space="preserve">      la importancia del derecho a la protección a la familia, la Corte  ha</w:t>
        <w:br/>
        <w:t xml:space="preserve">      establecido que el  Estado  se  encuentra  obligado  a  favorecer  el</w:t>
        <w:br/>
        <w:t xml:space="preserve">      desarrollo y la fortaleza del núcleo familiar y que la separación  de</w:t>
        <w:br/>
        <w:t xml:space="preserve">      niños  de  su  familia  constituye,  bajo  ciertas  condiciones,  una</w:t>
        <w:br/>
        <w:t xml:space="preserve">      violación de su derecho a la familia. Así, el niño  tiene  derecho  a</w:t>
        <w:br/>
        <w:t xml:space="preserve">      vivir  con  su  familia,  llamada  a   satisfacer   sus   necesidades</w:t>
        <w:br/>
        <w:t xml:space="preserve">      materiales, afectivas y psicológicas[232]. El derecho de toda persona</w:t>
        <w:br/>
        <w:t xml:space="preserve">      a recibir protección contra injerencias arbitrarias o ilegales en  su</w:t>
        <w:br/>
        <w:t xml:space="preserve">      familia, forma parte, implícitamente, del derecho a la protección  de</w:t>
        <w:br/>
        <w:t xml:space="preserve">      la familia y del niño”[233].</w:t>
        <w:br/>
        <w:br/>
        <w:t xml:space="preserve"> 146. Ahora bien, consta en el expediente ante el Tribunal que, con  motivo</w:t>
        <w:br/>
        <w:t xml:space="preserve">      de la sentencia emitida el 28 de mayo de  2008  por  el  Tribunal  de</w:t>
        <w:br/>
        <w:t xml:space="preserve">      Sentencia Penal, Narcoactividad y  Delitos  contra  el  Ambiente  del</w:t>
        <w:br/>
        <w:t xml:space="preserve">      Departamento de  Baja  Verapaz  (supra  párr.  101),  al  menos  diez</w:t>
        <w:br/>
        <w:t xml:space="preserve">      personas sustraídas de la Comunidad de Río Negro durante  la  masacre</w:t>
        <w:br/>
        <w:t xml:space="preserve">      ocurrida en  Pacoxom  rindieron  declaraciones[234]  y,  según  dicho</w:t>
        <w:br/>
        <w:t xml:space="preserve">      tribunal,  coincidieron  en  relatar  “las  trágicas  vivencias   que</w:t>
        <w:br/>
        <w:t xml:space="preserve">      tuvieron que experimentar para sobrevivir en un  ambiente  extraño  y</w:t>
        <w:br/>
        <w:t xml:space="preserve">      hostil para ellos”[235], cuando de niños, fueron “obligados  a  vivir</w:t>
        <w:br/>
        <w:t xml:space="preserve">      con familias que no eran las propias y en una comunidad que  les  era</w:t>
        <w:br/>
        <w:t xml:space="preserve">      ajena”[236]. Asimismo, al valorar  el  testimonio  de  una  de  estas</w:t>
        <w:br/>
        <w:t xml:space="preserve">      personas, Pedro Sic Sánchez, el mencionado tribunal se refirió a “los</w:t>
        <w:br/>
        <w:t xml:space="preserve">      vejámenes  que,  evidentemente,  marcaron  física  y  anímicamente  a</w:t>
        <w:br/>
        <w:t xml:space="preserve">      víctimas como este testigo[, quien había sido] sustraído de su aldea”</w:t>
        <w:br/>
        <w:t xml:space="preserve">      para vivir con sus victimarios[237].</w:t>
        <w:br/>
        <w:br/>
        <w:t xml:space="preserve"> 147. En este sentido, el  señor  Juan  Uscap  Ivoy  declaró  que:  “pas[ó]</w:t>
        <w:br/>
        <w:t xml:space="preserve">      sufrimiento con [las personas que lo retuvieron] aproximadamente  […]</w:t>
        <w:br/>
        <w:t xml:space="preserve">      dos años y medio, sufrimos, hicieron lo que ellos quisieron  […],  lo</w:t>
        <w:br/>
        <w:t xml:space="preserve">      que es una violación de la niñez […] y ahora  estamos  con  el  dolor</w:t>
        <w:br/>
        <w:t xml:space="preserve">      […]”[238]. Asimismo,  ante  tribunales  internos[239]  y  durante  la</w:t>
        <w:br/>
        <w:t xml:space="preserve">      audiencia pública celebrada ante esta  Corte,  el  señor  Jesús  Tecú</w:t>
        <w:br/>
        <w:t xml:space="preserve">      Osorio relató cómo el patrullero que había matado  a  su  hermano  de</w:t>
        <w:br/>
        <w:t xml:space="preserve">      aproximadamente un año durante la masacre en Pacoxom, le  obligaba  a</w:t>
        <w:br/>
        <w:t xml:space="preserve">      trabajar y abusaba de él, incluso, en una ocasión, ahorcándolo  hasta</w:t>
        <w:br/>
        <w:t xml:space="preserve">      que perdió la conciencia. En otra declaración rendida  en  el  ámbito</w:t>
        <w:br/>
        <w:t xml:space="preserve">      interno en el año 1995, el señor Tecú Osorio manifestó que: “[c]uando</w:t>
        <w:br/>
        <w:t xml:space="preserve">      […] recuerdo […] esta historia, […] esta tristeza, me da[n] ganas  de</w:t>
        <w:br/>
        <w:t xml:space="preserve">      vengarme de los que hicieron esto. […] Pero después  de  un  rato  me</w:t>
        <w:br/>
        <w:t xml:space="preserve">      digo que no, mejor no vengarme de ellos porque esto sería convertirme</w:t>
        <w:br/>
        <w:t xml:space="preserve">      en asesino como ellos”[240].</w:t>
        <w:br/>
        <w:br/>
        <w:t xml:space="preserve"> 148. Por otro lado, en una declaración rendida el 24 de junio de  2009  en</w:t>
        <w:br/>
        <w:t xml:space="preserve">      el ámbito interno, la señora Juana Chen  Osorio  dio  cuenta  de  los</w:t>
        <w:br/>
        <w:t xml:space="preserve">      abusos que  sufrió  junto  con  su  hermano  menor  en  la  casa  del</w:t>
        <w:br/>
        <w:t xml:space="preserve">      patrullero que los sustrajo de su aldea:</w:t>
        <w:br/>
        <w:br/>
        <w:t>“[…] yo me ponía a llorar en escondido, […] nos  cambiaron  de  nombre,  […]</w:t>
        <w:br/>
        <w:t>nos pegaba[n] a nosotros […] porque no  podíamos  trabajar  […].  Yo  ya  me</w:t>
        <w:br/>
        <w:t>desesperé [,] me dijo el Juan, me voy a ir de aquí y me voy  a  ir  a  matar</w:t>
        <w:br/>
        <w:t>[…] y la señora escuchó […] y fue a sacar brazas del fuego y  le  quemó  los</w:t>
        <w:br/>
        <w:t>pies al Juan[. E]mpecé a cuidar al Juan, pegaba gritos, a probás un  poquito</w:t>
        <w:br/>
        <w:t>le decía la señora[. U]stedes tienen que trabajar[. ¿D]e dónde va [a]  venir</w:t>
        <w:br/>
        <w:t>el dinero para sus ropas[?][241].</w:t>
        <w:br/>
        <w:br/>
        <w:t xml:space="preserve"> 149. Por su parte, Juan Chen Osorio declaró que  “ahorita  [es]  huérfano,</w:t>
        <w:br/>
        <w:t xml:space="preserve">      […] desde [los] cinco años h[a]  vivido  [su]  vida  [con]  tristeza,</w:t>
        <w:br/>
        <w:t xml:space="preserve">      dolor, [s]e sient[e] mal […,] por eso est[á] aquí[,] para declarar la</w:t>
        <w:br/>
        <w:t xml:space="preserve">      verdad […] ojalá que algún día no suceda[n] otra vez las  cosas  así,</w:t>
        <w:br/>
        <w:t xml:space="preserve">      […] lo que [él] h[a] pasado son cosas duras […] que nunca uno lo va a</w:t>
        <w:br/>
        <w:t xml:space="preserve">      olvidar [sic]”[242].</w:t>
        <w:br/>
        <w:br/>
        <w:t xml:space="preserve"> 150. De las declaraciones rendidas ante instancias internas  y  ante  este</w:t>
        <w:br/>
        <w:t xml:space="preserve">      Tribunal, es claro que las  personas  que  fueron  sustraídas  de  la</w:t>
        <w:br/>
        <w:t xml:space="preserve">      comunidad de Río Negro durante la masacre de  Pacoxom  y  que  fueron</w:t>
        <w:br/>
        <w:t xml:space="preserve">      obligadas a trabajar en casas  de  patrulleros  de  las  autodefensas</w:t>
        <w:br/>
        <w:t xml:space="preserve">      civiles  han sufrido un impacto agravado en  su  integridad  psíquica</w:t>
        <w:br/>
        <w:t xml:space="preserve">      cuyas consecuencias se mantienen hasta el  día  de  hoy.  Por  tanto,</w:t>
        <w:br/>
        <w:t xml:space="preserve">      tomando en cuenta el reconocimiento de responsabilidad del Estado, la</w:t>
        <w:br/>
        <w:t xml:space="preserve">      Corte considera que Guatemala es responsable de la violación  de  los</w:t>
        <w:br/>
        <w:t xml:space="preserve">      derechos reconocidos en el artículo 5.1 de la  Convención  Americana,</w:t>
        <w:br/>
        <w:t xml:space="preserve">      en relación con los artículos 6, 17 y 1.1 de la misma,  en  perjuicio</w:t>
        <w:br/>
        <w:t xml:space="preserve">      de María Eustaquia Uscap Ivoy. Asimismo, el Estado es responsable por</w:t>
        <w:br/>
        <w:t xml:space="preserve">      la violación del artículo 5.1 de la Convención, en relación  con  los</w:t>
        <w:br/>
        <w:t xml:space="preserve">      artículos 6, 17, 19 y 1.1 de la misma, en perjuicio de  Agustín  Chen</w:t>
        <w:br/>
        <w:t xml:space="preserve">      Osorio, Celestina Uscap Ivoy, Cruz Pérez Osorio, Froilan Uscap  Ivoy,</w:t>
        <w:br/>
        <w:t xml:space="preserve">      Jesús Tecú Osorio, José Osorio Osorio,  Juan  Chen  Chen,  Juan  Chen</w:t>
        <w:br/>
        <w:t xml:space="preserve">      Osorio, Juan Pérez Osorio, Juan Uscap Ivoy, Juana Chen Osorio,  Pedro</w:t>
        <w:br/>
        <w:t xml:space="preserve">      Sic Sánchez, Silveria Lajuj Tum, Tomasa Osorio Chen,  Florinda  Uscap</w:t>
        <w:br/>
        <w:t xml:space="preserve">      Ivoy y Juan Osorio Alvarado.</w:t>
        <w:br/>
        <w:br/>
        <w:br/>
        <w:t>C.     Violación del derecho a la integridad personal, en relación con  la</w:t>
        <w:br/>
        <w:t>libertad de conciencia y religión, y  el  derecho  a  la  cultura  de  los</w:t>
        <w:br/>
        <w:t>sobrevivientes de las masacres de Río Negro</w:t>
        <w:br/>
        <w:br/>
        <w:br/>
        <w:t>C.1.  Alegatos de las partes y de la Comisión Interamericana</w:t>
        <w:br/>
        <w:br/>
        <w:t xml:space="preserve"> 151. La Comisión y los representantes sostuvieron que,  como  consecuencia</w:t>
        <w:br/>
        <w:t xml:space="preserve">      de las masacres, la vida colectiva  de  la  comunidad  de  Río  Negro</w:t>
        <w:br/>
        <w:t xml:space="preserve">      “sufrió   fracturas   hasta   quedar   acéfala,    desintegrada    y,</w:t>
        <w:br/>
        <w:t xml:space="preserve">      prácticamente, aniquilada”, y que los hechos sucedidos modificaron la</w:t>
        <w:br/>
        <w:t xml:space="preserve">      costumbre comunitaria y fomentaron el aislamiento de sus miembros, lo</w:t>
        <w:br/>
        <w:t xml:space="preserve">      cual conllevó a la destrucción del tejido social de dicha  comunidad.</w:t>
        <w:br/>
        <w:t xml:space="preserve">      Debido a la militarización de la zona, que se mantuvo durante  varios</w:t>
        <w:br/>
        <w:t xml:space="preserve">      años, “los sobrevivientes tenían miedo  de  reconstruir  sus  tejidos</w:t>
        <w:br/>
        <w:t xml:space="preserve">      sociales”. Además, señalaron que la  forma  en  que  los  soldados  y</w:t>
        <w:br/>
        <w:t xml:space="preserve">      patrulleros enterraron o  destruyeron  los  restos  mortales  de  las</w:t>
        <w:br/>
        <w:t xml:space="preserve">      personas ejecutadas durante las  cinco  masacres  impidió  que  éstos</w:t>
        <w:br/>
        <w:t xml:space="preserve">      fueran  sepultados  de  conformidad  con  las  creencias  culturales,</w:t>
        <w:br/>
        <w:t xml:space="preserve">      religiosas y espirituales de la comunidad de Río  Negro,  las  cuales</w:t>
        <w:br/>
        <w:t xml:space="preserve">      otorgan importancia particular al vínculo que une a los vivos con los</w:t>
        <w:br/>
        <w:t xml:space="preserve">      muertos. Por lo  anterior,  consideraron  que  el  Estado  violó  los</w:t>
        <w:br/>
        <w:t xml:space="preserve">      artículos 12 y 16 de la Convención  Americana,  en  relación  con  el</w:t>
        <w:br/>
        <w:t xml:space="preserve">      artículo 1.1 de  la  misma,  en  perjuicio  de  los  miembros  de  la</w:t>
        <w:br/>
        <w:t xml:space="preserve">      comunidad de Río Negro.</w:t>
        <w:br/>
        <w:br/>
        <w:t xml:space="preserve"> 152. Como ya se señaló en esta Sentencia (supra párr. 17,  inciso  f),  el</w:t>
        <w:br/>
        <w:t xml:space="preserve">      Estado “manif[estó] su aceptación parcial” de  la  violación  de  los</w:t>
        <w:br/>
        <w:t xml:space="preserve">      derechos reconocidos en los  artículos  12  y  16  de  la  Convención</w:t>
        <w:br/>
        <w:t xml:space="preserve">      Americana, en relación con el artículo 1.1 de la misma, en  perjuicio</w:t>
        <w:br/>
        <w:t xml:space="preserve">      de los miembros de la comunidad de Río  Negro.  Lo  anterior,  puesto</w:t>
        <w:br/>
        <w:t xml:space="preserve">      que, según el Estado, “dichas violaciones pudieron trascender  en  el</w:t>
        <w:br/>
        <w:t xml:space="preserve">      tiempo y comprender el espacio temporal de competencia” de la Corte.</w:t>
        <w:br/>
        <w:br/>
        <w:br/>
        <w:t>C.2.  Consideraciones de la Corte</w:t>
        <w:br/>
        <w:br/>
        <w:t xml:space="preserve"> 153.  En   vista   del   reconocimiento   “parcial”   de   responsabilidad</w:t>
        <w:br/>
        <w:t xml:space="preserve">      internacional  formulado  por  el  Estado,  la  Corte   analizará   a</w:t>
        <w:br/>
        <w:t xml:space="preserve">      continuación las presuntas afectaciones a la integridad  personal  de</w:t>
        <w:br/>
        <w:t xml:space="preserve">      los miembros de la comunidad de Río Negro, derivadas del deterioro  a</w:t>
        <w:br/>
        <w:t xml:space="preserve">      su vida cultural y  espiritual  producido  por  la  imposibilidad  de</w:t>
        <w:br/>
        <w:t xml:space="preserve">      enterrar a sus muertos según sus creencias, y por la pérdida de guías</w:t>
        <w:br/>
        <w:t xml:space="preserve">      espirituales y lugares sagrados, así como por los  deterioros  en  su</w:t>
        <w:br/>
        <w:t xml:space="preserve">      estructura social y familiar.</w:t>
        <w:br/>
        <w:br/>
        <w:t xml:space="preserve"> 154. Al respecto, el Tribunal recuerda que la Convención Americana, en  su</w:t>
        <w:br/>
        <w:t xml:space="preserve">      artículo 12, contempla el derecho  a  la  libertad  de  conciencia  y</w:t>
        <w:br/>
        <w:t xml:space="preserve">      religión, el cual, según la jurisprudencia de este Tribunal,  permite</w:t>
        <w:br/>
        <w:t xml:space="preserve">      que las personas conserven, cambien, profesen y divulguen su religión</w:t>
        <w:br/>
        <w:t xml:space="preserve">      o sus creencias. Este derecho es uno de los cimientos de la  sociedad</w:t>
        <w:br/>
        <w:t xml:space="preserve">      democrática.  En  su  dimensión  religiosa,  constituye  un  elemento</w:t>
        <w:br/>
        <w:t xml:space="preserve">      trascendental en la protección de las convicciones de los creyentes y</w:t>
        <w:br/>
        <w:t xml:space="preserve">      en su forma de vida[243].</w:t>
        <w:br/>
        <w:br/>
        <w:t xml:space="preserve"> 155. La Convención Americana no contempla  explícitamente  el  derecho  de</w:t>
        <w:br/>
        <w:t xml:space="preserve">      “enterrar a los muertos”. La Corte Interamericana  ha  abordado  este</w:t>
        <w:br/>
        <w:t xml:space="preserve">      tema no  como  un  derecho  sustantivo,  sino  en  el  marco  de  las</w:t>
        <w:br/>
        <w:t xml:space="preserve">      reparaciones en casos  de  desapariciones  forzadas,  principalmente,</w:t>
        <w:br/>
        <w:t xml:space="preserve">      como consecuencia de la vulneración de algún otro derecho que sí esté</w:t>
        <w:br/>
        <w:t xml:space="preserve">      previsto en la Convención. Así, por ejemplo, el Tribunal ha  ordenado</w:t>
        <w:br/>
        <w:t xml:space="preserve">      que, de encontrarse los restos de  una  persona  desaparecida,  éstos</w:t>
        <w:br/>
        <w:t xml:space="preserve">      sean entregados a sus familiares y que el  Estado  cubra  los  gastos</w:t>
        <w:br/>
        <w:t xml:space="preserve">      funerales o de sepultura[244]. Asimismo, en otros casos, el  Tribunal</w:t>
        <w:br/>
        <w:t xml:space="preserve">      se ha referido a la imposibilidad de enterrar a los muertos  como  un</w:t>
        <w:br/>
        <w:t xml:space="preserve">      hecho que incrementa el sufrimiento y angustia de los familiares,  lo</w:t>
        <w:br/>
        <w:t xml:space="preserve">      cual puede ser considerado en las  reparaciones  para  determinar  un</w:t>
        <w:br/>
        <w:t xml:space="preserve">      monto como indemnización inmaterial a favor de ellos[245].</w:t>
        <w:br/>
        <w:br/>
        <w:t xml:space="preserve"> 156. No obstante, en el presente caso, durante  la  audiencia  pública  la</w:t>
        <w:br/>
        <w:t xml:space="preserve">      perita Rosalina Tuyuk se refirió a  la  importancia  que  tienen  los</w:t>
        <w:br/>
        <w:t xml:space="preserve">      rituales de despedida de los muertos en la cultura maya:</w:t>
        <w:br/>
        <w:br/>
        <w:t xml:space="preserve">      […]  siempre  hay  un  ritual  de  despedida,   de   preparación,   de</w:t>
        <w:br/>
        <w:t xml:space="preserve">      agradecimiento a las personas que se van en la otra  dimensión  de  la</w:t>
        <w:br/>
        <w:t xml:space="preserve">      vida, y esa parte es la que no se pudo realizar con la mayoría de  los</w:t>
        <w:br/>
        <w:t xml:space="preserve">      que fueron asesinados violentamente, los que fueron masacrados  […]  y</w:t>
        <w:br/>
        <w:t xml:space="preserve">      los que fueron desaparecidos. Es decir, que esa parte es […] como  una</w:t>
        <w:br/>
        <w:t xml:space="preserve">      deuda que tenemos […] de darle[s] sepultura digna a nuestros  muertos.</w:t>
        <w:br/>
        <w:t xml:space="preserve">      Muchos de los familiares, no importa los años que  hayan  pasado,  […]</w:t>
        <w:br/>
        <w:t xml:space="preserve">      están siempre buscando a sus víctimas fallecidas  en  los  cementerios</w:t>
        <w:br/>
        <w:t xml:space="preserve">      clandestinos y […] esto no da […] tranquilidad, [ni…] felicidad, y por</w:t>
        <w:br/>
        <w:t xml:space="preserve">      ello [tienen…] la necesidad de cerrar ese duelo. O  sea,  para  muchos</w:t>
        <w:br/>
        <w:t xml:space="preserve">      sigue siendo una herida, sigue siendo un duelo  abierto  al  no  poder</w:t>
        <w:br/>
        <w:t xml:space="preserve">      hacer este ritual con nuestros muertos  para  poder  darle  esa  digna</w:t>
        <w:br/>
        <w:t xml:space="preserve">      sepultura […]. Desde que  se  comenzó  con  las  exhumaciones  de  los</w:t>
        <w:br/>
        <w:t xml:space="preserve">      cementerios clandestinos, en su  gran  mayoría  las  han  asumido  las</w:t>
        <w:br/>
        <w:t xml:space="preserve">      víctimas, no así  el  Estado,  porque  el  Estado  nunca  le  ha  dado</w:t>
        <w:br/>
        <w:t xml:space="preserve">      prioridad ni tampoco [ha] apoy[ado] para […] estas exhumaciones.  Esto</w:t>
        <w:br/>
        <w:t xml:space="preserve">      ha significado […] una carga emocional muy fuerte en la  vida  de  las</w:t>
        <w:br/>
        <w:t xml:space="preserve">      familias, porque  con  cada  cementerio  que  se  exhuma  y  con  cada</w:t>
        <w:br/>
        <w:t xml:space="preserve">      cementerio que se vuelve a cerrar, se cierra  otra  vez  el  ciclo  de</w:t>
        <w:br/>
        <w:t xml:space="preserve">      búsqueda. Es decir, cuando los familiares [de las] víctimas de […] las</w:t>
        <w:br/>
        <w:t xml:space="preserve">      masacres encuentran a un ser querido, y le dan sepultura, ahí  termina</w:t>
        <w:br/>
        <w:t xml:space="preserve">      […] el ciclo de búsqueda[, y] de duelo […].</w:t>
        <w:br/>
        <w:br/>
        <w:br/>
        <w:t xml:space="preserve"> 157. En este  caso,  a  pesar  de  que  se  han  llevado  a  cabo  algunas</w:t>
        <w:br/>
        <w:t xml:space="preserve">      exhumaciones de restos presuntamente pertenecientes a miembros de  la</w:t>
        <w:br/>
        <w:t xml:space="preserve">      comunidad de Río Negro, el número de personas identificadas  ha  sido</w:t>
        <w:br/>
        <w:t xml:space="preserve">      mínimo (infra párr. 220). Además, en esta Sentencia se estableció que</w:t>
        <w:br/>
        <w:t xml:space="preserve">      hay 17 personas desaparecidas forzadamente (supra párr. 127). Por  lo</w:t>
        <w:br/>
        <w:t xml:space="preserve">      tanto, es evidente que los familiares de tales personas no han podido</w:t>
        <w:br/>
        <w:t xml:space="preserve">      enterrarlos ni celebrar los ritos fúnebres de acuerdo a sus creencias</w:t>
        <w:br/>
        <w:t xml:space="preserve">      religiosas.</w:t>
        <w:br/>
        <w:br/>
        <w:t xml:space="preserve"> 158. Por otro lado, durante la audiencia pública la perita Rosalina  Tuyuc</w:t>
        <w:br/>
        <w:t xml:space="preserve">      también refirió que los cementerios mayas  son  considerados  tierras</w:t>
        <w:br/>
        <w:t xml:space="preserve">      sagradas. En tal sentido, precisó que:</w:t>
        <w:br/>
        <w:br/>
        <w:br/>
        <w:t xml:space="preserve">      […] allí se deposita[n] todos los restos de  los  familiares,  amigos,</w:t>
        <w:br/>
        <w:t xml:space="preserve">      conocidos […]. [S]in embargo, muchas de  las  víctimas  del  conflicto</w:t>
        <w:br/>
        <w:t xml:space="preserve">      armado no tienen lugar para eso, o sea, se quedaron o en las calles, o</w:t>
        <w:br/>
        <w:t xml:space="preserve">      los enterraron fuera de estos lugares, y por eso es  la  necesidad  de</w:t>
        <w:br/>
        <w:t xml:space="preserve">      encontrar  a  los  desaparecidos,  a  los   masacrados   ubicados   en</w:t>
        <w:br/>
        <w:t xml:space="preserve">      cementerios clandestinos para dejarlos en ese lugar sagrado donde  las</w:t>
        <w:br/>
        <w:t xml:space="preserve">      víctimas  […]  pueda[n]  llevar  flores,  ritual,  alimentación   […].</w:t>
        <w:br/>
        <w:t xml:space="preserve">      [D]urante muchos años eso no ha sido posible  para  las  familias  que</w:t>
        <w:br/>
        <w:t xml:space="preserve">      buscan a sus seres queridos desaparecidos.</w:t>
        <w:br/>
        <w:br/>
        <w:t xml:space="preserve"> 159. Asimismo, el perito Alfredo Itzep Manuel resaltó que “los Mayas Achís</w:t>
        <w:br/>
        <w:t xml:space="preserve">      de Río Negro actuales tienen mayor relación con  los  sitios  de  Los</w:t>
        <w:br/>
        <w:t xml:space="preserve">      Encuentros, Pachelaj, Los Mojones y el Cerro Choquián […]”[246].  Sin</w:t>
        <w:br/>
        <w:t xml:space="preserve">      embargo, para ellos, la construcción de la hidroeléctrica  de  Chixoy</w:t>
        <w:br/>
        <w:t xml:space="preserve">      “supuso el cierre o la tapada del agua, que significa el cierre a  la</w:t>
        <w:br/>
        <w:t xml:space="preserve">      vida misma de los seres humanos”[247]. En tal  sentido,  refirió  que</w:t>
        <w:br/>
        <w:t xml:space="preserve">      los miembros de la comunidad  de  Río  Negro  sobrevivientes  de  las</w:t>
        <w:br/>
        <w:t xml:space="preserve">      masacres perdieron el contacto con sus tierras sagradas, pues  muchos</w:t>
        <w:br/>
        <w:t xml:space="preserve">      de estos sitios  sagrados  para  los  actuales  mayas  achí  quedaron</w:t>
        <w:br/>
        <w:t xml:space="preserve">      inundados con la construcción de la hidroeléctrica de  Chixoy,  entre</w:t>
        <w:br/>
        <w:t xml:space="preserve">      ellos, Los Encuentros. Éste es  uno  de  los  lugares  a  los  cuales</w:t>
        <w:br/>
        <w:t xml:space="preserve">      acudían a realizar sus rituales[248].</w:t>
        <w:br/>
        <w:br/>
        <w:t xml:space="preserve"> 160. Por lo tanto, por un lado,  la  Corte  observa  que  actualmente  los</w:t>
        <w:br/>
        <w:t xml:space="preserve">      miembros de la comunidad de Río Negro no pueden realizar sus rituales</w:t>
        <w:br/>
        <w:t xml:space="preserve">      fúnebres  por  el  hecho  de  que  el  Estado  no  ha  localizado  ni</w:t>
        <w:br/>
        <w:t xml:space="preserve">      identificado a la mayor parte de los restos de personas supuestamente</w:t>
        <w:br/>
        <w:t xml:space="preserve">      ejecutadas durante las masacres, y a que 17  personas  se  encuentran</w:t>
        <w:br/>
        <w:t xml:space="preserve">      desaparecidas forzadamente.  Pero,  por  otro  lado,  tampoco  pueden</w:t>
        <w:br/>
        <w:t xml:space="preserve">      realizar cualquier otro tipo de rituales pues los sitios  sagrados  a</w:t>
        <w:br/>
        <w:t xml:space="preserve">      los cuales solían  acudir  se  encuentran  inundados  a  raíz  de  la</w:t>
        <w:br/>
        <w:t xml:space="preserve">      construcción de  la  hidroeléctrica  de  Chixoy.  Esta  Corte  ya  ha</w:t>
        <w:br/>
        <w:t xml:space="preserve">      señalado que la relación especial de los pueblos  indígenas  con  sus</w:t>
        <w:br/>
        <w:t xml:space="preserve">      territorios ancestrales no estriba solamente en  que  constituyen  su</w:t>
        <w:br/>
        <w:t xml:space="preserve">      principal medio de subsistencia, sino un elemento  integrante  de  su</w:t>
        <w:br/>
        <w:t xml:space="preserve">      cosmovisión,  religiosidad  y,  por  ende,  de  su  identidad[249]  o</w:t>
        <w:br/>
        <w:t xml:space="preserve">      integridad  cultural,  el  cual  es  un  derecho  fundamental  y   de</w:t>
        <w:br/>
        <w:t xml:space="preserve">      naturaleza colectiva de  las  comunidades  indígenas,  que  debe  ser</w:t>
        <w:br/>
        <w:t xml:space="preserve">      respetado   en   una    sociedad    multicultural,    pluralista    y</w:t>
        <w:br/>
        <w:t xml:space="preserve">      democrática[250], como la de Guatemala.</w:t>
        <w:br/>
        <w:br/>
        <w:t xml:space="preserve"> 161. Al respecto, la señora Bruna  Pérez  Osorio  declaró  ante  fedatario</w:t>
        <w:br/>
        <w:t xml:space="preserve">      público que:</w:t>
        <w:br/>
        <w:br/>
        <w:br/>
        <w:t xml:space="preserve">      “[a] los dos años de estar refugiados, nos  fuimos  a  Pacux.  En  ese</w:t>
        <w:br/>
        <w:t xml:space="preserve">      momento cambió nuestra vida […]. En cuanto a la  cultura,  también  ha</w:t>
        <w:br/>
        <w:t xml:space="preserve">      cambiado mucho porque ahora  ya  no  se  practica.  Sólo  se  hace  en</w:t>
        <w:br/>
        <w:t xml:space="preserve">      conmemoración de los que murieron, pero no es igual. Es distinto  como</w:t>
        <w:br/>
        <w:t xml:space="preserve">      lo hacían ellos porque sólo es en conmemoración”[251].</w:t>
        <w:br/>
        <w:br/>
        <w:t xml:space="preserve"> 162. Por otro lado, en los hechos del presente caso se estableció que  las</w:t>
        <w:br/>
        <w:t xml:space="preserve">      masacres sucedidas durante el conflicto armado interno en  Guatemala,</w:t>
        <w:br/>
        <w:t xml:space="preserve">      aunado al desplazamiento de los miembros de la comunidad de Río Negro</w:t>
        <w:br/>
        <w:t xml:space="preserve">      y su reasentamiento en la colonia  Pacux  en  condiciones  precarias,</w:t>
        <w:br/>
        <w:t xml:space="preserve">      generó la destrucción de  su  estructura  social,  la  desintegración</w:t>
        <w:br/>
        <w:t xml:space="preserve">      familiar y la pérdida de sus prácticas  culturales  y  tradicionales,</w:t>
        <w:br/>
        <w:t xml:space="preserve">      además del idioma maya achí (supra párrs. 61  y  87).  Todo  ello  ha</w:t>
        <w:br/>
        <w:t xml:space="preserve">      impactado la vida colectiva de los miembros de la  comunidad  de  Río</w:t>
        <w:br/>
        <w:t xml:space="preserve">      Negro que hoy día todavía habitan en Pacux. En  este  sentido,  Bruna</w:t>
        <w:br/>
        <w:t xml:space="preserve">      Pérez Osorio declaró que “ahora en la comunidad,  sólo  dos  personas</w:t>
        <w:br/>
        <w:t xml:space="preserve">      practican  la  medicina  natural  porque  ya  eran   grandes   cuando</w:t>
        <w:br/>
        <w:t xml:space="preserve">      ocurrieron  las  masacres,  los  pequeños  ya  no  aprendieron  estas</w:t>
        <w:br/>
        <w:t xml:space="preserve">      costumbres”[252]. Asimismo, Antonia Osorio Sánchez  declaró  mediante</w:t>
        <w:br/>
        <w:t xml:space="preserve">      affidávit que:</w:t>
        <w:br/>
        <w:br/>
        <w:t xml:space="preserve">    “[a]hora ya casi no hay nada de nuestras ceremonias,  candelas.  Antes,</w:t>
        <w:br/>
        <w:t xml:space="preserve">    la costumbre en Rio Negro era bien bonita porque la comunidad se reunía</w:t>
        <w:br/>
        <w:t xml:space="preserve">    el día de Santa Cruz, dábamos animales, participaban los  abuelos,  que</w:t>
        <w:br/>
        <w:t xml:space="preserve">    son  muy  importantes,  y  los  padres,  creíamos  mucho  en   nuestras</w:t>
        <w:br/>
        <w:t xml:space="preserve">    tradiciones […]. Ya no hacemos los cuatro bailes como antes […]. Ya  no</w:t>
        <w:br/>
        <w:t xml:space="preserve">    participan los abuelos […] ya sólo patojos […]”[253].</w:t>
        <w:br/>
        <w:br/>
        <w:t xml:space="preserve"> 163. Por su parte, Carlos Chen Osorio expresó durante la audiencia pública</w:t>
        <w:br/>
        <w:t xml:space="preserve">      celebrada ante este Tribunal que “[t]odas  las  costumbres  de  antes</w:t>
        <w:br/>
        <w:t xml:space="preserve">      […], todo se perdió […]”. Igualmente, la Corte observa que, según  el</w:t>
        <w:br/>
        <w:t xml:space="preserve">      perito Itzep Manuel, los miembros de la comunidad de  Río  Negro  que</w:t>
        <w:br/>
        <w:t xml:space="preserve">      viven en Pacux han sufrido “mayor daño psicológico y cultural, al  no</w:t>
        <w:br/>
        <w:t xml:space="preserve">      poder  desarrollar  la  cultura  Maya   Achí   en   forma   libre   y</w:t>
        <w:br/>
        <w:t xml:space="preserve">      creativa”[254].</w:t>
        <w:br/>
        <w:br/>
        <w:t xml:space="preserve"> 164. Finalmente, la Corte ha precisado que las malas condiciones  de  vida</w:t>
        <w:br/>
        <w:t xml:space="preserve">      que padecen los miembros de una comunidad  y  el  estado  general  de</w:t>
        <w:br/>
        <w:t xml:space="preserve">      abandono  en  la  que  se   encuentran   generan   sufrimientos   que</w:t>
        <w:br/>
        <w:t xml:space="preserve">      necesariamente afectan la integridad psíquica y moral de los miembros</w:t>
        <w:br/>
        <w:t xml:space="preserve">      de  dicha  comunidad[255].  Éste  es  el   caso   de   las   víctimas</w:t>
        <w:br/>
        <w:t xml:space="preserve">      sobrevivientes de las masacres que actualmente residen en la  colonia</w:t>
        <w:br/>
        <w:t xml:space="preserve">      Pacux[256].</w:t>
        <w:br/>
        <w:br/>
        <w:t xml:space="preserve"> 165. En consecuencia, la Corte considera que Guatemala violó  el  artículo</w:t>
        <w:br/>
        <w:t xml:space="preserve">      5.1 de la Convención Americana, en relación con los artículos 12.1  y</w:t>
        <w:br/>
        <w:t xml:space="preserve">      1.1 de la misma, en perjuicio de los miembros de la comunidad de  Río</w:t>
        <w:br/>
        <w:t xml:space="preserve">      Negro  que  viven  en  Pacux.  Los  nombres  de  dichas  personas  se</w:t>
        <w:br/>
        <w:t xml:space="preserve">      encuentran referidos en el Anexo VII de esta Sentencia.</w:t>
        <w:br/>
        <w:br/>
        <w:br/>
        <w:t>C.3.  Alegada violación del artículo 16 de la Convención Americana</w:t>
        <w:br/>
        <w:br/>
        <w:t xml:space="preserve"> 166. La Corte observa  que  tanto  la  Comisión  como  los  representantes</w:t>
        <w:br/>
        <w:t xml:space="preserve">      también alegaron que Guatemala violó el artículo 16 de la  Convención</w:t>
        <w:br/>
        <w:t xml:space="preserve">      Americana. Por su  parte,  el  Estado  reconoció  su  responsabilidad</w:t>
        <w:br/>
        <w:t xml:space="preserve">      internacional en tanto  dicha  violación  “pu[do]  trascender  en  el</w:t>
        <w:br/>
        <w:t xml:space="preserve">      tiempo” hasta el momento  en  que  Guatemala  aceptó  la  competencia</w:t>
        <w:br/>
        <w:t xml:space="preserve">      contenciosa de este Tribunal (supra párr. 17, inciso f).</w:t>
        <w:br/>
        <w:br/>
        <w:t xml:space="preserve"> 167. El artículo 16.1 de la Convención  Americana  establece  que  quienes</w:t>
        <w:br/>
        <w:t xml:space="preserve">      están bajo la jurisdicción de los Estados Partes tienen el derecho  y</w:t>
        <w:br/>
        <w:t xml:space="preserve">      la  libertad  de  asociarse  libremente  con  otras   personas,   sin</w:t>
        <w:br/>
        <w:t xml:space="preserve">      intervención de las autoridades públicas que limiten o entorpezcan el</w:t>
        <w:br/>
        <w:t xml:space="preserve">      ejercicio del  referido  derecho.  Se  trata,  pues,  del  derecho  a</w:t>
        <w:br/>
        <w:t xml:space="preserve">      agruparse con la finalidad de buscar la realización común de  un  fin</w:t>
        <w:br/>
        <w:t xml:space="preserve">      lícito,  sin  presiones  o  intromisiones  que   puedan   alterar   o</w:t>
        <w:br/>
        <w:t xml:space="preserve">      desnaturalizar dicha finalidad[257]. Asimismo, el  artículo  16.2  de</w:t>
        <w:br/>
        <w:t xml:space="preserve">      dicho tratado establece que el  ejercicio  del  derecho  a  asociarse</w:t>
        <w:br/>
        <w:t xml:space="preserve">      libremente “sólo puede estar sujeto a las restricciones previstas por</w:t>
        <w:br/>
        <w:t xml:space="preserve">      la ley que sean necesarias en una sociedad democrática, en interés de</w:t>
        <w:br/>
        <w:t xml:space="preserve">      la seguridad nacional, de la seguridad o del orden públicos,  o  para</w:t>
        <w:br/>
        <w:t xml:space="preserve">      proteger la salud o la moral públicas o los derechos y libertades  de</w:t>
        <w:br/>
        <w:t xml:space="preserve">      los demás”.</w:t>
        <w:br/>
        <w:br/>
        <w:t xml:space="preserve"> 168. En el presente caso, la Corte considera que la comunidad de Río Negro</w:t>
        <w:br/>
        <w:t xml:space="preserve">      no puede asimilarse implícitamente a una “asociación” en los términos</w:t>
        <w:br/>
        <w:t xml:space="preserve">      del artículo 16 de la Convención Americana. En tal sentido, la  Corte</w:t>
        <w:br/>
        <w:t xml:space="preserve">      destaca que ni  la  Comisión  Interamericana  ni  los  representantes</w:t>
        <w:br/>
        <w:t xml:space="preserve">      expresaron las razones por las cuales la comunidad de Río  Negro,  la</w:t>
        <w:br/>
        <w:t xml:space="preserve">      cual tiene un carácter indígena, le asiste el derecho  reconocido  en</w:t>
        <w:br/>
        <w:t xml:space="preserve">      el artículo 16 de la Convención. Por lo tanto,  no  obstante  que  el</w:t>
        <w:br/>
        <w:t xml:space="preserve">      Estado reconoció su responsabilidad por la violación de este derecho,</w:t>
        <w:br/>
        <w:t xml:space="preserve">      el Tribunal estima que dicha disposición no es aplicable a los hechos</w:t>
        <w:br/>
        <w:t xml:space="preserve">      del presente caso.</w:t>
        <w:br/>
        <w:br/>
        <w:br/>
        <w:t xml:space="preserve">                                     XI</w:t>
        <w:br/>
        <w:t xml:space="preserve"> DERECHO DE CIRCULACIÓN Y RESIDENCIA DE LOS MIEMBROS DE LA COMUNIDAD DE RÍO</w:t>
        <w:br/>
        <w:t xml:space="preserve">        NEGRO EN RELACIÓN CON LA OBLIGACIÓN DE RESPETAR LOS DERECHOS</w:t>
        <w:br/>
        <w:br/>
        <w:br/>
        <w:t xml:space="preserve">   A. Alegatos de las partes y de la Comisión Interamericana</w:t>
        <w:br/>
        <w:br/>
        <w:t xml:space="preserve">   169. La Comisión alegó que el Estado  violó  el  artículo  22.1  de  la</w:t>
        <w:br/>
        <w:t xml:space="preserve">        Convención, en relación con  el  artículo  1.1  de  la  misma,  en</w:t>
        <w:br/>
        <w:t xml:space="preserve">        perjuicio  de  los  miembros  de  la  comunidad   de   Río   Negro</w:t>
        <w:br/>
        <w:t xml:space="preserve">        sobrevivientes de las masacres cometidas en  contra  de  ésta.  Al</w:t>
        <w:br/>
        <w:t xml:space="preserve">        respecto, sostuvo  que  dichas  personas  “se  vieron  forzados  a</w:t>
        <w:br/>
        <w:t xml:space="preserve">        abandonar su aldea,  dejando  destruidas  o  abandonadas  sus  […]</w:t>
        <w:br/>
        <w:t xml:space="preserve">        tierras, y a desplazarse, en principio, a comunidades vecinas o  a</w:t>
        <w:br/>
        <w:t xml:space="preserve">        las montañas [...]”, donde “vivieron por varios  meses  e  incluso</w:t>
        <w:br/>
        <w:t xml:space="preserve">        años luchando para sobrevivir las amenazas y  persecuciones,  [e]l</w:t>
        <w:br/>
        <w:t xml:space="preserve">        hambre [y la] falta de acceso a servicios de salud  y  educación”.</w:t>
        <w:br/>
        <w:t xml:space="preserve">        Además, señaló que a partir de 1983,  los  sobrevivientes  de  las</w:t>
        <w:br/>
        <w:t xml:space="preserve">        masacres de la comunidad de Río Negro  fueron  reasentados  en  el</w:t>
        <w:br/>
        <w:t xml:space="preserve">        pueblo de Pacux, “en condiciones de vida precarias [y] con tierras</w:t>
        <w:br/>
        <w:t xml:space="preserve">        inadecuadas para la agricultura […]”. La Comisión también  destacó</w:t>
        <w:br/>
        <w:t xml:space="preserve">        que la gran mayoría de los sobrevivientes de las masacres  no  han</w:t>
        <w:br/>
        <w:t xml:space="preserve">        regresado a la aldea de Río  Negro,  en  razón  “no  sólo  de  las</w:t>
        <w:br/>
        <w:t xml:space="preserve">        amenazas y  persecución  de  que  fueron  objeto  y  la  falta  de</w:t>
        <w:br/>
        <w:t xml:space="preserve">        investigación de los hechos”, sino también porque  la  represa  de</w:t>
        <w:br/>
        <w:t xml:space="preserve">        Chixoy inundó la mayoría de sus tierras. Según la Comisión,  estos</w:t>
        <w:br/>
        <w:t xml:space="preserve">        hechos  se   enmarcaron   en   una   situación   generalizada   de</w:t>
        <w:br/>
        <w:t xml:space="preserve">        desplazamiento forzado en Guatemala que afectó principalmente a la</w:t>
        <w:br/>
        <w:t xml:space="preserve">        población indígena y que fue consecuencia  directa  del  conflicto</w:t>
        <w:br/>
        <w:t xml:space="preserve">        armado interno.</w:t>
        <w:br/>
        <w:br/>
        <w:t xml:space="preserve">   170. Los representantes se adhirieron a los alegatos de la Comisión,  y</w:t>
        <w:br/>
        <w:t xml:space="preserve">        además  alegaron  que  “las  consecuencias  de  la  persecución  y</w:t>
        <w:br/>
        <w:t xml:space="preserve">        desplazamiento forzoso que vivieron  [los  sobrevivientes  de  las</w:t>
        <w:br/>
        <w:t xml:space="preserve">        masacres en contra de la población de Río Negro…]  trascienden  la</w:t>
        <w:br/>
        <w:t xml:space="preserve">        expulsión violenta de sus tierras y expolio de éstas, […  teniendo</w:t>
        <w:br/>
        <w:t xml:space="preserve">        además] dimensiones psicológicas, culturales, sociales  e  incluso</w:t>
        <w:br/>
        <w:t xml:space="preserve">        religiosas”.  Asimismo,  indicaron  que  “[a]l  día  de  hoy,  los</w:t>
        <w:br/>
        <w:t xml:space="preserve">        sobrevivientes  de  la  comunidad  de  Río  Negro  viven  en   [el</w:t>
        <w:br/>
        <w:t xml:space="preserve">        reasentamiento de Pacux en] condiciones de hacinamiento, en  lotes</w:t>
        <w:br/>
        <w:t xml:space="preserve">        en los que  es  físicamente  imposible  realizar  sus  actividades</w:t>
        <w:br/>
        <w:t xml:space="preserve">        tradicionales  como  la  pesca  y  agricultura  […]”.  Según   los</w:t>
        <w:br/>
        <w:t xml:space="preserve">        representantes, el  regreso  voluntario  de  la  comunidad  a  sus</w:t>
        <w:br/>
        <w:t xml:space="preserve">        tierras tradicionales  es  imposible,  por  un  lado,  porque  “la</w:t>
        <w:br/>
        <w:t xml:space="preserve">        mayoría de tierras fértiles de los sobrevivientes […] y todos  sus</w:t>
        <w:br/>
        <w:t xml:space="preserve">        centros ceremoniales y religiosos fueron  totalmente  inundad[o]s”</w:t>
        <w:br/>
        <w:t xml:space="preserve">        por la represa Chixoy. Aunado a  esto,  “el  único  acceso  a  los</w:t>
        <w:br/>
        <w:t xml:space="preserve">        territorios donde estaba localizada [la comunidad de  Río  Negro…]</w:t>
        <w:br/>
        <w:t xml:space="preserve">        es custodiado por [fuerzas de] seguridad del Estado” que requieren</w:t>
        <w:br/>
        <w:t xml:space="preserve">        la realización “de un trámite administrativo previo” para  obtener</w:t>
        <w:br/>
        <w:t xml:space="preserve">        la autorización del INDE. Esto “ha  limitado  en  gran  manera  la</w:t>
        <w:br/>
        <w:t xml:space="preserve">        circulación de los oriundos de Río Negro […]”, en particular,  por</w:t>
        <w:br/>
        <w:t xml:space="preserve">        el costo económico que conlleva  dicho  trámite.  Por  otro  lado,</w:t>
        <w:br/>
        <w:t xml:space="preserve">        refirieron que es imposible movilizarse hacia dichas  tierras  sin</w:t>
        <w:br/>
        <w:t xml:space="preserve">        contratar lanchas o canoas cuyo costo  también  “es  imposible  de</w:t>
        <w:br/>
        <w:t xml:space="preserve">        cubrir para la mayoría de sobrevivientes de las  masacres  de  Río</w:t>
        <w:br/>
        <w:t xml:space="preserve">        Negro”.</w:t>
        <w:br/>
        <w:br/>
        <w:t xml:space="preserve">   171. Como fue referido anteriormente (supra párrs. 17, inciso g, y 25),</w:t>
        <w:br/>
        <w:t xml:space="preserve">        el Estado “aceptó parcialmente” la violación de  los  derechos  de</w:t>
        <w:br/>
        <w:t xml:space="preserve">        circulación y residencia establecidos en  el  artículo  22  de  la</w:t>
        <w:br/>
        <w:t xml:space="preserve">        Convención, en virtud de que los miembros de la comunidad  de  Río</w:t>
        <w:br/>
        <w:t xml:space="preserve">        Negro fueron reubicados en la Colonia de Pacux con posterioridad a</w:t>
        <w:br/>
        <w:t xml:space="preserve">        la fecha en la que el Estado aceptó la competencia del Tribunal.</w:t>
        <w:br/>
        <w:br/>
        <w:br/>
        <w:t xml:space="preserve">   B. Consideraciones de la Corte</w:t>
        <w:br/>
        <w:br/>
        <w:t xml:space="preserve">   172.  El  artículo  22.1  de  la  Convención  reconoce  el  derecho  de</w:t>
        <w:br/>
        <w:t xml:space="preserve">        circulación  y  de  residencia.  En  este  sentido,  la  Corte  ha</w:t>
        <w:br/>
        <w:t xml:space="preserve">        establecido en otros casos que este artículo  también  protege  el</w:t>
        <w:br/>
        <w:t xml:space="preserve">        derecho a no ser  desplazado  forzadamente  dentro  de  un  Estado</w:t>
        <w:br/>
        <w:t xml:space="preserve">        Parte[258].</w:t>
        <w:br/>
        <w:br/>
        <w:t xml:space="preserve">   173. Al  respecto,  el  Tribunal  ha  considerado  que  los  Principios</w:t>
        <w:br/>
        <w:t xml:space="preserve">        Rectores  de  los  Desplazamientos  Internos   de   las   Naciones</w:t>
        <w:br/>
        <w:t xml:space="preserve">        Unidas[259] resultan particularmente relevantes para determinar el</w:t>
        <w:br/>
        <w:t xml:space="preserve">        contenido  y  alcance   del   artículo   22   de   la   Convención</w:t>
        <w:br/>
        <w:t xml:space="preserve">        Americana[260],  los  cuales  definen   que   “se   entiende   por</w:t>
        <w:br/>
        <w:t xml:space="preserve">        desplazados internos las personas o grupos de personas que se  han</w:t>
        <w:br/>
        <w:t xml:space="preserve">        visto forzadas u obligadas a escapar o huir de su hogar  o  de  su</w:t>
        <w:br/>
        <w:t xml:space="preserve">        lugar de residencia habitual, en particular como resultado o  para</w:t>
        <w:br/>
        <w:t xml:space="preserve">        evitar los efectos de  un  conflicto  armado,  de  situaciones  de</w:t>
        <w:br/>
        <w:t xml:space="preserve">        violencia generalizada, [o] de violaciones de los derechos humanos</w:t>
        <w:br/>
        <w:t xml:space="preserve">        […], y que no han cruzado una frontera estatal  internacionalmente</w:t>
        <w:br/>
        <w:t xml:space="preserve">        reconocida”[261].</w:t>
        <w:br/>
        <w:br/>
        <w:t xml:space="preserve">   174. Este Tribunal ha establecido que en razón de  la  complejidad  del</w:t>
        <w:br/>
        <w:t xml:space="preserve">        fenómeno del  desplazamiento  interno  y  de  la  amplia  gama  de</w:t>
        <w:br/>
        <w:t xml:space="preserve">        derechos humanos que afecta o se ponen en riesgo, y en atención  a</w:t>
        <w:br/>
        <w:t xml:space="preserve">        las circunstancias de especial vulnerabilidad e indefensión en que</w:t>
        <w:br/>
        <w:t xml:space="preserve">        generalmente se encuentran los desplazados, su situación puede ser</w:t>
        <w:br/>
        <w:t xml:space="preserve">        entendida como una condición de facto de desprotección[262].  Esta</w:t>
        <w:br/>
        <w:t xml:space="preserve">        situación, conforme  a  la  Convención  Americana,  obliga  a  los</w:t>
        <w:br/>
        <w:t xml:space="preserve">        Estados a adoptar medidas de carácter positivo para  revertir  los</w:t>
        <w:br/>
        <w:t xml:space="preserve">        efectos de su referida condición de  debilidad,  vulnerabilidad  e</w:t>
        <w:br/>
        <w:t xml:space="preserve">        indefensión, incluso vis-à-vis  las  actuaciones  y  prácticas  de</w:t>
        <w:br/>
        <w:t xml:space="preserve">        terceros particulares[263].</w:t>
        <w:br/>
        <w:br/>
        <w:t xml:space="preserve">   175. En este  sentido,  esta  Corte  ha  señalado  que  el  derecho  de</w:t>
        <w:br/>
        <w:t xml:space="preserve">        circulación y de residencia puede ser vulnerado por  restricciones</w:t>
        <w:br/>
        <w:t xml:space="preserve">        de facto si  el  Estado  no  ha  establecido  las  condiciones  ni</w:t>
        <w:br/>
        <w:t xml:space="preserve">        provisto los  medios  que  permiten  ejercerlo[264],  por  ejemplo</w:t>
        <w:br/>
        <w:t xml:space="preserve">        cuando una persona es víctima de amenazas u  hostigamientos  y  el</w:t>
        <w:br/>
        <w:t xml:space="preserve">        Estado  no  provee  las  garantías  necesarias,  para  que   pueda</w:t>
        <w:br/>
        <w:t xml:space="preserve">        transitar y residir libremente en el territorio de que  se  trate,</w:t>
        <w:br/>
        <w:t xml:space="preserve">        incluso cuando las amenazas y hostigamientos provienen de  actores</w:t>
        <w:br/>
        <w:t xml:space="preserve">        no estatales[265].</w:t>
        <w:br/>
        <w:br/>
        <w:t xml:space="preserve">   176. Por otro lado, la Corte observa  que  los  mencionados  Principios</w:t>
        <w:br/>
        <w:t xml:space="preserve">        Rectores establecen obligaciones para  los  Estados  relativas  al</w:t>
        <w:br/>
        <w:t xml:space="preserve">        regreso, al reasentamiento y la reintegración de  los  desplazados</w:t>
        <w:br/>
        <w:t xml:space="preserve">        internos, inter alia:</w:t>
        <w:br/>
        <w:br/>
        <w:t>Principio  28.1.  Las  autoridades  competentes  tienen  la   obligación   y</w:t>
        <w:br/>
        <w:t>responsabilidad primarias de establecer las condiciones y  proporcionar  los</w:t>
        <w:br/>
        <w:t>medios  que  permitan  el  regreso  voluntario,  seguro  y  digno   de   los</w:t>
        <w:br/>
        <w:t>desplazados internos a su hogar o su lugar  de  residencia  habitual,  o  su</w:t>
        <w:br/>
        <w:t>reasentamiento voluntario en otra parte del país. […].</w:t>
        <w:br/>
        <w:br/>
        <w:t>Principio  28.2.  Se  harán  esfuerzos  especiales  por  asegurar  la  plena</w:t>
        <w:br/>
        <w:t>participación de los desplazados internos en la planificación y  gestión  de</w:t>
        <w:br/>
        <w:t>su regreso o de su reasentamiento y reintegración. […]</w:t>
        <w:br/>
        <w:br/>
        <w:t>Principio 29.2. Las  autoridades  competentes  tienen  la  obligación  y  la</w:t>
        <w:br/>
        <w:t>responsabilidad de prestar asistencia a los desplazados internos  que  hayan</w:t>
        <w:br/>
        <w:t>regresado o se hayan reasentado en otra parte, para la recuperación,  en  la</w:t>
        <w:br/>
        <w:t>medida de lo posible, de las propiedades o posesiones que abandonaron  o  de</w:t>
        <w:br/>
        <w:t>las que fueron desposeídos cuando se desplazaron.  Si  esa  recuperación  es</w:t>
        <w:br/>
        <w:t>imposible, las  autoridades  competentes  concederán  a  esas  personas  una</w:t>
        <w:br/>
        <w:t>indemnización adecuada u otra forma de  reparación  justa  o  les  prestarán</w:t>
        <w:br/>
        <w:t>asistencia para que la obtengan.</w:t>
        <w:br/>
        <w:br/>
        <w:t xml:space="preserve">   177.  Además,  conforme  a  su  jurisprudencia  constante  en   materia</w:t>
        <w:br/>
        <w:t xml:space="preserve">        indígena, mediante la cual ha reconocido que la  relación  de  los</w:t>
        <w:br/>
        <w:t xml:space="preserve">        indígenas  con  el  territorio  es  esencial  para  mantener   sus</w:t>
        <w:br/>
        <w:t xml:space="preserve">        estructuras culturales y su supervivencia étnica y  material[266],</w:t>
        <w:br/>
        <w:t xml:space="preserve">        el Tribunal considera que el desplazamiento forzado de los pueblos</w:t>
        <w:br/>
        <w:t xml:space="preserve">        indígenas fuera de su comunidad o bien  de  sus  integrantes,  los</w:t>
        <w:br/>
        <w:t xml:space="preserve">        puede colocar en una situación  de  especial  vulnerabilidad,  que</w:t>
        <w:br/>
        <w:t xml:space="preserve">        “[p]or sus secuelas destructivas sobre el tejido étnico y cultural</w:t>
        <w:br/>
        <w:t xml:space="preserve">        […], genera un claro riesgo de extinción, cultural  o  físico,  de</w:t>
        <w:br/>
        <w:t xml:space="preserve">        los pueblos indígenas”[267], por lo cual es indispensable que  los</w:t>
        <w:br/>
        <w:t xml:space="preserve">        Estados   adopten   medidas   específicas    de    protección[268]</w:t>
        <w:br/>
        <w:t xml:space="preserve">        considerando  las  particularidades   propias   de   los   pueblos</w:t>
        <w:br/>
        <w:t xml:space="preserve">        indígenas, así como su derecho consuetudinario,  valores,  usos  y</w:t>
        <w:br/>
        <w:t xml:space="preserve">        costumbres[269] para prevenir y  revertir  los  efectos  de  dicha</w:t>
        <w:br/>
        <w:t xml:space="preserve">        situación.</w:t>
        <w:br/>
        <w:br/>
        <w:br/>
        <w:t>B.1.  El desplazamiento continuo de la comunidad de Río Negro</w:t>
        <w:br/>
        <w:br/>
        <w:t xml:space="preserve">   178. Como fue establecido anteriormente (supra párr. 82), los  miembros</w:t>
        <w:br/>
        <w:t xml:space="preserve">        de la comunidad de Río Negro se vieron obligados  a  huir  de  sus</w:t>
        <w:br/>
        <w:t xml:space="preserve">        tierras ancestrales a partir de las  masacres  perpetradas  en  su</w:t>
        <w:br/>
        <w:t xml:space="preserve">        contra  en  los  años  1980  y  1982.  Asimismo,  el  Tribunal  ha</w:t>
        <w:br/>
        <w:t xml:space="preserve">        acreditado que la mayoría de las personas  que  sobrevivieron  las</w:t>
        <w:br/>
        <w:t xml:space="preserve">        referidas masacres y la posterior persecución por parte del Estado</w:t>
        <w:br/>
        <w:t xml:space="preserve">        fueron reasentadas por  el  gobierno,  como  el  mismo  Estado  lo</w:t>
        <w:br/>
        <w:t xml:space="preserve">        reconoció (supra párr. 17, inciso g),  en  la  colonia  de  Pacux,</w:t>
        <w:br/>
        <w:t xml:space="preserve">        donde residen actualmente[270]. En  razón  de  ello,  el  Tribunal</w:t>
        <w:br/>
        <w:t xml:space="preserve">        puede ejercer su  competencia  sobre  el  presunto  desplazamiento</w:t>
        <w:br/>
        <w:t xml:space="preserve">        continuo de la comunidad, el cual, a pesar de que se inició  antes</w:t>
        <w:br/>
        <w:t xml:space="preserve">        del reconocimiento de la  competencia  contenciosa  de  la  Corte,</w:t>
        <w:br/>
        <w:t xml:space="preserve">        constituye una  situación  que  presuntamente  persiste  hasta  la</w:t>
        <w:br/>
        <w:t xml:space="preserve">        fecha[271]. El Tribunal analizará  este  punto  a  continuación  y</w:t>
        <w:br/>
        <w:t xml:space="preserve">        determinará, además, si el Estado ha cumplido con sus obligaciones</w:t>
        <w:br/>
        <w:t xml:space="preserve">        relativas al regreso, el reasentamiento y la reintegración de  los</w:t>
        <w:br/>
        <w:t xml:space="preserve">        desplazados internos, tomando en cuenta la identidad étnica de  la</w:t>
        <w:br/>
        <w:t xml:space="preserve">        comunidad de Río Negro.</w:t>
        <w:br/>
        <w:br/>
        <w:br/>
        <w:t>B.2.  Imposibilidad de regreso a las tierras ancestrales de  la  comunidad</w:t>
        <w:br/>
        <w:t>de Río Negro</w:t>
        <w:br/>
        <w:br/>
        <w:t xml:space="preserve">   179. Esta Corte ha establecido que, con posterioridad  a  las  masacres</w:t>
        <w:br/>
        <w:t xml:space="preserve">        perpetradas en contra de la comunidad de Río  Negro  en  los  años</w:t>
        <w:br/>
        <w:t xml:space="preserve">        1980 y 1982, los sobrevivientes  se  refugiaron  en  las  montañas</w:t>
        <w:br/>
        <w:t xml:space="preserve">        aledañas, en condiciones precarias, a fin de huir  la  persecución</w:t>
        <w:br/>
        <w:t xml:space="preserve">        sistemática de agentes estatales dirigida a su  eliminación  total</w:t>
        <w:br/>
        <w:t xml:space="preserve">        (supra párr. 82). Asimismo, que ante dicha situación, a partir del</w:t>
        <w:br/>
        <w:t xml:space="preserve">        año 1983 algunos de estos sobrevivientes fueron reasentados en  la</w:t>
        <w:br/>
        <w:t xml:space="preserve">        colonia de Pacux,  donde  fueron  objeto  de  amenazas,  torturas,</w:t>
        <w:br/>
        <w:t xml:space="preserve">        trabajos forzosos y  otras  violaciones  a  los  derechos  humanos</w:t>
        <w:br/>
        <w:t xml:space="preserve">        (supra  párr.  83).  El  reasentamiento  de  los  miembros  de  la</w:t>
        <w:br/>
        <w:t xml:space="preserve">        comunidad de Río Negro continuó a partir del año  1987,  luego  de</w:t>
        <w:br/>
        <w:t xml:space="preserve">        que el Estado reconoció la competencia  contenciosa  del  Tribunal</w:t>
        <w:br/>
        <w:t xml:space="preserve">        (supra párr. 17, inciso g).</w:t>
        <w:br/>
        <w:br/>
        <w:t xml:space="preserve">   180. Al respecto, el  Tribunal  observa  que  el  proceso  de  paz  que</w:t>
        <w:br/>
        <w:t xml:space="preserve">        concluyó el conflicto armado interno en Guatemala inició en el año</w:t>
        <w:br/>
        <w:t xml:space="preserve">        1996 (supra  párr.  64),  es  decir,  casi  10  años  después  del</w:t>
        <w:br/>
        <w:t xml:space="preserve">        reconocimiento  de  la  competencia  contenciosa  de  la  Corte  y</w:t>
        <w:br/>
        <w:t xml:space="preserve">        aproximadamente 13 años luego de que comenzara  el  reasentamiento</w:t>
        <w:br/>
        <w:t xml:space="preserve">        de los miembros de la comunidad de Río Negro en Pacux.  Dados  los</w:t>
        <w:br/>
        <w:t xml:space="preserve">        antecedentes violentos que sobrevivieron y la carencia extrema que</w:t>
        <w:br/>
        <w:t xml:space="preserve">        padecieron en las montañas, así como el contexto de violencia  que</w:t>
        <w:br/>
        <w:t xml:space="preserve">        permanecía vigente  en  Guatemala  durante  esos  años,  la  Corte</w:t>
        <w:br/>
        <w:t xml:space="preserve">        considera que los miembros de la comunidad de Río Negro se  vieron</w:t>
        <w:br/>
        <w:t xml:space="preserve">        imposibilitados de retornar a sus tierras ancestrales durante este</w:t>
        <w:br/>
        <w:t xml:space="preserve">        período debido al temor fundado de ser objeto de violaciones a sus</w:t>
        <w:br/>
        <w:t xml:space="preserve">        derechos a la vida e integridad personal, entre otros.</w:t>
        <w:br/>
        <w:br/>
        <w:t xml:space="preserve">   181. Asimismo, esta Corte ha establecido  que  la  construcción  de  la</w:t>
        <w:br/>
        <w:t xml:space="preserve">        represa Chixoy en las tierras ancestrales de la comunidad  de  Río</w:t>
        <w:br/>
        <w:t xml:space="preserve">        Negro comenzó en el año 1977, y que el embalse comenzó a  llenarse</w:t>
        <w:br/>
        <w:t xml:space="preserve">        de agua a partir del mes de enero de 1983 (supra párr.  66).  Esto</w:t>
        <w:br/>
        <w:t xml:space="preserve">        imposibilitó físicamente el retorno de la comunidad de Río Negro a</w:t>
        <w:br/>
        <w:t xml:space="preserve">        una parte de sus tierras  ancestrales  de  forma  permanente.  Por</w:t>
        <w:br/>
        <w:t xml:space="preserve">        tanto, la Corte estima que en este caso la libertad de circulación</w:t>
        <w:br/>
        <w:t xml:space="preserve">        y de residencia de los miembros  de  la  Comunidad  de  Río  Negro</w:t>
        <w:br/>
        <w:t xml:space="preserve">        reasentados en la colonia de Pacux se encuentra limitada hasta  la</w:t>
        <w:br/>
        <w:t xml:space="preserve">        fecha por una restricción de facto.</w:t>
        <w:br/>
        <w:br/>
        <w:t xml:space="preserve">   182. Por otro lado, en relación a los alegatos  de  los  representantes</w:t>
        <w:br/>
        <w:t xml:space="preserve">        respecto del trámite administrativo previo que aparentemente deben</w:t>
        <w:br/>
        <w:t xml:space="preserve">        realizar los miembros de la  Comunidad  de  Río  Negro  a  fin  de</w:t>
        <w:br/>
        <w:t xml:space="preserve">        conseguir la autorización del  INDE  para  entrar  a  sus  tierras</w:t>
        <w:br/>
        <w:t xml:space="preserve">        ancestrales, así como aquellos alegatos relativos a las  supuestas</w:t>
        <w:br/>
        <w:t xml:space="preserve">        dificultades que enfrentan estas personas para transportarse a las</w:t>
        <w:br/>
        <w:t xml:space="preserve">        mismas, el Tribunal observa que estos presuntos hechos  no  fueron</w:t>
        <w:br/>
        <w:t xml:space="preserve">        alegados en el sometimiento del caso presentado por  la  Comisión,</w:t>
        <w:br/>
        <w:t xml:space="preserve">        por lo que se encuentran fuera del  marco  fáctico  del  caso.  En</w:t>
        <w:br/>
        <w:t xml:space="preserve">        consecuencia, la Corte no se referirá a éstos.</w:t>
        <w:br/>
        <w:br/>
        <w:br/>
        <w:t>B.3.  Medidas adoptadas por  el  Estado  para  revertir  los  efectos  del</w:t>
        <w:br/>
        <w:t>desplazamiento</w:t>
        <w:br/>
        <w:br/>
        <w:t xml:space="preserve">   183. Este Tribunal ha acreditado que las  condiciones  de  vida  en  la</w:t>
        <w:br/>
        <w:t xml:space="preserve">        colonia Pacux no  han  permitido  a  sus  habitantes  retomar  sus</w:t>
        <w:br/>
        <w:t xml:space="preserve">        actividades económicas tradicionales, antes bien, han  tenido  que</w:t>
        <w:br/>
        <w:t xml:space="preserve">        participar en actividades económicas que no les permiten  ingresos</w:t>
        <w:br/>
        <w:t xml:space="preserve">        estables, lo cual también ha contribuido a la desintegración de la</w:t>
        <w:br/>
        <w:t xml:space="preserve">        estructura social y vida cultural y espiritual  de  la  comunidad.</w:t>
        <w:br/>
        <w:t xml:space="preserve">        Asimismo, en los hechos del caso se probó que los habitantes de la</w:t>
        <w:br/>
        <w:t xml:space="preserve">        colonia Pacux viven en condiciones precarias,  y  que  necesidades</w:t>
        <w:br/>
        <w:t xml:space="preserve">        básicas de salud, educación, alumbrado y  agua  no  se  encuentran</w:t>
        <w:br/>
        <w:t xml:space="preserve">        plenamente satisfechas (supra párrs. 85 y 86). Por tanto, si  bien</w:t>
        <w:br/>
        <w:t xml:space="preserve">        Guatemala ha hecho esfuerzos por reasentar a los sobrevivientes de</w:t>
        <w:br/>
        <w:t xml:space="preserve">        las masacres de la comunidad de Río Negro, no ha  establecido  las</w:t>
        <w:br/>
        <w:t xml:space="preserve">        condiciones  ni  proporcionado  los  medios  indispensables   para</w:t>
        <w:br/>
        <w:t xml:space="preserve">        reparar o mitigar los efectos de su desplazamiento, provocado  por</w:t>
        <w:br/>
        <w:t xml:space="preserve">        el propio Estado.</w:t>
        <w:br/>
        <w:br/>
        <w:br/>
        <w:t>B.4.  Conclusión</w:t>
        <w:br/>
        <w:br/>
        <w:t xml:space="preserve">   184. En consecuencia, la Corte considera que el Estado de Guatemala  es</w:t>
        <w:br/>
        <w:t xml:space="preserve">        responsable por la violación de los  derechos  reconocidos  en  el</w:t>
        <w:br/>
        <w:t xml:space="preserve">        artículo 22.1 de la  Convención  Americana,  en  relación  con  el</w:t>
        <w:br/>
        <w:t xml:space="preserve">        artículo 1.1 de la misma, en perjuicio de  los  sobrevivientes  de</w:t>
        <w:br/>
        <w:t xml:space="preserve">        las masacres de Río Negro que habitan en  la  colonia  Pacux.  Los</w:t>
        <w:br/>
        <w:t xml:space="preserve">        nombres de tales personas se encuentran en  el  Anexo  VII  de  la</w:t>
        <w:br/>
        <w:t xml:space="preserve">        presente Sentencia.</w:t>
        <w:br/>
        <w:br/>
        <w:br/>
        <w:br/>
        <w:t xml:space="preserve">                                     XII</w:t>
        <w:br/>
        <w:t xml:space="preserve">  GARANTÍAS JUDICIALES Y PROTECCIÓN JUDICIAL DE LA CONVENCIÓN AMERICANA, EN</w:t>
        <w:br/>
        <w:t xml:space="preserve">    RELACIÓN CON EL ARTÍCULO 1.1 DE LA MISMA Y CON LOS ARTÍCULOS I DE LA</w:t>
        <w:br/>
        <w:t xml:space="preserve"> CONVENCIÓN INTERAMERICANA SOBRE DESAPARICIÓN FORZADA DE PERSONAS, 1, 6 Y 8</w:t>
        <w:br/>
        <w:t xml:space="preserve">   DE LA CONVENCIÓN INTERAMERICANA PARA PREVENIR Y SANCIONAR LA TORTURA, Y</w:t>
        <w:br/>
        <w:t xml:space="preserve">  7.B DE LA CONVENCIÓN INTERAMERICANA PARA PREVENIR, SANCIONAR Y ERRADICAR</w:t>
        <w:br/>
        <w:t xml:space="preserve">                        LA VIOLENCIA CONTRA LA MUJER</w:t>
        <w:br/>
        <w:br/>
        <w:br/>
        <w:t>A.    Alegatos de las partes y de la Comisión Interamericana</w:t>
        <w:br/>
        <w:br/>
        <w:t xml:space="preserve">   185. La Comisión y  los  representantes  resaltaron  que  la  impunidad</w:t>
        <w:br/>
        <w:t xml:space="preserve">        constituyó uno  de  los  principales  engranajes  del  sistema  de</w:t>
        <w:br/>
        <w:t xml:space="preserve">        extrema violencia y persecución en cuyo marco  se  cometieron  las</w:t>
        <w:br/>
        <w:t xml:space="preserve">        graves violaciones de derechos humanos en  el  presente  caso.  Al</w:t>
        <w:br/>
        <w:t xml:space="preserve">        respecto, indicaron que después  de  aproximadamente  28  años  de</w:t>
        <w:br/>
        <w:t xml:space="preserve">        ocurridos los hechos y a 16 años de haberse  iniciado  el  proceso</w:t>
        <w:br/>
        <w:t xml:space="preserve">        judicial respecto a las masacres de Río Negro (Cerro de Pacoxom) y</w:t>
        <w:br/>
        <w:t xml:space="preserve">        Agua Fría, y a 8 años de haberse iniciado el proceso relativo a la</w:t>
        <w:br/>
        <w:t xml:space="preserve">        masacre de Xococ, sólo algunos de los autores materiales han  sido</w:t>
        <w:br/>
        <w:t xml:space="preserve">        juzgados, mientras que “el autor intelectual continúa cobrando  su</w:t>
        <w:br/>
        <w:t xml:space="preserve">        pensión como militar retirado pese a la existencia de una orden de</w:t>
        <w:br/>
        <w:t xml:space="preserve">        aprehensión en su contra […]”.  Por  otro  lado,  a  pesar  de  la</w:t>
        <w:br/>
        <w:t xml:space="preserve">        existencia de un proceso en relación con la masacre de Agua  Fría,</w:t>
        <w:br/>
        <w:t xml:space="preserve">        alegaron que  nadie  fue  condenado  en  virtud  de  la  falta  de</w:t>
        <w:br/>
        <w:t xml:space="preserve">        identificación de los restos exhumados, por lo que los  hechos  se</w:t>
        <w:br/>
        <w:t xml:space="preserve">        mantienen en total impunidad. Respecto a la investigación  de  los</w:t>
        <w:br/>
        <w:t xml:space="preserve">        hechos de las masacres de Pacoxom y Agua Fría, la  Comisión  alegó</w:t>
        <w:br/>
        <w:t xml:space="preserve">        que ha habido un uso indiscriminado de recursos por parte  de  los</w:t>
        <w:br/>
        <w:t xml:space="preserve">        imputados con una intención dilatoria, lo cual  ha  sido  tolerado</w:t>
        <w:br/>
        <w:t xml:space="preserve">        por las  autoridades.  Finalmente,  la  Comisión  señaló  que  “el</w:t>
        <w:br/>
        <w:t xml:space="preserve">        incumplimiento de [la] obligación  acentuada  de  investigación  y</w:t>
        <w:br/>
        <w:t xml:space="preserve">        juzgamiento de los actos de genocidio y racismo perpetrados contra</w:t>
        <w:br/>
        <w:t xml:space="preserve">        la  comunidad  de  Río  Negro   perpetúa   los   efectos   de   la</w:t>
        <w:br/>
        <w:t xml:space="preserve">        discriminación racial a la que fueron  sujetos  los  miembros  del</w:t>
        <w:br/>
        <w:t xml:space="preserve">        pueblo  maya  achí”.  En  tal  sentido,  alegó   que   “sólo   una</w:t>
        <w:br/>
        <w:t xml:space="preserve">        investigación y juzgamiento diligentes de lo ocurrido  son  medios</w:t>
        <w:br/>
        <w:t xml:space="preserve">        idóneos para poner fin a la discriminación racial y  sus  efectos,</w:t>
        <w:br/>
        <w:t xml:space="preserve">        mediante  el  resarcimiento  de  los  derechos  de  sus   víctimas</w:t>
        <w:br/>
        <w:t xml:space="preserve">        sobrevivientes”.</w:t>
        <w:br/>
        <w:br/>
        <w:t xml:space="preserve">   186. Además, la  Comisión  y  los  representantes  destacaron  que  las</w:t>
        <w:br/>
        <w:t xml:space="preserve">        violaciones perpetradas en el presente caso  constituyen  crímenes</w:t>
        <w:br/>
        <w:t xml:space="preserve">        de lesa humanidad y genocidio, y  que  en  sí  mismas  son  graves</w:t>
        <w:br/>
        <w:t xml:space="preserve">        violaciones de los derechos humanos. Por ello,  indicaron  que  es</w:t>
        <w:br/>
        <w:t xml:space="preserve">        necesaria la activación de los medios, instrumentos  y  mecanismos</w:t>
        <w:br/>
        <w:t xml:space="preserve">        para  la  persecución  y  sanción  de  sus  autores,  por  lo  que</w:t>
        <w:br/>
        <w:t xml:space="preserve">        solicitaron a la Corte que califique los hechos como “crímenes  de</w:t>
        <w:br/>
        <w:t xml:space="preserve">        lesa humanidad” y “genocidio”.</w:t>
        <w:br/>
        <w:br/>
        <w:t xml:space="preserve">   187. Por todo lo anterior, la Comisión y  los  representantes  alegaron</w:t>
        <w:br/>
        <w:t xml:space="preserve">        que  de  la  impunidad  imperante  en  el  presente  caso  derivan</w:t>
        <w:br/>
        <w:t xml:space="preserve">        violaciones de los artículos 8 y 25 de la Convención Americana, en</w:t>
        <w:br/>
        <w:t xml:space="preserve">        relación con el artículo 1.1 de la misma y con los artículos 1,  6</w:t>
        <w:br/>
        <w:t xml:space="preserve">        y 8 de la Convención contra la Tortura, y el artículo  7.b  de  la</w:t>
        <w:br/>
        <w:t xml:space="preserve">        Convención de Belém do Pará, en perjuicio de los sobrevivientes  y</w:t>
        <w:br/>
        <w:t xml:space="preserve">        de  los  familiares  de  las  personas  torturadas  y   ejecutadas</w:t>
        <w:br/>
        <w:t xml:space="preserve">        extrajudicialmente en las diferentes masacres. Por otro  lado,  la</w:t>
        <w:br/>
        <w:t xml:space="preserve">        Comisión alegó la  violación  de  los  artículos  8  y  25  de  la</w:t>
        <w:br/>
        <w:t xml:space="preserve">        Convención, en relación con el artículo 1.1 de la misma, y con  el</w:t>
        <w:br/>
        <w:t xml:space="preserve">        artículo  I  de  la  Convención  sobre  Desaparición  Forzada,  en</w:t>
        <w:br/>
        <w:t xml:space="preserve">        perjuicio de las personas desaparecidas y sus familiares.</w:t>
        <w:br/>
        <w:br/>
        <w:t xml:space="preserve">   188. Como ya indicó en esta Sentencia (supra párr. 17,  inciso  h),  el</w:t>
        <w:br/>
        <w:t xml:space="preserve">        Estado manifestó su “aceptación parcial” de la  violación  de  los</w:t>
        <w:br/>
        <w:t xml:space="preserve">        artículos 8 y 25 de la Convención Americana, en  relación  con  el</w:t>
        <w:br/>
        <w:t xml:space="preserve">        artículo 1.1 de la misma y con los  artículos  1,  6  y  8  de  la</w:t>
        <w:br/>
        <w:t xml:space="preserve">        Convención contra la Tortura y el artículo 7.b) de  la  Convención</w:t>
        <w:br/>
        <w:t xml:space="preserve">        de Belem do Pará, en perjuicio de los sobrevivientes y  familiares</w:t>
        <w:br/>
        <w:t xml:space="preserve">        de las personas torturadas y ejecutadas extrajudicialmente en  las</w:t>
        <w:br/>
        <w:t xml:space="preserve">        diferentes masacres, puesto que “no ha cumplido  a  cabalidad  con</w:t>
        <w:br/>
        <w:t xml:space="preserve">        sus obligaciones de  investigar  los  hechos  y  sancionar  a  los</w:t>
        <w:br/>
        <w:t xml:space="preserve">        responsables”. Al respecto, el Estado  reiteró  su  compromiso  de</w:t>
        <w:br/>
        <w:t xml:space="preserve">        iniciar  los  procesos  necesarios  e  impulsar  los   que   estén</w:t>
        <w:br/>
        <w:t xml:space="preserve">        pendientes. Además, Guatemala expresó  su  “aceptación  total”  en</w:t>
        <w:br/>
        <w:t xml:space="preserve">        relación con la violación de los artículos 8 y 25 de la Convención</w:t>
        <w:br/>
        <w:t xml:space="preserve">        Americana, en relación con el artículo 1.1 de la misma  y  con  el</w:t>
        <w:br/>
        <w:t xml:space="preserve">        artículo  I  de  la  Convención  sobre  Desaparición  Forzada   en</w:t>
        <w:br/>
        <w:t xml:space="preserve">        perjuicio de Ramona Lajuj y Manuel Chen Sánchez, pues  fueron  las</w:t>
        <w:br/>
        <w:t xml:space="preserve">        únicas víctimas  de  desaparición  forzada  identificadas  por  la</w:t>
        <w:br/>
        <w:t xml:space="preserve">        Comisión. Por último, el Estado declaró que “no se manif[estaría]”</w:t>
        <w:br/>
        <w:t xml:space="preserve">        respecto a la alegada violación de los artículos 8.1 y  25  de  la</w:t>
        <w:br/>
        <w:t xml:space="preserve">        Convención Americana, en relación con el 1.1  y  2  de  la  misma,</w:t>
        <w:br/>
        <w:t xml:space="preserve">        debido a que la Comisión  no  identificó  en  perjuicio  de  quién</w:t>
        <w:br/>
        <w:t xml:space="preserve">        fueron cometidas dichas violaciones.</w:t>
        <w:br/>
        <w:br/>
        <w:br/>
        <w:t>B.    Consideraciones de la Corte</w:t>
        <w:br/>
        <w:br/>
        <w:t xml:space="preserve">   189. El Estado ha manifestado su reconocimiento de responsabilidad  por</w:t>
        <w:br/>
        <w:t xml:space="preserve">        la falta de investigación de los hechos. Sin embargo, el  Tribunal</w:t>
        <w:br/>
        <w:t xml:space="preserve">        toma en cuenta que el presente caso versa sobre una pluralidad  de</w:t>
        <w:br/>
        <w:t xml:space="preserve">        violaciones graves, masivas y  sistemáticas  de  derechos  humanos</w:t>
        <w:br/>
        <w:t xml:space="preserve">        sucedidas en el marco del conflicto armado interno  en  Guatemala.</w:t>
        <w:br/>
        <w:t xml:space="preserve">        Por  lo  tanto,  a  continuación  la  Corte  se  referirá   a   la</w:t>
        <w:br/>
        <w:t xml:space="preserve">        jurisprudencia en torno al deber de investigar, juzgar  y,  en  su</w:t>
        <w:br/>
        <w:t xml:space="preserve">        caso, sancionar a los responsables de tales violaciones cuando son</w:t>
        <w:br/>
        <w:t xml:space="preserve">        cometidas dentro un contexto como el del presente caso.</w:t>
        <w:br/>
        <w:br/>
        <w:t xml:space="preserve">   190. La obligación de investigar violaciones de derechos humanos es una</w:t>
        <w:br/>
        <w:t xml:space="preserve">        de las medidas  positivas  que  deben  adoptar  los  Estados  para</w:t>
        <w:br/>
        <w:t xml:space="preserve">        garantizar los derechos reconocidos en la  Convención[272].  Desde</w:t>
        <w:br/>
        <w:t xml:space="preserve">        su primera sentencia esta Corte ha destacado  la  importancia  del</w:t>
        <w:br/>
        <w:t xml:space="preserve">        deber  estatal  de  investigar  y  sancionar  las  violaciones  de</w:t>
        <w:br/>
        <w:t xml:space="preserve">        derechos humanos[273], el  cual  adquiere  particular  importancia</w:t>
        <w:br/>
        <w:t xml:space="preserve">        ante la gravedad de las violaciones cometidas y la  naturaleza  de</w:t>
        <w:br/>
        <w:t xml:space="preserve">        los derechos lesionados[274]. Por esta razón, en el presente caso,</w:t>
        <w:br/>
        <w:t xml:space="preserve">        el  cual  versa  sobre  graves  violaciones  de  derechos  humanos</w:t>
        <w:br/>
        <w:t xml:space="preserve">        cometidas  dentro  de  un  contexto  de  violaciones   masivas   y</w:t>
        <w:br/>
        <w:t xml:space="preserve">        sistemáticas, la obligación de investigar no  puede  desecharse  o</w:t>
        <w:br/>
        <w:t xml:space="preserve">        condicionarse por actos o  disposiciones  normativas  internas  de</w:t>
        <w:br/>
        <w:t xml:space="preserve">        ninguna índole[275].</w:t>
        <w:br/>
        <w:br/>
        <w:t xml:space="preserve">   191. La Corte recuerda que, en virtud de la protección otorgada por los</w:t>
        <w:br/>
        <w:t xml:space="preserve">        artículos 8 y 25 de la Convención, los Estados están  obligados  a</w:t>
        <w:br/>
        <w:t xml:space="preserve">        suministrar  recursos  judiciales  efectivos  a  las  víctimas  de</w:t>
        <w:br/>
        <w:t xml:space="preserve">        violaciones de los derechos humanos, que deben ser sustanciados de</w:t>
        <w:br/>
        <w:t xml:space="preserve">        conformidad  con  las  reglas  del  debido   proceso   legal[276].</w:t>
        <w:br/>
        <w:t xml:space="preserve">        Asimismo, el Tribunal ha señalado que el derecho de  acceso  a  la</w:t>
        <w:br/>
        <w:t xml:space="preserve">        justicia debe asegurar, en tiempo razonable,  el  derecho  de  las</w:t>
        <w:br/>
        <w:t xml:space="preserve">        presuntas víctimas  o  sus  familiares  a  que  se  haga  todo  lo</w:t>
        <w:br/>
        <w:t xml:space="preserve">        necesario para conocer la verdad de lo sucedido y  se  sancione  a</w:t>
        <w:br/>
        <w:t xml:space="preserve">        los eventuales responsables[277].</w:t>
        <w:br/>
        <w:br/>
        <w:t xml:space="preserve">   192. Si bien la Corte ha establecido que el deber de investigar es  uno</w:t>
        <w:br/>
        <w:t xml:space="preserve">        de medio, no de resultado, ello no significa, sin embargo, que  la</w:t>
        <w:br/>
        <w:t xml:space="preserve">        investigación pueda ser emprendida  como  “una  simple  formalidad</w:t>
        <w:br/>
        <w:t xml:space="preserve">        condenada de antemano a ser  infructuosa”[278].  Al  respecto,  el</w:t>
        <w:br/>
        <w:t xml:space="preserve">        Tribunal ha establecido que “cada acto  estatal  que  conforma  el</w:t>
        <w:br/>
        <w:t xml:space="preserve">        proceso investigativo, así como la investigación en su  totalidad,</w:t>
        <w:br/>
        <w:t xml:space="preserve">        debe  estar  orientado  hacia   una   finalidad   específica,   la</w:t>
        <w:br/>
        <w:t xml:space="preserve">        determinación  de  la  verdad  y  la  investigación,  persecución,</w:t>
        <w:br/>
        <w:t xml:space="preserve">        captura,  enjuiciamiento  y,  en  su  caso,  la  sanción  de   los</w:t>
        <w:br/>
        <w:t xml:space="preserve">        responsables  de  los  hechos”[279].  La  investigación  debe  ser</w:t>
        <w:br/>
        <w:t xml:space="preserve">        realizada  con  todos  los  medios  legales  disponibles  y   debe</w:t>
        <w:br/>
        <w:t xml:space="preserve">        comprender la responsabilidad tanto de los  autores  intelectuales</w:t>
        <w:br/>
        <w:t xml:space="preserve">        como  materiales,  especialmente  cuando  están  o  puedan   estar</w:t>
        <w:br/>
        <w:t xml:space="preserve">        involucrados agentes estatales[280].</w:t>
        <w:br/>
        <w:br/>
        <w:t xml:space="preserve">   193. Además, El Tribunal recuerda que, de conformidad  con  el  derecho</w:t>
        <w:br/>
        <w:t xml:space="preserve">        reconocido en el artículo  8.1  de  la  Convención  Americana,  en</w:t>
        <w:br/>
        <w:t xml:space="preserve">        relación con el artículo 1.1 de la misma, los  Estados  tienen  la</w:t>
        <w:br/>
        <w:t xml:space="preserve">        obligación  de  garantizar  el  derecho  de  las  víctimas  o  sus</w:t>
        <w:br/>
        <w:t xml:space="preserve">        familiares de participar en todas las etapas  de  los  respectivos</w:t>
        <w:br/>
        <w:t xml:space="preserve">        procesos, de  manera  que  puedan  hacer  planteamientos,  recibir</w:t>
        <w:br/>
        <w:t xml:space="preserve">        informaciones,  aportar  pruebas,  formular  alegaciones   y,   en</w:t>
        <w:br/>
        <w:t xml:space="preserve">        síntesis,  hacer  valer  sus  derechos[281].  Dicha  participación</w:t>
        <w:br/>
        <w:t xml:space="preserve">        deberá  tener  como  finalidad  el  acceso  a  la   justicia,   el</w:t>
        <w:br/>
        <w:t xml:space="preserve">        conocimiento de la verdad de lo ocurrido y el otorgamiento de  una</w:t>
        <w:br/>
        <w:t xml:space="preserve">        justa reparación[282]. Sin embargo, la  búsqueda  efectiva  de  la</w:t>
        <w:br/>
        <w:t xml:space="preserve">        verdad corresponde al  Estado,  y  no  depende  de  la  iniciativa</w:t>
        <w:br/>
        <w:t xml:space="preserve">        procesal de la víctima, o de sus familiares  o  de  la  aportación</w:t>
        <w:br/>
        <w:t xml:space="preserve">        privada de elementos probatorios[283].</w:t>
        <w:br/>
        <w:br/>
        <w:t xml:space="preserve">   194. Por otro lado, este  Tribunal  también  ha  señalado  que  en  una</w:t>
        <w:br/>
        <w:t xml:space="preserve">        sociedad democrática se debe conocer la verdad sobre los hechos de</w:t>
        <w:br/>
        <w:t xml:space="preserve">        graves  violaciones  de  derechos  humanos.  Esta  es  una   justa</w:t>
        <w:br/>
        <w:t xml:space="preserve">        expectativa que el  Estado  debe  satisfacer[284],  por  un  lado,</w:t>
        <w:br/>
        <w:t xml:space="preserve">        mediante  la  obligación  de  investigar  de  oficio  las   graves</w:t>
        <w:br/>
        <w:t xml:space="preserve">        violaciones de derechos humanos y, por el otro, con la divulgación</w:t>
        <w:br/>
        <w:t xml:space="preserve">        pública  de   los   resultados   de   los   procesos   penales   e</w:t>
        <w:br/>
        <w:t xml:space="preserve">        investigativos[285].  Esto  exige  del  Estado  la   determinación</w:t>
        <w:br/>
        <w:t xml:space="preserve">        procesal de los patrones de actuación  conjunta  y  de  todas  las</w:t>
        <w:br/>
        <w:t xml:space="preserve">        personas que de diversas formas participaron en dichas violaciones</w:t>
        <w:br/>
        <w:t xml:space="preserve">        y sus correspondientes  responsabilidades[286]  y  reparar  a  las</w:t>
        <w:br/>
        <w:t xml:space="preserve">        víctimas del caso. Por ello, en ocasiones anteriores la  Corte  ha</w:t>
        <w:br/>
        <w:t xml:space="preserve">        considerado que las autoridades encargadas de las  investigaciones</w:t>
        <w:br/>
        <w:t xml:space="preserve">        tienen el deber de asegurar que en  el  curso  de  las  mismas  se</w:t>
        <w:br/>
        <w:t xml:space="preserve">        valoren los patrones sistemáticos que permitieron la  comisión  de</w:t>
        <w:br/>
        <w:t xml:space="preserve">        graves violaciones de los derechos humanos, como los sucedidos  en</w:t>
        <w:br/>
        <w:t xml:space="preserve">        el presente caso[287]. En aras de garantizar  su  efectividad,  la</w:t>
        <w:br/>
        <w:t xml:space="preserve">        investigación debe ser conducida tomando en cuenta la  complejidad</w:t>
        <w:br/>
        <w:t xml:space="preserve">        de este tipo de hechos y de la estructura en la cual se ubican las</w:t>
        <w:br/>
        <w:t xml:space="preserve">        personas probablemente involucradas en los mismos, de  acuerdo  al</w:t>
        <w:br/>
        <w:t xml:space="preserve">        contexto  en  que  ocurrieron,  evitando  así  omisiones   en   la</w:t>
        <w:br/>
        <w:t xml:space="preserve">        recaudación de prueba y en el seguimiento  de  líneas  lógicas  de</w:t>
        <w:br/>
        <w:t xml:space="preserve">        investigación[288]. Por  ello,  las  autoridades  estatales  están</w:t>
        <w:br/>
        <w:t xml:space="preserve">        obligadas a colaborar en la recaudación de la prueba para alcanzar</w:t>
        <w:br/>
        <w:t xml:space="preserve">        los objetivos de una investigación y abstenerse de realizar  actos</w:t>
        <w:br/>
        <w:t xml:space="preserve">        que  impliquen  obstrucciones   para   la   marcha   del   proceso</w:t>
        <w:br/>
        <w:t xml:space="preserve">        investigativo[289].</w:t>
        <w:br/>
        <w:br/>
        <w:br/>
        <w:t>B.1.  Falta de investigación de las masacres sucedidas en  la  capilla  de</w:t>
        <w:br/>
        <w:t>Río Negro y en Los Encuentros</w:t>
        <w:br/>
        <w:br/>
        <w:t xml:space="preserve">   195. En esta Sentencia  ya  se  estableció  que  los  hechos  sucedidos</w:t>
        <w:br/>
        <w:t xml:space="preserve">        durante las masacres cometidas en la capilla de Río Negro y en Los</w:t>
        <w:br/>
        <w:t xml:space="preserve">        Encuentros no han sido investigados por  el  Estado  (supra  párr.</w:t>
        <w:br/>
        <w:t xml:space="preserve">        88). Al respecto, la Corte considera pertinente señalar que dentro</w:t>
        <w:br/>
        <w:t xml:space="preserve">        del proceso penal iniciado en 1993 para  investigar  las  masacres</w:t>
        <w:br/>
        <w:t xml:space="preserve">        cometidas en el cerro Pacoxom y en Agua Fría (infra párrs.  197  a</w:t>
        <w:br/>
        <w:t xml:space="preserve">        210), aproximadamente 11  y  13  años  después  de  sucedidos  los</w:t>
        <w:br/>
        <w:t xml:space="preserve">        hechos,   se   encuentran   varios   testimonios    de    víctimas</w:t>
        <w:br/>
        <w:t xml:space="preserve">        sobrevivientes que dan cuenta  de  los  hechos  sucedidos  en  las</w:t>
        <w:br/>
        <w:t xml:space="preserve">        masacres de la capilla de Río Negro y en Los  Encuentros.  Además,</w:t>
        <w:br/>
        <w:t xml:space="preserve">        los hechos han  sido  ampliamente  abordados  y  documentados  por</w:t>
        <w:br/>
        <w:t xml:space="preserve">        órganos estatales,  tales  como  la  Comisión  de  Esclarecimiento</w:t>
        <w:br/>
        <w:t xml:space="preserve">        Histórico de Guatemala que en su  Informe  Memoria  del  Silencio,</w:t>
        <w:br/>
        <w:t xml:space="preserve">        destina un apartado para el análisis específico del “Caso  de  Río</w:t>
        <w:br/>
        <w:t xml:space="preserve">        Negro”[290].</w:t>
        <w:br/>
        <w:br/>
        <w:t xml:space="preserve">   196.  De  esta  manera,  diversas  autoridades  estatales  han   tenido</w:t>
        <w:br/>
        <w:t xml:space="preserve">        conocimiento de tales hechos y, no obstante,  no  se  ha  iniciado</w:t>
        <w:br/>
        <w:t xml:space="preserve">        investigación alguna, a pesar de ser una obligación que  debe  ser</w:t>
        <w:br/>
        <w:t xml:space="preserve">        cumplida por el Estado de oficio. Por lo tanto, luego de  casi  30</w:t>
        <w:br/>
        <w:t xml:space="preserve">        años, estos hechos se encuentran en total impunidad,  la  cual  ha</w:t>
        <w:br/>
        <w:t xml:space="preserve">        sido definida por la Corte  como  “la  falta  en  su  conjunto  de</w:t>
        <w:br/>
        <w:t xml:space="preserve">        investigación, persecución, captura, enjuiciamiento y  condena  de</w:t>
        <w:br/>
        <w:t xml:space="preserve">        los responsables de las violaciones de los derechos protegidos por</w:t>
        <w:br/>
        <w:t xml:space="preserve">        la Convención Americana”[291]. En estos términos, es claro que  el</w:t>
        <w:br/>
        <w:t xml:space="preserve">        Estado ha incumplido su deber de investigar ex officio lo sucedido</w:t>
        <w:br/>
        <w:t xml:space="preserve">        durante las masacres de la capilla de Río Negro y Los  Encuentros.</w:t>
        <w:br/>
        <w:t xml:space="preserve">        Por lo tanto, Guatemala es responsable por  la  violación  de  los</w:t>
        <w:br/>
        <w:t xml:space="preserve">        derechos reconocidos en los artículos 8.1 y 25.1 de la  Convención</w:t>
        <w:br/>
        <w:t xml:space="preserve">        Americana, en relación con el artículo  1.1  de  la  misma  (infra</w:t>
        <w:br/>
        <w:t xml:space="preserve">        párr. 237).</w:t>
        <w:br/>
        <w:br/>
        <w:br/>
        <w:t>B.2.  Investigación de las masacres sucedidas en el  cerro  Pacoxom  y  en</w:t>
        <w:br/>
        <w:t>Agua Fría</w:t>
        <w:br/>
        <w:br/>
        <w:t>B.2.1.      Impulso procesal de las víctimas</w:t>
        <w:br/>
        <w:br/>
        <w:t xml:space="preserve">   197.  La investigación llevada a cabo por los hechos sucedidos el 13 de</w:t>
        <w:br/>
        <w:t xml:space="preserve">        marzo de 1982 en el cerro Pacoxom y el 14 de septiembre de 1982 en</w:t>
        <w:br/>
        <w:t xml:space="preserve">        Agua Fría se  inició  a  partir  de  denuncias  en  1993  y  1994,</w:t>
        <w:br/>
        <w:t xml:space="preserve">        respectivamente, realizadas por víctimas de  las  masacres  (supra</w:t>
        <w:br/>
        <w:t xml:space="preserve">        párrs. 92 y 93). Una de estas denuncias, la relativa a la  masacre</w:t>
        <w:br/>
        <w:t xml:space="preserve">        de Pacoxom, de acuerdo a lo declarado en el proceso interno por el</w:t>
        <w:br/>
        <w:t xml:space="preserve">        señor Jesús Tecú  Osorio,  fue  hecha  a  pesar  de  las  amenazas</w:t>
        <w:br/>
        <w:t xml:space="preserve">        recibidas. Durante la audiencia  pública,  el  señor  Tecú  Osorio</w:t>
        <w:br/>
        <w:t xml:space="preserve">        también señaló que:</w:t>
        <w:br/>
        <w:br/>
        <w:t xml:space="preserve">    “[…] cuando se estaban realizando las  exhumaciones  en  Río  Negro,  a</w:t>
        <w:br/>
        <w:t xml:space="preserve">    través del comandante del destacamento [de] Rabinal, llamaron  a  todos</w:t>
        <w:br/>
        <w:t xml:space="preserve">    los sobrevivientes de Río Negro para que [fueran] a una reunión  en  el</w:t>
        <w:br/>
        <w:t xml:space="preserve">    destacamento y, […] empezaron a amenazar a toda la gente, [que]  si  se</w:t>
        <w:br/>
        <w:t xml:space="preserve">    metía[n] con estas gentes que promovían las exhumaciones los  [iban]  a</w:t>
        <w:br/>
        <w:t xml:space="preserve">    matar nuevamente así como  [les  pasó]  a  todas  esas  gentes  que  se</w:t>
        <w:br/>
        <w:t xml:space="preserve">    quedaron en [los] cementerios clandestinos”.</w:t>
        <w:br/>
        <w:br/>
        <w:br/>
        <w:t xml:space="preserve">   198. Por lo tanto,  la  Corte  observa  que  la  investigación  de  las</w:t>
        <w:br/>
        <w:t xml:space="preserve">        masacres referidas en este apartado  inició  aproximadamente  diez</w:t>
        <w:br/>
        <w:t xml:space="preserve">        años después  de  sucedidos  los  hechos  pero  a  partir  de  las</w:t>
        <w:br/>
        <w:t xml:space="preserve">        denuncias  que  las  propias  víctimas  interpusieron,  y   no   a</w:t>
        <w:br/>
        <w:t xml:space="preserve">        iniciativa del Estado. En relación a ello,  el  señor  Jesús  Tecú</w:t>
        <w:br/>
        <w:t xml:space="preserve">        Osorio  durante  la  audiencia  pública  expresó  que  “[los]  han</w:t>
        <w:br/>
        <w:t xml:space="preserve">        revictimizado porque [ellos,] los sobrevivientes[, han] tomado  la</w:t>
        <w:br/>
        <w:t xml:space="preserve">        iniciativa, [han] llevado las pruebas al ministerio  público  para</w:t>
        <w:br/>
        <w:t xml:space="preserve">        que casti[guen] a los responsables […]”. En tal sentido, la  Corte</w:t>
        <w:br/>
        <w:t xml:space="preserve">        considera que aunque el Estado ha realizado ciertos esfuerzos para</w:t>
        <w:br/>
        <w:t xml:space="preserve">        la investigación de los hechos, la mayoría de las pruebas han sido</w:t>
        <w:br/>
        <w:t xml:space="preserve">        aportadas por las  víctimas[292],  ciertas  actuaciones  han  sido</w:t>
        <w:br/>
        <w:t xml:space="preserve">        promovidas por éstas, tales como las  exhumaciones  realizadas,  a</w:t>
        <w:br/>
        <w:t xml:space="preserve">        las cuales la Corte se referirá más adelante  (infra  párr.  218),</w:t>
        <w:br/>
        <w:t xml:space="preserve">        así como la identificación e individualización  de  los  presuntos</w:t>
        <w:br/>
        <w:t xml:space="preserve">        responsables. En gran medida, el impulso de la investigación se ha</w:t>
        <w:br/>
        <w:t xml:space="preserve">        dejado a las propias víctimas. En razón de lo anterior, el  Estado</w:t>
        <w:br/>
        <w:t xml:space="preserve">        es responsable por la violación de los derechos reconocidos en los</w:t>
        <w:br/>
        <w:t xml:space="preserve">        artículos 8.1 y 25.1 de la Convención Americana, en  relación  con</w:t>
        <w:br/>
        <w:t xml:space="preserve">        el artículo 1.1 de la misma (infra párr. 237).</w:t>
        <w:br/>
        <w:br/>
        <w:br/>
        <w:t>B.2.2.      Responsables y tipo penal aplicado</w:t>
        <w:br/>
        <w:br/>
        <w:t xml:space="preserve">   199. Como ya se mencionó en esta Sentencia (supra párr. 97), el  30  de</w:t>
        <w:br/>
        <w:t xml:space="preserve">        noviembre de 1998 el Tribunal de Sentencia Penal, Narcoactividad y</w:t>
        <w:br/>
        <w:t xml:space="preserve">        Delitos contra el Ambiente de Baja Verapaz dictó una sentencia  en</w:t>
        <w:br/>
        <w:t xml:space="preserve">        la cual condenó a tres personas por el delito  de  “asesinato”  en</w:t>
        <w:br/>
        <w:t xml:space="preserve">        contra de  Martha  Julia  Chen  Osorio,  Margarita  Chen  Uscap  y</w:t>
        <w:br/>
        <w:t xml:space="preserve">        Demetria Osorio Lajuj, víctimas de la masacre sucedida en el cerro</w:t>
        <w:br/>
        <w:t xml:space="preserve">        Pacoxom. Sin embargo, dicho Tribunal no  encontró  responsabilidad</w:t>
        <w:br/>
        <w:t xml:space="preserve">        alguna en relación con la masacre de Agua Fría  en  razón  de  que</w:t>
        <w:br/>
        <w:t xml:space="preserve">        ninguna de las personas exhumadas en dicho lugar fue identificada,</w:t>
        <w:br/>
        <w:t xml:space="preserve">        lo cual no permitía imputar el delito de asesinato a los presuntos</w:t>
        <w:br/>
        <w:t xml:space="preserve">        responsables. Posteriormente, el 7 de octubre de 1999 el  Tribunal</w:t>
        <w:br/>
        <w:t xml:space="preserve">        de Sentencia Penal, Narcoactividad y Delitos contra el Ambiente de</w:t>
        <w:br/>
        <w:t xml:space="preserve">        Baja Verapaz, con  una  nueva  integración,  condenó  a  las  tres</w:t>
        <w:br/>
        <w:t xml:space="preserve">        personas señaladas pero sólo por el asesinato de Martha Julia Chen</w:t>
        <w:br/>
        <w:t xml:space="preserve">        Osorio y Demetria Osorio Lajuj, porque se había logrado  acreditar</w:t>
        <w:br/>
        <w:t xml:space="preserve">        su “muerte violenta”. El 1 de  febrero  de  2000  la  Sala  Décimo</w:t>
        <w:br/>
        <w:t xml:space="preserve">        Cuarta de la Corte de Apelaciones de Cobán, Alta Verapaz, confirmó</w:t>
        <w:br/>
        <w:t xml:space="preserve">        dicha sentencia y sólo modificó la condena impuesta</w:t>
        <w:br/>
        <w:br/>
        <w:t xml:space="preserve">   200. Por otro lado, a pesar de que se encontraron  aproximadamente  143</w:t>
        <w:br/>
        <w:t xml:space="preserve">        restos pertenecientes a miembros de la comunidad de Río Negro  que</w:t>
        <w:br/>
        <w:t xml:space="preserve">        supuestamente fueron ejecutados durante la masacre de Pacoxom,  en</w:t>
        <w:br/>
        <w:t xml:space="preserve">        la sentencia de 7 de octubre de 1999 solamente se condenó  por  el</w:t>
        <w:br/>
        <w:t xml:space="preserve">        “asesinato”  de  dos  víctimas,   ya   que   fueron   las   únicas</w:t>
        <w:br/>
        <w:t xml:space="preserve">        identificadas y respecto  de  las  cuales  se  pudo  acreditar  su</w:t>
        <w:br/>
        <w:t xml:space="preserve">        “muerte violenta”. Conforme a  dicha  sentencia,  no  era  posible</w:t>
        <w:br/>
        <w:t xml:space="preserve">        atribuir el resto de hechos a los imputados debido  a  que  no  se</w:t>
        <w:br/>
        <w:t xml:space="preserve">        había logrado la identificación de los otros restos. Por lo tanto,</w:t>
        <w:br/>
        <w:t xml:space="preserve">        el  Estado  se  basó  en  su  propia  falta  a  la  obligación  de</w:t>
        <w:br/>
        <w:t xml:space="preserve">        identificación de los  restos  para  justificar  su  decisión.  Al</w:t>
        <w:br/>
        <w:t xml:space="preserve">        respecto,  el  perito  Michael  Paul  Hermann  Mörth  durante   la</w:t>
        <w:br/>
        <w:t xml:space="preserve">        audiencia pública expresó que  conforme  a  dicha  decisión  “para</w:t>
        <w:br/>
        <w:t xml:space="preserve">        sentenciar  por   un   asesinato   tiene   que   ser   debidamente</w:t>
        <w:br/>
        <w:t xml:space="preserve">        identifica[da] e individualiza[da]  la  víctima[,  pero  que,  sin</w:t>
        <w:br/>
        <w:t xml:space="preserve">        embargo, en] la masacre de Agua Fría [este]  paradigma  lleg[ó]  a</w:t>
        <w:br/>
        <w:t xml:space="preserve">        una consecuencia más absurda todavía [porque] se abs[olvió  a  los</w:t>
        <w:br/>
        <w:t xml:space="preserve">        responsables] porque no [se pudo] identificar  [a  las]  víctimas,</w:t>
        <w:br/>
        <w:t xml:space="preserve">        [por lo cual,] según  [su  opinión,]  se  ha  sacrificado  […]  la</w:t>
        <w:br/>
        <w:t xml:space="preserve">        crítica razonada  y  sus  criterios  en  altar  de  un  formalismo</w:t>
        <w:br/>
        <w:t xml:space="preserve">        totalmente exagerado”. También mencionó que, sin  embargo,  no  se</w:t>
        <w:br/>
        <w:t xml:space="preserve">        tomó en cuenta que los cuerpos “fueron tirados en el suelo, fueron</w:t>
        <w:br/>
        <w:t xml:space="preserve">        expuestos a animales […], que estos restos de seres humanos fueron</w:t>
        <w:br/>
        <w:t xml:space="preserve">        escondidos en un cementerio clandestino que  se  ocultó  años  […]</w:t>
        <w:br/>
        <w:t xml:space="preserve">        dejando de esta manera las osamentas en la  intemperie  sujetas  a</w:t>
        <w:br/>
        <w:t xml:space="preserve">        animales y cualquier  otra  cosa,  frente  a  esta  situación  que</w:t>
        <w:br/>
        <w:t xml:space="preserve">        obviamente tenía su influencia en el estado de la situación de los</w:t>
        <w:br/>
        <w:t xml:space="preserve">        cadáveres, de los restos, de los huesos, de las osamentas frente a</w:t>
        <w:br/>
        <w:t xml:space="preserve">        esta situación”.</w:t>
        <w:br/>
        <w:br/>
        <w:t xml:space="preserve">   201.  Además,  solamente  tres  de  las  personas  identificadas   como</w:t>
        <w:br/>
        <w:t xml:space="preserve">        responsables fueron juzgadas y sancionadas. Sin  embargo,  durante</w:t>
        <w:br/>
        <w:t xml:space="preserve">        el proceso en varias ocasiones las víctimas señalaron los  nombres</w:t>
        <w:br/>
        <w:t xml:space="preserve">        de otras personas, particularmente, de miembros de  las  patrullas</w:t>
        <w:br/>
        <w:t xml:space="preserve">        de autodefensa civil, que también presuntamente son  responsables.</w:t>
        <w:br/>
        <w:t xml:space="preserve">        Tales personas no fueron localizadas por el Estado en ese momento,</w:t>
        <w:br/>
        <w:t xml:space="preserve">        pero tampoco se advierte que se hayan adoptado de forma  inmediata</w:t>
        <w:br/>
        <w:t xml:space="preserve">        las medidas necesarias con ese fin. No fue sino tres años después,</w:t>
        <w:br/>
        <w:t xml:space="preserve">        es decir, el 24 de octubre  de  2002  que  el  ministerio  público</w:t>
        <w:br/>
        <w:t xml:space="preserve">        solicitó al juez encargado de la causa que emitiera  la  orden  de</w:t>
        <w:br/>
        <w:t xml:space="preserve">        aprehensión en contra de siete personas más (supra párr. 100).</w:t>
        <w:br/>
        <w:br/>
        <w:t xml:space="preserve">   202.  El  28  de  mayo  de  2008  el  Tribunal  de   Sentencia   Penal,</w:t>
        <w:br/>
        <w:t xml:space="preserve">        Narcoactividad y  Delitos  contra  el  Ambiente  de  Baja  Verapaz</w:t>
        <w:br/>
        <w:t xml:space="preserve">        condenó a otras cinco personas por el delito de “asesinato” de  26</w:t>
        <w:br/>
        <w:t xml:space="preserve">        miembros de la comunidad de Río Negro víctimas de  la  masacre  de</w:t>
        <w:br/>
        <w:t xml:space="preserve">        Pacoxom  (supra  párr.  101).   Sin   embargo,   otros   presuntos</w:t>
        <w:br/>
        <w:t xml:space="preserve">        responsables continúan sin ser localizados hasta el  día  de  hoy,</w:t>
        <w:br/>
        <w:t xml:space="preserve">        incluyendo al coronel del  ejército  que  desde  1993  había  sido</w:t>
        <w:br/>
        <w:t xml:space="preserve">        señalado como uno de los responsables. Debe resaltarse que  el  28</w:t>
        <w:br/>
        <w:t xml:space="preserve">        de enero de 2003 Jesús Tecú Osorio, víctima en el  presente  caso,</w:t>
        <w:br/>
        <w:t xml:space="preserve">        dentro del proceso penal señaló que aproximadamente  10  militares</w:t>
        <w:br/>
        <w:t xml:space="preserve">        del  destacamento  militar   de   Rabinal,   Baja   Verapaz,   son</w:t>
        <w:br/>
        <w:t xml:space="preserve">        responsables de  los  hechos  de  estas  masacres,  al  igual  que</w:t>
        <w:br/>
        <w:t xml:space="preserve">        aproximadamente 45 patrulleros de la autodefensa civil de la Aldea</w:t>
        <w:br/>
        <w:t xml:space="preserve">        Xococ. El señor Tecú Osorio, inclusive, proporcionó los nombres de</w:t>
        <w:br/>
        <w:t xml:space="preserve">        casi todos ellos[293]. No obstante, ni en la investigación  ni  en</w:t>
        <w:br/>
        <w:t xml:space="preserve">        la sentencia se refleja que se haya indagado al resto de  personas</w:t>
        <w:br/>
        <w:t xml:space="preserve">        señaladas como responsables más allá de las ya condenadas.</w:t>
        <w:br/>
        <w:br/>
        <w:t xml:space="preserve">   203.  Para  hechos  como  los  del  presente  caso,  por  tratarse   de</w:t>
        <w:br/>
        <w:t xml:space="preserve">        violaciones graves, masivas y sistemáticas de derechos humanos, el</w:t>
        <w:br/>
        <w:t xml:space="preserve">        Estado  debe  utilizar  y  aplicar  las   herramientas   jurídicas</w:t>
        <w:br/>
        <w:t xml:space="preserve">        adecuadas para  el  análisis  del  caso,  las  categorías  penales</w:t>
        <w:br/>
        <w:t xml:space="preserve">        correspondientes con los hechos por investigar y el diseño de  una</w:t>
        <w:br/>
        <w:t xml:space="preserve">        adecuada investigación[294] capaz de garantizar efectivamente  los</w:t>
        <w:br/>
        <w:t xml:space="preserve">        derechos humanos involucrados. Al respecto, la Corte debe  señalar</w:t>
        <w:br/>
        <w:t xml:space="preserve">        que  la  calificación  penal  de  los  hechos  corresponde  a  las</w:t>
        <w:br/>
        <w:t xml:space="preserve">        autoridades internas con competencia para ello. Sin embargo, en el</w:t>
        <w:br/>
        <w:t xml:space="preserve">        presente caso, la Corte observa que el delito de  “asesinato”  por</w:t>
        <w:br/>
        <w:t xml:space="preserve">        el cual se condenó a ocho personas mediante las sentencias de 8 de</w:t>
        <w:br/>
        <w:t xml:space="preserve">        noviembre de 1998 y 28 de mayo de 2009 no refleja la gravedad,  la</w:t>
        <w:br/>
        <w:t xml:space="preserve">        multiplicidad ni la magnitud de los hechos sucedidos  durante  las</w:t>
        <w:br/>
        <w:t xml:space="preserve">        masacres de  Pacoxom  y  Agua  Fría.  Como  se  desprende  de  las</w:t>
        <w:br/>
        <w:t xml:space="preserve">        declaraciones rendidas por varias víctimas  a  nivel  interno  así</w:t>
        <w:br/>
        <w:t xml:space="preserve">        como de esta Sentencia, en el presente caso  han  sucedido  hechos</w:t>
        <w:br/>
        <w:t xml:space="preserve">        que no se limitan al “asesinato” de miembros de  la  comunidad  de</w:t>
        <w:br/>
        <w:t xml:space="preserve">        Río Negro. Sin embargo, tales hechos no han sido investigados.</w:t>
        <w:br/>
        <w:br/>
        <w:t xml:space="preserve">   204. Por otro lado, la Corte desea resaltar que el coronel del ejército</w:t>
        <w:br/>
        <w:t xml:space="preserve">        acusado de haber  dado  la  orden  de  eliminar  totalmente  a  la</w:t>
        <w:br/>
        <w:t xml:space="preserve">        comunidad de Río Negro, cuenta con una orden de aprehensión  desde</w:t>
        <w:br/>
        <w:t xml:space="preserve">        el 15 de abril de 2003 (supra párr. 107), a pesar que  desde  1993</w:t>
        <w:br/>
        <w:t xml:space="preserve">        ya había sido señalado como uno  de  los  presuntos  responsables.</w:t>
        <w:br/>
        <w:t xml:space="preserve">        Dicho coronel actualmente se encuentra en retiro por lo que recibe</w:t>
        <w:br/>
        <w:t xml:space="preserve">        mensualmente una pensión de jubilación, como lo señaló  el  Estado</w:t>
        <w:br/>
        <w:t xml:space="preserve">        durante la audiencia pública y en sus alegatos  finales  escritos.</w:t>
        <w:br/>
        <w:t xml:space="preserve">        Guatemala señaló que ha llevado a cabo diversas  diligencias  para</w:t>
        <w:br/>
        <w:t xml:space="preserve">        tratar de dar con su paradero, como allanamientos, y que además se</w:t>
        <w:br/>
        <w:t xml:space="preserve">        han presentado  solicitudes  de  búsqueda  a  diversos  órganos  e</w:t>
        <w:br/>
        <w:t xml:space="preserve">        instituciones (supra párr. 107). No obstante, hasta la  fecha,  el</w:t>
        <w:br/>
        <w:t xml:space="preserve">        coronel no ha sido localizado ni aprehendido. La Corte observa que</w:t>
        <w:br/>
        <w:t xml:space="preserve">        estas diligencias se han limitado al envío de oficios sin  que  se</w:t>
        <w:br/>
        <w:t xml:space="preserve">        haya llevado a cabo algún otro tipo de medida indagatoria acorde a</w:t>
        <w:br/>
        <w:t xml:space="preserve">        la situación. Sobre ello,  el  perito  Hermann  Mörth  durante  la</w:t>
        <w:br/>
        <w:t xml:space="preserve">        audiencia pública señaló que “[era] inconcebible que se  bus[cara]</w:t>
        <w:br/>
        <w:t xml:space="preserve">        a  una  persona  con  orden  de  captura  y  ésta   tranquilamente</w:t>
        <w:br/>
        <w:t xml:space="preserve">        sig[uiera] recibiendo una jubilación sin que la misma  institución</w:t>
        <w:br/>
        <w:t xml:space="preserve">        castrense o el [Instituto de Previsión Militar] compart[iera] esta</w:t>
        <w:br/>
        <w:t xml:space="preserve">        información de manera voluntaria”.</w:t>
        <w:br/>
        <w:br/>
        <w:t xml:space="preserve">   205. Llama la atención de la Corte que la sentencia de 7 de octubre  de</w:t>
        <w:br/>
        <w:t xml:space="preserve">        1999 señala que “de la figura del asesinato  también  concurrieron</w:t>
        <w:br/>
        <w:t xml:space="preserve">        circunstancias agravantes entre los que [se  puede]  mencionar  el</w:t>
        <w:br/>
        <w:t xml:space="preserve">        auxilio de gente armada ya que el hecho fue ejecutado con  auxilio</w:t>
        <w:br/>
        <w:t xml:space="preserve">        de numeroso grupo de soldados debidamente  armados  y  uniformados</w:t>
        <w:br/>
        <w:t xml:space="preserve">        quienes aseguraron el acto  y  posiblemente  hasta  aseguraron  la</w:t>
        <w:br/>
        <w:t xml:space="preserve">        impunidad del hecho[…]”[295]. Como ya  se  mencionó  (supra  párr.</w:t>
        <w:br/>
        <w:t xml:space="preserve">        194), la debida diligencia en las investigaciones implica tomar en</w:t>
        <w:br/>
        <w:t xml:space="preserve">        cuenta los patrones de actuación  de  la  compleja  estructura  de</w:t>
        <w:br/>
        <w:t xml:space="preserve">        personas involucradas en la  comisión  de  hechos  violatorios  de</w:t>
        <w:br/>
        <w:t xml:space="preserve">        derechos humanos. Por lo tanto, a pesar de  que  el  contexto  del</w:t>
        <w:br/>
        <w:t xml:space="preserve">        caso, el cual es ampliamente conocido en Guatemala, y  de  que  la</w:t>
        <w:br/>
        <w:t xml:space="preserve">        sentencia de 7 de octubre  de  1999  ya  señalada,  así  como  las</w:t>
        <w:br/>
        <w:t xml:space="preserve">        declaraciones de presuntas víctimas que se han  rendido  ante  las</w:t>
        <w:br/>
        <w:t xml:space="preserve">        instancias internas y ante este Tribunal dan cuenta de que en  las</w:t>
        <w:br/>
        <w:t xml:space="preserve">        masacres de Pacoxom y Agua  Fría  participaron  tanto  patrulleros</w:t>
        <w:br/>
        <w:t xml:space="preserve">        como militares, es claro que las investigaciones  correspondientes</w:t>
        <w:br/>
        <w:t xml:space="preserve">        se han centrado en la determinación de la responsabilidad  de  los</w:t>
        <w:br/>
        <w:t xml:space="preserve">        primeros. En ese sentido, el  único  militar  indagado,  luego  de</w:t>
        <w:br/>
        <w:t xml:space="preserve">        nueve años desde que se dictó su aprehensión, todavía no  ha  sido</w:t>
        <w:br/>
        <w:t xml:space="preserve">        llevado a la  justicia.  Al  respecto,  el  perito  Hermann  Mörth</w:t>
        <w:br/>
        <w:t xml:space="preserve">        durante la audiencia público sostuvo que “[e]n [los]  cinco  casos</w:t>
        <w:br/>
        <w:t xml:space="preserve">        [de Río  Negro]  no  existe  investigación  adicional  contra  los</w:t>
        <w:br/>
        <w:t xml:space="preserve">        responsables militares”. En el  presente  caso  las  víctimas  han</w:t>
        <w:br/>
        <w:t xml:space="preserve">        expresado su frustración sobre ello. Así, por ejemplo, Bruna Pérez</w:t>
        <w:br/>
        <w:t xml:space="preserve">        Osorio, víctima sobreviviente, manifestó que “[a]ctualmente  están</w:t>
        <w:br/>
        <w:t xml:space="preserve">        condenados como ocho patrulleros, pero en realidad hay  más.  ¿Qué</w:t>
        <w:br/>
        <w:t xml:space="preserve">        pasa con los altos mandos que no […] han  agarrado?  Ellos  fueron</w:t>
        <w:br/>
        <w:t xml:space="preserve">        los que nos mataron”[296]. Asimismo, durante la audiencia  pública</w:t>
        <w:br/>
        <w:t xml:space="preserve">        Carlos Chen Osorio, también víctima sobreviviente, expresó que “la</w:t>
        <w:br/>
        <w:t xml:space="preserve">        sentencia se va a emitir siempre contra los campesinos de sombrero</w:t>
        <w:br/>
        <w:t xml:space="preserve">        y de caites […] pero no  así  de  los  responsables  intelectuales</w:t>
        <w:br/>
        <w:t xml:space="preserve">        […]”. La señora María  Eustaquia  Uscap  Ivoy  en  su  declaración</w:t>
        <w:br/>
        <w:t xml:space="preserve">        rendida  mediante  affidávit  expresó  que  esperaba  que  hubiera</w:t>
        <w:br/>
        <w:t xml:space="preserve">        “justicia porque [quieren] que se llegue a saber la verdad de todo</w:t>
        <w:br/>
        <w:t xml:space="preserve">        lo que pasó […] como los patrulleros y los soldados fueron quienes</w:t>
        <w:br/>
        <w:t xml:space="preserve">        llegaron a matar a la  gente,  ellos  también  saben  quiénes  les</w:t>
        <w:br/>
        <w:t xml:space="preserve">        dieron la orden de hacerlo […] sólo cuando la gente se  dé  cuenta</w:t>
        <w:br/>
        <w:t xml:space="preserve">        de que sí hay justicia, esto no va a volver a pasar […]”[297].</w:t>
        <w:br/>
        <w:br/>
        <w:t xml:space="preserve">   206.  Por  lo  anterior,  el  Tribunal  considera  que  el  Estado   es</w:t>
        <w:br/>
        <w:t xml:space="preserve">        responsable por la violación de los derechos  reconocidos  en  los</w:t>
        <w:br/>
        <w:t xml:space="preserve">        artículos 8.1 y 25.1 de la Convención Americana, en  relación  con</w:t>
        <w:br/>
        <w:t xml:space="preserve">        el artículo 1.1 de dicho instrumento (infra párr. 237).</w:t>
        <w:br/>
        <w:br/>
        <w:br/>
        <w:t>B.2.3.       Falta  de  cooperación  de  las  autoridades  militares  para</w:t>
        <w:br/>
        <w:t>proporcionar información tendiente a la captura de otros responsables</w:t>
        <w:br/>
        <w:br/>
        <w:t xml:space="preserve">   207. La Comisión Interamericana señaló que en el presente  caso  existe</w:t>
        <w:br/>
        <w:t xml:space="preserve">        una presunta falta de cooperación de  autoridades  militares  para</w:t>
        <w:br/>
        <w:t xml:space="preserve">        proporcionar  información  sobre  los  destacamentos  militares  y</w:t>
        <w:br/>
        <w:t xml:space="preserve">        patrullas de autodefensa civil de la zona, así como  sobre  el  ex</w:t>
        <w:br/>
        <w:t xml:space="preserve">        coronel acusado de haber dado la orden de perpetrar las  masacres.</w:t>
        <w:br/>
        <w:t xml:space="preserve">        Al respecto, en el expediente  consta  que  en  el  marco  de  las</w:t>
        <w:br/>
        <w:t xml:space="preserve">        investigaciones  sobre  las  masacres  ocurridas,  el   ministerio</w:t>
        <w:br/>
        <w:t xml:space="preserve">        público ha solicitado a diversas autoridades militares información</w:t>
        <w:br/>
        <w:t xml:space="preserve">        tanto sobre el ex  coronel  mencionado,  así  como  acerca  de  la</w:t>
        <w:br/>
        <w:t xml:space="preserve">        composición  del  destacamento  militar   y   las   patrullas   de</w:t>
        <w:br/>
        <w:t xml:space="preserve">        autodefensa civil que operaban en la zona. Como ya se mencionó  en</w:t>
        <w:br/>
        <w:t xml:space="preserve">        esta Sentencia (supra párrs. 106 y 107), en  varias  ocasiones  el</w:t>
        <w:br/>
        <w:t xml:space="preserve">        Juzgado de Primera Instancia Penal de Baja Verapaz ha solicitado a</w:t>
        <w:br/>
        <w:t xml:space="preserve">        instancias militares información relacionada con los hechos. Sobre</w:t>
        <w:br/>
        <w:t xml:space="preserve">        estos hechos obra prueba en el expediente.</w:t>
        <w:br/>
        <w:br/>
        <w:t xml:space="preserve">   208. No obstante,  la  Comisión  también  alegó  una  serie  de  hechos</w:t>
        <w:br/>
        <w:t xml:space="preserve">        relativos a que el 5 de octubre de 2005 la  Fiscal  encargada  del</w:t>
        <w:br/>
        <w:t xml:space="preserve">        caso había solicitado al Ministerio de Defensa  información  sobre</w:t>
        <w:br/>
        <w:t xml:space="preserve">        las  “órdenes  generales  del  Ejército  de  Guatemala,  para  los</w:t>
        <w:br/>
        <w:t xml:space="preserve">        diferentes oficiales que ocuparon  puestos  de  alta  jerarquía  y</w:t>
        <w:br/>
        <w:t xml:space="preserve">        mandos medios en todo el territorio nacional en los años de 1981 a</w:t>
        <w:br/>
        <w:t xml:space="preserve">        1983”, a lo cual, el 16 de noviembre de  2005,  el  Ministerio  de</w:t>
        <w:br/>
        <w:t xml:space="preserve">        Defensa había respondido que debía individualizar sobre quiénes se</w:t>
        <w:br/>
        <w:t xml:space="preserve">        estaba solicitando la información, ya que debido al volumen de las</w:t>
        <w:br/>
        <w:t xml:space="preserve">        órdenes y la cantidad de oficiales, la Fiscalía  debía  asumir  el</w:t>
        <w:br/>
        <w:t xml:space="preserve">        costo de la reproducción de tales  órdenes.  Además,  la  Comisión</w:t>
        <w:br/>
        <w:t xml:space="preserve">        Interamericana  señaló  que  el  14  de  diciembre  de  2005,   el</w:t>
        <w:br/>
        <w:t xml:space="preserve">        ministerio público había solicitado al Ministerio  de  la  Defensa</w:t>
        <w:br/>
        <w:t xml:space="preserve">        que informara sobre las personas que fungían como  comandantes  de</w:t>
        <w:br/>
        <w:t xml:space="preserve">        la Brigada Militar Guardia de Honor, entre los años 1980  y  1984.</w:t>
        <w:br/>
        <w:t xml:space="preserve">        El 8 de marzo de 2006, el Ministerio de la Defensa  respondió  que</w:t>
        <w:br/>
        <w:t xml:space="preserve">        se estaban revisando los archivos del Ejército para dar  respuesta</w:t>
        <w:br/>
        <w:t xml:space="preserve">        a la solicitud. Al respecto, la  Corte  observa  que  la  Comisión</w:t>
        <w:br/>
        <w:t xml:space="preserve">        indicó como prueba de tales  hechos  un  anexo  que  supuestamente</w:t>
        <w:br/>
        <w:t xml:space="preserve">        forma parte de un escrito que le fue presentado por el  Estado  el</w:t>
        <w:br/>
        <w:t xml:space="preserve">        22  de  febrero  de  2007.  Sin  embargo,  si  bien  la   Comisión</w:t>
        <w:br/>
        <w:t xml:space="preserve">        Interamericana remitió al Tribunal  dicho  escrito,  el  anexo  no</w:t>
        <w:br/>
        <w:t xml:space="preserve">        figura en el expediente presentado. De esta  forma,  la  Corte  no</w:t>
        <w:br/>
        <w:t xml:space="preserve">        puede dar por probados los hechos alegados por la Comisión.</w:t>
        <w:br/>
        <w:br/>
        <w:t xml:space="preserve">   209. No  obstante,  la  Corte  considera  pertinente  señalar  que  las</w:t>
        <w:br/>
        <w:t xml:space="preserve">        autoridades estatales están obligadas a colaborar en la  obtención</w:t>
        <w:br/>
        <w:t xml:space="preserve">        de la prueba para alcanzar los objetivos de  una  investigación  y</w:t>
        <w:br/>
        <w:t xml:space="preserve">        abstenerse de realizar actos que impliquen obstrucciones  para  la</w:t>
        <w:br/>
        <w:t xml:space="preserve">        marcha del proceso investigativo[298].  En  el  presente  caso  el</w:t>
        <w:br/>
        <w:t xml:space="preserve">        Estado  aceptó  su  responsabilidad  por  considerar  que  “no  ha</w:t>
        <w:br/>
        <w:t xml:space="preserve">        garantizado en su  totalidad  la  efectividad  de  [los]  derechos</w:t>
        <w:br/>
        <w:t xml:space="preserve">        [establecidos en los artículos 8.1  y  25  de  la  Convención]  en</w:t>
        <w:br/>
        <w:t xml:space="preserve">        cuanto a investigar los hechos y sancionar a los responsables”  de</w:t>
        <w:br/>
        <w:t xml:space="preserve">        las masacres “a partir de que aceptó la competencia” del Tribunal.</w:t>
        <w:br/>
        <w:t xml:space="preserve">        Aunado a lo anterior,  durante  la  audiencia  pública  el  perito</w:t>
        <w:br/>
        <w:t xml:space="preserve">        Hermann Mörth expresó  que  “lo  que  vemos  hoy  [es]  un  patrón</w:t>
        <w:br/>
        <w:t xml:space="preserve">        permanente […] de no cooperar, en otros momentos de ocultar, o  de</w:t>
        <w:br/>
        <w:t xml:space="preserve">        no cooperar y dar información, es un patrón que existe desde estos</w:t>
        <w:br/>
        <w:t xml:space="preserve">        años […]”.</w:t>
        <w:br/>
        <w:br/>
        <w:t xml:space="preserve">   210. De lo anterior, el Tribunal concluye que, en el presente caso, las</w:t>
        <w:br/>
        <w:t xml:space="preserve">        autoridades militares no han aportado de forma debida  y  oportuna</w:t>
        <w:br/>
        <w:t xml:space="preserve">        información pertinente tendiente a esclarecer los hechos. En  este</w:t>
        <w:br/>
        <w:t xml:space="preserve">        punto, cabe reiterar que la obligación  de  investigar,  juzgar  y</w:t>
        <w:br/>
        <w:t xml:space="preserve">        sancionar, en su caso, a los responsables es  una  obligación  que</w:t>
        <w:br/>
        <w:t xml:space="preserve">        corresponde  al  Estado  como  un  todo.  Ello  implica  que  toda</w:t>
        <w:br/>
        <w:t xml:space="preserve">        autoridad estatal deba cooperar, apoyar o coadyuvar, en el  ámbito</w:t>
        <w:br/>
        <w:t xml:space="preserve">        de su competencia, a la debida investigación de los hechos. Por lo</w:t>
        <w:br/>
        <w:t xml:space="preserve">        tanto, el Estado es responsable por la violación de  los  derechos</w:t>
        <w:br/>
        <w:t xml:space="preserve">        humanos reconocidos en los artículos 8.1 y 25.1 de  la  Convención</w:t>
        <w:br/>
        <w:t xml:space="preserve">        Americana, en relación con el artículo  1.1  de  la  misma  (infra</w:t>
        <w:br/>
        <w:t xml:space="preserve">        párr. 237).</w:t>
        <w:br/>
        <w:br/>
        <w:br/>
        <w:t>B.3.  Investigación de la masacre de Xococ</w:t>
        <w:br/>
        <w:br/>
        <w:t xml:space="preserve">   211. En esta Sentencia ya se estableció que la  investigación  por  los</w:t>
        <w:br/>
        <w:t xml:space="preserve">        hechos de la masacre cometida en  Xococ  en  febrero  de  1982  se</w:t>
        <w:br/>
        <w:t xml:space="preserve">        inició a partir de la declaración rendida el 19 de marzo  de  2001</w:t>
        <w:br/>
        <w:t xml:space="preserve">        por una víctima sobreviviente, la señora Denese Joy  Burck  (supra</w:t>
        <w:br/>
        <w:t xml:space="preserve">        párr. 89). Por orden del Juez de Primera  Instancia  Departamental</w:t>
        <w:br/>
        <w:t xml:space="preserve">        de Baja Verapaz, la Fundación de Antropología Forense de Guatemala</w:t>
        <w:br/>
        <w:t xml:space="preserve">        realizó  una exhumación en la aldea  de  Xococ  del  4  al  17  de</w:t>
        <w:br/>
        <w:t xml:space="preserve">        septiembre  de  2001.   En   el   peritaje   antropológico-forense</w:t>
        <w:br/>
        <w:t xml:space="preserve">        presentado por dicha Fundación se indica que en  total  se  habían</w:t>
        <w:br/>
        <w:t xml:space="preserve">        logrado  recuperar  44  osamentas,  aunque  no  se  descartaba  la</w:t>
        <w:br/>
        <w:t xml:space="preserve">        posibilidad de que existiera un mayor número de restos  inhumados.</w:t>
        <w:br/>
        <w:t xml:space="preserve">        En la referida diligencia solamente se pudo identificar  a  Teresa</w:t>
        <w:br/>
        <w:t xml:space="preserve">        Osorio Chen y a Crispín Tum Iboy.</w:t>
        <w:br/>
        <w:br/>
        <w:t xml:space="preserve">   212. Ahora bien, por otra parte, el 27 de marzo de 2003 el señor Carlos</w:t>
        <w:br/>
        <w:t xml:space="preserve">        Chen Osorio, víctima del  presente  caso  y  sobreviviente  de  la</w:t>
        <w:br/>
        <w:t xml:space="preserve">        masacre de Xococ, compareció ante la Fiscalía Distrital de Salamá,</w:t>
        <w:br/>
        <w:t xml:space="preserve">        Baja Verapaz, para declarar  sobre  los  hechos  ocurridos  en  la</w:t>
        <w:br/>
        <w:t xml:space="preserve">        comunidad de Xococ. Sin embargo, la  Corte  no  cuenta  con  mayor</w:t>
        <w:br/>
        <w:t xml:space="preserve">        información sobre esta investigación.</w:t>
        <w:br/>
        <w:br/>
        <w:t xml:space="preserve">   213. En su Informe de fondo la Comisión señaló  que  el  Estado  no  le</w:t>
        <w:br/>
        <w:t xml:space="preserve">        había    proporcionado    información    adicional    sobre    las</w:t>
        <w:br/>
        <w:t xml:space="preserve">        investigaciones realizadas  sobre  la  masacre  de  Xococ,  y  que</w:t>
        <w:br/>
        <w:t xml:space="preserve">        tampoco contó con el expediente  judicial.  Por  su  lado,  en  el</w:t>
        <w:br/>
        <w:t xml:space="preserve">        escrito de solicitudes y argumentos, los representantes  señalaron</w:t>
        <w:br/>
        <w:t xml:space="preserve">        que tampoco contaban con información relativa al desarrollo de  la</w:t>
        <w:br/>
        <w:t xml:space="preserve">        referida investigación. Durante la  audiencia  pública  el  perito</w:t>
        <w:br/>
        <w:t xml:space="preserve">        Michael Paul Hermann Mörth señaló que “[sí] existe en el  caso  de</w:t>
        <w:br/>
        <w:t xml:space="preserve">        Xococ […] una investigación que empezó con la exhumación  […]  con</w:t>
        <w:br/>
        <w:t xml:space="preserve">        un  resultado  de  44  víctimas  […]   se   [recibieron]   algunas</w:t>
        <w:br/>
        <w:t xml:space="preserve">        declaraciones y, según [su] conocimiento, después  no  hubo  mayor</w:t>
        <w:br/>
        <w:t xml:space="preserve">        movimiento en la investigación”.</w:t>
        <w:br/>
        <w:br/>
        <w:t xml:space="preserve">   214. Durante la audiencia pública el Tribunal solicitó al Estado que al</w:t>
        <w:br/>
        <w:t xml:space="preserve">        presentar sus alegatos finales escritos remitiera  una  copia  del</w:t>
        <w:br/>
        <w:t xml:space="preserve">        expediente dentro del cual se investiga la masacre  de  Xococ.  No</w:t>
        <w:br/>
        <w:t xml:space="preserve">        obstante, el Estado no remitió dicho expediente[299].</w:t>
        <w:br/>
        <w:br/>
        <w:t xml:space="preserve">   215. En otros casos el Tribunal ha  establecido  que  la  negativa  del</w:t>
        <w:br/>
        <w:t xml:space="preserve">        Estado a remitir algunos documentos no puede redundar en perjuicio</w:t>
        <w:br/>
        <w:t xml:space="preserve">        de  las  víctimas.  Por  lo  tanto,  la  Corte  puede  tener   por</w:t>
        <w:br/>
        <w:t xml:space="preserve">        establecidos los hechos presentados por la Comisión Interamericana</w:t>
        <w:br/>
        <w:t xml:space="preserve">        y complementados por los representantes, cuando sólo  sea  posible</w:t>
        <w:br/>
        <w:t xml:space="preserve">        desvirtuarlos a través de la prueba que el Estado debió remitir  y</w:t>
        <w:br/>
        <w:t xml:space="preserve">        éste no lo hizo o se negó a hacerlo[300].</w:t>
        <w:br/>
        <w:br/>
        <w:t xml:space="preserve">   216. En el presente caso, el Estado no aportó información relevante que</w:t>
        <w:br/>
        <w:t xml:space="preserve">        le permita conocer el estado actual de la investigación, es decir,</w:t>
        <w:br/>
        <w:t xml:space="preserve">        el Tribunal no cuenta con información sobre  si  la  investigación</w:t>
        <w:br/>
        <w:t xml:space="preserve">        está abierta, si se ha continuado con la búsqueda de las  víctimas</w:t>
        <w:br/>
        <w:t xml:space="preserve">        y con la exhumación e identificación de sus restos, en su caso,  y</w:t>
        <w:br/>
        <w:t xml:space="preserve">        si se ha logrado  determinar  las  responsabilidades  individuales</w:t>
        <w:br/>
        <w:t xml:space="preserve">        correspondientes. En esta línea,  de  conformidad  con  el  amplio</w:t>
        <w:br/>
        <w:t xml:space="preserve">        reconocimiento de responsabilidad realizado por el Estado  por  la</w:t>
        <w:br/>
        <w:t xml:space="preserve">        violación de los artículos 8  y  25  de  la  Convención  Americana</w:t>
        <w:br/>
        <w:t xml:space="preserve">        (supra párr. 17, inciso h), el Tribunal da por  establecido,  como</w:t>
        <w:br/>
        <w:t xml:space="preserve">        lo alegaron la Comisión y los representantes,  que  luego  de  las</w:t>
        <w:br/>
        <w:t xml:space="preserve">        exhumaciones realizadas en el 2001, es decir, hace once  años,  no</w:t>
        <w:br/>
        <w:t xml:space="preserve">        ha habido mayor actividad dentro  de  la  investigación.   Por  lo</w:t>
        <w:br/>
        <w:t xml:space="preserve">        tanto, en razón de que los  hechos  de  la  masacre  de  Xococ  se</w:t>
        <w:br/>
        <w:t xml:space="preserve">        encuentran en impunidad,  la  Corte  considera  que  Guatemala  es</w:t>
        <w:br/>
        <w:t xml:space="preserve">        responsable por la violación de los derechos  reconocidos  en  los</w:t>
        <w:br/>
        <w:t xml:space="preserve">        artículos 8.1 y 25.1 de la Convención Americana, en  relación  con</w:t>
        <w:br/>
        <w:t xml:space="preserve">        el artículo 1.1 de dicho instrumento (infra párr. 237).</w:t>
        <w:br/>
        <w:br/>
        <w:br/>
        <w:t>B.4.  Exhumaciones de restos óseos</w:t>
        <w:br/>
        <w:br/>
        <w:t xml:space="preserve">   217. En casos de graves violaciones de derechos humanos,  como  las  de</w:t>
        <w:br/>
        <w:t xml:space="preserve">        este  caso,  la  exhumación  e  identificación  de  las   víctimas</w:t>
        <w:br/>
        <w:t xml:space="preserve">        fallecidas forma parte de la obligación de investigar a cargo  del</w:t>
        <w:br/>
        <w:t xml:space="preserve">        Estado. Por lo tanto, se trata de un deber que debe ser  realizado</w:t>
        <w:br/>
        <w:t xml:space="preserve">        ex officio ya que “dentro del  deber  de  investigar  subsiste  el</w:t>
        <w:br/>
        <w:t xml:space="preserve">        derecho de los familiares de la víctima  a  conocer  cuál  fue  el</w:t>
        <w:br/>
        <w:t xml:space="preserve">        destino  de  ésta  y,  en  su  caso,  dónde  se   encuentran   sus</w:t>
        <w:br/>
        <w:t xml:space="preserve">        restos”[301]. En esa medida, corresponde al Estado satisfacer esas</w:t>
        <w:br/>
        <w:t xml:space="preserve">        justas expectativas con los medios a su alcance.</w:t>
        <w:br/>
        <w:br/>
        <w:t xml:space="preserve">   218. En el expediente consta que se han realizado algunas  exhumaciones</w:t>
        <w:br/>
        <w:t xml:space="preserve">        a solicitud de las víctimas como, por ejemplo, Jesús Tecú  Osorio,</w:t>
        <w:br/>
        <w:t xml:space="preserve">        Francisco Chen Osorio y Víctor Mendoza (supra párrs.  92 y 93). En</w:t>
        <w:br/>
        <w:t xml:space="preserve">        primer lugar, se  llevó  a  cabo  una  exhumación  en  la  que  se</w:t>
        <w:br/>
        <w:t xml:space="preserve">        recuperaron restos de 44 personas presuntamente ejecutadas durante</w:t>
        <w:br/>
        <w:t xml:space="preserve">        la masacre de Xococ. De estas  personas  solamente  dos  han  sido</w:t>
        <w:br/>
        <w:t xml:space="preserve">        identificadas: Tereso Osorio Chen y Crispin Tum Iboy (supra  párr.</w:t>
        <w:br/>
        <w:t xml:space="preserve">        90). Asimismo,  en  otra  exhumación  hecha  en  el  marco  de  la</w:t>
        <w:br/>
        <w:t xml:space="preserve">        investigación de la masacre de Pacoxom se  localizaron  restos  de</w:t>
        <w:br/>
        <w:t xml:space="preserve">        143  personas,  de  las  cuales  sólo  tres  fueron  identificadas</w:t>
        <w:br/>
        <w:t xml:space="preserve">        Demetria Osorio Lajuj, Marta Julia Chen Osorio  y  Margarita  Chen</w:t>
        <w:br/>
        <w:t xml:space="preserve">        Uscap, aunque esta última fue identificada  “tentativamente”(supra</w:t>
        <w:br/>
        <w:t xml:space="preserve">        párr. 102).</w:t>
        <w:br/>
        <w:br/>
        <w:t xml:space="preserve">   219. De lo anterior se desprende que las exhumaciones realizadas se han</w:t>
        <w:br/>
        <w:t xml:space="preserve">        llevado a cabo a partir de  solicitudes  y  denuncias  hechas  por</w:t>
        <w:br/>
        <w:t xml:space="preserve">        víctimas sobrevivientes de las masacres del presente caso,  y  que</w:t>
        <w:br/>
        <w:t xml:space="preserve">        la iniciativa del Estado para  la  búsqueda  e  identificación  de</w:t>
        <w:br/>
        <w:t xml:space="preserve">        víctimas ha sido mínima,  a  pesar  de  que  se  trata  de  hechos</w:t>
        <w:br/>
        <w:t xml:space="preserve">        ampliamente conocidos y documentados  en  Guatemala,  como  ya  se</w:t>
        <w:br/>
        <w:t xml:space="preserve">        señaló en esta Sentencia (supra párrs. 195). Al respecto,  durante</w:t>
        <w:br/>
        <w:t xml:space="preserve">        la audiencia pública, la perita Rosalina Tuyuc expresó que  “desde</w:t>
        <w:br/>
        <w:t xml:space="preserve">        que  se  comenzó  con  las   exhumaciones   de   los   cementerios</w:t>
        <w:br/>
        <w:t xml:space="preserve">        clandestinos, en su gran mayoría la han asumido las  víctimas,  no</w:t>
        <w:br/>
        <w:t xml:space="preserve">        así el Estado, porque el Estado nunca le  ha  dado  prioridad,  ni</w:t>
        <w:br/>
        <w:t xml:space="preserve">        tampoco apoyo para hacer todas estas exhumaciones […]”</w:t>
        <w:br/>
        <w:br/>
        <w:t xml:space="preserve">   220. Por lo anterior, el Tribunal considera que, a pesar de que se  han</w:t>
        <w:br/>
        <w:t xml:space="preserve">        llevado  a  cabo  algunas  exhumaciones  de  restos  presuntamente</w:t>
        <w:br/>
        <w:t xml:space="preserve">        pertenecientes a miembros de la comunidad de Río Negro, el  Estado</w:t>
        <w:br/>
        <w:t xml:space="preserve">        no  ha   continuado   con   dichas   exhumaciones   ni   con   las</w:t>
        <w:br/>
        <w:t xml:space="preserve">        investigaciones  que  permitan  la  identificación  de  todos  los</w:t>
        <w:br/>
        <w:t xml:space="preserve">        restos. En opinión del Tribunal,  ello  continúa  acrecentando  la</w:t>
        <w:br/>
        <w:t xml:space="preserve">        incertidumbre de los familiares sobre el paradero de las víctimas,</w:t>
        <w:br/>
        <w:t xml:space="preserve">        lo que cual afecta su derecho a conocer lo sucedido  a  éstas.  En</w:t>
        <w:br/>
        <w:t xml:space="preserve">        este sentido, el Estado es responsable por  la  violación  de  los</w:t>
        <w:br/>
        <w:t xml:space="preserve">        derechos reconocidos en los artículos 8.1 y 25.1 de la  Convención</w:t>
        <w:br/>
        <w:t xml:space="preserve">        Americana, en relación con el artículo  1.1  de  la  misma  (infra</w:t>
        <w:br/>
        <w:t xml:space="preserve">        párr. 237).</w:t>
        <w:br/>
        <w:br/>
        <w:br/>
        <w:t>B.5.  Falta de investigación de otros hechos</w:t>
        <w:br/>
        <w:br/>
        <w:t xml:space="preserve">   221. Debido a la magnitud y naturaleza de los hechos sucedidos  durante</w:t>
        <w:br/>
        <w:t xml:space="preserve">        las cinco masacres de este caso, aunado  al  contexto  dentro  del</w:t>
        <w:br/>
        <w:t xml:space="preserve">        cual éstas fueron cometidas, este Tribunal ya  estableció  que  el</w:t>
        <w:br/>
        <w:t xml:space="preserve">        deber de investigar, juzgar  y,  eventualmente,  sancionar  a  los</w:t>
        <w:br/>
        <w:t xml:space="preserve">        responsables, corresponde de oficio a las autoridades competentes.</w:t>
        <w:br/>
        <w:t xml:space="preserve">        Al respecto, los hechos  sucedidos  durante  el  conflicto  armado</w:t>
        <w:br/>
        <w:t xml:space="preserve">        interno en Guatemala no son  hechos  nuevos  ni  recientes.  Antes</w:t>
        <w:br/>
        <w:t xml:space="preserve">        bien, han  sido  ampliamente  abordados  y  documentados  a  nivel</w:t>
        <w:br/>
        <w:t xml:space="preserve">        interno. Inclusive, las cinco masacres  alegadas  en  el  presente</w:t>
        <w:br/>
        <w:t xml:space="preserve">        caso también  han  sido  objeto  de  análisis  particular  por  la</w:t>
        <w:br/>
        <w:t xml:space="preserve">        Comisión de Esclarecimiento Histórico.</w:t>
        <w:br/>
        <w:br/>
        <w:t xml:space="preserve">   222.  Al  respecto,  la  Corte  considera  pertinente  señalar  que  la</w:t>
        <w:br/>
        <w:t xml:space="preserve">        obligación de investigar, juzgar y, en su caso,  sancionar  a  los</w:t>
        <w:br/>
        <w:t xml:space="preserve">        responsables de hechos violatorios de los derechos humanos  no  se</w:t>
        <w:br/>
        <w:t xml:space="preserve">        deriva solamente  de  la  Convención  Americana.  En  determinadas</w:t>
        <w:br/>
        <w:t xml:space="preserve">        circunstancias y dependiendo de la naturaleza de los hechos,  esta</w:t>
        <w:br/>
        <w:t xml:space="preserve">        obligación   también   se   desprende   de   otros    instrumentos</w:t>
        <w:br/>
        <w:t xml:space="preserve">        interamericanos en la materia que establecen la obligación a cargo</w:t>
        <w:br/>
        <w:t xml:space="preserve">        de los Estados Partes de investigar las conductas  prohibidas  por</w:t>
        <w:br/>
        <w:t xml:space="preserve">        tales tratados. Por ejemplo,  la  Convención  Interamericana  para</w:t>
        <w:br/>
        <w:t xml:space="preserve">        Prevenir y Sancionar la Tortura  y  la  Convención  Interamericana</w:t>
        <w:br/>
        <w:t xml:space="preserve">        para Prevenir, Sancionar y Erradicar la Violencia contra la  Mujer</w:t>
        <w:br/>
        <w:t xml:space="preserve">        “Convención de Belém do Pará”. Así, este Tribunal  ha  establecido</w:t>
        <w:br/>
        <w:t xml:space="preserve">        que los Estados tienen “el  deber  de  garantizar  el  derecho  de</w:t>
        <w:br/>
        <w:t xml:space="preserve">        acceso a la justicia […] conforme a las  obligaciones  específicas</w:t>
        <w:br/>
        <w:t xml:space="preserve">        que le imponen las Convenciones especializadas […] en  materia  de</w:t>
        <w:br/>
        <w:t xml:space="preserve">        prevención y sanción de la tortura y de  la  violencia  contra  la</w:t>
        <w:br/>
        <w:t xml:space="preserve">        mujer. [D]ichas disposiciones […] especifican y  complementan  las</w:t>
        <w:br/>
        <w:t xml:space="preserve">        obligaciones que tiene el Estado con respecto al  cumplimiento  de</w:t>
        <w:br/>
        <w:t xml:space="preserve">        los derechos consagrados en la Convención Americana”, así como “el</w:t>
        <w:br/>
        <w:t xml:space="preserve">        corpus  juris  internacional  en  materia  de  protección  de   la</w:t>
        <w:br/>
        <w:t xml:space="preserve">        integridad personal”[302].</w:t>
        <w:br/>
        <w:br/>
        <w:t xml:space="preserve">   223. Además, el artículo 1.b) de  la  Convención  Interamericana  sobre</w:t>
        <w:br/>
        <w:t xml:space="preserve">        Desaparición Forzada de Personas impone a los Estados el deber  de</w:t>
        <w:br/>
        <w:t xml:space="preserve">        “[s]ancionar en el  ámbito  de  su  jurisdicción  a  los  autores,</w:t>
        <w:br/>
        <w:t xml:space="preserve">        cómplices y encubridores del delito  de  desaparición  forzada  de</w:t>
        <w:br/>
        <w:t xml:space="preserve">        personas, así como la tentativa de comisión  del  mismo”.  Por  lo</w:t>
        <w:br/>
        <w:t xml:space="preserve">        tanto, conforme a la jurisprudencia de este Tribunal, en  el  caso</w:t>
        <w:br/>
        <w:t xml:space="preserve">        de una desaparición  forzada,  los  Estados  tienen  el  deber  de</w:t>
        <w:br/>
        <w:t xml:space="preserve">        iniciar de oficio una investigación. En tal sentido, “toda vez que</w:t>
        <w:br/>
        <w:t xml:space="preserve">        haya motivos razonables para sospechar que  una  persona  ha  sido</w:t>
        <w:br/>
        <w:t xml:space="preserve">        sometida a desaparición forzada debe iniciarse una  investigación.</w:t>
        <w:br/>
        <w:t xml:space="preserve">        Esta obligación es independiente de que se presente una  denuncia,</w:t>
        <w:br/>
        <w:t xml:space="preserve">        pues en casos de desaparición forzada el derecho  internacional  y</w:t>
        <w:br/>
        <w:t xml:space="preserve">        el deber general de garantía, imponen la obligación de  investigar</w:t>
        <w:br/>
        <w:t xml:space="preserve">        el caso ex officio, sin dilación, y de una manera seria, imparcial</w:t>
        <w:br/>
        <w:t xml:space="preserve">        y efectiva. Esto es un elemento fundamental y  condicionante  para</w:t>
        <w:br/>
        <w:t xml:space="preserve">        la protección de ciertos derechos afectados por esas  situaciones,</w:t>
        <w:br/>
        <w:t xml:space="preserve">        como la libertad personal, la integridad personal y la  vida.  Sin</w:t>
        <w:br/>
        <w:t xml:space="preserve">        perjuicio de ello, en  cualquier  caso,  toda  autoridad  estatal,</w:t>
        <w:br/>
        <w:t xml:space="preserve">        funcionario público o particular que haya tenido noticia de  actos</w:t>
        <w:br/>
        <w:t xml:space="preserve">        destinados  a  la  desaparición  forzada   de   personas,   deberá</w:t>
        <w:br/>
        <w:t xml:space="preserve">        denunciarlo inmediatamente”[303]. Por ende, la investigación  debe</w:t>
        <w:br/>
        <w:t xml:space="preserve">        ser realizada por todos los medios legales disponibles y orientada</w:t>
        <w:br/>
        <w:t xml:space="preserve">        a la  determinación  de  la  verdad  y  la  persecución,  captura,</w:t>
        <w:br/>
        <w:t xml:space="preserve">        enjuiciamiento y, eventual,  castigo  de  todos  los  responsables</w:t>
        <w:br/>
        <w:t xml:space="preserve">        intelectuales y materiales de  los  hechos,  especialmente  cuando</w:t>
        <w:br/>
        <w:t xml:space="preserve">        están o puedan estar involucrados agentes estatales[304].</w:t>
        <w:br/>
        <w:br/>
        <w:t xml:space="preserve">   224. Asimismo, en  casos  de  desaparición  forzada,  la  investigación</w:t>
        <w:br/>
        <w:t xml:space="preserve">        tendrá ciertas connotaciones específicas que surgen de  la  propia</w:t>
        <w:br/>
        <w:t xml:space="preserve">        naturaleza y complejidad del fenómeno investigado,  esto  es  que,</w:t>
        <w:br/>
        <w:t xml:space="preserve">        adicionalmente, la investigación debe incluir  la  realización  de</w:t>
        <w:br/>
        <w:t xml:space="preserve">        todas las acciones necesarias  con  el  objeto  de  determinar  la</w:t>
        <w:br/>
        <w:t xml:space="preserve">        suerte  o  destino  de  la  víctima  y  la  localización   de   su</w:t>
        <w:br/>
        <w:t xml:space="preserve">        paradero[305].  El  Tribunal  ya  ha  aclarado  que  el  deber  de</w:t>
        <w:br/>
        <w:t xml:space="preserve">        investigar hechos de esta naturaleza subsiste mientras se mantenga</w:t>
        <w:br/>
        <w:t xml:space="preserve">        la incertidumbre sobre la suerte final de la persona desaparecida,</w:t>
        <w:br/>
        <w:t xml:space="preserve">        pues el derecho de los familiares de la víctima  de  conocer  cuál</w:t>
        <w:br/>
        <w:t xml:space="preserve">        fue el destino de ésta y, en su  caso,  dónde  se  encuentran  sus</w:t>
        <w:br/>
        <w:t xml:space="preserve">        restos, representa  una  justa  expectativa  que  el  Estado  debe</w:t>
        <w:br/>
        <w:t xml:space="preserve">        satisfacer con todos los medios a su alcance[306].</w:t>
        <w:br/>
        <w:br/>
        <w:t xml:space="preserve">   225. Además, en virtud de que la  protección  contra  la  esclavitud  y</w:t>
        <w:br/>
        <w:t xml:space="preserve">        servidumbre es una obligación internacional erga  omnes,  derivada</w:t>
        <w:br/>
        <w:t xml:space="preserve">        “de los principios y reglas relativos a los derechos básicos de la</w:t>
        <w:br/>
        <w:t xml:space="preserve">        persona humana” (supra  párr.  141),  cuando  los  Estados  tengan</w:t>
        <w:br/>
        <w:t xml:space="preserve">        conocimiento de un acto constitutivo de esclavitud o  servidumbre,</w:t>
        <w:br/>
        <w:t xml:space="preserve">        en los términos de lo dispuesto por el artículo 6 de la Convención</w:t>
        <w:br/>
        <w:t xml:space="preserve">        Americana, deben iniciar ex officio la investigación pertinente  a</w:t>
        <w:br/>
        <w:t xml:space="preserve">        efecto  de  establecer  las  responsabilidades  individuales   que</w:t>
        <w:br/>
        <w:t xml:space="preserve">        correspondan.</w:t>
        <w:br/>
        <w:br/>
        <w:t xml:space="preserve">   226.  En  el  presente  caso,  la  Corte  observa  que   en   múltiples</w:t>
        <w:br/>
        <w:t xml:space="preserve">        declaraciones de víctimas sobrevivientes de las masacres  que  han</w:t>
        <w:br/>
        <w:t xml:space="preserve">        sido rendidas a nivel interno se da  cuenta  de  que  durante  las</w:t>
        <w:br/>
        <w:t xml:space="preserve">        masacres  se  cometieron  actos  presuntamente  constitutivos   de</w:t>
        <w:br/>
        <w:t xml:space="preserve">        desaparición forzada y tortura de miembros de la comunidad de  Río</w:t>
        <w:br/>
        <w:t xml:space="preserve">        Negro, así como actos de supuesta violencia sexual contra niñas  y</w:t>
        <w:br/>
        <w:t xml:space="preserve">        mujeres de esa comunidad. Varias de estas declaraciones  han  sido</w:t>
        <w:br/>
        <w:t xml:space="preserve">        rendidas posteriormente al 9 de marzo de 1987, fecha a  partir  de</w:t>
        <w:br/>
        <w:t xml:space="preserve">        la cual esta Corte tiene competencia sobre violaciones de derechos</w:t>
        <w:br/>
        <w:t xml:space="preserve">        humanos reconocidos en la Convención Americana; al 29 de enero  de</w:t>
        <w:br/>
        <w:t xml:space="preserve">        1987,  fecha  en  la  cual  Guatemala   ratificó   la   Convención</w:t>
        <w:br/>
        <w:t xml:space="preserve">        Interamericana para Prevenir y Sancionar la Tortura; al 4 de abril</w:t>
        <w:br/>
        <w:t xml:space="preserve">        de 1995,  fecha  en  la  que  el  Estado  ratificó  la  Convención</w:t>
        <w:br/>
        <w:t xml:space="preserve">        Interamericana para Prevenir, Sancionar y Erradicar  la  Violencia</w:t>
        <w:br/>
        <w:t xml:space="preserve">        contra la Mujer, y al 25 de febrero de  2000,  fecha  en  la  cual</w:t>
        <w:br/>
        <w:t xml:space="preserve">        Guatemala ratificó la Convención Interamericana sobre Desaparición</w:t>
        <w:br/>
        <w:t xml:space="preserve">        Forzada de Personas (supra párrs.  15  y  16).  No  obstante,  las</w:t>
        <w:br/>
        <w:t xml:space="preserve">        investigaciones y condenas dictadas en el  presente  caso  se  han</w:t>
        <w:br/>
        <w:t xml:space="preserve">        centrado  en  el  delito  de  “asesinato”  lo  cual,  como  ya  se</w:t>
        <w:br/>
        <w:t xml:space="preserve">        estableció (supra párr. 203), no cubre en su total  dimensión  los</w:t>
        <w:br/>
        <w:t xml:space="preserve">        hechos sucedidos durante las masacres.</w:t>
        <w:br/>
        <w:br/>
        <w:t xml:space="preserve">   227. En este sentido, el Tribunal estima que la falta de  investigación</w:t>
        <w:br/>
        <w:t xml:space="preserve">        de los alegados hechos de tortura, desaparición forzada, violación</w:t>
        <w:br/>
        <w:t xml:space="preserve">        sexual, y esclavitud y servidumbre,  en  el  marco  del  conflicto</w:t>
        <w:br/>
        <w:t xml:space="preserve">        armado interno en Guatemala, constituyen un incumplimiento de  las</w:t>
        <w:br/>
        <w:t xml:space="preserve">        obligaciones del Estado frente a graves  violaciones  de  derechos</w:t>
        <w:br/>
        <w:t xml:space="preserve">        humanos,  y  contraviene  normas  inderogables  (jus  cogens)[307]</w:t>
        <w:br/>
        <w:t xml:space="preserve">        conforme a las  cuales  Guatemala  tiene  el  deber  investigar  y</w:t>
        <w:br/>
        <w:t xml:space="preserve">        sancionar dichas  prácticas,  de  conformidad  con  la  Convención</w:t>
        <w:br/>
        <w:t xml:space="preserve">        Americana y, además, en este caso,  a  la  luz  de  la  Convención</w:t>
        <w:br/>
        <w:t xml:space="preserve">        contra la Tortura, la Convención de Belém do Pará y la  Convención</w:t>
        <w:br/>
        <w:t xml:space="preserve">        sobre Desaparición Forzada.</w:t>
        <w:br/>
        <w:br/>
        <w:t xml:space="preserve">   228. En virtud de lo anterior, el Estado debió iniciar ex officio y sin</w:t>
        <w:br/>
        <w:t xml:space="preserve">        dilación una investigación seria, imparcial y  efectiva  de  todos</w:t>
        <w:br/>
        <w:t xml:space="preserve">        los hechos de la masacre,  y  no  sólo  los  relacionados  con  la</w:t>
        <w:br/>
        <w:t xml:space="preserve">        vulneración del  derecho  a  la  vida.  Por  lo  tanto,  la  Corte</w:t>
        <w:br/>
        <w:t xml:space="preserve">        considera que el Estado violó  los  derechos  reconocidos  en  los</w:t>
        <w:br/>
        <w:t xml:space="preserve">        artículos 8.1 y 25.1 de la Convención Americana, en  relación  con</w:t>
        <w:br/>
        <w:t xml:space="preserve">        el artículo 1.1 de la misma, y que  incumplió  las  obligación  de</w:t>
        <w:br/>
        <w:t xml:space="preserve">        investigar dispuesta en los artículos 1, 6 y 8  de  la  Convención</w:t>
        <w:br/>
        <w:t xml:space="preserve">        contra la Tortura, 7.b) de la Convención Belém do Pará, y I.b)  de</w:t>
        <w:br/>
        <w:t xml:space="preserve">        la Convención sobre Desaparición Forzada de Personas (infra  párr.</w:t>
        <w:br/>
        <w:t xml:space="preserve">        237).</w:t>
        <w:br/>
        <w:br/>
        <w:br/>
        <w:t>B.6.  Plazo razonable para la investigación</w:t>
        <w:br/>
        <w:br/>
        <w:t xml:space="preserve">   229. En cuanto a la celeridad del proceso en general, este Tribunal  ha</w:t>
        <w:br/>
        <w:t xml:space="preserve">        señalado que el “plazo razonable” al que se  refiere  el  artículo</w:t>
        <w:br/>
        <w:t xml:space="preserve">        8.1 de la Convención se debe apreciar en relación con la  duración</w:t>
        <w:br/>
        <w:t xml:space="preserve">        total del procedimiento que se desarrolla hasta que  se  dicta  la</w:t>
        <w:br/>
        <w:t xml:space="preserve">        sentencia definitiva[308]. El derecho  de  acceso  a  la  justicia</w:t>
        <w:br/>
        <w:t xml:space="preserve">        implica que la solución de la controversia se produzca  en  tiempo</w:t>
        <w:br/>
        <w:t xml:space="preserve">        razonable[309], ya  que  una  demora  prolongada  puede  llegar  a</w:t>
        <w:br/>
        <w:t xml:space="preserve">        constituir,  por  sí  misma,  una  violación  de   las   garantías</w:t>
        <w:br/>
        <w:t xml:space="preserve">        judiciales[310]. La falta de  respuesta  estatal  es  un  elemento</w:t>
        <w:br/>
        <w:t xml:space="preserve">        determinante al valorar si se han violado los artículos 8.1 y 25.1</w:t>
        <w:br/>
        <w:t xml:space="preserve">        de la Convención Americana[311].</w:t>
        <w:br/>
        <w:br/>
        <w:t xml:space="preserve">   230. En ese sentido, la Corte usualmente ha considerado los  siguientes</w:t>
        <w:br/>
        <w:t xml:space="preserve">        elementos  para  determinar  la  razonabilidad   del   plazo:   a)</w:t>
        <w:br/>
        <w:t xml:space="preserve">        complejidad del asunto; b) actividad procesal del  interesado;  c)</w:t>
        <w:br/>
        <w:t xml:space="preserve">        conducta de las autoridades judiciales, y d)  afectación  generada</w:t>
        <w:br/>
        <w:t xml:space="preserve">        en la situación jurídica de la persona involucrada en el  proceso.</w:t>
        <w:br/>
        <w:t xml:space="preserve">        No  obstante,   el   Tribunal   observa   que   han   transcurrido</w:t>
        <w:br/>
        <w:t xml:space="preserve">        aproximadamente 32 años desde que ocurrió la masacre de la capilla</w:t>
        <w:br/>
        <w:t xml:space="preserve">        de Río, y 30 años desde que  sucedieron  las  masacres  de  Xococ,</w:t>
        <w:br/>
        <w:t xml:space="preserve">        Pacoxom, Los  Encuentros  y  Agua.  Como  ya  se  señaló  en  esta</w:t>
        <w:br/>
        <w:t xml:space="preserve">        Sentencia, las graves violaciones de  derechos  humanos  sucedidas</w:t>
        <w:br/>
        <w:t xml:space="preserve">        durante estas masacres deben ser investigadas de oficio. Guatemala</w:t>
        <w:br/>
        <w:t xml:space="preserve">        es Estado Parte de la Convención Americana desde el 25 de mayo  de</w:t>
        <w:br/>
        <w:t xml:space="preserve">        1978 (supra párr. 15), por lo tanto, la obligación  de  investigar</w:t>
        <w:br/>
        <w:t xml:space="preserve">        los hechos estaba vigente desde el momento mismo en que sucedieron</w:t>
        <w:br/>
        <w:t xml:space="preserve">        las masacres, aunque ello es exigible ante esta Corte desde que el</w:t>
        <w:br/>
        <w:t xml:space="preserve">        Estado aceptó la competencia  contenciosa  (supra  párr.  15).  No</w:t>
        <w:br/>
        <w:t xml:space="preserve">        obstante, las primeras investigaciones se iniciaron en 1993, luego</w:t>
        <w:br/>
        <w:t xml:space="preserve">        de que algunas de las  presuntas  víctimas  presentaran  denuncias</w:t>
        <w:br/>
        <w:t xml:space="preserve">        ante   las   autoridades   internas.   En   este   sentido,    las</w:t>
        <w:br/>
        <w:t xml:space="preserve">        investigaciones se iniciaron 6 años después de haber reconocido la</w:t>
        <w:br/>
        <w:t xml:space="preserve">        competencia contenciosa de esta Corte. Si bien en el presente caso</w:t>
        <w:br/>
        <w:t xml:space="preserve">        ya se ha condenado a algunos de los responsables de al  menos  una</w:t>
        <w:br/>
        <w:t xml:space="preserve">        de las masacres, los hechos aún se encuentran en impunidad  a  más</w:t>
        <w:br/>
        <w:t xml:space="preserve">        de 30 años de sucedidos. En consecuencia,  para  la  Corte  no  es</w:t>
        <w:br/>
        <w:t xml:space="preserve">        necesario realizar el análisis de los criterios  mencionados  dado</w:t>
        <w:br/>
        <w:t xml:space="preserve">        que es evidente que las  investigaciones  relativas  a  las  cinco</w:t>
        <w:br/>
        <w:t xml:space="preserve">        masacres han sobrepasado cualquier parámetro de  razonabilidad  de</w:t>
        <w:br/>
        <w:t xml:space="preserve">        duración. Por lo tanto, la Corte concluye que en virtud de que  la</w:t>
        <w:br/>
        <w:t xml:space="preserve">        investigación  no  se  ha  llevado  a  cabo  dentro  de  un  plazo</w:t>
        <w:br/>
        <w:t xml:space="preserve">        razonable, el Estado  es  responsable  por  la  violación  de  los</w:t>
        <w:br/>
        <w:t xml:space="preserve">        derechos reconocidos en los artículos 8.1 y 25.1 de la  Convención</w:t>
        <w:br/>
        <w:t xml:space="preserve">        Americana, en relación con el artículo 1.1  de  dicho  instrumento</w:t>
        <w:br/>
        <w:t xml:space="preserve">        (infra párr. 237).</w:t>
        <w:br/>
        <w:br/>
        <w:br/>
        <w:t>B.7.  Alegada discriminación por la falta de investigación de  los  hechos</w:t>
        <w:br/>
        <w:t>del presente caso</w:t>
        <w:br/>
        <w:br/>
        <w:t xml:space="preserve">   231. La Comisión señaló  que  “el  incumplimiento  de  [la]  obligación</w:t>
        <w:br/>
        <w:t xml:space="preserve">        acentuada de investigación y juzgamiento de los actos de genocidio</w:t>
        <w:br/>
        <w:t xml:space="preserve">        y racismo perpetrados contra la comunidad de  Río  Negro  perpetúa</w:t>
        <w:br/>
        <w:t xml:space="preserve">        los efectos de la discriminación racial a la  que  fueron  sujetos</w:t>
        <w:br/>
        <w:t xml:space="preserve">        los miembros del pueblo maya achí”. Al respecto, la Comisión  citó</w:t>
        <w:br/>
        <w:t xml:space="preserve">        la sentencia dictada por esta Corte  en  el  caso  Tiu  Tojín  Vs.</w:t>
        <w:br/>
        <w:t xml:space="preserve">        Guatemala  para  alegar  que   conforme   al   principio   de   no</w:t>
        <w:br/>
        <w:t xml:space="preserve">        discriminación el acceso a la justicia de los miembros de  pueblos</w:t>
        <w:br/>
        <w:t xml:space="preserve">        indígenas  implica  que  los  Estados  “otorguen  una   protección</w:t>
        <w:br/>
        <w:t xml:space="preserve">        efectiva que tome en  cuenta  sus  particularidades  propias,  sus</w:t>
        <w:br/>
        <w:t xml:space="preserve">        características económicas y sociales, así como  su  situación  de</w:t>
        <w:br/>
        <w:t xml:space="preserve">        especial vulnerabilidad, su derecho consuetudinario, valores, usos</w:t>
        <w:br/>
        <w:t xml:space="preserve">        y costumbres”. Por lo tanto, consideró que en el presente caso  se</w:t>
        <w:br/>
        <w:t xml:space="preserve">        generó una violación del derecho reconocido en el artículo  24  de</w:t>
        <w:br/>
        <w:t xml:space="preserve">        la Convención Americana, en relación con el  artículo  1.1  de  la</w:t>
        <w:br/>
        <w:t xml:space="preserve">        misma.</w:t>
        <w:br/>
        <w:br/>
        <w:t xml:space="preserve">   232. Al respecto, el Tribunal resalta que  en  el  caso  Tiu  Tojín  ya</w:t>
        <w:br/>
        <w:t xml:space="preserve">        referido  se  alegaron  y  se   probaron   hechos   concretos   de</w:t>
        <w:br/>
        <w:t xml:space="preserve">        discriminación  que  constituyeron   obstáculos   para   que   los</w:t>
        <w:br/>
        <w:t xml:space="preserve">        familiares de las víctimas desaparecidas  pudieran  acceder  a  la</w:t>
        <w:br/>
        <w:t xml:space="preserve">        justicia, en razón a su pertenencia al pueblo indígena Maya. En el</w:t>
        <w:br/>
        <w:t xml:space="preserve">        presente caso, en primer lugar, la Corte ya determinó que no tiene</w:t>
        <w:br/>
        <w:t xml:space="preserve">        competencia  para  pronunciarse  sobre  los  supuestos  hechos  de</w:t>
        <w:br/>
        <w:t xml:space="preserve">        discriminación alegados  por  la  Comisión  y  los  representantes</w:t>
        <w:br/>
        <w:t xml:space="preserve">        (supra párr. 39). En segundo lugar, por lo que  se  refiere  a  la</w:t>
        <w:br/>
        <w:t xml:space="preserve">        investigación, la Comisión alegó un hecho general,  es  decir,  la</w:t>
        <w:br/>
        <w:t xml:space="preserve">        sola falta de una investigación diligente, y no hechos concretos y</w:t>
        <w:br/>
        <w:t xml:space="preserve">        específicos en el marco  de  dicha  investigación  de  los  cuales</w:t>
        <w:br/>
        <w:t xml:space="preserve">        pudieran derivarse supuestos actos de discriminación, como sucedió</w:t>
        <w:br/>
        <w:t xml:space="preserve">        en el caso Tiu Tojín. En tal  sentido,  la  Corte  no  cuenta  con</w:t>
        <w:br/>
        <w:t xml:space="preserve">        elementos suficientes para pronunciarse sobre esta violación.</w:t>
        <w:br/>
        <w:br/>
        <w:br/>
        <w:t>B.8.  Solicitud de los representantes y de la Comisión para que los hechos</w:t>
        <w:br/>
        <w:t>se califiquen como  “genocidio” y “crímenes de lesa humanidad”</w:t>
        <w:br/>
        <w:br/>
        <w:t xml:space="preserve">   233. La Comisión y los  representantes  alegaron  que  las  violaciones</w:t>
        <w:br/>
        <w:t xml:space="preserve">        perpetradas en el  presente  caso  constituyen  crímenes  de  lesa</w:t>
        <w:br/>
        <w:t xml:space="preserve">        humanidad  y  genocidio,  las  cuales  son  en  sí  mismas  graves</w:t>
        <w:br/>
        <w:t xml:space="preserve">        violaciones a los derechos humanos. En ese sentido, solicitaron  a</w:t>
        <w:br/>
        <w:t xml:space="preserve">        la Corte que califique los hechos sucedidos como “crímenes de lesa</w:t>
        <w:br/>
        <w:t xml:space="preserve">        humanidad” y “genocidio”.  Al respecto, en  la  contestación,  así</w:t>
        <w:br/>
        <w:t xml:space="preserve">        como durante la  audiencia  pública  y  en  los  alegatos  finales</w:t>
        <w:br/>
        <w:t xml:space="preserve">        escritos, el Estado fue enfático en sostener su oposición a que la</w:t>
        <w:br/>
        <w:t xml:space="preserve">        Corte califique determinados hechos como genocidio o  crímenes  de</w:t>
        <w:br/>
        <w:t xml:space="preserve">        lesa humanidad, por no corresponder  a  un  tribunal  de  derechos</w:t>
        <w:br/>
        <w:t xml:space="preserve">        humanos, como éste, hacer una determinación de ese tipo.</w:t>
        <w:br/>
        <w:br/>
        <w:t xml:space="preserve">   234. En el presente caso, en esta Sentencia ya  se  estableció  que  la</w:t>
        <w:br/>
        <w:t xml:space="preserve">        Corte no tiene competencia para pronunciarse sobre una gran  parte</w:t>
        <w:br/>
        <w:t xml:space="preserve">        de los hechos y las violaciones de derechos humanas  alegadas  por</w:t>
        <w:br/>
        <w:t xml:space="preserve">        la Comisión y los representantes (supra Capítulos IV y V). Por  lo</w:t>
        <w:br/>
        <w:t xml:space="preserve">        tanto, el Tribunal no cuenta  con  los  elementos  pertinentes  de</w:t>
        <w:br/>
        <w:t xml:space="preserve">        hecho  y  de  derecho  para  realizar  una  calificación  como  la</w:t>
        <w:br/>
        <w:t xml:space="preserve">        solicitada por la Comisión y los representantes, en  caso  de  que</w:t>
        <w:br/>
        <w:t xml:space="preserve">        ello fuera procedente.</w:t>
        <w:br/>
        <w:br/>
        <w:br/>
        <w:t>B.9.  Conclusiones</w:t>
        <w:br/>
        <w:br/>
        <w:t xml:space="preserve">   235.  La  Corte  considera  que,  de  conformidad  con  la   Convención</w:t>
        <w:br/>
        <w:t xml:space="preserve">        Americana, vigente al momento de las masacres, el Estado tenía  la</w:t>
        <w:br/>
        <w:t xml:space="preserve">        obligación de  investigar  con  la  debida  diligencia  todos  los</w:t>
        <w:br/>
        <w:t xml:space="preserve">        hechos, obligación que se  encontraba  pendiente  al  momento  del</w:t>
        <w:br/>
        <w:t xml:space="preserve">        reconocimiento de competencia contenciosa de  la  Corte  el  9  de</w:t>
        <w:br/>
        <w:t xml:space="preserve">        marzo de 1987. Dicha obligación fue reafirmada por el  Estado  con</w:t>
        <w:br/>
        <w:t xml:space="preserve">        motivo de la ratificación de la Convención contra la  Tortura,  la</w:t>
        <w:br/>
        <w:t xml:space="preserve">        Convención de Belém do Pará y  la  Convención  sobre  Desaparición</w:t>
        <w:br/>
        <w:t xml:space="preserve">        Forzada (supra párr. 16), por lo que el Estado debía velar por  su</w:t>
        <w:br/>
        <w:t xml:space="preserve">        cumplimiento a partir del momento de su ratificación.</w:t>
        <w:br/>
        <w:br/>
        <w:t xml:space="preserve">   236. Este Tribunal estima que la investigación de  los  hechos  de  las</w:t>
        <w:br/>
        <w:t xml:space="preserve">        masacres cometidas en contra de la Comunidad de Río  Negro  no  ha</w:t>
        <w:br/>
        <w:t xml:space="preserve">        sido asumida como un deber propio  del  Estado,  y  no  ha  estado</w:t>
        <w:br/>
        <w:t xml:space="preserve">        dirigida eficazmente a  la  investigación,  persecución,  captura,</w:t>
        <w:br/>
        <w:t xml:space="preserve">        enjuiciamiento y  eventual  sanción  de  todos  los  responsables,</w:t>
        <w:br/>
        <w:t xml:space="preserve">        incluyendo autores materiales e  intelectuales,  de  modo  que  se</w:t>
        <w:br/>
        <w:t xml:space="preserve">        examinen de  forma  completa  y  exhaustiva  la  multiplicidad  de</w:t>
        <w:br/>
        <w:t xml:space="preserve">        afectaciones ocasionadas a los miembros de  la  comunidad  de  Río</w:t>
        <w:br/>
        <w:t xml:space="preserve">        Negro dentro del particular contexto en  el  cual  sucedieron  los</w:t>
        <w:br/>
        <w:t xml:space="preserve">        hechos del presente caso. Asimismo, la  investigación  tampoco  ha</w:t>
        <w:br/>
        <w:t xml:space="preserve">        estado encaminada hacia la  localización  de  todas  las  víctimas</w:t>
        <w:br/>
        <w:t xml:space="preserve">        desaparecidas, ni a la ubicación ni debida identificación  de  los</w:t>
        <w:br/>
        <w:t xml:space="preserve">        restos que han  sido  encontrados  en  las  diversas  exhumaciones</w:t>
        <w:br/>
        <w:t xml:space="preserve">        realizadas. En suma, los hechos del presente caso se encuentran en</w:t>
        <w:br/>
        <w:t xml:space="preserve">        impunidad. Al respecto,  este  Tribunal  ya  ha  señalado  que  su</w:t>
        <w:br/>
        <w:t xml:space="preserve">        jurisprudencia  respecto  al  fondo  de  los  casos  como   a   la</w:t>
        <w:br/>
        <w:t xml:space="preserve">        supervisión del cumplimiento de las Sentencias emitidas “demuestra</w:t>
        <w:br/>
        <w:t xml:space="preserve">        que Guatemala tiene un problema grave con respecto a la  impunidad</w:t>
        <w:br/>
        <w:t xml:space="preserve">        que  impera  en  el  país,  específicamente  con  relación  a  las</w:t>
        <w:br/>
        <w:t xml:space="preserve">        violaciones sistemáticas de los derechos humanos ocurridas durante</w:t>
        <w:br/>
        <w:t xml:space="preserve">        el conflicto armado”[312].</w:t>
        <w:br/>
        <w:br/>
        <w:t xml:space="preserve">   237. Teniendo en cuenta las anteriores  consideraciones,  así  como  el</w:t>
        <w:br/>
        <w:t xml:space="preserve">        acervo probatorio del presente caso y el reconocimiento parcial de</w:t>
        <w:br/>
        <w:t xml:space="preserve">        responsabilidad internacional efectuado por el Estado, esta  Corte</w:t>
        <w:br/>
        <w:t xml:space="preserve">        estima que  Guatemala  es  responsable  de  la  violación  de  los</w:t>
        <w:br/>
        <w:t xml:space="preserve">        derechos reconocidos en los artículos 8.1 y 25.1 de la  Convención</w:t>
        <w:br/>
        <w:t xml:space="preserve">        Americana, en relación con el artículo 1.1 de la misma,  así  como</w:t>
        <w:br/>
        <w:t xml:space="preserve">        por el incumplimiento de  las  obligaciones  establecidas  en  los</w:t>
        <w:br/>
        <w:t xml:space="preserve">        artículos 1, 6 y 8 de la Convención contra la Tortura, el artículo</w:t>
        <w:br/>
        <w:t xml:space="preserve">        I.b) de la Convención sobre Desaparición Forzada de Personas, y el</w:t>
        <w:br/>
        <w:t xml:space="preserve">        artículo 7.b de la Convención de Belém do Pará,  en  perjuicio  de</w:t>
        <w:br/>
        <w:t xml:space="preserve">        las víctimas del presente caso, en sus respectivas circunstancias.</w:t>
        <w:br/>
        <w:br/>
        <w:br/>
        <w:br/>
        <w:br/>
        <w:t xml:space="preserve">                                    XIII</w:t>
        <w:br/>
        <w:t xml:space="preserve">  DERECHO A LA INTEGRIDAD PERSONAL DE LOS SOBREVIVIENTES DE LAS MASACRES DE</w:t>
        <w:br/>
        <w:t xml:space="preserve">  RÍO NEGRO, EN RELACIÓN CON LA INVESTIGACIÓN Y LA OBLIGACIÓN DE RESPETAR Y</w:t>
        <w:br/>
        <w:t xml:space="preserve">                           GARANTIZAR LOS DERECHOS</w:t>
        <w:br/>
        <w:br/>
        <w:br/>
        <w:t>A.    Alegatos de las partes y de la Comisión Interamericana</w:t>
        <w:br/>
        <w:br/>
        <w:br/>
        <w:t xml:space="preserve">   238. La Comisión Interamericana y los representantes  alegaron  que  el</w:t>
        <w:br/>
        <w:t xml:space="preserve">        Estado violó  el  derecho  reconocido  en  el  artículo  5  de  la</w:t>
        <w:br/>
        <w:t xml:space="preserve">        Convención Americana (integridad personal),  en  relación  con  el</w:t>
        <w:br/>
        <w:t xml:space="preserve">        artículo 1.1 de la  misma,  por  un  lado,  en  perjuicio  de  los</w:t>
        <w:br/>
        <w:t xml:space="preserve">        sobrevivientes de las masacres y, por otro lado, en  perjuicio  de</w:t>
        <w:br/>
        <w:t xml:space="preserve">        los sobrevivientes pero en  su  calidad  de  familiares  de  otras</w:t>
        <w:br/>
        <w:t xml:space="preserve">        víctimas de las masacres. Sobre este  último  punto,  manifestaron</w:t>
        <w:br/>
        <w:t xml:space="preserve">        que los sobrevivientes también presenciaron la forma  en  que  sus</w:t>
        <w:br/>
        <w:t xml:space="preserve">        familiares fueron torturados y ejecutados  extrajudicialmente,  lo</w:t>
        <w:br/>
        <w:t xml:space="preserve">        cual  se  traduce  en  un  trato  cruel,  inhumano  y  degradante.</w:t>
        <w:br/>
        <w:t xml:space="preserve">        Resaltaron que algunos de estos sobrevivientes eran niños y  niñas</w:t>
        <w:br/>
        <w:t xml:space="preserve">        y que, por lo tanto, “el impacto de ese  tipo  de  vivencias”  era</w:t>
        <w:br/>
        <w:t xml:space="preserve">        mayor.  Igualmente,  refirieron  que  algunas   de   las   mujeres</w:t>
        <w:br/>
        <w:t xml:space="preserve">        sobrevivientes  habían  sido  violadas,  y  que  muchos   de   los</w:t>
        <w:br/>
        <w:t xml:space="preserve">        sobrevivientes se vieron obligados a esconderse por  años  “en  la</w:t>
        <w:br/>
        <w:t xml:space="preserve">        montaña[,] huyendo de  la  persecución  sistemática  de  que  eran</w:t>
        <w:br/>
        <w:t xml:space="preserve">        víctimas, [y] viviendo en condiciones infrahumanas”.  En  relación</w:t>
        <w:br/>
        <w:t xml:space="preserve">        con  los  familiares  de  las  víctimas,   la   Comisión   y   los</w:t>
        <w:br/>
        <w:t xml:space="preserve">        representantes alegaron que en casos de masacres y  desapariciones</w:t>
        <w:br/>
        <w:t xml:space="preserve">        forzadas, el dolor y  angustia  sufridos  por  los  familiares  es</w:t>
        <w:br/>
        <w:t xml:space="preserve">        evidente.  Por  último,  destacaron  que  la  falta  de   recursos</w:t>
        <w:br/>
        <w:t xml:space="preserve">        efectivos para acceder a la justicia y la falta  de  investigación</w:t>
        <w:br/>
        <w:t xml:space="preserve">        de los hechos por parte del Estado constituyen fuentes adicionales</w:t>
        <w:br/>
        <w:t xml:space="preserve">        de sufrimiento para los sobrevivientes de las masacres.</w:t>
        <w:br/>
        <w:br/>
        <w:t xml:space="preserve">   239. El Estado expresó “su aceptación  parcial”  de  la  violación  del</w:t>
        <w:br/>
        <w:t xml:space="preserve">        artículo 5 de la Convención, en relación con el artículo 1.1 de la</w:t>
        <w:br/>
        <w:t xml:space="preserve">        misma, en perjuicio de los sobrevivientes  de  las  masacres,  así</w:t>
        <w:br/>
        <w:t xml:space="preserve">        como en  perjuicio  de  los  familiares  de  los  miembros  de  la</w:t>
        <w:br/>
        <w:t xml:space="preserve">        comunidad, “en virtud [de] que dicha violación pudo  trascender  y</w:t>
        <w:br/>
        <w:t xml:space="preserve">        persistir  en  el  tiempo  a  partir  del  cual  la  Corte   tiene</w:t>
        <w:br/>
        <w:t xml:space="preserve">        competencia para conocer violaciones en  contra  del  Estado  […]”</w:t>
        <w:br/>
        <w:t xml:space="preserve">        (supra párr. 17, inciso c).</w:t>
        <w:br/>
        <w:br/>
        <w:br/>
        <w:t>B.    Consideraciones de la Corte</w:t>
        <w:br/>
        <w:br/>
        <w:t xml:space="preserve">   240. En su jurisprudencia más reciente en casos  de  masacres[313],  el</w:t>
        <w:br/>
        <w:t xml:space="preserve">        Tribunal ha reiterado que los familiares de las víctimas de graves</w:t>
        <w:br/>
        <w:t xml:space="preserve">        violaciones de derechos  humanos,  como  las  del  presente  caso,</w:t>
        <w:br/>
        <w:t xml:space="preserve">        pueden, a su vez, ser víctimas  de  violaciones  a  su  integridad</w:t>
        <w:br/>
        <w:t xml:space="preserve">        personal. Así, en este tipo  de  casos  la  Corte  ha  considerado</w:t>
        <w:br/>
        <w:t xml:space="preserve">        violado el derecho  a  la  integridad  psíquica  y  moral  de  los</w:t>
        <w:br/>
        <w:t xml:space="preserve">        familiares de las víctimas con motivo del sufrimiento  y  angustia</w:t>
        <w:br/>
        <w:t xml:space="preserve">        adicionales que éstos han padecido a causa de  las  actuaciones  u</w:t>
        <w:br/>
        <w:t xml:space="preserve">        omisiones posteriores de las autoridades estatales con respecto  a</w:t>
        <w:br/>
        <w:t xml:space="preserve">        la investigación de los hechos[314] y  debido  a  la  ausencia  de</w:t>
        <w:br/>
        <w:t xml:space="preserve">        recursos  efectivos[315].   La  Corte  ha  considerado   que   “la</w:t>
        <w:br/>
        <w:t xml:space="preserve">        realización  de  una  investigación  efectiva   es   un   elemento</w:t>
        <w:br/>
        <w:t xml:space="preserve">        fundamental y condicionante para la protección de ciertos derechos</w:t>
        <w:br/>
        <w:t xml:space="preserve">        que se ven afectados o anulados por esas situaciones”[316].</w:t>
        <w:br/>
        <w:br/>
        <w:t xml:space="preserve">   241. El Estado reconoció parcialmente la violación del artículo 5 de la</w:t>
        <w:br/>
        <w:t xml:space="preserve">        Convención en perjuicio de los sobrevivientes de la  Comunidad  de</w:t>
        <w:br/>
        <w:t xml:space="preserve">        Río Negro, es decir, únicamente  por  lo  que  respecta  a  hechos</w:t>
        <w:br/>
        <w:t xml:space="preserve">        sucedidos con posterioridad al reconocimiento  de  la  competencia</w:t>
        <w:br/>
        <w:t xml:space="preserve">        del Tribunal. En esta Sentencia quedó establecido que, si bien  el</w:t>
        <w:br/>
        <w:t xml:space="preserve">        Estado  ha  realizado  algunas  investigaciones  y  ha  juzgado  y</w:t>
        <w:br/>
        <w:t xml:space="preserve">        sancionado a  algunos  de  los  responsables  de  los  hechos  del</w:t>
        <w:br/>
        <w:t xml:space="preserve">        presente caso, éstos siguen en la impunidad,  particularmente  por</w:t>
        <w:br/>
        <w:t xml:space="preserve">        lo que se refiere a las masacres de La Capilla y Los Encuentros, y</w:t>
        <w:br/>
        <w:t xml:space="preserve">        la desaparición forzada de diecisiete personas  ocurrida  en  este</w:t>
        <w:br/>
        <w:t xml:space="preserve">        último lugar, respecto de las cuales no hay  investigación  alguna</w:t>
        <w:br/>
        <w:t xml:space="preserve">        (supra párrs. 88).</w:t>
        <w:br/>
        <w:br/>
        <w:t xml:space="preserve">   242. Al respecto, este Tribunal observa que las víctimas  sobrevivientes</w:t>
        <w:br/>
        <w:t xml:space="preserve">        del las masacres de Río Negro han expresado dolor por la  impunidad</w:t>
        <w:br/>
        <w:t xml:space="preserve">        en que se encuentran estos hechos. En este sentido, la señora María</w:t>
        <w:br/>
        <w:t xml:space="preserve">        Osorio Chen declaró que:</w:t>
        <w:br/>
        <w:br/>
        <w:t xml:space="preserve">      “Las personas que ordenaron las muertes andan libres, por ejemplo,  el</w:t>
        <w:br/>
        <w:t xml:space="preserve">      Coronel Solares no [ha sido] captura[do…] Los que  han  sufrido  ahora</w:t>
        <w:br/>
        <w:t xml:space="preserve">      son los campesinos, y los verdaderos responsables de la masacre no han</w:t>
        <w:br/>
        <w:t xml:space="preserve">      ido a la justicia, en el Estado de Guatemala no  hay  apoyo  para  que</w:t>
        <w:br/>
        <w:t xml:space="preserve">      haya justicia.</w:t>
        <w:br/>
        <w:br/>
        <w:br/>
        <w:t xml:space="preserve">      “Quiero que haya justicia, en donde se capture al Coronel y no sólo  a</w:t>
        <w:br/>
        <w:t xml:space="preserve">      él sino que a las personas del Ejército. Del  Ejército  no  hay  nadie</w:t>
        <w:br/>
        <w:t xml:space="preserve">      capturado por las masacres, andan libres, solo  los  campesinos  están</w:t>
        <w:br/>
        <w:t xml:space="preserve">      capturados, [sueño] que este señor est[é] en la cárcel algún día y que</w:t>
        <w:br/>
        <w:t xml:space="preserve">      pague por todo el daño que […] ha hecho a las personas que perdimos  a</w:t>
        <w:br/>
        <w:t xml:space="preserve">      nuestras familia[s]”[317].</w:t>
        <w:br/>
        <w:br/>
        <w:t xml:space="preserve">   243. Asimismo, como ya se mencionó en esta Sentencia (supra párr.  205),</w:t>
        <w:br/>
        <w:t xml:space="preserve">        la señora María Eustaquia Uscap Ivoy declaró que  espera  que  haya</w:t>
        <w:br/>
        <w:t xml:space="preserve">        justicia para que se llegue a saber la verdad de todo lo  sucedido,</w:t>
        <w:br/>
        <w:t xml:space="preserve">        y porque sólo cuando la gente se dé cuenta  de  que  hay  justicia,</w:t>
        <w:br/>
        <w:t xml:space="preserve">        estos hechos no van a volver a ocurrir.</w:t>
        <w:br/>
        <w:br/>
        <w:t xml:space="preserve">   244. De este modo, es claro  que  las  víctimas  sobrevivientes  de  las</w:t>
        <w:br/>
        <w:t xml:space="preserve">        masacres de Río Negro padecen un profundo sufrimiento y dolor  como</w:t>
        <w:br/>
        <w:t xml:space="preserve">        resultado de la impunidad en que  se  encuentran  los  hechos,  los</w:t>
        <w:br/>
        <w:t xml:space="preserve">        cuales se enmarcaron dentro de una política de  estado  de  “tierra</w:t>
        <w:br/>
        <w:t xml:space="preserve">        arrasada” dirigida hacia la destrucción total  de  dicha  comunidad</w:t>
        <w:br/>
        <w:t xml:space="preserve">        (supra párr. 57). Por tanto, la Corte considera que el Estado violó</w:t>
        <w:br/>
        <w:t xml:space="preserve">        el artículo 5.1 de la Convención  Americana,  en  relación  con  el</w:t>
        <w:br/>
        <w:t xml:space="preserve">        artículo  1.1  de  dicho   instrumento,   en   perjuicio   de   los</w:t>
        <w:br/>
        <w:t xml:space="preserve">        sobrevivientes de las masacres de Río Negro. Los nombres de  dichas</w:t>
        <w:br/>
        <w:t xml:space="preserve">        personas se encuentran en el Anexo VI de esta Sentencia.</w:t>
        <w:br/>
        <w:br/>
        <w:br/>
        <w:br/>
        <w:t xml:space="preserve">                                     XIV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 xml:space="preserve">   245. Sobre la base de lo dispuesto en el artículo 63.1 de la Convención,</w:t>
        <w:br/>
        <w:t xml:space="preserve">        la Corte ha  establecido  que  toda  violación  de  una  obligación</w:t>
        <w:br/>
        <w:t xml:space="preserve">        internacional  que  haya  producido  daño  comporta  el  deber   de</w:t>
        <w:br/>
        <w:t xml:space="preserve">        repararlo adecuadamente[318], y  que  esa  disposición  recoge  una</w:t>
        <w:br/>
        <w:t xml:space="preserve">        norma  consuetudinaria  que  constituye  uno  de   los   principios</w:t>
        <w:br/>
        <w:t xml:space="preserve">        fundamentales  del  Derecho   Internacional   contemporáneo   sobre</w:t>
        <w:br/>
        <w:t xml:space="preserve">        responsabilidad de un Estado[319].</w:t>
        <w:br/>
        <w:br/>
        <w:t xml:space="preserve">   246. En consideración de las violaciones a la Convención Americana, a la</w:t>
        <w:br/>
        <w:t xml:space="preserve">        Convención sobre Desaparición Forzada, a la  Convención  contra  la</w:t>
        <w:br/>
        <w:t xml:space="preserve">        Tortura y a la Convención de  Belém  do  Pará  declaradas  en  esta</w:t>
        <w:br/>
        <w:t xml:space="preserve">        Sentencia,  el  Tribunal  procederá  a  analizar  las  pretensiones</w:t>
        <w:br/>
        <w:t xml:space="preserve">        presentadas por la Comisión y por los representantes, así como  los</w:t>
        <w:br/>
        <w:t xml:space="preserve">        argumentos del Estado, a la luz de  los  criterios  fijados  en  la</w:t>
        <w:br/>
        <w:t xml:space="preserve">        jurisprudencia de la Corte en relación con la naturaleza y  alcance</w:t>
        <w:br/>
        <w:t xml:space="preserve">        de la obligación de reparar, con el objeto de disponer las  medidas</w:t>
        <w:br/>
        <w:t xml:space="preserve">        dirigidas a reparar los daños ocasionados a las víctimas[320].</w:t>
        <w:br/>
        <w:br/>
        <w:t xml:space="preserve">   247. Este Tribunal ha establecido que las reparaciones deben  tener  un</w:t>
        <w:br/>
        <w:t xml:space="preserve">        nexo causal con los hechos del caso, las  violaciones  declaradas,</w:t>
        <w:br/>
        <w:t xml:space="preserve">        los daños acreditados, así como con las medidas  solicitadas  para</w:t>
        <w:br/>
        <w:t xml:space="preserve">        reparar los daños respectivos.  Por  lo  tanto,  la  Corte  deberá</w:t>
        <w:br/>
        <w:t xml:space="preserve">        observar  dicha  concurrencia  para  pronunciarse  debidamente   y</w:t>
        <w:br/>
        <w:t xml:space="preserve">        conforme a derecho[321].</w:t>
        <w:br/>
        <w:br/>
        <w:t xml:space="preserve">   248. La reparación  del  daño  ocasionado  por  la  infracción  de  una</w:t>
        <w:br/>
        <w:t xml:space="preserve">        obligación internacional requiere, siempre  que  sea  posible,  la</w:t>
        <w:br/>
        <w:t xml:space="preserve">        plena restitución (restitutio in integrum),  que  consiste  en  el</w:t>
        <w:br/>
        <w:t xml:space="preserve">        restablecimiento  de  la  situación  anterior.  De  no  ser   esto</w:t>
        <w:br/>
        <w:t xml:space="preserve">        factible, como ocurre en la mayoría de los casos de violaciones  a</w:t>
        <w:br/>
        <w:t xml:space="preserve">        derechos humanos, el Tribunal determinará medidas para  garantizar</w:t>
        <w:br/>
        <w:t xml:space="preserve">        los derechos conculcados  y  reparar  las  consecuencias  que  las</w:t>
        <w:br/>
        <w:t xml:space="preserve">        infracciones produjeron[322]. Por tanto, la Corte  ha  considerado</w:t>
        <w:br/>
        <w:t xml:space="preserve">        la necesidad de otorgar diversas medidas de reparación, a  fin  de</w:t>
        <w:br/>
        <w:t xml:space="preserve">        resarcir los daños de manera integral, por lo que  además  de  las</w:t>
        <w:br/>
        <w:t xml:space="preserve">        compensaciones   pecuniarias,   las   medidas   de    restitución,</w:t>
        <w:br/>
        <w:t xml:space="preserve">        satisfacción  y  garantías  de  no  repetición   tienen   especial</w:t>
        <w:br/>
        <w:t xml:space="preserve">        relevancia por los daños ocasionados[323]. En el presente caso, la</w:t>
        <w:br/>
        <w:t xml:space="preserve">        Corte tomará  en  cuenta  las  violaciones  graves  y  masivas  de</w:t>
        <w:br/>
        <w:t xml:space="preserve">        derechos humanos cometidas por el Estado en el marco del conflicto</w:t>
        <w:br/>
        <w:t xml:space="preserve">        armado interno, la falta de debida diligencia en la  investigación</w:t>
        <w:br/>
        <w:t xml:space="preserve">        de los hechos, así como las consecuencias de los mismos.</w:t>
        <w:br/>
        <w:br/>
        <w:br/>
        <w:t>A.    Parte lesionada</w:t>
        <w:br/>
        <w:br/>
        <w:t xml:space="preserve">   249. La Corte reitera que se considera como  parte  lesionada,  en  los</w:t>
        <w:br/>
        <w:t xml:space="preserve">        términos del artículo 63.1 de  la  Convención,  a  quien  ha  sido</w:t>
        <w:br/>
        <w:t xml:space="preserve">        declarado víctima de la violación de algún derecho  reconocido  en</w:t>
        <w:br/>
        <w:t xml:space="preserve">        la  misma.  Por  lo  tanto,  esta  Corte  considera  como  “partes</w:t>
        <w:br/>
        <w:t xml:space="preserve">        lesionadas” a aquellas personas referidas  en  los  párrafos  127,</w:t>
        <w:br/>
        <w:t xml:space="preserve">        135, 150, 237, y los Anexos VI y VII de esta Sentencia, quienes en</w:t>
        <w:br/>
        <w:t xml:space="preserve">        su carácter de víctimas de las violaciones declaradas en la misma,</w:t>
        <w:br/>
        <w:t xml:space="preserve">        serán considerados beneficiarios de las reparaciones que ordene el</w:t>
        <w:br/>
        <w:t xml:space="preserve">        Tribunal.</w:t>
        <w:br/>
        <w:br/>
        <w:t xml:space="preserve">   250. Por otro lado, la Comisión solicitó  al  Tribunal  que  ordene  al</w:t>
        <w:br/>
        <w:t xml:space="preserve">        Estado “[e]stablecer un mecanismo que facilite  la  identificación</w:t>
        <w:br/>
        <w:t xml:space="preserve">        completa  de  los  familiares  de  las   víctimas   ejecutadas   y</w:t>
        <w:br/>
        <w:t xml:space="preserve">        desaparecidas,  de  manera  que  puedan   ser   beneficiarios   de</w:t>
        <w:br/>
        <w:t xml:space="preserve">        reparaciones”.  Asimismo,  solicitó  que  se  ordene   al   Estado</w:t>
        <w:br/>
        <w:t xml:space="preserve">        “[e]stablecer un mecanismo que permita  la  determinación  de  las</w:t>
        <w:br/>
        <w:t xml:space="preserve">        personas desaparecidas en las masacres […y] las sobrevivientes  de</w:t>
        <w:br/>
        <w:t xml:space="preserve">        las mismas”. Ni los representantes ni el Estado  se  refirieron  a</w:t>
        <w:br/>
        <w:t xml:space="preserve">        estas solicitudes.</w:t>
        <w:br/>
        <w:br/>
        <w:t xml:space="preserve">   251. La Corte observa que, por  las  características  particulares  del</w:t>
        <w:br/>
        <w:t xml:space="preserve">        caso, y por  las  razones  que  ya  han  sido  señaladas  en  esta</w:t>
        <w:br/>
        <w:t xml:space="preserve">        Sentencia (supra párrs. 44 a 51), no ha sido posible identificar e</w:t>
        <w:br/>
        <w:t xml:space="preserve">        individualizar a la totalidad de las víctimas. Por lo anterior, la</w:t>
        <w:br/>
        <w:t xml:space="preserve">        Corte  considera  que,  en  el   presente   caso,   se   justifica</w:t>
        <w:br/>
        <w:t xml:space="preserve">        razonablemente la  aplicación  de  la  excepción  prevista  en  el</w:t>
        <w:br/>
        <w:t xml:space="preserve">        artículo 35.2 del Reglamento del Tribunal a efecto  de  incluir  a</w:t>
        <w:br/>
        <w:t xml:space="preserve">        otras personas como víctimas aun cuando no hayan sido  previamente</w:t>
        <w:br/>
        <w:t xml:space="preserve">        identificadas e individualizadas por la  Comisión  Interamericana.</w:t>
        <w:br/>
        <w:t xml:space="preserve">        Para tal efecto, la Corte considera pertinente que en un plazo  de</w:t>
        <w:br/>
        <w:t xml:space="preserve">        seis meses, contado a partir de la notificación de la Sentencia, a</w:t>
        <w:br/>
        <w:t xml:space="preserve">        través de las  instancias  competentes  el  Estado  establezca  un</w:t>
        <w:br/>
        <w:t xml:space="preserve">        mecanismo adecuado para que otros miembros de la comunidad de  Río</w:t>
        <w:br/>
        <w:t xml:space="preserve">        Negro posteriormente puedan ser considerados  víctimas  de  alguna</w:t>
        <w:br/>
        <w:t xml:space="preserve">        violación de derechos humanos declarada en este  Fallo  y  reciban</w:t>
        <w:br/>
        <w:t xml:space="preserve">        reparaciones individuales y colectivas como las que se ordenarán a</w:t>
        <w:br/>
        <w:t xml:space="preserve">        continuación. Una vez establecido este mecanismo, dichas  personas</w:t>
        <w:br/>
        <w:t xml:space="preserve">        deberán presentarse en el plazo máximo de un año ante la instancia</w:t>
        <w:br/>
        <w:t xml:space="preserve">        pertinente  del  Estado  a  fin  de  solicitar   y   recibir   las</w:t>
        <w:br/>
        <w:t xml:space="preserve">        reparaciones que correspondan, previa aportación  de  las  pruebas</w:t>
        <w:br/>
        <w:t xml:space="preserve">        que sean pertinentes para su identificación[324]. </w:t>
        <w:br/>
        <w:br/>
        <w:t xml:space="preserve">   252. Asimismo, la Corte estima que, debido a la falta de representación</w:t>
        <w:br/>
        <w:t xml:space="preserve">        activa ante este Tribunal de dichas personas (supra párr. 251), el</w:t>
        <w:br/>
        <w:t xml:space="preserve">        Estado deberá velar de buena fe por el derecho a la reparación  de</w:t>
        <w:br/>
        <w:t xml:space="preserve">        tales víctimas. El Estado deberá informar a  la  Corte  sobre  las</w:t>
        <w:br/>
        <w:t xml:space="preserve">        personas  que,  en  el  marco  del  mecanismo  mencionado,   hayan</w:t>
        <w:br/>
        <w:t xml:space="preserve">        solicitado reparaciones. Para tal efecto, el Tribunal evaluará  lo</w:t>
        <w:br/>
        <w:t xml:space="preserve">        pertinente en el ejercicio de sus facultades  de  supervisión  del</w:t>
        <w:br/>
        <w:t xml:space="preserve">        presente Fallo[325].</w:t>
        <w:br/>
        <w:br/>
        <w:t xml:space="preserve">   253. Lo mencionado en los párrafos anteriores (supra párrs. 251 y  252)</w:t>
        <w:br/>
        <w:t xml:space="preserve">        no excluye el derecho de aquellos miembros de la comunidad de  Río</w:t>
        <w:br/>
        <w:t xml:space="preserve">        Negro no presentados como víctimas por  los  representantes  o  la</w:t>
        <w:br/>
        <w:t xml:space="preserve">        Comisión de  renunciar  a  las  reparaciones  dispuestas  en  esta</w:t>
        <w:br/>
        <w:t xml:space="preserve">        Sentencia y demandar, conforme al  derecho  interno,  las  medidas</w:t>
        <w:br/>
        <w:t xml:space="preserve">        resarcitorias correspondientes a su favor[326].</w:t>
        <w:br/>
        <w:br/>
        <w:br/>
        <w:t>B.  Obligación  de  investigar  los  hechos  e  identificar,   juzgar   y,</w:t>
        <w:br/>
        <w:t>eventualmente, sancionar a los responsables</w:t>
        <w:br/>
        <w:br/>
        <w:br/>
        <w:t>B.1.  Investigación completa,  determinación,  enjuiciamiento  y  eventual</w:t>
        <w:br/>
        <w:t>sanción de todos los responsables materiales e intelectuales</w:t>
        <w:br/>
        <w:br/>
        <w:t>B.1.1.           Alegatos de las partes y de la Comisión Interamericana</w:t>
        <w:br/>
        <w:br/>
        <w:t xml:space="preserve">   254. La Comisión solicitó a la Corte que ordene al Estado  “[l]levar  a</w:t>
        <w:br/>
        <w:t xml:space="preserve">        cabo, concluir y reabrir, según  corresponda,  los  procedimientos</w:t>
        <w:br/>
        <w:t xml:space="preserve">        internos relacionados con  las  violaciones  de  derechos  humanos</w:t>
        <w:br/>
        <w:t xml:space="preserve">        declaradas en [el informe de  fondo…,]  de  manera  imparcial  [y]</w:t>
        <w:br/>
        <w:t xml:space="preserve">        efectiva[,] y dentro de un plazo razonable[,]  con  el  objeto  de</w:t>
        <w:br/>
        <w:t xml:space="preserve">        esclarecer [los] hechos  en  forma  completa,  identificar  a  los</w:t>
        <w:br/>
        <w:t xml:space="preserve">        autores intelectuales y materiales e  imponer  las  sanciones  que</w:t>
        <w:br/>
        <w:t xml:space="preserve">        correspondan”[327]. También  solicitó  que  se  ordene  al  Estado</w:t>
        <w:br/>
        <w:t xml:space="preserve">        “[d]isponer las medidas administrativas, disciplinarias o  penales</w:t>
        <w:br/>
        <w:t xml:space="preserve">        correspondientes  frente  a  las  acciones  u  omisiones  de   los</w:t>
        <w:br/>
        <w:t xml:space="preserve">        funcionarios estatales que han  contribuido  a  la  denegación  de</w:t>
        <w:br/>
        <w:t xml:space="preserve">        justicia e impunidad en la que se encuentran los hechos del caso o</w:t>
        <w:br/>
        <w:t xml:space="preserve">        que  participaron  en  medidas  para  obstaculizar  los   procesos</w:t>
        <w:br/>
        <w:t xml:space="preserve">        destinados a identificar y sancionar a los  responsables”.  A  tal</w:t>
        <w:br/>
        <w:t xml:space="preserve">        efecto,  solicitó  que  se  ordene  al  Estado  “[f]ortalecer   la</w:t>
        <w:br/>
        <w:t xml:space="preserve">        capacidad del poder judicial para investigar de forma  adecuada  y</w:t>
        <w:br/>
        <w:t xml:space="preserve">        eficiente los hechos y sancionar a los responsables[,  proveyendo]</w:t>
        <w:br/>
        <w:t xml:space="preserve">        los recursos materiales y técnicos  necesarios  para  asegurar  el</w:t>
        <w:br/>
        <w:t xml:space="preserve">        correcto desarrollo de los procesos”.</w:t>
        <w:br/>
        <w:br/>
        <w:t xml:space="preserve">   255.  Los   representantes   solicitaron   al   Tribunal   ordenar   la</w:t>
        <w:br/>
        <w:t xml:space="preserve">        investigación,  enjuiciamiento   y   eventual   sanción   de   los</w:t>
        <w:br/>
        <w:t xml:space="preserve">        responsables materiales e  intelectuales  de  las  violaciones  de</w:t>
        <w:br/>
        <w:t xml:space="preserve">        derechos humanos perpetradas durante las masacres de Río  Negro  y</w:t>
        <w:br/>
        <w:t xml:space="preserve">        de la ejecución  de  Evaristo  Osorio  y  Valeriano  Osorio  Chen.</w:t>
        <w:br/>
        <w:t xml:space="preserve">        Asimismo,   especificaron   diversos    criterios    que    dichas</w:t>
        <w:br/>
        <w:t xml:space="preserve">        investigaciones deben seguir[328] y solicitaron a la Corte ordenar</w:t>
        <w:br/>
        <w:t xml:space="preserve">        que se ejecute la orden de captura en contra del coronel  retirado</w:t>
        <w:br/>
        <w:t xml:space="preserve">        José Antonio Solares González.</w:t>
        <w:br/>
        <w:br/>
        <w:t xml:space="preserve">   256. Al respecto, el Estado se comprometió a “continuar promoviendo  la</w:t>
        <w:br/>
        <w:t xml:space="preserve">        investigación penal del  presente  caso  […]”  y  a  “impulsar  la</w:t>
        <w:br/>
        <w:t xml:space="preserve">        captura” del  coronel  retirado  José  Antonio  Solares  González.</w:t>
        <w:br/>
        <w:t xml:space="preserve">        También se comprometió  a  “iniciar  las  investigaciones  de  los</w:t>
        <w:br/>
        <w:t xml:space="preserve">        hechos que se encuentran pendientes de investigar”,  a  “gestionar</w:t>
        <w:br/>
        <w:t xml:space="preserve">        ante el Programa de Protección de Testigos del Ministerio  Público</w:t>
        <w:br/>
        <w:t xml:space="preserve">        para asegurar la integridad personal de los  actores  involucrados</w:t>
        <w:br/>
        <w:t xml:space="preserve">        en la investigación  penal  del  presente  caso”  que  acepten  la</w:t>
        <w:br/>
        <w:t xml:space="preserve">        protección que ofrece dicho programa, y a “publicar en  el  Diario</w:t>
        <w:br/>
        <w:t xml:space="preserve">        Oficial de Centroamérica los resultados de  los  procesos  penales</w:t>
        <w:br/>
        <w:t xml:space="preserve">        que  se  realicen  […]”.  Asimismo,  el  Estado  declaró  que  “ha</w:t>
        <w:br/>
        <w:t xml:space="preserve">        realizado acciones concretas para el fortalecimiento  del  sistema</w:t>
        <w:br/>
        <w:t xml:space="preserve">        de justicia” a través de la Comisión Nacional de Justicia.</w:t>
        <w:br/>
        <w:br/>
        <w:br/>
        <w:t>B.1.2.           Consideraciones de la Corte</w:t>
        <w:br/>
        <w:br/>
        <w:br/>
        <w:t xml:space="preserve">   257. El Tribunal valora  la  disposición  del  Estado  de  promover  la</w:t>
        <w:br/>
        <w:t xml:space="preserve">        investigación penal del presente caso. No  obstante,  teniendo  en</w:t>
        <w:br/>
        <w:t xml:space="preserve">        cuenta las conclusiones señaladas  en  el  Capítulo  XII  de  esta</w:t>
        <w:br/>
        <w:t xml:space="preserve">        Sentencia, la Corte dispone que el Estado debe remover  todos  los</w:t>
        <w:br/>
        <w:t xml:space="preserve">        obstáculos, de facto y de jure, que mantienen la impunidad en este</w:t>
        <w:br/>
        <w:t xml:space="preserve">        caso[329],  e  iniciar,   continuar,  impulsar   y   reabrir   las</w:t>
        <w:br/>
        <w:t xml:space="preserve">        investigaciones que sean necesarias para determinar y, en su caso,</w:t>
        <w:br/>
        <w:t xml:space="preserve">        sancionar a todos los  responsables  de  las  violaciones  de  los</w:t>
        <w:br/>
        <w:t xml:space="preserve">        derechos humanos perpetradas durante y  con  posterioridad  a  las</w:t>
        <w:br/>
        <w:t xml:space="preserve">        cinco masacres objeto del presente caso. El Estado debe  impulsar,</w:t>
        <w:br/>
        <w:t xml:space="preserve">        reabrir, dirigir,  continuar  y  concluir  las  investigaciones  y</w:t>
        <w:br/>
        <w:t xml:space="preserve">        procesos  pertinentes  en  un  plazo  razonable,  con  el  fin  de</w:t>
        <w:br/>
        <w:t xml:space="preserve">        establecer toda la verdad de los hechos, tomando en cuenta que han</w:t>
        <w:br/>
        <w:t xml:space="preserve">        transcurrido aproximadamente 30  años  desde  que  sucedieron  las</w:t>
        <w:br/>
        <w:t xml:space="preserve">        referidas cinco masacres. En particular, el  Estado  deberá  velar</w:t>
        <w:br/>
        <w:t xml:space="preserve">        por que se observen los siguientes criterios[330]:</w:t>
        <w:br/>
        <w:br/>
        <w:t xml:space="preserve">   a) en consideración de la gravedad de los hechos, no podrá aplicar  leyes</w:t>
        <w:br/>
        <w:t xml:space="preserve">      de amnistía ni argumentar prescripción,  irretroactividad  de  la  ley</w:t>
        <w:br/>
        <w:t xml:space="preserve">      penal, cosa juzgada, ni el principio non  bis  in  idem,  o  cualquier</w:t>
        <w:br/>
        <w:t xml:space="preserve">      excluyente similar de responsabilidad, para excusarse de la obligación</w:t>
        <w:br/>
        <w:t xml:space="preserve">      de investigar y enjuiciar a los responsables[331];</w:t>
        <w:br/>
        <w:br/>
        <w:br/>
        <w:t xml:space="preserve">   b) deberá investigar de  oficio  y  de  forma  efectiva  los  hechos  del</w:t>
        <w:br/>
        <w:t xml:space="preserve">      presente caso, tomando en cuenta el patrón sistemático de  violaciones</w:t>
        <w:br/>
        <w:t xml:space="preserve">      graves y masivas de derechos humanos existente  en  la  época  en  que</w:t>
        <w:br/>
        <w:t xml:space="preserve">      éstos ocurrieron. Además de las afectaciones al derecho a la vida,  el</w:t>
        <w:br/>
        <w:t xml:space="preserve">      Estado  debe  considerar  otras  posibles  graves  afectaciones  a  la</w:t>
        <w:br/>
        <w:t xml:space="preserve">      integridad personal y a  la  libertad  personal,  en  particular,  los</w:t>
        <w:br/>
        <w:t xml:space="preserve">      presuntos  actos  de  desaparición   forzada,   tortura,   ejecuciones</w:t>
        <w:br/>
        <w:t xml:space="preserve">      extrajudiciales, violación sexual, esclavitud y servidumbre,  teniendo</w:t>
        <w:br/>
        <w:t xml:space="preserve">      en cuenta, asimismo, los impactos  diferenciados  con  motivo  de  las</w:t>
        <w:br/>
        <w:t xml:space="preserve">      alegadas violaciones sufridas por  los  niños  y  las  mujeres  de  la</w:t>
        <w:br/>
        <w:t xml:space="preserve">      comunidad de Río Negro[332]. El Estado  también  deberá  ejecutar  las</w:t>
        <w:br/>
        <w:t xml:space="preserve">      órdenes de captura de los presuntos  responsables  que  se  encuentran</w:t>
        <w:br/>
        <w:t xml:space="preserve">      pendientes y emitir las que sean pertinentes a efecto de  enjuiciar  a</w:t>
        <w:br/>
        <w:t xml:space="preserve">      todos los responsables de los hechos del presente caso;</w:t>
        <w:br/>
        <w:br/>
        <w:br/>
        <w:t xml:space="preserve">   c)  deberá  determinar  la  identidad  de  todos  los  presuntos  autores</w:t>
        <w:br/>
        <w:t xml:space="preserve">      materiales  e  intelectuales  de  las  masacres  y  de  la   posterior</w:t>
        <w:br/>
        <w:t xml:space="preserve">      persecución de los miembros de la comunidad de Río Negro, por  lo  que</w:t>
        <w:br/>
        <w:t xml:space="preserve">      deberá culminar el proceso penal iniciado contra ellos, y  proceder  a</w:t>
        <w:br/>
        <w:t xml:space="preserve">      investigar a aquellos presuntos  autores  que  aún  no  se  encuentran</w:t>
        <w:br/>
        <w:t xml:space="preserve">      identificados. La debida diligencia en la  investigación  implica  que</w:t>
        <w:br/>
        <w:t xml:space="preserve">      todas las autoridades estatales están  obligadas  a  colaborar  en  la</w:t>
        <w:br/>
        <w:t xml:space="preserve">      recaudación de la prueba, por lo que deberán brindar  al  juez  de  la</w:t>
        <w:br/>
        <w:t xml:space="preserve">      causa toda la información que  requiera  y  abstenerse  de  actos  que</w:t>
        <w:br/>
        <w:t xml:space="preserve">      impliquen la obstrucción para la marcha del proceso investigativo;</w:t>
        <w:br/>
        <w:br/>
        <w:br/>
        <w:t xml:space="preserve">   d) deberá iniciar las acciones disciplinarias, administrativas o penales,</w:t>
        <w:br/>
        <w:t xml:space="preserve">      de acuerdo con su legislación interna, de las posibles autoridades del</w:t>
        <w:br/>
        <w:t xml:space="preserve">      Estado que han obstaculizado e impedido la investigación debida de los</w:t>
        <w:br/>
        <w:t xml:space="preserve">      hechos, así como los responsables  de  las  distintas  irregularidades</w:t>
        <w:br/>
        <w:t xml:space="preserve">      procesales que  han  contribuido  a  prolongar  la  impunidad  de  las</w:t>
        <w:br/>
        <w:t xml:space="preserve">      masacres, y</w:t>
        <w:br/>
        <w:br/>
        <w:t xml:space="preserve">   e) deberá asegurar que los distintos  órganos  del  sistema  de  justicia</w:t>
        <w:br/>
        <w:t xml:space="preserve">      involucrados en el caso cuenten con los recursos humanos y  materiales</w:t>
        <w:br/>
        <w:t xml:space="preserve">      necesarios  para   desempeñar   sus   tareas   de   manera   adecuada,</w:t>
        <w:br/>
        <w:t xml:space="preserve">      independiente e imparcial, y que las personas  que  participen  en  la</w:t>
        <w:br/>
        <w:t xml:space="preserve">      investigación, entre ellas las víctimas o sus representantes, testigos</w:t>
        <w:br/>
        <w:t xml:space="preserve">      y operadores  de  justicia,  cuenten  con  las  debidas  garantías  de</w:t>
        <w:br/>
        <w:t xml:space="preserve">      seguridad.</w:t>
        <w:br/>
        <w:br/>
        <w:t xml:space="preserve">   258. Conforme a su jurisprudencia constante[333],  la  Corte  considera</w:t>
        <w:br/>
        <w:t xml:space="preserve">        que el Estado debe asegurar el pleno acceso y capacidad de  actuar</w:t>
        <w:br/>
        <w:t xml:space="preserve">        de las víctimas o  sus  familiares  en  todas  las  etapas  de  la</w:t>
        <w:br/>
        <w:t xml:space="preserve">        investigación y el juzgamiento de los responsables, de acuerdo con</w:t>
        <w:br/>
        <w:t xml:space="preserve">        la  ley  interna  y  las  normas  de  la   Convención   Americana.</w:t>
        <w:br/>
        <w:t xml:space="preserve">        Adicionalmente, los resultados de  los  procesos  correspondientes</w:t>
        <w:br/>
        <w:t xml:space="preserve">        deberán  ser  públicamente  divulgados  para   que   la   sociedad</w:t>
        <w:br/>
        <w:t xml:space="preserve">        guatemalteca conozca los hechos objeto del presente caso, así como</w:t>
        <w:br/>
        <w:t xml:space="preserve">        a sus responsables[334].</w:t>
        <w:br/>
        <w:br/>
        <w:t xml:space="preserve">   259. Tal como lo ha hecho en  otros  casos[335],  la  Corte  valora  la</w:t>
        <w:br/>
        <w:t xml:space="preserve">        publicación  del  informe  de  la  CEH,  Guatemala:  Memoria   del</w:t>
        <w:br/>
        <w:t xml:space="preserve">        Silencio, el cual incluye el caso de las masacres  de  Río  Negro,</w:t>
        <w:br/>
        <w:t xml:space="preserve">        como un esfuerzo que ha contribuido a la búsqueda y  determinación</w:t>
        <w:br/>
        <w:t xml:space="preserve">        de la verdad de un período histórico de Guatemala. Sin  desconocer</w:t>
        <w:br/>
        <w:t xml:space="preserve">        lo anterior, la Corte considera pertinente precisar que la “verdad</w:t>
        <w:br/>
        <w:t xml:space="preserve">        histórica” contenida en ese informe no  completa  o  sustituye  la</w:t>
        <w:br/>
        <w:t xml:space="preserve">        obligación del Estado  de  establecer  la  verdad  y  asegurar  la</w:t>
        <w:br/>
        <w:t xml:space="preserve">        determinación  judicial  de   responsabilidades   individuales   o</w:t>
        <w:br/>
        <w:t xml:space="preserve">        estatales a través de los procesos pertinentes[336].</w:t>
        <w:br/>
        <w:br/>
        <w:t xml:space="preserve">   260. Asimismo, en  cuanto  al  señalamiento  realizado  por  el  Estado</w:t>
        <w:br/>
        <w:t xml:space="preserve">        durante la audiencia pública  en  el  sentido  de  que  la  señora</w:t>
        <w:br/>
        <w:t xml:space="preserve">        Rosalina Tuyuc, perita en el presente caso, no ha querido entregar</w:t>
        <w:br/>
        <w:t xml:space="preserve">        documentación relativa a las  presuntas  violaciones  sexuales  de</w:t>
        <w:br/>
        <w:t xml:space="preserve">        diversas mujeres de la comunidad de Río Negro, a efecto de activar</w:t>
        <w:br/>
        <w:t xml:space="preserve">        el  Programa  Nacional  de  Reparación,  el   Tribunal   considera</w:t>
        <w:br/>
        <w:t xml:space="preserve">        pertinente señalar que las actividades de vigilancia,  denuncia  y</w:t>
        <w:br/>
        <w:t xml:space="preserve">        educación que realizan las defensoras y los defensores de derechos</w:t>
        <w:br/>
        <w:t xml:space="preserve">        humanos contribuyen de manera esencial a  la  observancia  de  los</w:t>
        <w:br/>
        <w:t xml:space="preserve">        derechos  humanos,   pues   actúan   como   garantes   contra   la</w:t>
        <w:br/>
        <w:t xml:space="preserve">        impunidad[337]. No obstante, la Corte reitera, como ya lo hizo  en</w:t>
        <w:br/>
        <w:t xml:space="preserve">        esta Sentencia (supra párrs. 193, 194, 196, 228  y  236),  que  la</w:t>
        <w:br/>
        <w:t xml:space="preserve">        investigación de los hechos sucedidos durante las  cinco  masacres</w:t>
        <w:br/>
        <w:t xml:space="preserve">        del presente caso es una obligación que debe ser llevada a cabo de</w:t>
        <w:br/>
        <w:t xml:space="preserve">        oficio por el Estado, y que dicha investigación no  debe  depender</w:t>
        <w:br/>
        <w:t xml:space="preserve">        del impulso procesal de los particulares y,  mucho  menos,  de  la</w:t>
        <w:br/>
        <w:t xml:space="preserve">        sola prueba que éstos puedan aportar.</w:t>
        <w:br/>
        <w:br/>
        <w:t xml:space="preserve">   261. La investigación de los hechos es un  deber  jurídico  propio  del</w:t>
        <w:br/>
        <w:t xml:space="preserve">        Estado, por lo que cada  acto  procesal  que  lleve  a  cabo  debe</w:t>
        <w:br/>
        <w:t xml:space="preserve">        reflejar el compromiso asumido por Guatemala a fin de erradicar la</w:t>
        <w:br/>
        <w:t xml:space="preserve">        impunidad de los hechos, obligación de garantía que  se  desprende</w:t>
        <w:br/>
        <w:t xml:space="preserve">        del artículo 1.1 de la  Convención  Americana.  Para  cumplir  con</w:t>
        <w:br/>
        <w:t xml:space="preserve">        dicha obligación, el Estado tiene que combatir ésta por todos  los</w:t>
        <w:br/>
        <w:t xml:space="preserve">        medios legales disponibles,  ya  que  la  impunidad  “propicia  la</w:t>
        <w:br/>
        <w:t xml:space="preserve">        repetición crónica de las violaciones de  derechos  humanos  y  la</w:t>
        <w:br/>
        <w:t xml:space="preserve">        total  indefensión  de  las  víctimas  y   sus   familiares”[338].</w:t>
        <w:br/>
        <w:t xml:space="preserve">        Asimismo,  el  Estado  tiene  que  “organizar  todo   el   aparato</w:t>
        <w:br/>
        <w:t xml:space="preserve">        gubernamental y, en general, todas las estructuras a través de las</w:t>
        <w:br/>
        <w:t xml:space="preserve">        cuales se manifiesta el ejercicio del poder público, de manera tal</w:t>
        <w:br/>
        <w:t xml:space="preserve">        que sean capaces  de  asegurar  jurídicamente  el  libre  y  pleno</w:t>
        <w:br/>
        <w:t xml:space="preserve">        ejercicio de los derechos humanos”[339].</w:t>
        <w:br/>
        <w:br/>
        <w:t xml:space="preserve">   262. Asimismo, este Tribunal ha establecido en su  jurisprudencia  que,</w:t>
        <w:br/>
        <w:t xml:space="preserve">        cuando un Estado es parte  de  tratados  internacionales  como  la</w:t>
        <w:br/>
        <w:t xml:space="preserve">        Convención  Americana  sobre  Derechos  Humanos,   la   Convención</w:t>
        <w:br/>
        <w:t xml:space="preserve">        Interamericana  sobre  Desaparición  Forzada   de   Personas,   la</w:t>
        <w:br/>
        <w:t xml:space="preserve">        Convención Interamericana para Prevenir y Sancionar la Tortura,  y</w:t>
        <w:br/>
        <w:t xml:space="preserve">        la Convención Interamericana para Prevenir, Sancionar y  Erradicar</w:t>
        <w:br/>
        <w:t xml:space="preserve">        la Violencia Contra la Mujer, dichos tratados obligan a todos  sus</w:t>
        <w:br/>
        <w:t xml:space="preserve">        órganos, incluido el poder judicial, cuyos  miembros  deben  velar</w:t>
        <w:br/>
        <w:t xml:space="preserve">        por que los efectos de las disposiciones de dichos tratados no  se</w:t>
        <w:br/>
        <w:t xml:space="preserve">        vean mermados por  la  aplicación  de  normas  o  interpretaciones</w:t>
        <w:br/>
        <w:t xml:space="preserve">        contrarias a su objeto y fin. Los jueces y órganos vinculados a la</w:t>
        <w:br/>
        <w:t xml:space="preserve">        administración de justicia  en  todos  los  niveles  están  en  la</w:t>
        <w:br/>
        <w:t xml:space="preserve">        obligación de ejercer ex officio un “control de  convencionalidad”</w:t>
        <w:br/>
        <w:t xml:space="preserve">        entre las normas internas y los tratados de  derechos  humanos  de</w:t>
        <w:br/>
        <w:t xml:space="preserve">        los cuales es Parte el Estado, evidentemente en el  marco  de  sus</w:t>
        <w:br/>
        <w:t xml:space="preserve">        respectivas  competencias  y  de   las   regulaciones   procesales</w:t>
        <w:br/>
        <w:t xml:space="preserve">        correspondientes. En esta tarea, los jueces y órganos vinculados a</w:t>
        <w:br/>
        <w:t xml:space="preserve">        la administración de justicia, como el ministerio  público,  deben</w:t>
        <w:br/>
        <w:t xml:space="preserve">        tener en cuenta no  solamente  la  Convención  Americana  y  demás</w:t>
        <w:br/>
        <w:t xml:space="preserve">        instrumentos interamericanos, sino también la  interpretación  que</w:t>
        <w:br/>
        <w:t xml:space="preserve">        de estos ha hecho la Corte Interamericana[340].</w:t>
        <w:br/>
        <w:br/>
        <w:br/>
        <w:t>B.2.  Búsqueda, identificación, determinación de  la  forma  de  muerte  y</w:t>
        <w:br/>
        <w:t>entrega a sus familiares de los  restos  de  las  personas  localizadas  e</w:t>
        <w:br/>
        <w:t>identificadas</w:t>
        <w:br/>
        <w:br/>
        <w:t xml:space="preserve">   263. La Comisión solicitó a la Corte que ordene  al  Estado  establecer</w:t>
        <w:br/>
        <w:t xml:space="preserve">        “un mecanismo”  que  permita  la  determinación  completa  de  las</w:t>
        <w:br/>
        <w:t xml:space="preserve">        víctimas ejecutadas y desaparecidas en las masacres de Río  Negro,</w:t>
        <w:br/>
        <w:t xml:space="preserve">        así como “dar continuidad a la identificación y devolución de  los</w:t>
        <w:br/>
        <w:t xml:space="preserve">        restos mortales de [las mismas]” a sus familiares. Por  su  parte,</w:t>
        <w:br/>
        <w:t xml:space="preserve">        los representantes solicitaron que la determinación  del  paradero</w:t>
        <w:br/>
        <w:t xml:space="preserve">        de las víctimas y su identificación se  realice  mediante  pruebas</w:t>
        <w:br/>
        <w:t xml:space="preserve">        genéticas de filiación, y que la entrega de restos mortales a  los</w:t>
        <w:br/>
        <w:t xml:space="preserve">        familiares de la persona fallecida no acarree  costo  alguno  para</w:t>
        <w:br/>
        <w:t xml:space="preserve">        estos.</w:t>
        <w:br/>
        <w:br/>
        <w:t xml:space="preserve">   264. El Estado se comprometió a “continuar el proceso  de  búsqueda  de</w:t>
        <w:br/>
        <w:t xml:space="preserve">        los restos de las víctimas que aún no han sido ubicadas” y  a  tal</w:t>
        <w:br/>
        <w:t xml:space="preserve">        fin, coordinar “con los órganos jurisdiccionales encargados de  la</w:t>
        <w:br/>
        <w:t xml:space="preserve">        investigación penal y [con]  el  Instituto  Nacional  de  Ciencias</w:t>
        <w:br/>
        <w:t xml:space="preserve">        Forenses […]”.</w:t>
        <w:br/>
        <w:br/>
        <w:t xml:space="preserve">   265. Como ha sido establecido en la presente Sentencia, la exhumación e</w:t>
        <w:br/>
        <w:t xml:space="preserve">        identificación de las víctimas fallecidas forma parte del deber de</w:t>
        <w:br/>
        <w:t xml:space="preserve">        investigar. Pero, asimismo, se indicó que esta obligación debe ser</w:t>
        <w:br/>
        <w:t xml:space="preserve">        llevada a cabo ex officio por el Estado (supra párr. 217). En  tal</w:t>
        <w:br/>
        <w:t xml:space="preserve">        sentido, independientemente  de  las  investigaciones  y  procesos</w:t>
        <w:br/>
        <w:t xml:space="preserve">        judiciales abiertos o que en el futuro realice el Estado, subsiste</w:t>
        <w:br/>
        <w:t xml:space="preserve">        la obligación  de  éste  de  realizar,  de  oficio,  una  búsqueda</w:t>
        <w:br/>
        <w:t xml:space="preserve">        efectiva del paradero de las víctimas de este  caso  desaparecidas</w:t>
        <w:br/>
        <w:t xml:space="preserve">        forzadamente o presuntamente ejecutadas, ya que el derecho de  sus</w:t>
        <w:br/>
        <w:t xml:space="preserve">        familiares  de  conocer  su  paradero  constituye  una  medida  de</w:t>
        <w:br/>
        <w:t xml:space="preserve">        reparación y, por lo tanto, una expectativa  que  el  Estado  debe</w:t>
        <w:br/>
        <w:t xml:space="preserve">        satisfacer por sí mismo[341]. La localización e identificación  de</w:t>
        <w:br/>
        <w:t xml:space="preserve">        las víctimas devela una verdad histórica que contribuye  a  cerrar</w:t>
        <w:br/>
        <w:t xml:space="preserve">        el proceso de duelo de la comunidad maya Achí de Río Negro; aporta</w:t>
        <w:br/>
        <w:t xml:space="preserve">        a  la  reconstrucción  de  su  integridad  cultural;  enaltece  la</w:t>
        <w:br/>
        <w:t xml:space="preserve">        dignidad de las personas desaparecidas o presuntamente  ejecutadas</w:t>
        <w:br/>
        <w:t xml:space="preserve">        y la de sus familiares, quienes han luchado  durante  décadas  por</w:t>
        <w:br/>
        <w:t xml:space="preserve">        encontrar a sus seres queridos, y sienta un  precedente  para  que</w:t>
        <w:br/>
        <w:t xml:space="preserve">        violaciones graves, masivas y sistemáticas, como las ocurridas  en</w:t>
        <w:br/>
        <w:t xml:space="preserve">        este caso, no vuelvan a suceder.</w:t>
        <w:br/>
        <w:br/>
        <w:t xml:space="preserve">   266. Además, la Corte resalta que los restos de una  persona  fallecida</w:t>
        <w:br/>
        <w:t xml:space="preserve">        son una prueba de lo que le sucedió y ofrecen detalles  del  trato</w:t>
        <w:br/>
        <w:t xml:space="preserve">        que recibió, la forma en que falleció y el modus operandi  de  los</w:t>
        <w:br/>
        <w:t xml:space="preserve">        perpetradores de su muerte. Asimismo, el lugar mismo en el que los</w:t>
        <w:br/>
        <w:t xml:space="preserve">        restos  hayan  sido  encontrados  puede  proporcionar  información</w:t>
        <w:br/>
        <w:t xml:space="preserve">        valiosa a las autoridades encargadas de la investigación sobre los</w:t>
        <w:br/>
        <w:t xml:space="preserve">        responsables  y  la  institución  a   la   que   pertenecían[342],</w:t>
        <w:br/>
        <w:t xml:space="preserve">        particularmente tratándose de agentes estatales.</w:t>
        <w:br/>
        <w:br/>
        <w:t xml:space="preserve">   267. Este Tribunal valora las acciones emprendidas por el Estado  entre</w:t>
        <w:br/>
        <w:t xml:space="preserve">        los años 1993 y 2002 para recuperar los restos de las personas que</w:t>
        <w:br/>
        <w:t xml:space="preserve">        fueron ejecutadas, algunas de  las  cuales  fueron  enterradas  en</w:t>
        <w:br/>
        <w:t xml:space="preserve">        fosas comunes  o  cementerios  clandestinos.  No  obstante  dichos</w:t>
        <w:br/>
        <w:t xml:space="preserve">        esfuerzos,  aproximadamente  treinta   años   desde   que   fueron</w:t>
        <w:br/>
        <w:t xml:space="preserve">        perpetrados los graves hechos de las masacres  de  Río  Negro,  el</w:t>
        <w:br/>
        <w:t xml:space="preserve">        Estado no ha realizado otras diligencias con  el  fin  de  buscar,</w:t>
        <w:br/>
        <w:t xml:space="preserve">        individualizar  e  identificar  efectivamente  a  otras   víctimas</w:t>
        <w:br/>
        <w:t xml:space="preserve">        fallecidas o desaparecidas durante las mismas, ni ha  identificado</w:t>
        <w:br/>
        <w:t xml:space="preserve">        varias osamentas ya encontradas. Además, como ya  se  mencionó  en</w:t>
        <w:br/>
        <w:t xml:space="preserve">        esta Sentencia, las exhumaciones han sido realizadas,  ante  todo,</w:t>
        <w:br/>
        <w:t xml:space="preserve">        por las solicitudes y denuncias penales hechas  por  las  víctimas</w:t>
        <w:br/>
        <w:t xml:space="preserve">        sobrevivientes de las masacres, y no tanto por impulso del  Estado</w:t>
        <w:br/>
        <w:t xml:space="preserve">        (supra párr. 219).</w:t>
        <w:br/>
        <w:br/>
        <w:t xml:space="preserve">   268. En consecuencia, la Corte considera que el Estado, además  de  las</w:t>
        <w:br/>
        <w:t xml:space="preserve">        investigaciones y procesos penales en curso,  de  forma  inmediata</w:t>
        <w:br/>
        <w:t xml:space="preserve">        deberá elaborar un plan riguroso para la búsqueda de los  miembros</w:t>
        <w:br/>
        <w:t xml:space="preserve">        de la comunidad de Río Negro desaparecidos forzadamente, así  como</w:t>
        <w:br/>
        <w:t xml:space="preserve">        para la localización, exhumación e identificación de las  personas</w:t>
        <w:br/>
        <w:t xml:space="preserve">        presuntamente ejecutadas, y la  determinación  de  las  causas  de</w:t>
        <w:br/>
        <w:t xml:space="preserve">        muerte y posibles lesiones  previas.  En  dicho  plan,  el  Estado</w:t>
        <w:br/>
        <w:t xml:space="preserve">        deberá contemplar el uso  del  máximo  de  sus  recursos  humanos,</w:t>
        <w:br/>
        <w:t xml:space="preserve">        científicos  y  técnicos  adecuados  para  esos   propósitos.   Al</w:t>
        <w:br/>
        <w:t xml:space="preserve">        respecto, el Estado deberá:</w:t>
        <w:br/>
        <w:br/>
        <w:t xml:space="preserve">     a) presentar al Tribunal, en el plazo de seis meses  a  partir  de  la</w:t>
        <w:br/>
        <w:t xml:space="preserve">        notificación de la presente  Sentencia,  un  cronograma  con  metas</w:t>
        <w:br/>
        <w:t xml:space="preserve">        específicas a corto y mediano plazo, incluyendo la previsión de las</w:t>
        <w:br/>
        <w:t xml:space="preserve">        gestiones  administrativas  y  presupuestarias  necesarias,  y   la</w:t>
        <w:br/>
        <w:t xml:space="preserve">        indicación  de  las  autoridades   o   instancias   estatales   que</w:t>
        <w:br/>
        <w:t xml:space="preserve">        intervendrán en la búsqueda, exhumación  e  identificación  de  las</w:t>
        <w:br/>
        <w:t xml:space="preserve">        personas desaparecidas y de  las  presuntamente  ejecutadas,  según</w:t>
        <w:br/>
        <w:t xml:space="preserve">        corresponda, la competencia de cada una de ellas, y qué autoridades</w:t>
        <w:br/>
        <w:t xml:space="preserve">        o instancias ejercerán la coordinación entre las mismas;</w:t>
        <w:br/>
        <w:br/>
        <w:br/>
        <w:t xml:space="preserve">     b)  emplear  y  utilizar  los  estándares   técnicos   y   científicos</w:t>
        <w:br/>
        <w:t xml:space="preserve">        necesarios, nacionales y/o internacionales, en la materia[343];</w:t>
        <w:br/>
        <w:br/>
        <w:br/>
        <w:t xml:space="preserve">     c) asegurar que los funcionarios estatales y  cualquier  otra  persona</w:t>
        <w:br/>
        <w:t xml:space="preserve">        que intervenga o apoye en las labores  de  búsqueda,  exhumación  e</w:t>
        <w:br/>
        <w:t xml:space="preserve">        identificación, en su caso, cuenten con las  debidas  garantías  de</w:t>
        <w:br/>
        <w:t xml:space="preserve">        seguridad, e iniciar las investigaciones necesarias ante  cualquier</w:t>
        <w:br/>
        <w:t xml:space="preserve">        situación de amenaza o agresión contra tales personas;</w:t>
        <w:br/>
        <w:br/>
        <w:t xml:space="preserve">     d) incorporar de oficio las determinaciones sobre las causas de muerte</w:t>
        <w:br/>
        <w:t xml:space="preserve">        y lesiones, en su caso, a las investigaciones que ya se  encuentren</w:t>
        <w:br/>
        <w:t xml:space="preserve">        en curso o las que se inicien sobre las masacres de este caso, para</w:t>
        <w:br/>
        <w:t xml:space="preserve">        los efectos pertinentes;</w:t>
        <w:br/>
        <w:br/>
        <w:t xml:space="preserve">     e) informar a  los  representantes  de  las  víctimas,  a  través  de</w:t>
        <w:br/>
        <w:t xml:space="preserve">        comunicación escrita, sobre el proceso de búsqueda,  localización,</w:t>
        <w:br/>
        <w:t xml:space="preserve">        identificación, determinación de las causas de muerte  y  lesiones</w:t>
        <w:br/>
        <w:t xml:space="preserve">        previas, de las personas desaparecidas y presuntamente  ejecutadas</w:t>
        <w:br/>
        <w:t xml:space="preserve">        y, en su caso, entregar  los  restos  de  dichas  personas  a  sus</w:t>
        <w:br/>
        <w:t xml:space="preserve">        familiares (infra párr. 270). Las copias de dichas  comunicaciones</w:t>
        <w:br/>
        <w:t xml:space="preserve">        y las respuestas de los representantes deberán ser  presentadas  a</w:t>
        <w:br/>
        <w:t xml:space="preserve">        la Corte para que sean consideradas dentro de la  supervisión  del</w:t>
        <w:br/>
        <w:t xml:space="preserve">        cumplimiento de esta Sentencia.</w:t>
        <w:br/>
        <w:br/>
        <w:t xml:space="preserve">   269. Asimismo, en vista de la gravedad de los hechos del presente caso,</w:t>
        <w:br/>
        <w:t xml:space="preserve">        el Tribunal estima necesario,  como  lo  ha  hecho  en  otro  caso</w:t>
        <w:br/>
        <w:t xml:space="preserve">        relativo a Guatemala[344], que el Estado implemente por  medio  de</w:t>
        <w:br/>
        <w:t xml:space="preserve">        las instituciones que considere idóneas para este propósito, en el</w:t>
        <w:br/>
        <w:t xml:space="preserve">        plazo de un año, un banco de información genética para  resguardar</w:t>
        <w:br/>
        <w:t xml:space="preserve">        la información, por un lado, de los  restos  óseos  que  se  vayan</w:t>
        <w:br/>
        <w:t xml:space="preserve">        encontrando y exhumando y, por el otro, de los familiares  de  las</w:t>
        <w:br/>
        <w:t xml:space="preserve">        personas  que  fueron  presuntamente  ejecutadas  o  desaparecidas</w:t>
        <w:br/>
        <w:t xml:space="preserve">        durante los hechos perpetrados en el marco de las masacres  de  la</w:t>
        <w:br/>
        <w:t xml:space="preserve">        comunidad de Río Negro. Esta medida tiene como propósito  que  las</w:t>
        <w:br/>
        <w:t xml:space="preserve">        muestras e información que se colecten puedan ser cotejadas  entre</w:t>
        <w:br/>
        <w:t xml:space="preserve">        sí con el fin de identificar a las personas a quienes corresponden</w:t>
        <w:br/>
        <w:t xml:space="preserve">        los restos. Al respecto, la  Corte  considera  necesario  precisar</w:t>
        <w:br/>
        <w:t xml:space="preserve">        que, para ello, se requiere el consentimiento previo  e  informado</w:t>
        <w:br/>
        <w:t xml:space="preserve">        de los miembros de la comunidad de Río Negro  que  deseen  aportar</w:t>
        <w:br/>
        <w:t xml:space="preserve">        muestras de material genético  para  ese  fin.  El  Estado  deberá</w:t>
        <w:br/>
        <w:t xml:space="preserve">        asignar los recursos humanos, económicos, logísticos,  y  de  otra</w:t>
        <w:br/>
        <w:t xml:space="preserve">        índole, necesarios para que el  diseño,  la  implementación  y  el</w:t>
        <w:br/>
        <w:t xml:space="preserve">        funcionamiento del banco de información genética  se  realicen  de</w:t>
        <w:br/>
        <w:t xml:space="preserve">        manera adecuada y cumplan con el propósito para el cual lo  ordena</w:t>
        <w:br/>
        <w:t xml:space="preserve">        este Tribunal.</w:t>
        <w:br/>
        <w:br/>
        <w:t xml:space="preserve">   270. Los restos mortales de las víctimas del presente  caso  deben  ser</w:t>
        <w:br/>
        <w:t xml:space="preserve">        entregados a sus familiares, previa comprobación fehaciente de  su</w:t>
        <w:br/>
        <w:t xml:space="preserve">        identidad y filiación, de ser posible, de manera  genética,  a  la</w:t>
        <w:br/>
        <w:t xml:space="preserve">        mayor brevedad y sin costo alguno para los familiares. Además,  el</w:t>
        <w:br/>
        <w:t xml:space="preserve">        Estado deberá cubrir los gastos fúnebres, de común acuerdo con los</w:t>
        <w:br/>
        <w:t xml:space="preserve">        familiares  de   la   persona   fallecida[345],   respetando   sus</w:t>
        <w:br/>
        <w:t xml:space="preserve">        creencias[346].</w:t>
        <w:br/>
        <w:br/>
        <w:t xml:space="preserve">   271. El Estado deberá concluir con el total de las exhumaciones  en  un</w:t>
        <w:br/>
        <w:t xml:space="preserve">        plazo de cuatro años, contado a partir de la  notificación  de  la</w:t>
        <w:br/>
        <w:t xml:space="preserve">        presente Sentencia. Si los restos de alguna víctima  del  presente</w:t>
        <w:br/>
        <w:t xml:space="preserve">        caso no son reclamados por sus familiares en un plazo de dos años,</w:t>
        <w:br/>
        <w:t xml:space="preserve">        contado  a  partir  de  la   fecha   en   que   la   localización,</w:t>
        <w:br/>
        <w:t xml:space="preserve">        individualización e identificación de los mismos se informe a  los</w:t>
        <w:br/>
        <w:t xml:space="preserve">        representantes o directamente a los familiares, el  Estado  deberá</w:t>
        <w:br/>
        <w:t xml:space="preserve">        sepultar dichos  restos  de  forma  individualizada  en  un  lugar</w:t>
        <w:br/>
        <w:t xml:space="preserve">        acordado con los representantes, y hacer constar que se  trata  de</w:t>
        <w:br/>
        <w:t xml:space="preserve">        restos no reclamados de personas  fallecidas  con  motivo  de  los</w:t>
        <w:br/>
        <w:t xml:space="preserve">        hechos del presente caso. El Estado deberá guardar registro de los</w:t>
        <w:br/>
        <w:t xml:space="preserve">        detalles acerca de la fecha y lugar donde fueron  localizados  los</w:t>
        <w:br/>
        <w:t xml:space="preserve">        restos, la manera en que se llevó la identificación de los mismos,</w:t>
        <w:br/>
        <w:t xml:space="preserve">        su posible forma de muerte y lugar de posterior inhumación.</w:t>
        <w:br/>
        <w:br/>
        <w:br/>
        <w:t>C.    Medidas  de  reparación  integral:  satisfacción,  rehabilitación  y</w:t>
        <w:br/>
        <w:t>garantías de no repetición</w:t>
        <w:br/>
        <w:br/>
        <w:t xml:space="preserve">   272. Con motivo de la  denegación  de  justicia  en  perjuicio  de  las</w:t>
        <w:br/>
        <w:t xml:space="preserve">        víctimas de violaciones graves y masivas de derechos humanos, como</w:t>
        <w:br/>
        <w:t xml:space="preserve">        lo son las ocurridas durante masacres, se presenta una  diversidad</w:t>
        <w:br/>
        <w:t xml:space="preserve">        de afectaciones no sólo en la esfera individual  de  las  víctimas</w:t>
        <w:br/>
        <w:t xml:space="preserve">        sino también en la esfera  colectiva[347].  En  este  sentido,  es</w:t>
        <w:br/>
        <w:t xml:space="preserve">        evidente que las víctimas de impunidad prolongada sufren distintas</w:t>
        <w:br/>
        <w:t xml:space="preserve">        afectaciones no sólo de  carácter  material  por  la  búsqueda  de</w:t>
        <w:br/>
        <w:t xml:space="preserve">        justicia, sino también otros  sufrimientos  y  daños  de  carácter</w:t>
        <w:br/>
        <w:t xml:space="preserve">        psicológico y físico y en su proyecto  de  vida,  así  como  otras</w:t>
        <w:br/>
        <w:t xml:space="preserve">        posibles alteraciones en sus relaciones sociales y en la  dinámica</w:t>
        <w:br/>
        <w:t xml:space="preserve">        de sus familias y comunidades[348], particularmente tratándose  de</w:t>
        <w:br/>
        <w:t xml:space="preserve">        una comunidad indígena. Este Tribunal  ha  establecido  que  estos</w:t>
        <w:br/>
        <w:t xml:space="preserve">        daños se intensifican por la falta de  apoyo  de  las  autoridades</w:t>
        <w:br/>
        <w:t xml:space="preserve">        estatales en la búsqueda efectiva e identificación de  los  restos</w:t>
        <w:br/>
        <w:t xml:space="preserve">        de víctimas fallecidas, y la imposibilidad de  los  familiares  de</w:t>
        <w:br/>
        <w:t xml:space="preserve">        honrar apropiadamente a sus seres queridos[349]. Frente a ello, la</w:t>
        <w:br/>
        <w:t xml:space="preserve">        Corte ha considerado la necesidad de otorgar diversas  medidas  de</w:t>
        <w:br/>
        <w:t xml:space="preserve">        reparación a fin de resarcir los daños de manera integral, por  lo</w:t>
        <w:br/>
        <w:t xml:space="preserve">        que además de  las  compensaciones  pecuniarias,  las  medidas  de</w:t>
        <w:br/>
        <w:t xml:space="preserve">        satisfacción,  restitución,  rehabilitación  y  garantías  de   no</w:t>
        <w:br/>
        <w:t xml:space="preserve">        repetición tienen especial  relevancia  por  la  gravedad  de  las</w:t>
        <w:br/>
        <w:t xml:space="preserve">        afectaciones y el carácter colectivo de los daños ocasionados[350]</w:t>
        <w:br/>
        <w:t xml:space="preserve">        en el presente caso.</w:t>
        <w:br/>
        <w:br/>
        <w:br/>
        <w:br/>
        <w:t>C.1.  Medidas de satisfacción</w:t>
        <w:br/>
        <w:br/>
        <w:t>C.1.1.      Publicación y difusión de la Sentencia</w:t>
        <w:br/>
        <w:br/>
        <w:t xml:space="preserve">   273. La Comisión solicitó, de forma general, que se  ordene  al  Estado</w:t>
        <w:br/>
        <w:t xml:space="preserve">        “[r]eparar  adecuadamente  las  violaciones  de  derechos  humanos</w:t>
        <w:br/>
        <w:t xml:space="preserve">        declaradas en el [Informe de fondo…]  en  el  aspecto  […]  moral,</w:t>
        <w:br/>
        <w:t xml:space="preserve">        incluyendo [… la] difusión de la verdad histórica de los  hechos”.</w:t>
        <w:br/>
        <w:t xml:space="preserve">        Por su parte, los representantes solicitaron la publicación de las</w:t>
        <w:br/>
        <w:t xml:space="preserve">        partes relevantes de la sentencia en el Diario Oficial del  Estado</w:t>
        <w:br/>
        <w:t xml:space="preserve">        y en otro diario de mayor circulación, por una sola vez  y  en  el</w:t>
        <w:br/>
        <w:t xml:space="preserve">        plazo  de  un  año.  También  solicitaron  la  publicación  de  la</w:t>
        <w:br/>
        <w:t xml:space="preserve">        sentencia, en español y en el idioma maya achí, en las páginas web</w:t>
        <w:br/>
        <w:t xml:space="preserve">        oficiales de los organismos ejecutivo, legislativo y judicial  del</w:t>
        <w:br/>
        <w:t xml:space="preserve">        Estado, así como en la página oficial de la Comisión  Presidencial</w:t>
        <w:br/>
        <w:t xml:space="preserve">        Coordinadora de la Política del Ejecutivo en materia  de  Derechos</w:t>
        <w:br/>
        <w:t xml:space="preserve">        Humanos  (COPREDEH),  por  lo  menos  durante  un   año.   Además,</w:t>
        <w:br/>
        <w:t xml:space="preserve">        solicitaron a la Corte que  fije  en  equidad  un  monto  para  la</w:t>
        <w:br/>
        <w:t xml:space="preserve">        reproducción  de  la  sentencia  en  el  idioma  maya  achí  y  su</w:t>
        <w:br/>
        <w:t xml:space="preserve">        distribución en las comunidades  pobladoras  del  departamento  de</w:t>
        <w:br/>
        <w:t xml:space="preserve">        Baja  Verapaz.  Al  respecto,  pidieron  que  dicho  monto   fuese</w:t>
        <w:br/>
        <w:t xml:space="preserve">        suficiente para la ejecución del proyecto durante  tres  años,  “a</w:t>
        <w:br/>
        <w:t xml:space="preserve">        fin de garantizar la plena difusión” de la sentencia. El Estado se</w:t>
        <w:br/>
        <w:t xml:space="preserve">        comprometió a “gestionar ante la  Academia  de  Lenguas  Mayas  la</w:t>
        <w:br/>
        <w:t xml:space="preserve">        traducción de la sentencia” al idioma maya Achí, y a gestionar  la</w:t>
        <w:br/>
        <w:t xml:space="preserve">        reproducción y distribución solicitadas  por  los  representantes.</w:t>
        <w:br/>
        <w:t xml:space="preserve">        También se comprometió “a gestionar ante los tres  organismos  del</w:t>
        <w:br/>
        <w:t xml:space="preserve">        Estado […la publicación de la sentencia] en español y Achí durante</w:t>
        <w:br/>
        <w:t xml:space="preserve">        por lo menos un año”.</w:t>
        <w:br/>
        <w:br/>
        <w:t xml:space="preserve">   274. La Corte valora y acepta el ofrecimiento hecho por el  Estado.  De</w:t>
        <w:br/>
        <w:t xml:space="preserve">        este modo, tal y como se ha ordenado en otras  oportunidades[351],</w:t>
        <w:br/>
        <w:t xml:space="preserve">        el Estado deberá publicar en idiomas español y maya achí, por  una</w:t>
        <w:br/>
        <w:t xml:space="preserve">        sola vez, en el Diario Oficial y en  otro  diario  de  circulación</w:t>
        <w:br/>
        <w:t xml:space="preserve">        nacional,  el  resumen   oficial   de   la   presente   Sentencia.</w:t>
        <w:br/>
        <w:t xml:space="preserve">        Adicionalmente, como ha sido ordenado por el Tribunal en ocasiones</w:t>
        <w:br/>
        <w:t xml:space="preserve">        anteriores[352],   el   presente   Fallo   se   deberá    publicar</w:t>
        <w:br/>
        <w:t xml:space="preserve">        íntegramente, en ambos idiomas, durante al menos  un  año,  en  un</w:t>
        <w:br/>
        <w:t xml:space="preserve">        sitio web oficial del Estado. La traducción que se realice  de  la</w:t>
        <w:br/>
        <w:t xml:space="preserve">        Sentencia deberá contar con el aval de los representantes antes de</w:t>
        <w:br/>
        <w:t xml:space="preserve">        ser publicada. Para realizar las publicaciones en los periódicos y</w:t>
        <w:br/>
        <w:t xml:space="preserve">        en  Internet  se  fijan  los  plazos  de  tres   y   seis   meses,</w:t>
        <w:br/>
        <w:t xml:space="preserve">        respectivamente, contados  a  partir  de  la  notificación  de  la</w:t>
        <w:br/>
        <w:t xml:space="preserve">        presente Sentencia.</w:t>
        <w:br/>
        <w:br/>
        <w:t xml:space="preserve">   275. Asimismo, en consideración  del  ofrecimiento  del  Estado  (supra</w:t>
        <w:br/>
        <w:t xml:space="preserve">        párr. 273), la Corte dispone que éste deberá reproducir el resumen</w:t>
        <w:br/>
        <w:t xml:space="preserve">        oficial de la presente Sentencia en español y en idioma maya  Achí</w:t>
        <w:br/>
        <w:t xml:space="preserve">        y distribuirla, en coordinación con  los  representantes,  en  las</w:t>
        <w:br/>
        <w:t xml:space="preserve">        comunidades  pobladoras  del  departamento  de  Baja  Verapaz.  La</w:t>
        <w:br/>
        <w:t xml:space="preserve">        distribución deberá realizarse en el plazo de un año y contar  con</w:t>
        <w:br/>
        <w:t xml:space="preserve">        un tiraje de al menos 1500 ejemplares.</w:t>
        <w:br/>
        <w:br/>
        <w:br/>
        <w:t>C.1.2.      Acto público de reconocimiento de responsabilidad</w:t>
        <w:br/>
        <w:br/>
        <w:t xml:space="preserve">   276. La Comisión solicitó, de  modo  general,  la  recuperación  de  la</w:t>
        <w:br/>
        <w:t xml:space="preserve">        memoria de las víctimas fallecidas y desaparecidas. Por su  parte,</w:t>
        <w:br/>
        <w:t xml:space="preserve">        los representantes solicitaron a la Corte ordenar  la  realización</w:t>
        <w:br/>
        <w:t xml:space="preserve">        de  un  “[a]cto  público  de  reconocimiento  de   responsabilidad</w:t>
        <w:br/>
        <w:t xml:space="preserve">        internacional y de disculpa pública en desagravio de las  víctimas</w:t>
        <w:br/>
        <w:t xml:space="preserve">        y en memoria de las personas ejecutadas en las [m]asacres  de  Río</w:t>
        <w:br/>
        <w:t xml:space="preserve">        Negro”. Solicitaron que dicho acto se realice dentro de la colonia</w:t>
        <w:br/>
        <w:t xml:space="preserve">        de Pacux, que sea dirigido por el Presidente de  la  República,  y</w:t>
        <w:br/>
        <w:t xml:space="preserve">        que se cuente con la presencia del Presidente de la Corte  Suprema</w:t>
        <w:br/>
        <w:t xml:space="preserve">        de Justicia. También solicitaron que  el  acto  sea  difundido  “a</w:t>
        <w:br/>
        <w:t xml:space="preserve">        través de los medios de comunicación televisivos o  radiales”.  El</w:t>
        <w:br/>
        <w:t xml:space="preserve">        Estado manifestó su “disponibilidad [para] realizar  [dicho  acto]</w:t>
        <w:br/>
        <w:t xml:space="preserve">        de conformidad con las  agendas  de  trabajo  de  las  autoridades</w:t>
        <w:br/>
        <w:t xml:space="preserve">        mencionadas” y de acuerdo con “el presupuesto que se  disponga  en</w:t>
        <w:br/>
        <w:t xml:space="preserve">        el futuro próximo para cubrir” estas reparaciones.</w:t>
        <w:br/>
        <w:br/>
        <w:t xml:space="preserve">   277. La Corte valora la disposición del Estado para llevar  a  cabo  la</w:t>
        <w:br/>
        <w:t xml:space="preserve">        presente medida de reparación. Por lo tanto, el  Tribunal  dispone</w:t>
        <w:br/>
        <w:t xml:space="preserve">        que el acto público de reconocimiento  de  responsabilidad  deberá</w:t>
        <w:br/>
        <w:t xml:space="preserve">        realizarse en la colonia Pacux, en idioma español y en  la  lengua</w:t>
        <w:br/>
        <w:t xml:space="preserve">        maya achí, dentro del plazo de un  año  contado  a  partir  de  la</w:t>
        <w:br/>
        <w:t xml:space="preserve">        notificación de la presente Sentencia. Durante el acto  se  deberá</w:t>
        <w:br/>
        <w:t xml:space="preserve">        hacer referencia a las cinco masacres  sucedidas  en  el  presente</w:t>
        <w:br/>
        <w:t xml:space="preserve">        caso, a las violaciones  graves  y  masivas  de  derechos  humanos</w:t>
        <w:br/>
        <w:t xml:space="preserve">        perpetradas por el Estado y a su responsabilidad internacional. El</w:t>
        <w:br/>
        <w:t xml:space="preserve">        acto deberá ser transmitido a través  de  medios  de  comunicación</w:t>
        <w:br/>
        <w:t xml:space="preserve">        televisivos y/o radiales. De igual forma, por las  características</w:t>
        <w:br/>
        <w:t xml:space="preserve">        específicas del presente caso, y en aras de crear conciencia sobre</w:t>
        <w:br/>
        <w:t xml:space="preserve">        las consecuencias de los hechos del  mismo,  en  dicho  evento  de</w:t>
        <w:br/>
        <w:t xml:space="preserve">        reconocimiento deberán  estar  presentes  altos  funcionarios  del</w:t>
        <w:br/>
        <w:t xml:space="preserve">        Poder Ejecutivo y el Poder Judicial de Guatemala[353].</w:t>
        <w:br/>
        <w:br/>
        <w:t xml:space="preserve">   278. La realización  y  particularidades  de  dicha  ceremonia  pública</w:t>
        <w:br/>
        <w:t xml:space="preserve">        deberán acordarse con las víctimas y sus representantes dentro  de</w:t>
        <w:br/>
        <w:t xml:space="preserve">        los seis meses posteriores a la notificación de esta Sentencia. El</w:t>
        <w:br/>
        <w:t xml:space="preserve">        acto de reconocimiento debe implementarse a más tardar en  un  año</w:t>
        <w:br/>
        <w:t xml:space="preserve">        luego de la notificación del Fallo. Dado  que  los  representantes</w:t>
        <w:br/>
        <w:t xml:space="preserve">        alegaron que no todas las víctimas residen en la colonia Pacux, lo</w:t>
        <w:br/>
        <w:t xml:space="preserve">        cual no fue controvertido por el Estado, éste deberá garantizar la</w:t>
        <w:br/>
        <w:t xml:space="preserve">        presencia de las víctimas que no residan en la colonia Pacux y que</w:t>
        <w:br/>
        <w:t xml:space="preserve">        deseen   asistir   al   acto   público   de   reconocimiento    de</w:t>
        <w:br/>
        <w:t xml:space="preserve">        responsabilidad, para  lo  cual  deberá  sufragar  los  gastos  de</w:t>
        <w:br/>
        <w:t xml:space="preserve">        transporte necesarios al interior de Guatemala.</w:t>
        <w:br/>
        <w:br/>
        <w:br/>
        <w:t>C.1.3.      Creación de un museo en honor a  las  víctimas  del  conflicto</w:t>
        <w:br/>
        <w:t>armado interno</w:t>
        <w:br/>
        <w:br/>
        <w:t xml:space="preserve">   279. La  Comisión  solicitó,  en  términos  generales,  que  el  Estado</w:t>
        <w:br/>
        <w:t xml:space="preserve">        recupere la memoria de las víctimas  fallecidas  y  desaparecidas.</w:t>
        <w:br/>
        <w:t xml:space="preserve">        Los representantes solicitaron,  “para  la  dignificación  de  las</w:t>
        <w:br/>
        <w:t xml:space="preserve">        víctimas  y  [la]  conservación  de  la  memoria  histórica”,   la</w:t>
        <w:br/>
        <w:t xml:space="preserve">        “construcción de un [m]useo [m]onumental en honor a la memoria  de</w:t>
        <w:br/>
        <w:t xml:space="preserve">        las múltiples víctimas del [c]onflicto  [a]rmado  [i]nterno”,  con</w:t>
        <w:br/>
        <w:t xml:space="preserve">        una sección especial dedicada a los civiles que  murieron  durante</w:t>
        <w:br/>
        <w:t xml:space="preserve">        los 36 años del mismo y que haga “especial mención a las múltiples</w:t>
        <w:br/>
        <w:t xml:space="preserve">        masacres realizadas en contra de la población civil  durante  esos</w:t>
        <w:br/>
        <w:t xml:space="preserve">        años”. Además, solicitaron que el museo sea erigido en un  terreno</w:t>
        <w:br/>
        <w:t xml:space="preserve">        seleccionado por las víctimas de las masacres, y que los costos de</w:t>
        <w:br/>
        <w:t xml:space="preserve">        construcción  de  dicho  museo  “sean  tomados  de  la  asignación</w:t>
        <w:br/>
        <w:t xml:space="preserve">        presupuestaria anual para el Ministerio de la Defensa Nacional  de</w:t>
        <w:br/>
        <w:t xml:space="preserve">        Guatemala”. El Estado “asum[ió] el compromiso de gestionar ante el</w:t>
        <w:br/>
        <w:t xml:space="preserve">        Programa Nacional de Resarcimiento, el  Ministerio  de  Cultura  y</w:t>
        <w:br/>
        <w:t xml:space="preserve">        Deportes  y  el  Fondo  Nacional  para  la  Paz  [(FONAPAZ)],   la</w:t>
        <w:br/>
        <w:t xml:space="preserve">        construcción del museo solicitado por las víctimas”.  Expresó  que</w:t>
        <w:br/>
        <w:t xml:space="preserve">        esto se  haría  “de  conformidad  con  el  presupuesto  que  estas</w:t>
        <w:br/>
        <w:t xml:space="preserve">        instituciones tengan asignado  para  este  tipo  de  proyectos  de</w:t>
        <w:br/>
        <w:t xml:space="preserve">        construcción y de conformidad con [sus] mandatos institucionales”.</w:t>
        <w:br/>
        <w:br/>
        <w:br/>
        <w:br/>
        <w:t xml:space="preserve">   280. La Corte valora la disposición  del  Estado  de  implementar  esta</w:t>
        <w:br/>
        <w:t xml:space="preserve">        medida de reparación, la cual está dirigida a la  recuperación  de</w:t>
        <w:br/>
        <w:t xml:space="preserve">        la memoria de las víctimas del presente caso, y toma nota  de  los</w:t>
        <w:br/>
        <w:t xml:space="preserve">        compromisos asumidos por éste.</w:t>
        <w:br/>
        <w:br/>
        <w:br/>
        <w:t>C.1.4.      Fortalecimiento de  la  infraestructura  e  implementación  de</w:t>
        <w:br/>
        <w:t>servicios básicos y programas sociales en Pacux</w:t>
        <w:br/>
        <w:br/>
        <w:t xml:space="preserve">   281.  La  Comisión  solicitó  a  la  Corte  que  ordene  al  Estado  la</w:t>
        <w:br/>
        <w:t xml:space="preserve">        implementación de reparaciones comunitarias consensuadas  con  los</w:t>
        <w:br/>
        <w:t xml:space="preserve">        sobrevivientes de la  comunidad  de  Río  Negro.  La  Comisión  no</w:t>
        <w:br/>
        <w:t xml:space="preserve">        precisó  cuáles  podrían  ser  esas  medidas.  Los  representantes</w:t>
        <w:br/>
        <w:t xml:space="preserve">        solicitaron que se ordene el “[f]ortalecimiento de  la  prestación</w:t>
        <w:br/>
        <w:t xml:space="preserve">        de servicios básicos en la [c]olonia de Pacux”, entre  otros[354],</w:t>
        <w:br/>
        <w:t xml:space="preserve">        el  suministro  de  energía  eléctrica  gratuita,  así   como   la</w:t>
        <w:br/>
        <w:t xml:space="preserve">        “[d]otación de recursos para la reconstrucción del tejido social y</w:t>
        <w:br/>
        <w:t xml:space="preserve">        la [c]ultura [m]aya  [a]chí”[355].  Solicitaron,  además,  que  la</w:t>
        <w:br/>
        <w:t xml:space="preserve">        administración de  los  bienes  destinados  a  la  preservación  y</w:t>
        <w:br/>
        <w:t xml:space="preserve">        rescate de la cultura  maya  achí  cuente  con  “la  participación</w:t>
        <w:br/>
        <w:t xml:space="preserve">        activa y preferente” de las víctimas.</w:t>
        <w:br/>
        <w:br/>
        <w:t xml:space="preserve">   282. El Estado se comprometió a gestionar ante el Ministerio  de  Salud</w:t>
        <w:br/>
        <w:t xml:space="preserve">        Pública y Asistencia Social,  el  fortalecimiento  del  centro  de</w:t>
        <w:br/>
        <w:t xml:space="preserve">        salud de Pacux y su “abastec[imiento]  con  medicamentos  [y  con]</w:t>
        <w:br/>
        <w:t xml:space="preserve">        recurso[s] humano[s] permanente[s] y calificado[s] en el  área  de</w:t>
        <w:br/>
        <w:t xml:space="preserve">        atención de salud física, psicológica y  odontológica”.  Asimismo,</w:t>
        <w:br/>
        <w:t xml:space="preserve">        afirmó que gestionaría  ante  las  entidades  correspondientes  el</w:t>
        <w:br/>
        <w:t xml:space="preserve">        otorgamiento de ambulancias equipadas, el diseño de  programas  de</w:t>
        <w:br/>
        <w:t xml:space="preserve">        seguridad alimentaria y  nutricional  para  las  familias  de  las</w:t>
        <w:br/>
        <w:t xml:space="preserve">        víctimas, “servicios de agua potable” y “servicios de  educación”,</w:t>
        <w:br/>
        <w:t xml:space="preserve">        todo ello solicitado por los representantes. Sin embargo,  expresó</w:t>
        <w:br/>
        <w:t xml:space="preserve">        que “no p[odía] comprometerse” a proveer un  servicio  de  energía</w:t>
        <w:br/>
        <w:t xml:space="preserve">        gratuita  a  la  colonia  de  Pacux.  Por  otro  lado,  el  Estado</w:t>
        <w:br/>
        <w:t xml:space="preserve">        “ofrec[ió] gestionar ante el Ministerio de Cultura y Deportes y el</w:t>
        <w:br/>
        <w:t xml:space="preserve">        Programa Nacional de Resarcimiento”, la reconstrucción del  tejido</w:t>
        <w:br/>
        <w:t xml:space="preserve">        social y la cultura  maya  achí,  “de  acuerdo  con  sus  mandatos</w:t>
        <w:br/>
        <w:t xml:space="preserve">        institucionales”. No obstante lo anterior,  durante  la  audiencia</w:t>
        <w:br/>
        <w:t xml:space="preserve">        pública y en sus alegatos finales escritos, el Estado  solicitó  a</w:t>
        <w:br/>
        <w:t xml:space="preserve">        la Corte que se tengan por reparadas a algunas de las víctimas del</w:t>
        <w:br/>
        <w:t xml:space="preserve">        presente  caso  “a  través  de  diversas  medidas  de   reparación</w:t>
        <w:br/>
        <w:t xml:space="preserve">        conferidas por el Instituto Nacional de Electrificación”.</w:t>
        <w:br/>
        <w:br/>
        <w:t xml:space="preserve">   283. A continuación  la  Corte  analizará  lo  pertinente  sobre  estos</w:t>
        <w:br/>
        <w:t xml:space="preserve">        alegatos.  En  forma  preliminar,  el  Tribunal  resalta  que,  de</w:t>
        <w:br/>
        <w:t xml:space="preserve">        conformidad con  el  artículo  41.1  del  Reglamento,  el  momento</w:t>
        <w:br/>
        <w:t xml:space="preserve">        procesal oportuno para que el Estado exprese sus  observaciones  a</w:t>
        <w:br/>
        <w:t xml:space="preserve">        las reparaciones solicitadas por la Comisión y los  representantes</w:t>
        <w:br/>
        <w:t xml:space="preserve">        es en el escrito de contestación  al  sometimiento  del  caso.  En</w:t>
        <w:br/>
        <w:t xml:space="preserve">        dicho escrito, el Estado no se refirió a las supuestas medidas  de</w:t>
        <w:br/>
        <w:t xml:space="preserve">        reparación  otorgadas  a  través   del   Instituto   Nacional   de</w:t>
        <w:br/>
        <w:t xml:space="preserve">        Electrificación a algunas  víctimas  del  presente  caso.  En  tal</w:t>
        <w:br/>
        <w:t xml:space="preserve">        sentido,  son  extemporáneas  las   solicitudes   formuladas   por</w:t>
        <w:br/>
        <w:t xml:space="preserve">        Guatemala durante la audiencia pública y en sus  alegatos  finales</w:t>
        <w:br/>
        <w:t xml:space="preserve">        escritos sobre dichas medidas, por lo que no serán analizadas  por</w:t>
        <w:br/>
        <w:t xml:space="preserve">        el Tribunal.</w:t>
        <w:br/>
        <w:br/>
        <w:br/>
        <w:t>C.1.4.1.     Infraestructura y servicios básicos</w:t>
        <w:br/>
        <w:br/>
        <w:t xml:space="preserve">   284. La Corte toma nota  de  la  disposición  del  Estado  de  impulsar</w:t>
        <w:br/>
        <w:t xml:space="preserve">        diversas gestiones dirigidas a mejorar las condiciones de vida  de</w:t>
        <w:br/>
        <w:t xml:space="preserve">        los miembros de la comunidad  de  Río  Negro  que  residen  en  la</w:t>
        <w:br/>
        <w:t xml:space="preserve">        colonia Pacux (supra párr.  282).  En  vista  de  las  condiciones</w:t>
        <w:br/>
        <w:t xml:space="preserve">        precarias en las que se encuentran las víctimas del presente  caso</w:t>
        <w:br/>
        <w:t xml:space="preserve">        que fueron desplazadas y posteriormente reasentadas por el  Estado</w:t>
        <w:br/>
        <w:t xml:space="preserve">        en la colonia de Pacux (supra párr. 183),  la  Corte  dispone  que</w:t>
        <w:br/>
        <w:t xml:space="preserve">        Guatemala deberá implementar en dicho lugar, previa  consulta  con</w:t>
        <w:br/>
        <w:t xml:space="preserve">        las víctimas o sus representantes,  e  independientemente  de  las</w:t>
        <w:br/>
        <w:t xml:space="preserve">        demás  obras  públicas  que  estén  previstas  en  el  presupuesto</w:t>
        <w:br/>
        <w:t xml:space="preserve">        nacional para la  colonia  Pacux  o  para  la  región  en  que  se</w:t>
        <w:br/>
        <w:t xml:space="preserve">        encuentra, las  siguientes  medidas:  a)  el  fortalecimiento  del</w:t>
        <w:br/>
        <w:t xml:space="preserve">        centro de salud de Pacux mediante la dotación de recursos  humanos</w:t>
        <w:br/>
        <w:t xml:space="preserve">        permanentes y calificados  en  materia  de  atención  a  la  salud</w:t>
        <w:br/>
        <w:t xml:space="preserve">        física, psicológica y  odontológica,  medicamentos  y  ambulancias</w:t>
        <w:br/>
        <w:t xml:space="preserve">        equipadas; b) el diseño e implementación de programas de seguridad</w:t>
        <w:br/>
        <w:t xml:space="preserve">        alimenticia y nutricional; c)  la  mejora  de  calles  y  avenidas</w:t>
        <w:br/>
        <w:t xml:space="preserve">        dentro de la Colonia;  d)  la  implementación  de  un  sistema  de</w:t>
        <w:br/>
        <w:t xml:space="preserve">        alcantarillado,  tratamiento  de  aguas  negras  o  residuales   y</w:t>
        <w:br/>
        <w:t xml:space="preserve">        abastecimiento de agua potable, y e) la reconstrucción o mejora de</w:t>
        <w:br/>
        <w:t xml:space="preserve">        las escuelas de nivel  primario  en  la  Colonia  de  Pacux  y  el</w:t>
        <w:br/>
        <w:t xml:space="preserve">        establecimiento de un programa de  educación  a  nivel  secundario</w:t>
        <w:br/>
        <w:t xml:space="preserve">        bilingüe en español y en maya achí.  El  Estado  debe  implementar</w:t>
        <w:br/>
        <w:t xml:space="preserve">        dichos programas referidos dentro  de  un  plazo  de  cinco  años,</w:t>
        <w:br/>
        <w:t xml:space="preserve">        contado a  partir  de  la  notificación  de  esta  Sentencia[356].</w:t>
        <w:br/>
        <w:t xml:space="preserve">        Finalmente, en el plazo de un año, a partir de la notificación  de</w:t>
        <w:br/>
        <w:t xml:space="preserve">        este Fallo, el Estado deberá garantizar la  provisión  de  energía</w:t>
        <w:br/>
        <w:t xml:space="preserve">        eléctrica  a  los  habitantes  de  la  colonia  Pacux  a   precios</w:t>
        <w:br/>
        <w:t xml:space="preserve">        asequibles.</w:t>
        <w:br/>
        <w:br/>
        <w:br/>
        <w:t>C.1.4.2.     Proyecto para el rescate de la cultura maya Achí</w:t>
        <w:br/>
        <w:br/>
        <w:t xml:space="preserve">   285. En esta Sentencia (supra párrs. 160 a 162),  la  Corte  estableció</w:t>
        <w:br/>
        <w:t xml:space="preserve">        que las condiciones de vida en la colonia de Pacux han generado un</w:t>
        <w:br/>
        <w:t xml:space="preserve">        perjuicio a la integridad cultural de la comunidad de  Río  Negro,</w:t>
        <w:br/>
        <w:t xml:space="preserve">        impactando lesivamente la cosmovisión y  cultura  maya  Achí,  así</w:t>
        <w:br/>
        <w:t xml:space="preserve">        como  las  posibilidades  de  sus  habitantes   de   ejercer   sus</w:t>
        <w:br/>
        <w:t xml:space="preserve">        actividades laborales y prácticas espirituales  tradicionales.  En</w:t>
        <w:br/>
        <w:t xml:space="preserve">        consecuencia, la Corte le ordena al Estado diseñar e  implementar,</w:t>
        <w:br/>
        <w:t xml:space="preserve">        dentro de un año contado a  partir  de  la  notificación  de  esta</w:t>
        <w:br/>
        <w:t xml:space="preserve">        Sentencia, un programa para el rescate de la  cultura  maya  achí.</w:t>
        <w:br/>
        <w:t xml:space="preserve">        Para tal efecto, en el plazo de tres meses, el Estado, en consulta</w:t>
        <w:br/>
        <w:t xml:space="preserve">        con  las  víctimas  y  sus  representantes,  deberá   diseñar   un</w:t>
        <w:br/>
        <w:t xml:space="preserve">        cronograma con metas de corto y mediano  alcance  para  dar  total</w:t>
        <w:br/>
        <w:t xml:space="preserve">        cumplimiento a esta medida dentro del plazo establecido para ello.</w:t>
        <w:br/>
        <w:t xml:space="preserve">        Dicho programa estará dirigido a rescatar, promocionar, divulgar y</w:t>
        <w:br/>
        <w:t xml:space="preserve">        conservar  los  usos  y  costumbres  ancestrales,  basado  en  los</w:t>
        <w:br/>
        <w:t xml:space="preserve">        valores,  principios  y  filosofías  del  pueblo  maya   achí   y,</w:t>
        <w:br/>
        <w:t xml:space="preserve">        particularmente, de la comunidad  de  Río  Negro.  Dicho  programa</w:t>
        <w:br/>
        <w:t xml:space="preserve">        deberá  generar  un  espacio   para   promover   las   expresiones</w:t>
        <w:br/>
        <w:t xml:space="preserve">        artísticas, lingüísticas y culturales de la comunidad. El diseño y</w:t>
        <w:br/>
        <w:t xml:space="preserve">        ejecución de este programa  deberá  contar  con  la  participación</w:t>
        <w:br/>
        <w:t xml:space="preserve">        activa de los  miembros  de  la  comunidad  de  Río  Negro  y  sus</w:t>
        <w:br/>
        <w:t xml:space="preserve">        representantes. El Estado deberá proveer razonablemente los medios</w:t>
        <w:br/>
        <w:t xml:space="preserve">        logísticos  y  presupuestarios  a   través   mecanismos   legales,</w:t>
        <w:br/>
        <w:t xml:space="preserve">        administrativos o de otra índole para  asegurar  la  viabilidad  y</w:t>
        <w:br/>
        <w:t xml:space="preserve">        permanencia del programa.</w:t>
        <w:br/>
        <w:br/>
        <w:br/>
        <w:br/>
        <w:br/>
        <w:t>C.2.  Medidas de rehabilitación.</w:t>
        <w:br/>
        <w:br/>
        <w:t xml:space="preserve">   286. La Comisión solicitó a la Corte “la implementación de un  programa</w:t>
        <w:br/>
        <w:t xml:space="preserve">        adecuado de atención psicosocial a los sobrevivientes y familiares</w:t>
        <w:br/>
        <w:t xml:space="preserve">        de las víctimas ejecutadas y desaparecidas [….]”.  Por  su  parte,</w:t>
        <w:br/>
        <w:t xml:space="preserve">        los representantes solicitaron que se  ordene  al  Estado  brindar</w:t>
        <w:br/>
        <w:t xml:space="preserve">        atención psicológica gratuita “a las víctimas de las  masacres  de</w:t>
        <w:br/>
        <w:t xml:space="preserve">        Rio Negro”, “acompaña[da  de]  los  medicamentos  correspondientes</w:t>
        <w:br/>
        <w:t xml:space="preserve">        para [su]  efectivo  tratamiento  y  eventual  recuperación  […]”.</w:t>
        <w:br/>
        <w:t xml:space="preserve">        Durante la audiencia pública, los  representantes  precisaron  que</w:t>
        <w:br/>
        <w:t xml:space="preserve">        dicha atención debe tener “pertinencia cultural, [y  que]  no  hay</w:t>
        <w:br/>
        <w:t xml:space="preserve">        necesidad de hacer grandes inversiones  para  poder  realizar  esa</w:t>
        <w:br/>
        <w:t xml:space="preserve">        atención, [puesto que] hay muchos recursos en [la]  comunidad  [de</w:t>
        <w:br/>
        <w:t xml:space="preserve">        Río Negro…]: los ancianos, las comadronas, las curanderas […]”. El</w:t>
        <w:br/>
        <w:t xml:space="preserve">        Estado “ofrec[ió] promover el  fortalecimiento  de  la  asistencia</w:t>
        <w:br/>
        <w:t xml:space="preserve">        psicológica para brindar los servicios requeridos por la población</w:t>
        <w:br/>
        <w:t xml:space="preserve">        guatemalteca [sic] a través del  Ministerio  de  Salud  Pública  y</w:t>
        <w:br/>
        <w:t xml:space="preserve">        Asistencia Social”, y “realizar las gestiones que sean  necesarias</w:t>
        <w:br/>
        <w:t xml:space="preserve">        ante dicha  entidad  pública,  para  que  los  familiares  de  las</w:t>
        <w:br/>
        <w:t xml:space="preserve">        víctimas reciban la atención en referencia, por el plazo  que  sea</w:t>
        <w:br/>
        <w:t xml:space="preserve">        necesario”.</w:t>
        <w:br/>
        <w:br/>
        <w:t xml:space="preserve">   287. La Corte estima, como lo ha hecho  en  otros  casos[357],  que  es</w:t>
        <w:br/>
        <w:t xml:space="preserve">        preciso disponer una medida de reparación que brinde una  atención</w:t>
        <w:br/>
        <w:t xml:space="preserve">        adecuada a los padecimientos psicológicos y físicos  sufridos  por</w:t>
        <w:br/>
        <w:t xml:space="preserve">        las víctimas, derivadas de  las  violaciones  establecidas  en  el</w:t>
        <w:br/>
        <w:t xml:space="preserve">        presente fallo.</w:t>
        <w:br/>
        <w:br/>
        <w:t xml:space="preserve">   288. Al respecto, durante la audiencia pública  del  presente  caso  la</w:t>
        <w:br/>
        <w:t xml:space="preserve">        perita Rosalina Tuyuk manifestó que:</w:t>
        <w:br/>
        <w:br/>
        <w:t xml:space="preserve">    “la atención psicosocial debe ser con  identidad  propia,  o  sea,  los</w:t>
        <w:br/>
        <w:t xml:space="preserve">    pueblos mayas nunca va[n] a los psicológicos, sino [que su]  psicología</w:t>
        <w:br/>
        <w:t xml:space="preserve">    l[a] hace[n] con el fuego sagrado [y…] con las plantas medicinales. […]</w:t>
        <w:br/>
        <w:t xml:space="preserve">    La política del Estado no incluye las prácticas  ancestrales  de  [sus]</w:t>
        <w:br/>
        <w:t xml:space="preserve">    pueblos; por lo tanto, […ésta] es una ocasión para que el Estado  pueda</w:t>
        <w:br/>
        <w:t xml:space="preserve">    reconocer tod[a] esa práctica […] para que […] en realidad este proceso</w:t>
        <w:br/>
        <w:t xml:space="preserve">    de atención psicosocial pueda apoyar a todos los que fueron víctimas de</w:t>
        <w:br/>
        <w:t xml:space="preserve">    violencia sexual y de otro tipo […] de violaciones”.</w:t>
        <w:br/>
        <w:br/>
        <w:t xml:space="preserve">   289. Por lo tanto, con el fin de contribuir a la  reparación  de  estos</w:t>
        <w:br/>
        <w:t xml:space="preserve">        daños, el Tribunal dispone que el Estado brinde gratuitamente y de</w:t>
        <w:br/>
        <w:t xml:space="preserve">        forma  inmediata,  a  las  víctimas  que  lo   deseen   y   previo</w:t>
        <w:br/>
        <w:t xml:space="preserve">        consentimiento informado, tratamiento médico y psicológico por  el</w:t>
        <w:br/>
        <w:t xml:space="preserve">        tiempo que  sea  necesario,  incluida  la  provisión  gratuita  de</w:t>
        <w:br/>
        <w:t xml:space="preserve">        medicamentos. El tratamiento médico y psicológico  debe  brindarse</w:t>
        <w:br/>
        <w:t xml:space="preserve">        por personal e instituciones estatales. En atención al  fundamento</w:t>
        <w:br/>
        <w:t xml:space="preserve">        de lo solicitado por los representantes, dicha atención  médica  y</w:t>
        <w:br/>
        <w:t xml:space="preserve">        psicológica podrá llevarse a cabo a través de los sanadores de  la</w:t>
        <w:br/>
        <w:t xml:space="preserve">        comunidad maya Achí, de acuerdo a sus propias prácticas de salud y</w:t>
        <w:br/>
        <w:t xml:space="preserve">        mediante el uso de medicinas tradicionales[358], para lo  cual  el</w:t>
        <w:br/>
        <w:t xml:space="preserve">        Estado deberá acordar con los representantes la forma en que  esta</w:t>
        <w:br/>
        <w:t xml:space="preserve">        reparación se llevará a cabo.</w:t>
        <w:br/>
        <w:br/>
        <w:br/>
        <w:t>C.3.   Garantías de no repetición</w:t>
        <w:br/>
        <w:br/>
        <w:t>C.3.1.      Capacitación de fiscales, jueces y  miembros  de  las  fuerzas</w:t>
        <w:br/>
        <w:t>militares</w:t>
        <w:br/>
        <w:br/>
        <w:t xml:space="preserve">   290. La Comisión solicitó a la Corte  ordenar  al  Estado  “implementar</w:t>
        <w:br/>
        <w:t xml:space="preserve">        programas  permanentes  de  derechos  humanos   y   [de]   derecho</w:t>
        <w:br/>
        <w:t xml:space="preserve">        internacional humanitario en las  escuelas  de  formación  de  las</w:t>
        <w:br/>
        <w:t xml:space="preserve">        fuerzas armadas”. Los  representantes  solicitaron  que  la  Corte</w:t>
        <w:br/>
        <w:t xml:space="preserve">        ordene al Estado “capacitar a jueces  y  fiscales  en  materia  de</w:t>
        <w:br/>
        <w:t xml:space="preserve">        derechos  humanos  y  [sobre]  la  importancia  que  revisten  las</w:t>
        <w:br/>
        <w:t xml:space="preserve">        violaciones a estos  derechos  para  la  correcta  tramitación  de</w:t>
        <w:br/>
        <w:t xml:space="preserve">        asuntos judiciales en los que violaciones graves  a  los  derechos</w:t>
        <w:br/>
        <w:t xml:space="preserve">        humanos  se  encuentren  involucradas”.  El  Estado  “asum[ió]  el</w:t>
        <w:br/>
        <w:t xml:space="preserve">        compromiso” de  continuar  llevando  a  cabo  capacitaciones  para</w:t>
        <w:br/>
        <w:t xml:space="preserve">        jueces  y  fiscales  a  través  de  instituciones  tales  como  el</w:t>
        <w:br/>
        <w:t xml:space="preserve">        “departamento   de   educación   de   la   Comisión   Presidencial</w:t>
        <w:br/>
        <w:t xml:space="preserve">        Coordinadora de la Política del Ejecutivo en materia  de  Derechos</w:t>
        <w:br/>
        <w:t xml:space="preserve">        Humanos”, “la Comisión Nacional para el  Seguimiento  y  Apoyo  al</w:t>
        <w:br/>
        <w:t xml:space="preserve">        Fortalecimiento de la Justicia” y las instancias jurisdiccionales.</w:t>
        <w:br/>
        <w:br/>
        <w:t xml:space="preserve">   291. La Corte valora positivamente la voluntad del  Estado  dirigida  a</w:t>
        <w:br/>
        <w:t xml:space="preserve">        implementar la ejecución de  dicho  programa.  No  obstante,  este</w:t>
        <w:br/>
        <w:t xml:space="preserve">        Tribunal también ha constatado la impunidad en que  se  encuentran</w:t>
        <w:br/>
        <w:t xml:space="preserve">        los hechos del presente caso (supra párr. 236), razón por la  cual</w:t>
        <w:br/>
        <w:t xml:space="preserve">        es  importante  fortalecer  las  capacidades  institucionales  del</w:t>
        <w:br/>
        <w:t xml:space="preserve">        Estado mediante la capacitación de jueces, fiscales y de  personal</w:t>
        <w:br/>
        <w:t xml:space="preserve">        de las fuerzas armadas, a  fin  de  evitar  que  hechos  como  los</w:t>
        <w:br/>
        <w:t xml:space="preserve">        analizados en el presente caso se repitan[359].  Al  respecto,  la</w:t>
        <w:br/>
        <w:t xml:space="preserve">        Corte recuerda que en la Sentencia emitida en el caso  Myrna  Mack</w:t>
        <w:br/>
        <w:t xml:space="preserve">        Chang Vs. Guatemala se le ordenó al Estado “incluir, dentro de los</w:t>
        <w:br/>
        <w:t xml:space="preserve">        cursos de formación de los miembros de sus fuerzas armadas, de  la</w:t>
        <w:br/>
        <w:t xml:space="preserve">        policía y de sus organismos de seguridad, capacitación en  materia</w:t>
        <w:br/>
        <w:t xml:space="preserve">        de derechos humanos y de Derecho Internacional  Humanitario”[360].</w:t>
        <w:br/>
        <w:t xml:space="preserve">        Asimismo, en la Sentencia emitida en el caso de la Masacre de  las</w:t>
        <w:br/>
        <w:t xml:space="preserve">        Dos Erres Vs. Guatemala, igualmente se ordenó que el Estado  debía</w:t>
        <w:br/>
        <w:t xml:space="preserve">        “implementar cursos de capacitación en derechos humanos a diversas</w:t>
        <w:br/>
        <w:t xml:space="preserve">        autoridades estatales”[361].</w:t>
        <w:br/>
        <w:br/>
        <w:t xml:space="preserve">   292. En consecuencia, en razón de las medidas ordenas en las Sentencias</w:t>
        <w:br/>
        <w:t xml:space="preserve">        supra indicadas, las cuales, en su  conjunto,  se  refieren  a  la</w:t>
        <w:br/>
        <w:t xml:space="preserve">        implementación de un programa de capacitación de fiscales,  jueces</w:t>
        <w:br/>
        <w:t xml:space="preserve">        y miembros de las fuerzas armadas y que tienen  efectos  generales</w:t>
        <w:br/>
        <w:t xml:space="preserve">        que  trascienden  los  casos  concretos,  la  Corte  no  considera</w:t>
        <w:br/>
        <w:t xml:space="preserve">        pertinente ordenar de  nuevo  dichas  medidas  de  reparación.  El</w:t>
        <w:br/>
        <w:t xml:space="preserve">        cumplimiento de tales medidas se continuará evaluando en la  etapa</w:t>
        <w:br/>
        <w:t xml:space="preserve">        de supervisión de cumplimiento de los Fallos respectivos.</w:t>
        <w:br/>
        <w:br/>
        <w:br/>
        <w:t>C.4.  Otras medidas solicitadas por los representantes</w:t>
        <w:br/>
        <w:br/>
        <w:t xml:space="preserve">   293. Los representantes también solicitaron la “[i]nclusión de  módulos</w:t>
        <w:br/>
        <w:t xml:space="preserve">        sobre las graves violaciones a los [d]erechos [h]umanos  ocurridas</w:t>
        <w:br/>
        <w:t xml:space="preserve">        durante el conflicto armado  interno  en  el  Currículum  Nacional</w:t>
        <w:br/>
        <w:t xml:space="preserve">        Base”; la restitución del derecho de  visitar  sus  cementerios  y</w:t>
        <w:br/>
        <w:t xml:space="preserve">        lugares sagrados; medidas para evitar la instalación de  un  nuevo</w:t>
        <w:br/>
        <w:t xml:space="preserve">        destacamento militar en el área cercana a la colonia de Pacux;  la</w:t>
        <w:br/>
        <w:t xml:space="preserve">        restitución del uso y goce de la  finca  Canchún  Chitucán,  y  la</w:t>
        <w:br/>
        <w:t xml:space="preserve">        creación de un banco de germoplasma para la conservación de frutas</w:t>
        <w:br/>
        <w:t xml:space="preserve">        y plantas medicinales importantes para la cultura maya achí.</w:t>
        <w:br/>
        <w:br/>
        <w:t xml:space="preserve">   294. Por su parte, el Estado expresó su disposición  de  gestionar  los</w:t>
        <w:br/>
        <w:t xml:space="preserve">        cambios al Currículum Nacional Base  solicitados,  la  restitución</w:t>
        <w:br/>
        <w:t xml:space="preserve">        del derecho de los miembros  de  la  comunidad  de  Río  Negro  de</w:t>
        <w:br/>
        <w:t xml:space="preserve">        visitar sus cementerios y lugares sagrados,  y  las  medidas  para</w:t>
        <w:br/>
        <w:t xml:space="preserve">        evitar la instalación de un nuevo destacamento militar en el  área</w:t>
        <w:br/>
        <w:t xml:space="preserve">        cercana a Pacux[362]. Sin embargo, afirmó que  no  cuenta  con  la</w:t>
        <w:br/>
        <w:t xml:space="preserve">        capacidad presupuestaria para crear un banco de  germoplasma,  por</w:t>
        <w:br/>
        <w:t xml:space="preserve">        lo que ofreció “gestiona[r] el acompañamiento y la asesoría en  el</w:t>
        <w:br/>
        <w:t xml:space="preserve">        manejo de las especies de frutas y  plantas  medicinales”  que  se</w:t>
        <w:br/>
        <w:t xml:space="preserve">        desean conservar a través de otras instituciones estatales,  tales</w:t>
        <w:br/>
        <w:t xml:space="preserve">        como “el Instituto de Ciencia y Tecnología Agrícola, el Ministerio</w:t>
        <w:br/>
        <w:t xml:space="preserve">        de  Agricultura,  Ganadería  y  Alimentación”  y  “un  laboratorio</w:t>
        <w:br/>
        <w:t xml:space="preserve">        tecnológico en la Universidad de San Carlos”. Por  otro  lado,  el</w:t>
        <w:br/>
        <w:t xml:space="preserve">        Estado no formuló su posición respecto de la restitución del uso y</w:t>
        <w:br/>
        <w:t xml:space="preserve">        goce de la finca Canchún Chitucán.</w:t>
        <w:br/>
        <w:br/>
        <w:t xml:space="preserve">   295. La  Corte  valora  la  disposición  del  Estado  de  gestionar  la</w:t>
        <w:br/>
        <w:t xml:space="preserve">        implementación de algunas de las medidas de reparación solicitadas</w:t>
        <w:br/>
        <w:t xml:space="preserve">        por los representantes, y toma nota de los compromisos  adquiridos</w:t>
        <w:br/>
        <w:t xml:space="preserve">        por éste. Por otro lado, la Corte no puede otorgar como medida  de</w:t>
        <w:br/>
        <w:t xml:space="preserve">        reparación la restitución de la finca Canchún Chitucán  en  virtud</w:t>
        <w:br/>
        <w:t xml:space="preserve">        de que en esta Sentencia se determinó que  el  Tribunal  no  tenía</w:t>
        <w:br/>
        <w:t xml:space="preserve">        competencia para  pronunciarse  sobre  la  alegada  violación  del</w:t>
        <w:br/>
        <w:t xml:space="preserve">        derecho a la  propiedad  privada,  con  la  cual  esta  medida  de</w:t>
        <w:br/>
        <w:t xml:space="preserve">        reparación tendría nexo causal.</w:t>
        <w:br/>
        <w:br/>
        <w:br/>
        <w:t>D.    Indemnización compensatoria por daños materiales e inmateriales</w:t>
        <w:br/>
        <w:br/>
        <w:t xml:space="preserve">   296. La Corte ha desarrollado  el  concepto  de  daño  material[363]  e</w:t>
        <w:br/>
        <w:t xml:space="preserve">        inmaterial[364] y los supuestos en que corresponde  indemnizarlos.</w:t>
        <w:br/>
        <w:t xml:space="preserve">        En razón de ello, la Corte determinará la pertinencia  de  otorgar</w:t>
        <w:br/>
        <w:t xml:space="preserve">        reparaciones pecuniarias y los montos respectivos debidos en  este</w:t>
        <w:br/>
        <w:t xml:space="preserve">        caso. Previamente a ello, en  razón  de  que  existe  controversia</w:t>
        <w:br/>
        <w:t xml:space="preserve">        sobre  supuestas  indemnizaciones  ya  concedidas  a  través   del</w:t>
        <w:br/>
        <w:t xml:space="preserve">        Programa Nacional de Resarcimiento (en adelante, “PNR”), la  Corte</w:t>
        <w:br/>
        <w:t xml:space="preserve">        se pronunciará sobre dicho punto a continuación.</w:t>
        <w:br/>
        <w:br/>
        <w:br/>
        <w:t>D.1.   Indemnizaciones  efectuadas  a  través  del  Programa  Nacional  de</w:t>
        <w:br/>
        <w:t>Resarcimiento</w:t>
        <w:br/>
        <w:br/>
        <w:br/>
        <w:t xml:space="preserve">   297. El Estado solicitó que se tengan por “debidamente indemnizadas”  a</w:t>
        <w:br/>
        <w:t xml:space="preserve">        algunas de las víctimas que fueron objeto de reparación  a  través</w:t>
        <w:br/>
        <w:t xml:space="preserve">        del  Programa  Nacional  de  Resarcimiento.  Asimismo,  el  Estado</w:t>
        <w:br/>
        <w:t xml:space="preserve">        expresó su voluntad de “resarcir económicamente”  a  las  víctimas</w:t>
        <w:br/>
        <w:t xml:space="preserve">        del  presente caso que no fueron indemnizadas previamente. Durante</w:t>
        <w:br/>
        <w:t xml:space="preserve">        la audiencia pública, el Estado reiteró su disposición de resarcir</w:t>
        <w:br/>
        <w:t xml:space="preserve">        a las víctimas que aún no habían sido indemnizadas,  sin  embargo,</w:t>
        <w:br/>
        <w:t xml:space="preserve">        indicó que haría esto “inclu[yéndolas] en los rubros de reparación</w:t>
        <w:br/>
        <w:t xml:space="preserve">        del Programa Nacional de Resarcimiento”.</w:t>
        <w:br/>
        <w:br/>
        <w:t xml:space="preserve">   298. La Comisión solicitó a la Corte que ordene  al  Estado  “[r]eparar</w:t>
        <w:br/>
        <w:t xml:space="preserve">        adecuadamente las violaciones de derechos humanos declaradas en el</w:t>
        <w:br/>
        <w:t xml:space="preserve">        [Informe de fondo]  tanto  en  el  aspecto  material  como  moral,</w:t>
        <w:br/>
        <w:t xml:space="preserve">        incluyendo una justa compensación”. Asimismo, valoró las  acciones</w:t>
        <w:br/>
        <w:t xml:space="preserve">        emprendidas por el Estado,  tendientes  a  la  implementación  del</w:t>
        <w:br/>
        <w:t xml:space="preserve">        Programa Nacional de Resarcimiento,  (supra párr.  300),  mediante</w:t>
        <w:br/>
        <w:t xml:space="preserve">        el cual se otorgaron indemnizaciones a algunas de las víctimas del</w:t>
        <w:br/>
        <w:t xml:space="preserve">        presente caso. No obstante, según la Comisión, “dicho programa  no</w:t>
        <w:br/>
        <w:t xml:space="preserve">        ofrece garantías de que se  logre  reparar  […a  las  víctimas  de</w:t>
        <w:br/>
        <w:t xml:space="preserve">        violaciones de los derechos humanos] de manera consistente con los</w:t>
        <w:br/>
        <w:t xml:space="preserve">        estándares interamericanos”. De este modo, solicitó que, “una  vez</w:t>
        <w:br/>
        <w:t xml:space="preserve">        comprobada la efectiva recepción de ciertos montos indemnizatorios</w:t>
        <w:br/>
        <w:t xml:space="preserve">        por algunas de las víctimas [a través del PNR, la Corte] los  tome</w:t>
        <w:br/>
        <w:t xml:space="preserve">        en cuenta al momento de ordenar las indemnizaciones para  restarlo</w:t>
        <w:br/>
        <w:t xml:space="preserve">        del monto final dispuesto […] para las víctimas que se  encuentren</w:t>
        <w:br/>
        <w:t xml:space="preserve">        en idéntica situación”.</w:t>
        <w:br/>
        <w:br/>
        <w:t xml:space="preserve">   299. Respecto a la lista remitida por  el  Estado  de  102  personas  o</w:t>
        <w:br/>
        <w:t xml:space="preserve">        núcleos familiares presuntamente ya  resarcidas  mediante  el  PNR</w:t>
        <w:br/>
        <w:t xml:space="preserve">        (infra párr. 300), los representantes indicaron que: a) algunas de</w:t>
        <w:br/>
        <w:t xml:space="preserve">        las personas señaladas no son víctimas  de  las  masacres  de  Río</w:t>
        <w:br/>
        <w:t xml:space="preserve">        Negro y no fueron individualizadas  como  presuntas  víctimas  del</w:t>
        <w:br/>
        <w:t xml:space="preserve">        presente caso; b) otras personas son víctimas y  ya  han  recibido</w:t>
        <w:br/>
        <w:t xml:space="preserve">        cierta cantidad  como  indemnización,  y  c)  otras  personas  son</w:t>
        <w:br/>
        <w:t xml:space="preserve">        víctimas pero no han recibido  indemnización  aún.  Asimismo,  los</w:t>
        <w:br/>
        <w:t xml:space="preserve">        representantes señalaron que el Programa Nacional de Resarcimiento</w:t>
        <w:br/>
        <w:t xml:space="preserve">        sólo otorga reparación  a  algunas  categorías  de  víctimas,  por</w:t>
        <w:br/>
        <w:t xml:space="preserve">        ejemplo, no  da  reparación  a  víctimas  de  violaciones  de  los</w:t>
        <w:br/>
        <w:t xml:space="preserve">        derechos a la protección  y  garantías  judiciales,  y  que  dicho</w:t>
        <w:br/>
        <w:t xml:space="preserve">        programa dispone “que el monto máximo otorgado por núcleo familiar</w:t>
        <w:br/>
        <w:t xml:space="preserve">        será de Q44,000.00[,] sin importar la  cantidad  de  víctimas  que</w:t>
        <w:br/>
        <w:t xml:space="preserve">        hayan existido en su  familia,  y  debiendo  dividirse  entre  los</w:t>
        <w:br/>
        <w:t xml:space="preserve">        distintos beneficiarios dicha cantidad […]”. Además,  manifestaron</w:t>
        <w:br/>
        <w:t xml:space="preserve">        que el resarcimiento “de carácter económico-individual”  no  puede</w:t>
        <w:br/>
        <w:t xml:space="preserve">        considerarse como reparación “integral”.</w:t>
        <w:br/>
        <w:br/>
        <w:t xml:space="preserve">   300. La Corte observa, en primer lugar, que el Estado ha manifestado su</w:t>
        <w:br/>
        <w:t xml:space="preserve">        disposición de resarcir económicamente a las víctimas del presente</w:t>
        <w:br/>
        <w:t xml:space="preserve">        caso de conformidad con los  rubros  de  reparación  del  Programa</w:t>
        <w:br/>
        <w:t xml:space="preserve">        Nacional de Resarcimiento. Además, el Estado remitió, junto con su</w:t>
        <w:br/>
        <w:t xml:space="preserve">        escrito de contestación, una  lista  de  102  personas  o  núcleos</w:t>
        <w:br/>
        <w:t xml:space="preserve">        familiares  que  aparentemente  fueron  resarcidos  económicamente</w:t>
        <w:br/>
        <w:t xml:space="preserve">        mediante el PNR, así como copia de los expedientes administrativos</w:t>
        <w:br/>
        <w:t xml:space="preserve">        pertinentes. Por su parte,  los  representantes  reconocieron  que</w:t>
        <w:br/>
        <w:t xml:space="preserve">        algunas de las personas en esa lista  son  víctimas  del  presente</w:t>
        <w:br/>
        <w:t xml:space="preserve">        caso y ya  han  recibido  una  indemnización  a  través  de  dicho</w:t>
        <w:br/>
        <w:t xml:space="preserve">        programa.</w:t>
        <w:br/>
        <w:br/>
        <w:t xml:space="preserve">   301. Al respecto, la Corte recuerda que, de conformidad con el artículo</w:t>
        <w:br/>
        <w:t xml:space="preserve">        63.1 de la Convención Americana, corresponde a ésta velar por  que</w:t>
        <w:br/>
        <w:t xml:space="preserve">        se reparen las consecuencias de las violaciones  de  los  derechos</w:t>
        <w:br/>
        <w:t xml:space="preserve">        humanos declarados en esta Sentencia, así como disponer el pago de</w:t>
        <w:br/>
        <w:t xml:space="preserve">        una justa indemnización a la parte lesionada, de  conformidad  con</w:t>
        <w:br/>
        <w:t xml:space="preserve">        estándares internacionales y su  jurisprudencia  constante  en  la</w:t>
        <w:br/>
        <w:t xml:space="preserve">        materia.</w:t>
        <w:br/>
        <w:br/>
        <w:t xml:space="preserve">   302.  La  Corte  observa  que  el  mencionado  Programa   Nacional   de</w:t>
        <w:br/>
        <w:t xml:space="preserve">        Resarcimiento establece:</w:t>
        <w:br/>
        <w:br/>
        <w:t xml:space="preserve">      “un monto máximo de resarcimiento económico de cuarenta y  cuatro  mil</w:t>
        <w:br/>
        <w:t xml:space="preserve">      quetzales en los casos en que el  núcleo familiar  tenga  más  de  una</w:t>
        <w:br/>
        <w:t xml:space="preserve">      víctima fatal  de  ejecución  extrajudicial,  desaparición  forzada  o</w:t>
        <w:br/>
        <w:t xml:space="preserve">      muerte en masacre; este monto  también  se  otorgará  a  las  personas</w:t>
        <w:br/>
        <w:t xml:space="preserve">      sobrevivientes de torturas o violación sexual cuando además  de  ellas</w:t>
        <w:br/>
        <w:t xml:space="preserve">      mismas tengan otra  u  otras  víctimas  fatales  en  un  mismo  núcleo</w:t>
        <w:br/>
        <w:t xml:space="preserve">      familiar”[365].</w:t>
        <w:br/>
        <w:br/>
        <w:br/>
        <w:t xml:space="preserve">   303. De todo lo anterior se desprende que  las  diferencias  entre  las</w:t>
        <w:br/>
        <w:t xml:space="preserve">        partes estriban en los estándares o criterios que toma  en  cuenta</w:t>
        <w:br/>
        <w:t xml:space="preserve">        el Programa Nacional de Resarcimiento para calcular y asignar  los</w:t>
        <w:br/>
        <w:t xml:space="preserve">        montos indemnizatorios a las víctimas. La Corte toma nota  de  que</w:t>
        <w:br/>
        <w:t xml:space="preserve">        el Estado tiene un programa de reparación en el marco del cual  ya</w:t>
        <w:br/>
        <w:t xml:space="preserve">        ha procedido a  indemnizar  a  algunas  de  las  víctimas  de  las</w:t>
        <w:br/>
        <w:t xml:space="preserve">        masacres de este caso.</w:t>
        <w:br/>
        <w:br/>
        <w:t xml:space="preserve">   304. En atención a lo dispuesto por el artículo 63.1 de  la  Convención</w:t>
        <w:br/>
        <w:t xml:space="preserve">        Americana,  el  Tribunal  dispondrá  a  continuación  las  medidas</w:t>
        <w:br/>
        <w:t xml:space="preserve">        necesarias a fin de reparar los daños  materiales  e  inmateriales</w:t>
        <w:br/>
        <w:t xml:space="preserve">        derivados  de  las  violaciones  declaradas   en   los   capítulos</w:t>
        <w:br/>
        <w:t xml:space="preserve">        anteriores. Sin perjuicio de lo anterior, los montos  que  ya  han</w:t>
        <w:br/>
        <w:t xml:space="preserve">        sido entregados a víctimas  del  presente  caso  a  nivel  interno</w:t>
        <w:br/>
        <w:t xml:space="preserve">        mediante el PNR deben ser reconocidos como parte de la  reparación</w:t>
        <w:br/>
        <w:t xml:space="preserve">        debida a éstas y descontado de las cantidades que fije el Tribunal</w:t>
        <w:br/>
        <w:t xml:space="preserve">        en esta Sentencia por concepto de indemnización (infra párr. 309).</w:t>
        <w:br/>
        <w:t xml:space="preserve">        Corresponde al Estado, en la etapa  de  supervisión  del  presente</w:t>
        <w:br/>
        <w:t xml:space="preserve">        caso, comprobar la  entrega  efectiva  de  los  montos  dispuestos</w:t>
        <w:br/>
        <w:t xml:space="preserve">        mediante dicho programa.</w:t>
        <w:br/>
        <w:br/>
        <w:br/>
        <w:t>D.2.   Daño material e inmaterial</w:t>
        <w:br/>
        <w:br/>
        <w:br/>
        <w:t>D.2.1.   Alegatos de las partes</w:t>
        <w:br/>
        <w:br/>
        <w:t xml:space="preserve">   305. Los representantes señalaron que las víctimas del presente caso se</w:t>
        <w:br/>
        <w:t xml:space="preserve">        vieron forzadas a abandonar sus tierras,  perdiendo  prácticamente</w:t>
        <w:br/>
        <w:t xml:space="preserve">        la totalidad de sus bienes y sus medios de subsistencia. Así, dado</w:t>
        <w:br/>
        <w:t xml:space="preserve">        que por las características del caso es imposible cuantificar  con</w:t>
        <w:br/>
        <w:t xml:space="preserve">        precisión el daño material causado, solicitaron que,  “tomando  en</w:t>
        <w:br/>
        <w:t xml:space="preserve">        cuenta criterios tales como el costo de vida en […]  Guatemala  en</w:t>
        <w:br/>
        <w:t xml:space="preserve">        los últimos 16 años, [la Corte] fije en  equidad  la  cantidad  de</w:t>
        <w:br/>
        <w:t xml:space="preserve">        [USD]  $25,000.00  [por]  concepto  de  […]  daño  material”.  Los</w:t>
        <w:br/>
        <w:t xml:space="preserve">        representantes no  especificaron  para  quiénes  solicitaron  este</w:t>
        <w:br/>
        <w:t xml:space="preserve">        monto. Sin embargo, solicitaron a la Corte que reconozca la “doble</w:t>
        <w:br/>
        <w:t xml:space="preserve">        calidad de víctima”[366] de las víctimas mortales de las masacres,</w:t>
        <w:br/>
        <w:t xml:space="preserve">        de los sobrevivientes de las mismas y de los  “niños  sometidos  a</w:t>
        <w:br/>
        <w:t xml:space="preserve">        condiciones de esclavitud”. En  cuanto  al  daño  inmaterial,  los</w:t>
        <w:br/>
        <w:t xml:space="preserve">        representantes solicitaron que la Corte tome  en  cuenta:  a)  “la</w:t>
        <w:br/>
        <w:t xml:space="preserve">        doble calidad de víctimas” de los sobrevivientes de las  masacres,</w:t>
        <w:br/>
        <w:t xml:space="preserve">        quienes presenciaron las  graves  violaciones  en  contra  de  sus</w:t>
        <w:br/>
        <w:t xml:space="preserve">        familiares  y  posteriormente  se  vieron  obligados  a  “soportar</w:t>
        <w:br/>
        <w:t xml:space="preserve">        condiciones de vida infrahumanas”; b) que  los  niños  que  fueron</w:t>
        <w:br/>
        <w:t xml:space="preserve">        sustraídos de sus comunidades con el fin de  ser  utilizados  como</w:t>
        <w:br/>
        <w:t xml:space="preserve">        esclavos fueron privados de su niñez; c) que los integrantes de la</w:t>
        <w:br/>
        <w:t xml:space="preserve">        comunidad de Río Negro fueron privados de sus costumbres, religión</w:t>
        <w:br/>
        <w:t xml:space="preserve">        y vida familiar, y d)  que  las  graves  violaciones  de  derechos</w:t>
        <w:br/>
        <w:t xml:space="preserve">        humanos cometidas en  el  presente  caso  permanecen  impunes.  En</w:t>
        <w:br/>
        <w:t xml:space="preserve">        virtud de lo anterior, los representantes solicitaron a  la  Corte</w:t>
        <w:br/>
        <w:t xml:space="preserve">        fijar en equidad, por concepto de daño inmaterial, la cantidad  de</w:t>
        <w:br/>
        <w:t xml:space="preserve">        USD $30,000.00 a favor de los sobrevivientes de las masacres.</w:t>
        <w:br/>
        <w:br/>
        <w:t xml:space="preserve">   306. El  Estado  consideró  que  las  cantidades  solicitadas  por  los</w:t>
        <w:br/>
        <w:t xml:space="preserve">        representantes “son  demasiado  elevadas,  tomando  en  cuenta  la</w:t>
        <w:br/>
        <w:t xml:space="preserve">        situación económica del  país”.  Afirmó  que  en  otros  casos  de</w:t>
        <w:br/>
        <w:t xml:space="preserve">        carácter colectivo, la Corte había fijado las cantidades  a  pagar</w:t>
        <w:br/>
        <w:t xml:space="preserve">        por grupo familiar y no por víctima, y  consideró  que  así  debía</w:t>
        <w:br/>
        <w:t xml:space="preserve">        procederse en este caso,  pero  no  explicó  por  qué  ello  sería</w:t>
        <w:br/>
        <w:t xml:space="preserve">        aplicable. Por otro lado, el Estado solicitó a la  Corte  “valorar</w:t>
        <w:br/>
        <w:t xml:space="preserve">        la posibilidad” de que éste realizara un “estudio  actuarial”  con</w:t>
        <w:br/>
        <w:t xml:space="preserve">        el fin de ofrecerle “otros  elementos  de  juicio  al  momento  de</w:t>
        <w:br/>
        <w:t xml:space="preserve">        determinar una eventual indemnización” a pagar.</w:t>
        <w:br/>
        <w:br/>
        <w:br/>
        <w:t>D.2.2.   Consideraciones de la Corte</w:t>
        <w:br/>
        <w:br/>
        <w:t xml:space="preserve">   307. Este Tribunal ha  establecido  que  el  daño  material  supone  la</w:t>
        <w:br/>
        <w:t xml:space="preserve">        pérdida o detrimento de los ingresos de las víctimas,  los  gastos</w:t>
        <w:br/>
        <w:t xml:space="preserve">        efectuados con  motivo  de  los  hechos  y  las  consecuencias  de</w:t>
        <w:br/>
        <w:t xml:space="preserve">        carácter pecuniario que tengan un nexo causal con los  hechos  del</w:t>
        <w:br/>
        <w:t xml:space="preserve">        caso[367]. Por otra parte, el daño  inmaterial  “puede  comprender</w:t>
        <w:br/>
        <w:t xml:space="preserve">        tanto los sufrimientos y las aflicciones  causados  a  la  víctima</w:t>
        <w:br/>
        <w:t xml:space="preserve">        directa  y  a  sus  allegados,  el  menoscabo   de   valores   muy</w:t>
        <w:br/>
        <w:t xml:space="preserve">        significativos para las personas, así como  las  alteraciones,  de</w:t>
        <w:br/>
        <w:t xml:space="preserve">        carácter no pecuniario, en las condiciones  de  existencia  de  la</w:t>
        <w:br/>
        <w:t xml:space="preserve">        víctima o su familia”[368]. Asimismo, la Corte ha  sostenido  “que</w:t>
        <w:br/>
        <w:t xml:space="preserve">        es propio de la naturaleza humana que toda persona que padece  una</w:t>
        <w:br/>
        <w:t xml:space="preserve">        violación de sus  derechos  humanos  experimente  un  sufrimiento,</w:t>
        <w:br/>
        <w:t xml:space="preserve">        razón por la cual el daño inmaterial resulta evidente”[369].</w:t>
        <w:br/>
        <w:br/>
        <w:t xml:space="preserve">   308. Esta Corte observa que los representantes no indicaron a favor  de</w:t>
        <w:br/>
        <w:t xml:space="preserve">        quiénes solicitaron el monto de USD  $25,000.00  por  concepto  de</w:t>
        <w:br/>
        <w:t xml:space="preserve">        daño  material.  La  Corte  tampoco  cuenta  con  elementos   para</w:t>
        <w:br/>
        <w:t xml:space="preserve">        acreditar  las  pérdidas  de  ingresos  y  el  lucro  cesante  que</w:t>
        <w:br/>
        <w:t xml:space="preserve">        sufrieron las víctimas del presente caso a raíz de los hechos  que</w:t>
        <w:br/>
        <w:t xml:space="preserve">        se encuentran dentro de la competencia del Tribunal. No  obstante,</w:t>
        <w:br/>
        <w:t xml:space="preserve">        para la Corte es  lógico  que,  en  casos  como  el  presente,  la</w:t>
        <w:br/>
        <w:t xml:space="preserve">        recolección  de  prueba  que  acredite  este  tipo   de   pérdidas</w:t>
        <w:br/>
        <w:t xml:space="preserve">        materiales y su aportación al  Tribunal  es  una  labor  compleja.</w:t>
        <w:br/>
        <w:t xml:space="preserve">        Además, es  evidente  que  las  violaciones  de  derechos  humanos</w:t>
        <w:br/>
        <w:t xml:space="preserve">        declaradas en el presente  caso  necesariamente  conllevan  graves</w:t>
        <w:br/>
        <w:t xml:space="preserve">        consecuencias de carácter pecuniario.</w:t>
        <w:br/>
        <w:br/>
        <w:t xml:space="preserve">   309. En atención a los  criterios  establecidos  en  la  jurisprudencia</w:t>
        <w:br/>
        <w:t xml:space="preserve">        constante de este Tribunal, las circunstancias del presente  caso,</w:t>
        <w:br/>
        <w:t xml:space="preserve">        la entidad, carácter y gravedad de las violaciones  cometidas,  el</w:t>
        <w:br/>
        <w:t xml:space="preserve">        daño  generado  por  la  impunidad,  así  como  los   sufrimientos</w:t>
        <w:br/>
        <w:t xml:space="preserve">        ocasionados  a  las  víctimas  en  su  esfera  física,   moral   y</w:t>
        <w:br/>
        <w:t xml:space="preserve">        psicológica[370], la Corte estima pertinente fijar en equidad, por</w:t>
        <w:br/>
        <w:t xml:space="preserve">        concepto de daño material e inmaterial, las cantidades señaladas a</w:t>
        <w:br/>
        <w:t xml:space="preserve">        continuación o su equivalente en moneda guatemalteca,  las  cuales</w:t>
        <w:br/>
        <w:t xml:space="preserve">        deberán ser pagadas en el plazo que la Corte fije para tal  efecto</w:t>
        <w:br/>
        <w:t xml:space="preserve">        (infra párr. 318):</w:t>
        <w:br/>
        <w:br/>
        <w:t xml:space="preserve">      a) USD $ 30,000.00 (treinta mil dólares  de  los  Estados  Unidos  de</w:t>
        <w:br/>
        <w:t xml:space="preserve">        América) a cada una de las víctimas de desaparición forzada  (supra</w:t>
        <w:br/>
        <w:t xml:space="preserve">        párr. 127);</w:t>
        <w:br/>
        <w:br/>
        <w:br/>
        <w:t xml:space="preserve">      b) USD $ 15,000.00 (quince mil  dólares  de  los  Estados  Unidos  de</w:t>
        <w:br/>
        <w:t xml:space="preserve">        América) a cada una de las víctimas sobrevivientes de las  masacres</w:t>
        <w:br/>
        <w:t xml:space="preserve">        señaladas en el Anexo VI de esta Sentencia;</w:t>
        <w:br/>
        <w:br/>
        <w:br/>
        <w:t xml:space="preserve">      c) USD $ 10,000.00  (diez  mil  dólares  de  los  Estados  Unidos  de</w:t>
        <w:br/>
        <w:t xml:space="preserve">        América) adicionales a  cada  uno  de  los  sobrevivientes  de  las</w:t>
        <w:br/>
        <w:t xml:space="preserve">        masacres que son familiares de las víctimas de desaparición forzada</w:t>
        <w:br/>
        <w:t xml:space="preserve">        declaradas en este Fallo (supra párr. 127 e infra párr. 310);</w:t>
        <w:br/>
        <w:br/>
        <w:br/>
        <w:t xml:space="preserve">      d) USD $ 10,000.00  (diez  mil  dólares  de  los  Estados  Unidos  de</w:t>
        <w:br/>
        <w:t xml:space="preserve">        América) adicionales a  cada  uno  de  los  sobrevivientes  de  las</w:t>
        <w:br/>
        <w:t xml:space="preserve">        masacres que fueron víctimas de actos de esclavitud  y  servidumbre</w:t>
        <w:br/>
        <w:t xml:space="preserve">        (supra párr. 150);</w:t>
        <w:br/>
        <w:br/>
        <w:br/>
        <w:t xml:space="preserve">      e) USD $15,000.00 (quince  mil  dólares  de  los  Estados  Unidos  de</w:t>
        <w:br/>
        <w:t xml:space="preserve">        América)  a  favor  de  la  señora  María  Eustaquia  Uscap   Ivoy,</w:t>
        <w:br/>
        <w:t xml:space="preserve">        adicionales a los USD $10,000.00 (diez mil dólares de  los  Estados</w:t>
        <w:br/>
        <w:t xml:space="preserve">        Unidos de América) que le corresponden en calidad de  sobreviviente</w:t>
        <w:br/>
        <w:t xml:space="preserve">        de las masacres, por ser víctima de violación sexual, así  como  de</w:t>
        <w:br/>
        <w:t xml:space="preserve">        actos de esclavitud y servidumbre.</w:t>
        <w:br/>
        <w:br/>
        <w:t xml:space="preserve">   310.  Los  montos  dispuestos  a  favor   de   personas   desaparecidas</w:t>
        <w:br/>
        <w:t xml:space="preserve">        forzadamente (supra párr. 309.a) deben ser liquidadas  de  acuerdo</w:t>
        <w:br/>
        <w:t xml:space="preserve">        con los siguientes criterios:</w:t>
        <w:br/>
        <w:br/>
        <w:t xml:space="preserve">     a) el cincuenta por ciento (50%) de la indemnización se repartirá, por</w:t>
        <w:br/>
        <w:t xml:space="preserve">        partes iguales, entre los hijos de la víctima. Si uno o  varios  de</w:t>
        <w:br/>
        <w:t xml:space="preserve">        los hijos hubieren fallecido ya, la parte que le o les  corresponda</w:t>
        <w:br/>
        <w:t xml:space="preserve">        acrecerá a las de los demás hijos de la misma víctima;</w:t>
        <w:br/>
        <w:br/>
        <w:br/>
        <w:t xml:space="preserve">     b) el cincuenta por  ciento  (50%)  de  la  indemnización  deberá  ser</w:t>
        <w:br/>
        <w:t xml:space="preserve">        entregada a quien fuera cónyuge, compañero o  compañera  permanente</w:t>
        <w:br/>
        <w:t xml:space="preserve">        de la víctima, al momento de la muerte de ésta;</w:t>
        <w:br/>
        <w:br/>
        <w:t xml:space="preserve">     c) en el  evento  que  no  existieren  familiares  en  alguna  de  las</w:t>
        <w:br/>
        <w:t xml:space="preserve">        categorías definidas en los literales anteriores,  lo  que  hubiere</w:t>
        <w:br/>
        <w:t xml:space="preserve">        correspondido a los familiares ubicados en esa categoría,  acrecerá</w:t>
        <w:br/>
        <w:t xml:space="preserve">        a la parte que le corresponda a la otra categoría;</w:t>
        <w:br/>
        <w:br/>
        <w:t xml:space="preserve">     d) en el caso de que  la  víctima  no  tuviere  hijos  ni  cónyuge  ni</w:t>
        <w:br/>
        <w:t xml:space="preserve">        compañera  o  compañero  permanente,  la  indemnización  del   daño</w:t>
        <w:br/>
        <w:t xml:space="preserve">        material será entregado a sus padres; y</w:t>
        <w:br/>
        <w:br/>
        <w:br/>
        <w:t xml:space="preserve">     e) en el evento que no existieren familiares en alguna  o  algunas  de</w:t>
        <w:br/>
        <w:t xml:space="preserve">        las  categorías  definidas  en   los   literales   anteriores,   la</w:t>
        <w:br/>
        <w:t xml:space="preserve">        indemnización deberá ser pagada a los herederos de acuerdo  con  el</w:t>
        <w:br/>
        <w:t xml:space="preserve">        derecho sucesorio interno.</w:t>
        <w:br/>
        <w:br/>
        <w:t xml:space="preserve">   311. Finalmente, respecto de la solicitud  del  Estado  de  remitir  al</w:t>
        <w:br/>
        <w:t xml:space="preserve">        Tribunal  un  “estudio  actuarial”,  la  Corte  recuerda  que,  de</w:t>
        <w:br/>
        <w:t xml:space="preserve">        conformidad con el artículo 41.1 del Reglamento del  Tribunal,  el</w:t>
        <w:br/>
        <w:t xml:space="preserve">        momento  procesal   oportuno   para   que   el   Estado   presente</w:t>
        <w:br/>
        <w:t xml:space="preserve">        observaciones a las pretensiones de reparación solicitadas por  la</w:t>
        <w:br/>
        <w:t xml:space="preserve">        Comisión y los representantes, así como para  remitir  pruebas  al</w:t>
        <w:br/>
        <w:t xml:space="preserve">        respecto, es el escrito de contestación.</w:t>
        <w:br/>
        <w:br/>
        <w:br/>
        <w:t>D.3.   Costas y gastos</w:t>
        <w:br/>
        <w:br/>
        <w:t>D.3.1.      Alegatos de las partes</w:t>
        <w:br/>
        <w:br/>
        <w:t xml:space="preserve">   312. Los representantes solicitaron a la  Corte  fijar  en  equidad  un</w:t>
        <w:br/>
        <w:t xml:space="preserve">        monto que estime procedente  por  concepto  de  costas  y  gastos,</w:t>
        <w:br/>
        <w:t xml:space="preserve">        tomando en  consideración  los  gastos  en  que  ha  incurrido  la</w:t>
        <w:br/>
        <w:t xml:space="preserve">        representación de las  víctimas  durante  el  litigio  nacional  e</w:t>
        <w:br/>
        <w:t xml:space="preserve">        internacional. Aclararon que debido al transcurso del  tiempo,  no</w:t>
        <w:br/>
        <w:t xml:space="preserve">        cuentan con la totalidad de los documentos  que  acreditarían  los</w:t>
        <w:br/>
        <w:t xml:space="preserve">        gastos incurridos en el trámite del  caso,  los  cuales  incluyen:</w:t>
        <w:br/>
        <w:t xml:space="preserve">        boletos aéreos,  alojamiento,  honorarios,  llamadas  telefónicas,</w:t>
        <w:br/>
        <w:t xml:space="preserve">        servicio de computadora, internet y fax, y envíos de courier desde</w:t>
        <w:br/>
        <w:t xml:space="preserve">        Rabinal, Guatemala, hasta Washington,  D.C.,  y  San  José,  Costa</w:t>
        <w:br/>
        <w:t xml:space="preserve">        Rica,  entre  otros.  Asimismo,  mediante  sus  alegatos   finales</w:t>
        <w:br/>
        <w:t xml:space="preserve">        escritos, los representantes solicitaron al Tribunal  ordenar  una</w:t>
        <w:br/>
        <w:t xml:space="preserve">        cantidad de USD $12,040.99 por los gastos  incurridos  durante  el</w:t>
        <w:br/>
        <w:t xml:space="preserve">        viaje realizado a Costa Rica con ocasión de la  audiencia  pública</w:t>
        <w:br/>
        <w:t xml:space="preserve">        celebrada en el presente caso. Además, solicitaron  que  la  Corte</w:t>
        <w:br/>
        <w:t xml:space="preserve">        tomara en cuenta que otras  personas  también  han  acompañado  el</w:t>
        <w:br/>
        <w:t xml:space="preserve">        litigio del presente caso.</w:t>
        <w:br/>
        <w:br/>
        <w:t xml:space="preserve">   313.  El  Estado  señaló  que   los   representantes   no   presentaron</w:t>
        <w:br/>
        <w:t xml:space="preserve">        documentación que comprobara  sus  pretensiones  por  concepto  de</w:t>
        <w:br/>
        <w:t xml:space="preserve">        costas y gastos. Asimismo, sostuvo que desde  el  12  de  mayo  de</w:t>
        <w:br/>
        <w:t xml:space="preserve">        2008, y en repetidas ocasiones, ha manifestado su  disposición  de</w:t>
        <w:br/>
        <w:t xml:space="preserve">        llegar a un  acuerdo  amistoso,  pero  los  peticionarios  no  han</w:t>
        <w:br/>
        <w:t xml:space="preserve">        aceptado dicho ofrecimiento. Por lo tanto, solicitó a la Corte  no</w:t>
        <w:br/>
        <w:t xml:space="preserve">        fijar un monto por concepto de costas y  gastos  a  favor  de  las</w:t>
        <w:br/>
        <w:t xml:space="preserve">        víctimas en este caso.</w:t>
        <w:br/>
        <w:br/>
        <w:br/>
        <w:t>D.3.2.      Consideraciones de la Corte</w:t>
        <w:br/>
        <w:br/>
        <w:t xml:space="preserve">   314. Como lo ha señalado la Corte, las costas y gastos hacen parte  del</w:t>
        <w:br/>
        <w:t xml:space="preserve">        concepto de reparación[371], toda vez que la actividad  desplegada</w:t>
        <w:br/>
        <w:t xml:space="preserve">        por las víctimas con el fin de obtener  justicia,  tanto  a  nivel</w:t>
        <w:br/>
        <w:t xml:space="preserve">        nacional como internacional, implica  erogaciones  que  deben  ser</w:t>
        <w:br/>
        <w:t xml:space="preserve">        compensadas cuando la responsabilidad internacional del Estado  es</w:t>
        <w:br/>
        <w:t xml:space="preserve">        declarada mediante una sentencia  condenatoria.  En  cuanto  a  su</w:t>
        <w:br/>
        <w:t xml:space="preserve">        reembolso,  corresponde  al  Tribunal  apreciar  prudentemente  su</w:t>
        <w:br/>
        <w:t xml:space="preserve">        alcance,  el  cual  comprende  los  gastos  generados   ante   las</w:t>
        <w:br/>
        <w:t xml:space="preserve">        autoridades de la jurisdicción interna, así como los generados  en</w:t>
        <w:br/>
        <w:t xml:space="preserve">        el curso del proceso ante este Tribunal, teniendo  en  cuenta  las</w:t>
        <w:br/>
        <w:t xml:space="preserve">        circunstancias  del  caso  concreto  y   la   naturaleza   de   la</w:t>
        <w:br/>
        <w:t xml:space="preserve">        jurisdicción internacional de protección de los derechos  humanos.</w:t>
        <w:br/>
        <w:t xml:space="preserve">        Esta apreciación puede ser realizada con base en el  principio  de</w:t>
        <w:br/>
        <w:t xml:space="preserve">        equidad y tomando en cuenta los gastos señalados por  las  partes,</w:t>
        <w:br/>
        <w:t xml:space="preserve">        siempre que su quantum sea razonable.</w:t>
        <w:br/>
        <w:br/>
        <w:t xml:space="preserve">   315. En primer lugar, la Corte considera  pertinente  aclarar  que  los</w:t>
        <w:br/>
        <w:t xml:space="preserve">        acuerdos de solución amistosa mencionados en los artículos 48.1.f,</w:t>
        <w:br/>
        <w:t xml:space="preserve">        49 y 50.1 de la Convención Americana  son  figuras  procesales  de</w:t>
        <w:br/>
        <w:t xml:space="preserve">        carácter  opcional,  y  la  parte  peticionaria  ante  el  Sistema</w:t>
        <w:br/>
        <w:t xml:space="preserve">        Interamericano no se encuentra bajo obligación alguna  de  aceptar</w:t>
        <w:br/>
        <w:t xml:space="preserve">        un acuerdo ofrecido por el Estado. Esto  se  desprende  claramente</w:t>
        <w:br/>
        <w:t xml:space="preserve">        del lenguaje condicional  que  se  encuentra  en  los  mencionados</w:t>
        <w:br/>
        <w:t xml:space="preserve">        artículos 49 y 50 de la Convención[372].</w:t>
        <w:br/>
        <w:br/>
        <w:t xml:space="preserve">   316. En segundo lugar,  el  momento  procesal  oportuno  para  que  los</w:t>
        <w:br/>
        <w:t xml:space="preserve">        representantes presenten las pretensiones  de  reparación  de  las</w:t>
        <w:br/>
        <w:t xml:space="preserve">        víctimas es en el escrito de  solicitudes  y  argumentos.  Por  lo</w:t>
        <w:br/>
        <w:t xml:space="preserve">        tanto,  la  Corte  no  tomará  en  cuenta  la  solicitud  de   los</w:t>
        <w:br/>
        <w:t xml:space="preserve">        representantes de que se incluyan los gastos incurridos por  otras</w:t>
        <w:br/>
        <w:t xml:space="preserve">        personas al momento de fijar el monto por costas y  gastos  (supra</w:t>
        <w:br/>
        <w:t xml:space="preserve">        párr. 312). Por otro lado, la Corte observa que los representantes</w:t>
        <w:br/>
        <w:t xml:space="preserve">        no  remitieron  comprobantes  de  gastos  incurridos  durante   la</w:t>
        <w:br/>
        <w:t xml:space="preserve">        tramitación del caso ante la jurisdicción guatemalteca ni ante  la</w:t>
        <w:br/>
        <w:t xml:space="preserve">        Comisión Interamericana. Sin  embargo,  en  sus  alegatos  finales</w:t>
        <w:br/>
        <w:t xml:space="preserve">        escritos, los representantes actualizaron su solicitud en cuanto a</w:t>
        <w:br/>
        <w:t xml:space="preserve">        las costas y gastos con aquellos  incurridos  para  asistir  a  la</w:t>
        <w:br/>
        <w:t xml:space="preserve">        audiencia pública convocada por el Tribunal en el  presente  caso,</w:t>
        <w:br/>
        <w:t xml:space="preserve">        lo cual es totalmente procedente. Para  ello,  los  representantes</w:t>
        <w:br/>
        <w:t xml:space="preserve">        realizaron un  detalle  de  los  gastos  incurridos  y  adjuntaron</w:t>
        <w:br/>
        <w:t xml:space="preserve">        facturas y recibos como prueba de los mismos. El  monto  de  estos</w:t>
        <w:br/>
        <w:t xml:space="preserve">        gastos asciende  a  aproximadamente  USD  $12,017.47.00[373].  Sin</w:t>
        <w:br/>
        <w:t xml:space="preserve">        embargo, la Corte ha constatado que los comprobantes remitidos por</w:t>
        <w:br/>
        <w:t xml:space="preserve">        los representantes corresponden a los gastos incurridos durante el</w:t>
        <w:br/>
        <w:t xml:space="preserve">        traslado y la  estadía  en  Costa  Rica  de  21  personas:  cuatro</w:t>
        <w:br/>
        <w:t xml:space="preserve">        personas  correspondientes  al  equipo  de  asistencia  legal   de</w:t>
        <w:br/>
        <w:t xml:space="preserve">        ADIVIMA, representantes  en  este  caso,  dos  presuntas  víctimas</w:t>
        <w:br/>
        <w:t xml:space="preserve">        declarantes, el perito Michael Paul Hermann Mörth, el  líder  maya</w:t>
        <w:br/>
        <w:t xml:space="preserve">        Juan de Dios García Xajil y 13 personas más. Al  respecto,  al  no</w:t>
        <w:br/>
        <w:t xml:space="preserve">        comprobarse la estricta necesidad de la presencia de estas últimas</w:t>
        <w:br/>
        <w:t xml:space="preserve">        trece personas en el Tribunal para el litigio del  presente  caso,</w:t>
        <w:br/>
        <w:t xml:space="preserve">        el costo del traslado  hasta  Costa  Rica  de  las  mismas  no  se</w:t>
        <w:br/>
        <w:t xml:space="preserve">        considerará  como  parte  de  los  gastos   incurridos   por   los</w:t>
        <w:br/>
        <w:t xml:space="preserve">        representantes.</w:t>
        <w:br/>
        <w:br/>
        <w:t xml:space="preserve">   317. Por otro lado, la Corte observa que el  trámite  de  este  caso  a</w:t>
        <w:br/>
        <w:t xml:space="preserve">        nivel interno e internacional ha llevado aproximadamente 20  años,</w:t>
        <w:br/>
        <w:t xml:space="preserve">        tiempo durante el cual  las  víctimas  y  sus  representantes  han</w:t>
        <w:br/>
        <w:t xml:space="preserve">        aportado su trabajo. La Corte considera razonable que durante  ese</w:t>
        <w:br/>
        <w:t xml:space="preserve">        lapso  hayan  incurrido  en  gastos  de   litigio,   comunicación,</w:t>
        <w:br/>
        <w:t xml:space="preserve">        transporte y suministros, entre otros.  Por  lo  tanto,  la  Corte</w:t>
        <w:br/>
        <w:t xml:space="preserve">        considera, en equidad, que el Estado debe pagar, por  concepto  de</w:t>
        <w:br/>
        <w:t xml:space="preserve">        costas y gastos, la cantidad  de  USD  $50,000.00  (cincuenta  mil</w:t>
        <w:br/>
        <w:t xml:space="preserve">        dólares de los Estados Unidos de América).  Esta  cantidad  deberá</w:t>
        <w:br/>
        <w:t xml:space="preserve">        ser entregada directamente a los representantes de  las  víctimas.</w:t>
        <w:br/>
        <w:t xml:space="preserve">        Igualmente,  la  Corte  precisa  que  en   el   procedimiento   de</w:t>
        <w:br/>
        <w:t xml:space="preserve">        supervisión  de  cumplimiento  de  la  presente  Sentencia   podrá</w:t>
        <w:br/>
        <w:t xml:space="preserve">        disponer el reembolso a las víctimas  o  sus  representantes,  por</w:t>
        <w:br/>
        <w:t xml:space="preserve">        parte del  Estado,  de  los  gastos  razonables  en  que  aquéllos</w:t>
        <w:br/>
        <w:t xml:space="preserve">        incurran durante dicha etapa procesal.</w:t>
        <w:br/>
        <w:br/>
        <w:br/>
        <w:br/>
        <w:t>D.4   Modalidad de cumplimiento de los pagos ordenados</w:t>
        <w:br/>
        <w:br/>
        <w:br/>
        <w:t xml:space="preserve">   318. El pago de las indemnizaciones  por  daño  material  e  inmaterial</w:t>
        <w:br/>
        <w:t xml:space="preserve">        establecidas en la presente Sentencia será entregado  directamente</w:t>
        <w:br/>
        <w:t xml:space="preserve">        a las personas indicadas en la misma, en  un  plazo  de  dos  años</w:t>
        <w:br/>
        <w:t xml:space="preserve">        contado a partir de la notificación de la presente  Sentencia.  El</w:t>
        <w:br/>
        <w:t xml:space="preserve">        cincuenta por ciento del  pago  podrá  ser  entregado  durante  el</w:t>
        <w:br/>
        <w:t xml:space="preserve">        transcurso del primer año a cada víctima, mientras  que  el  monto</w:t>
        <w:br/>
        <w:t xml:space="preserve">        restante podrá ser entregado durante el segundo año,  considerando</w:t>
        <w:br/>
        <w:t xml:space="preserve">        lo indicado en los párrafos 309 y 310 de este Fallo.  En  caso  de</w:t>
        <w:br/>
        <w:t xml:space="preserve">        fallecimiento de las víctimas con  anterioridad  al  pago  de  las</w:t>
        <w:br/>
        <w:t xml:space="preserve">        cantidades   respectivas,    éstas    se    entregarán    a    sus</w:t>
        <w:br/>
        <w:t xml:space="preserve">        derechohabientes, conforme al derecho interno aplicable.</w:t>
        <w:br/>
        <w:br/>
        <w:t xml:space="preserve">   319. El reintegro  de  costas  y  gastos  establecido  en  la  presente</w:t>
        <w:br/>
        <w:t xml:space="preserve">        Sentencia será hecho directamente a las personas indicadas  en  la</w:t>
        <w:br/>
        <w:t xml:space="preserve">        misma, en el plazo de un año, contado a partir de la  notificación</w:t>
        <w:br/>
        <w:t xml:space="preserve">        de la presente Sentencia, considerando lo indicado en  el  párrafo</w:t>
        <w:br/>
        <w:t xml:space="preserve">        317 de la misma.</w:t>
        <w:br/>
        <w:br/>
        <w:t xml:space="preserve">   320. El Estado deberá cumplir con las obligaciones monetarias  mediante</w:t>
        <w:br/>
        <w:t xml:space="preserve">        el pago  en  dólares  de  los  Estados  Unidos  de  América  o  su</w:t>
        <w:br/>
        <w:t xml:space="preserve">        equivalente  en  moneda  nacional,  utilizando  para  el   cálculo</w:t>
        <w:br/>
        <w:t xml:space="preserve">        respectivo el tipo de cambio que se encuentre vigente en la  bolsa</w:t>
        <w:br/>
        <w:t xml:space="preserve">        de Nueva York, Estados Unidos de América, el día anterior al pago.</w:t>
        <w:br/>
        <w:br/>
        <w:t xml:space="preserve">   321.  Si  por  causas  atribuibles   a   los   beneficiarios   de   las</w:t>
        <w:br/>
        <w:t xml:space="preserve">        indemnizaciones o a sus derechohabientes no fuese posible el  pago</w:t>
        <w:br/>
        <w:t xml:space="preserve">        de las cantidades determinadas dentro de los plazos indicados,  el</w:t>
        <w:br/>
        <w:t xml:space="preserve">        Estado  consignará  dicho  monto  a  su  favor  en  una  cuenta  o</w:t>
        <w:br/>
        <w:t xml:space="preserve">        certificado de depósito en una institución financiera guatemalteca</w:t>
        <w:br/>
        <w:t xml:space="preserve">        solvente,  en  dólares  estadounidenses,  y  en  las   condiciones</w:t>
        <w:br/>
        <w:t xml:space="preserve">        financieras más  favorables  que  permitan  la  legislación  y  la</w:t>
        <w:br/>
        <w:t xml:space="preserve">        práctica bancaria. Si al cabo de diez años el monto asignado no ha</w:t>
        <w:br/>
        <w:t xml:space="preserve">        sido reclamado, las cantidades serán devueltas al Estado  con  los</w:t>
        <w:br/>
        <w:t xml:space="preserve">        intereses devengados.</w:t>
        <w:br/>
        <w:br/>
        <w:t xml:space="preserve">   322. Las  cantidades  asignadas  en  la  presente  Sentencia  bajo  los</w:t>
        <w:br/>
        <w:t xml:space="preserve">        conceptos de daño material e inmaterial y reintegro  de  costas  y</w:t>
        <w:br/>
        <w:t xml:space="preserve">        gastos  deberán  ser  entregadas  a  los  beneficiarios  en  forma</w:t>
        <w:br/>
        <w:t xml:space="preserve">        íntegra,  conforme  a  lo  establecido  en  esta  Sentencia,   sin</w:t>
        <w:br/>
        <w:t xml:space="preserve">        reducciones derivadas de eventuales cargas fiscales.</w:t>
        <w:br/>
        <w:br/>
        <w:t xml:space="preserve">   323. En caso de que el Estado  incurriera  en  mora,  deberá  pagar  un</w:t>
        <w:br/>
        <w:t xml:space="preserve">        interés sobre la  cantidad  adeudada  correspondiente  al  interés</w:t>
        <w:br/>
        <w:t xml:space="preserve">        bancario  moratorio  en  Guatemala.   Los   intereses   moratorios</w:t>
        <w:br/>
        <w:t xml:space="preserve">        empezarán a computarse luego del plazo de dos años a partir de  la</w:t>
        <w:br/>
        <w:t xml:space="preserve">        notificación de la presente Sentencia.</w:t>
        <w:br/>
        <w:br/>
        <w:br/>
        <w:br/>
        <w:t>XV</w:t>
        <w:br/>
        <w:t>PUNTOS RESOLUTIVOS</w:t>
        <w:br/>
        <w:br/>
        <w:br/>
        <w:br/>
        <w:t xml:space="preserve">   324. Por tanto,</w:t>
        <w:br/>
        <w:br/>
        <w:br/>
        <w:t>LA CORTE</w:t>
        <w:br/>
        <w:br/>
        <w:br/>
        <w:t>decide,</w:t>
        <w:br/>
        <w:br/>
        <w:t>por unanimidad,</w:t>
        <w:br/>
        <w:br/>
        <w:br/>
        <w:t xml:space="preserve">   1. Aceptar el reconocimiento de responsabilidad internacional efectuado</w:t>
        <w:br/>
        <w:t xml:space="preserve">      por el Estado, en los términos de los párrafos 17 a 28 del Fallo.</w:t>
        <w:br/>
        <w:br/>
        <w:t>2. Admitir la excepción preliminar interpuesta por el Estado sobre la  falta</w:t>
        <w:br/>
        <w:t xml:space="preserve">   de competencia temporal de la Corte Interamericana  de  Derechos  Humanos</w:t>
        <w:br/>
        <w:t xml:space="preserve">   para conocer de las violaciones de derechos humanos ocurridas  antes  del</w:t>
        <w:br/>
        <w:t xml:space="preserve">   reconocimiento de la competencia temporal de la Corte, en los términos de</w:t>
        <w:br/>
        <w:t xml:space="preserve">   los párrafos 29 a 39 de la presente Sentencia.</w:t>
        <w:br/>
        <w:br/>
        <w:br/>
        <w:t>DECLARA,</w:t>
        <w:br/>
        <w:br/>
        <w:t>por unanimidad que,</w:t>
        <w:br/>
        <w:br/>
        <w:t>1.    El Estado es responsable por la violación de los derechos  reconocidos</w:t>
        <w:br/>
        <w:t>en los artículos 3, 4.1, 5.1, 5.2, y 7.1 de la  Convención  Americana  sobre</w:t>
        <w:br/>
        <w:t>Derechos Humanos, en relación con el artículo 1.1 de  la  misma,  y  por  el</w:t>
        <w:br/>
        <w:t>incumplimiento de las obligaciones establecidas en el artículo  I.a)  de  la</w:t>
        <w:br/>
        <w:t>Convención  Interamericana  sobre  Desaparición  Forzada  de  Personas,   en</w:t>
        <w:br/>
        <w:t>perjuicio de Ramona Lajuj,  Manuel  Chen  Sánchez,  Aurelia  Alvarado  Ivoy,</w:t>
        <w:br/>
        <w:t>Cornelio Osorio Lajúj, Demetria Osorio Tahuico, Fermin Tum  Chén,  Francisco</w:t>
        <w:br/>
        <w:t>Chen Osorio, Francísco Sánchez Sic, Héctor  López  Osorio,  Jerónimo  Osorio</w:t>
        <w:br/>
        <w:t>Chen, Luciano Osorio Chen, Pablo Osorio Tahuico,  Pedro  Chén  Rojas,  Pedro</w:t>
        <w:br/>
        <w:t>López Osorio, Pedro Osorio Chén, Sebastiana Osorio Tahuico y  Soterio  Pérez</w:t>
        <w:br/>
        <w:t>Tum y, adicionalmente a dichos  artículos,  por  la  violación  del  derecho</w:t>
        <w:br/>
        <w:t>establecido en el artículo 19 de la Convención Americana,  en  relación  con</w:t>
        <w:br/>
        <w:t>el artículo 1.1 de la  misma,  en  perjuicio  de  Manuel  Chen  Sánchez,  de</w:t>
        <w:br/>
        <w:t>conformidad con lo expuesto en  los  párrafos  112  a  127  de  la  presente</w:t>
        <w:br/>
        <w:t>Sentencia.</w:t>
        <w:br/>
        <w:br/>
        <w:t>2.    El Estado es responsable por la violación de los derechos  reconocidos</w:t>
        <w:br/>
        <w:t>en los artículos 5.1, 11.1 y 11.2 de la Convención Americana sobre  Derechos</w:t>
        <w:br/>
        <w:t>Humanos, en relación con el artículo 1.1.  de  la  misma,  en  perjuicio  de</w:t>
        <w:br/>
        <w:t>María Eustaquia Uscap Ivoy, en los términos de los párrafos  131  a  135  de</w:t>
        <w:br/>
        <w:t>este Fallo.</w:t>
        <w:br/>
        <w:br/>
        <w:t>3.    El Estado es responsable de la violación de los  derechos  reconocidos</w:t>
        <w:br/>
        <w:t>en el artículo 5.1 de la Convención Americana  sobre  Derechos  Humanos,  en</w:t>
        <w:br/>
        <w:t>relación con los artículos 6, 17 y 1.1 de la misma, en  perjuicio  de  María</w:t>
        <w:br/>
        <w:t>Eustaquia Uscap Ivoy, y por  la  violación  del  derecho  reconocido  en  el</w:t>
        <w:br/>
        <w:t>artículo 5.1 de la Convención Americana, en relación con  los  artículos  6,</w:t>
        <w:br/>
        <w:t>17, 19 y 1.1 de la misma, en perjuicio de  Agustín  Chen  Osorio,  Celestina</w:t>
        <w:br/>
        <w:t>Uscap Ivoy, Cruz Pérez Osorio, Froilan Uscap Ivoy, Jesús Tecú  Osorio,  José</w:t>
        <w:br/>
        <w:t>Osorio Osorio, Juan Chen Chen, Juan Chen Osorio,  Juan  Pérez  Osorio,  Juan</w:t>
        <w:br/>
        <w:t>Uscap Ivoy, Juana Chen  Osorio,  Pedro  Sic  Sánchez,  Silveria  Lajuj  Tum,</w:t>
        <w:br/>
        <w:t>Tomasa  Osorio  Chen,  Florinda  Uscap  Ivoy  y  Juan  Osorio  Alvarado,  de</w:t>
        <w:br/>
        <w:t>conformidad con lo expuesto en los párrafos 139 a 150 de la Sentencia.</w:t>
        <w:br/>
        <w:br/>
        <w:t>4.    El Estado es responsable de la violación del derecho reconocido en  el</w:t>
        <w:br/>
        <w:t>artículo 5.1 de la Convención Americana sobre Derechos Humanos, en  relación</w:t>
        <w:br/>
        <w:t>con los artículos 12.1 y 1.1 de la misma, en perjuicio de  los  miembros  de</w:t>
        <w:br/>
        <w:t>la comunidad de Río Negro que viven en la colonia Pacux,  de  acuerdo  a  lo</w:t>
        <w:br/>
        <w:t>señalado en los párrafos 153 a 165 de esta Sentencia.</w:t>
        <w:br/>
        <w:br/>
        <w:t>5.    El Estado es responsable de la violación del derecho reconocido en  el</w:t>
        <w:br/>
        <w:t>artículo  22.1  de  la  Convención  Americana  sobre  Derechos  Humanos,  en</w:t>
        <w:br/>
        <w:t>relación  con  el  artículo  1.1  de  la  misma,   en   perjuicio   de   los</w:t>
        <w:br/>
        <w:t>sobrevivientes de las masacres de Río Negro que habitan  en  la  colonia  de</w:t>
        <w:br/>
        <w:t>Pacux, en los términos de lo indicado en los párrafos  172  a  184  de  este</w:t>
        <w:br/>
        <w:t>Fallo.</w:t>
        <w:br/>
        <w:br/>
        <w:t>6.    El Estado es responsable de la violación de los  derechos  reconocidos</w:t>
        <w:br/>
        <w:t>en los artículos 8.1 y  25.1  de  la  Convención  Americana  sobre  Derechos</w:t>
        <w:br/>
        <w:t>Humanos, en relación con el artículo 1.1  de  la  misma,  así  como  por  el</w:t>
        <w:br/>
        <w:t>incumplimiento de las obligaciones establecidas en los artículos 1,  6  y  8</w:t>
        <w:br/>
        <w:t>de la Convención Interamericana para Prevenir y  Sancionar  la  Tortura,  el</w:t>
        <w:br/>
        <w:t>artículo I.b) de la Convención Interamericana sobre Desaparición Forzada  de</w:t>
        <w:br/>
        <w:t>Personas, y el artículo 7.b de la Convención Interamericana  para  Prevenir,</w:t>
        <w:br/>
        <w:t>Sancionar y Erradicar la Violencia contra la  Mujer,  en  perjuicio  de  las</w:t>
        <w:br/>
        <w:t>víctimas  del  presente  caso,  en  sus   respectivas   circunstancias,   de</w:t>
        <w:br/>
        <w:t>conformidad con lo establecido en los párrafos 189 a 237 de esta Sentencia.</w:t>
        <w:br/>
        <w:br/>
        <w:t>7.    El Estado es responsable de la violación del derecho reconocido en  el</w:t>
        <w:br/>
        <w:t>artículo 5.1 de la Convención Americana sobre Derechos Humanos, en  relación</w:t>
        <w:br/>
        <w:t>con  el  artículo  1.1  de  dicho   instrumento,   en   perjuicio   de   los</w:t>
        <w:br/>
        <w:t>sobrevivientes de las masacres de Río Negro, en los términos de lo  indicado</w:t>
        <w:br/>
        <w:t>en los párrafos 240 a 244 de este Fallo.</w:t>
        <w:br/>
        <w:br/>
        <w:t>8.    El Estado no es responsable de la violación del derecho reconocido  en</w:t>
        <w:br/>
        <w:t>el artículo 16  de  la  Convención  Americana  sobre  Derechos  Humanos,  de</w:t>
        <w:br/>
        <w:t>conformidad con lo establecido en los párrafos 167 y 168 de esta Sentencia.</w:t>
        <w:br/>
        <w:br/>
        <w:br/>
        <w:br/>
        <w:t>Y DISPONE,</w:t>
        <w:br/>
        <w:br/>
        <w:t>por unanimidad que,</w:t>
        <w:br/>
        <w:br/>
        <w:t xml:space="preserve">                    1.  Esta  Sentencia  constituye  per  se  una  forma  de</w:t>
        <w:br/>
        <w:t xml:space="preserve">                       reparación.</w:t>
        <w:br/>
        <w:br/>
        <w:t>2. El Estado debe investigar, sin mayor dilación, de forma seria y  efectiva</w:t>
        <w:br/>
        <w:t xml:space="preserve">   los hechos que originaron  las  violaciones  declaradas  en  la  presente</w:t>
        <w:br/>
        <w:t xml:space="preserve">   Sentencia, con el propósito de juzgar y, eventualmente, sancionar  a  los</w:t>
        <w:br/>
        <w:t xml:space="preserve">   presuntos responsables, en los términos de los párrafos 257 a 262 de este</w:t>
        <w:br/>
        <w:t xml:space="preserve">   Fallo.</w:t>
        <w:br/>
        <w:br/>
        <w:t>3. El Estado debe  realizar  una  búsqueda  efectiva  del  paradero  de  las</w:t>
        <w:br/>
        <w:t xml:space="preserve">   víctimas desaparecidas forzadamente; elaborar un plan  riguroso  para  la</w:t>
        <w:br/>
        <w:t xml:space="preserve">   búsqueda de los miembros de  la  comunidad  de  Río  Negro  desaparecidos</w:t>
        <w:br/>
        <w:t xml:space="preserve">   forzadamente, así como para la localización, exhumación e  identificación</w:t>
        <w:br/>
        <w:t xml:space="preserve">   de las personas presuntamente  ejecutadas,  y  la  determinación  de  las</w:t>
        <w:br/>
        <w:t xml:space="preserve">   causas de muerte y posibles lesiones previas, e implementar un  banco  de</w:t>
        <w:br/>
        <w:t xml:space="preserve">   información genética, de conformidad con lo establecido en  los  párrafos</w:t>
        <w:br/>
        <w:t xml:space="preserve">   265 a 271 de esta Sentencia.</w:t>
        <w:br/>
        <w:br/>
        <w:t>4. El Estado debe realizar las publicaciones indicadas en los  párrafos  274</w:t>
        <w:br/>
        <w:t xml:space="preserve">   y 275 del presente Fallo.</w:t>
        <w:br/>
        <w:br/>
        <w:t>5.  El  Estado  debe  realizar  un  acto  público   de   reconocimiento   de</w:t>
        <w:br/>
        <w:t xml:space="preserve">   responsabilidad internacional  por  los  hechos  del  presente  caso,  de</w:t>
        <w:br/>
        <w:t xml:space="preserve">   conformidad con lo establecido  en  los   párrafos  277  y  278  de  esta</w:t>
        <w:br/>
        <w:t xml:space="preserve">   Sentencia.</w:t>
        <w:br/>
        <w:br/>
        <w:t>6. El Estado debe realizar las obras de infraestructura y servicios  básicos</w:t>
        <w:br/>
        <w:t xml:space="preserve">   a favor de los miembros de la comunidad de Río Negro que  residen  en  la</w:t>
        <w:br/>
        <w:t xml:space="preserve">   colonia Pacux, en los términos de lo  señalado  en  el  párrafo  284  del</w:t>
        <w:br/>
        <w:t xml:space="preserve">   presente Fallo.</w:t>
        <w:br/>
        <w:br/>
        <w:t>7. El Estado debe diseñar e implementar un proyecto para el  rescate  de  la</w:t>
        <w:br/>
        <w:t xml:space="preserve">   cultura maya Achí, de conformidad con lo establecido en el párrafo 285 de</w:t>
        <w:br/>
        <w:t xml:space="preserve">   esta Sentencia.</w:t>
        <w:br/>
        <w:br/>
        <w:t>8. El Estado debe brindar tratamiento médico y psicológico  a  las  víctimas</w:t>
        <w:br/>
        <w:t xml:space="preserve">   del presente caso, de acuerdo a lo señalado en los párrafos 287 a 289 del</w:t>
        <w:br/>
        <w:t xml:space="preserve">   presente Fallo.</w:t>
        <w:br/>
        <w:br/>
        <w:t>9. El Estado debe pagar las cantidades fijadas en los párrafos 309 y 317  de</w:t>
        <w:br/>
        <w:t xml:space="preserve">   la  presente  Sentencia,  por  concepto  de  indemnizaciones  por   daños</w:t>
        <w:br/>
        <w:t xml:space="preserve">   materiales e inmateriales, y por el reintegro de costas y gastos, en  los</w:t>
        <w:br/>
        <w:t xml:space="preserve">   términos de los referidos párrafos y de los párrafos 318 a  323  de  este</w:t>
        <w:br/>
        <w:t xml:space="preserve">   Fallo.</w:t>
        <w:br/>
        <w:br/>
        <w:t>10. El Estado debe establecer un mecanismo adecuado para que otros  miembros</w:t>
        <w:br/>
        <w:t xml:space="preserve">   de la comunidad de  Río  Negro  posteriormente  puedan  ser  considerados</w:t>
        <w:br/>
        <w:t xml:space="preserve">   víctimas de alguna violación de derechos humanos declarada en este Fallo,</w:t>
        <w:br/>
        <w:t xml:space="preserve">   y  reciban  reparaciones  individuales  y  colectivas  como  las  que  se</w:t>
        <w:br/>
        <w:t xml:space="preserve">   ordenaron en esta Sentencia, de conformidad con los párrafos 251 a 253 de</w:t>
        <w:br/>
        <w:t xml:space="preserve">   la misma.</w:t>
        <w:br/>
        <w:br/>
        <w:t>11. El Estado debe, dentro del plazo de  un  año  contado  a  partir  de  la</w:t>
        <w:br/>
        <w:t xml:space="preserve">   notificación de esta Sentencia,  rendir  a  la  Corte  Interamericana  de</w:t>
        <w:br/>
        <w:t xml:space="preserve">   Derechos Humanos un informe sobre las medidas adoptadas para cumplir  con</w:t>
        <w:br/>
        <w:t xml:space="preserve">   la misma.</w:t>
        <w:br/>
        <w:br/>
        <w:t>12.  La  Corte  supervisará  el  cumplimiento  íntegro  de  este  Fallo,  en</w:t>
        <w:br/>
        <w:t xml:space="preserve">   ejercicio de sus atribuciones y en cumplimiento de sus deberes conforme a</w:t>
        <w:br/>
        <w:t xml:space="preserve">   la Convención Americana, y dará por concluido el presente  caso  una  vez</w:t>
        <w:br/>
        <w:t xml:space="preserve">   que el Estado haya dado cabal cumplimiento a lo dispuesto en el mismo.</w:t>
        <w:br/>
        <w:br/>
        <w:t>Redactada en español e inglés, haciendo fe  el  texto  en  español,  en  San</w:t>
        <w:br/>
        <w:t>José, Costa Rica, el 4 de septiembre de 2012.</w:t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t>Manuel Ventura Robles                              Leonardo A. Franco</w:t>
        <w:br/>
        <w:br/>
        <w:br/>
        <w:br/>
        <w:br/>
        <w:br/>
        <w:t>Rhadys Abreu Blondet                     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Diego García Sayán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br/>
        <w:br/>
        <w:t>Anexo I. Personas presuntamente ejecutadas durante la Masacre de la Capilla</w:t>
        <w:br/>
        <w:t>de Río Negro y en las ejecuciones de 8 de julio de 1980[374]</w:t>
        <w:br/>
        <w:t>|Calixto Chen                                                     |</w:t>
        <w:br/>
        <w:t>|Francisco Túm Uscap                                              |</w:t>
        <w:br/>
        <w:t>|Jesus Alvarado Ixpatá                                            |</w:t>
        <w:br/>
        <w:t>|Maxima Chén                                                      |</w:t>
        <w:br/>
        <w:t>|Santos Oswaldo López Ixpatá                                      |</w:t>
        <w:br/>
        <w:t>|Mateo Uscap Chén                                                 |</w:t>
        <w:br/>
        <w:t>|Mateo Ixpatá Jerónimo                                            |</w:t>
        <w:br/>
        <w:t>|Valeriano Osorio Chén                                            |</w:t>
        <w:br/>
        <w:t>|Evaristo Osorio                                                  |</w:t>
        <w:br/>
        <w:br/>
        <w:br/>
        <w:br/>
        <w:br/>
        <w:br/>
        <w:br/>
        <w:br/>
        <w:br/>
        <w:br/>
        <w:br/>
        <w:br/>
        <w:br/>
        <w:br/>
        <w:t>Anexo II. Personas presuntamente ejecutadas durante la Masacre de Xococ</w:t>
        <w:br/>
        <w:br/>
        <w:br/>
        <w:br/>
        <w:br/>
        <w:t>|Avelino Sánchez Chen            |Juana Ismalej                   |</w:t>
        <w:br/>
        <w:t>|Agustin Osorío                  |Laureano Tecú                   |</w:t>
        <w:br/>
        <w:t>|Agustín Osorio Sánchez          |Lorenzo Osorio                  |</w:t>
        <w:br/>
        <w:t>|Alberto Lajúj Túm               |Lorenzo Osorio Chén             |</w:t>
        <w:br/>
        <w:t>|Alejandro Sanchez Chén          |Lucas Osorio Chen               |</w:t>
        <w:br/>
        <w:t>|Andrés Chén Osorio              |Luciana Iboy Osorio             |</w:t>
        <w:br/>
        <w:t>|Andres Sanchez Ixpatá           |Luis Iboy Sánchez               |</w:t>
        <w:br/>
        <w:t>|Andres Tun Sanchez              |Luis Osorio Chén[375]           |</w:t>
        <w:br/>
        <w:t>|Antonio Chen                    |Magdalena Osorio Sánchez        |</w:t>
        <w:br/>
        <w:t>|Balvino Uscap Ivoy              |Martin López Osorio             |</w:t>
        <w:br/>
        <w:t>|Camila Chen Chen                |Martína Osorio Chen             |</w:t>
        <w:br/>
        <w:t>|Cayetano Osorio Chen            |Mateo Osorío                    |</w:t>
        <w:br/>
        <w:t>|Ciriaco Lopez Chen              |Matias Tecú Chen                |</w:t>
        <w:br/>
        <w:t>|Ciriaco Sánchez Osorio          |Nicolas Chén                    |</w:t>
        <w:br/>
        <w:t>|Clemente Sanchez Osorio         |Pablo Chen                      |</w:t>
        <w:br/>
        <w:t>|Crispín Tún Ivoy                |Pablo Osorio Chén               |</w:t>
        <w:br/>
        <w:t>|Damacio Osorio Ixpatá           |Pablo Tun Chen                  |</w:t>
        <w:br/>
        <w:t>|Domingo Osorio Sic              |Pascual Sánchez Osorio          |</w:t>
        <w:br/>
        <w:t>|Doroteo Osorio                  |Patricia Chen Chén              |</w:t>
        <w:br/>
        <w:t>|Esteban Chen Tecú               |Patrocinio Osorio Chen          |</w:t>
        <w:br/>
        <w:t>|Esteban Osorio Burrero          |Pedro Iboy Chen                 |</w:t>
        <w:br/>
        <w:t>|Evaristo Alvarado               |Pedro Iboy Osorio               |</w:t>
        <w:br/>
        <w:t>|Feliciano Chen                  |Pedro Ivóy Osorio               |</w:t>
        <w:br/>
        <w:t>|Felipe Sanchez Osorio           |Raymundo Osorio Yxpatá          |</w:t>
        <w:br/>
        <w:t>|Felisa Osorio Chen              |Rosendo Sic                     |</w:t>
        <w:br/>
        <w:t>|Felix Chén                      |Rufino Chen Chen                |</w:t>
        <w:br/>
        <w:t>|Felix Osorio                    |Ruperto Yboy Chen               |</w:t>
        <w:br/>
        <w:t>|Fernando Lajúj Toj              |Santiago Lajúj Jerónimo         |</w:t>
        <w:br/>
        <w:t>|Gregorio Osorio                 |Santiago Sanchez Chen           |</w:t>
        <w:br/>
        <w:t>|Gregorio Osorio Lajúj           |Secundíno Uscap Chén            |</w:t>
        <w:br/>
        <w:t>|Guillermo Osorio Lajúj          |Soterio Sánchez Chén            |</w:t>
        <w:br/>
        <w:t>|Guillermo Sanchez               |Tereso Osorio Chen              |</w:t>
        <w:br/>
        <w:t>|Gustavo Osorio Sic              |Timoteo Chen Sanchez            |</w:t>
        <w:br/>
        <w:t>|Hilaria Sic Sic                 |Tomas Lajuj Chén                |</w:t>
        <w:br/>
        <w:t>|Ignacio Chen Osorio             |Toribio Lajuj Chén              |</w:t>
        <w:br/>
        <w:t>|Jesus Osorio                    |Valentin Perez Gonzalez         |</w:t>
        <w:br/>
        <w:t>|Jesusa Ivoy Sanches             |Venancio Sanchez                |</w:t>
        <w:br/>
        <w:t>|José Virgilio Sucup Sucup       |Vicente Chén Tecú               |</w:t>
        <w:br/>
        <w:t>|Juan Chén Ixpatá                |Victor Lajuj Chen               |</w:t>
        <w:br/>
        <w:t>|Juan Cuxúm Sic                  |Victoriano Cahuec López         |</w:t>
        <w:br/>
        <w:t>|Juan Pablo Osorio               |                                |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Anexo III. Personas presuntamente ejecutadas durante la  Masacre  del  Cerro</w:t>
        <w:br/>
        <w:t>de Pacoxom</w:t>
        <w:br/>
        <w:br/>
        <w:t>|Adela Lajuj Osorio             |Juana Ivoy Sánchez              |</w:t>
        <w:br/>
        <w:t>|Adelia Osorio Ivoy             |Juana Nicha Sánchez Pérez       |</w:t>
        <w:br/>
        <w:t>|Alberta Ivoy Sanchez           |Juana Osorio Chén[376]          |</w:t>
        <w:br/>
        <w:t>|Alejandra Osorio Chen          |Juana Osorio Chén[377]          |</w:t>
        <w:br/>
        <w:t>|Ana Maria Chen Osorio          |Juana Osorio Sánchez            |</w:t>
        <w:br/>
        <w:t>|Anastacía Chen Sánchez         |Juana Perez Hernandez           |</w:t>
        <w:br/>
        <w:t>|Anastacia Osorio Iboy          |Juana Tecú Osorio               |</w:t>
        <w:br/>
        <w:t>|Anastacia Tecú Sánchez         |Juana Tum Sanchez               |</w:t>
        <w:br/>
        <w:t>|Anastacio Tecú Osorio          |Julia Martina Chen Sánchez      |</w:t>
        <w:br/>
        <w:t>|Andelez Chen Osorio            |Julia Osorio                    |</w:t>
        <w:br/>
        <w:t>|Andres Iboy                    |Julia Sanchez Chen              |</w:t>
        <w:br/>
        <w:t>|Angela Sánchez Chén            |Juliana Chen                    |</w:t>
        <w:br/>
        <w:t>|Aníbal Tum Osorio              |Juliana Iboy Sánchez            |</w:t>
        <w:br/>
        <w:t>|Antonia Ismalej Cuxúm          |Juliana Uscap Chen              |</w:t>
        <w:br/>
        <w:t>|Antonio Chén Iboy              |Justa Osorio Sic                |</w:t>
        <w:br/>
        <w:t>|Arcadio Chen Osorio            |Leocadio Tum Sánchez            |</w:t>
        <w:br/>
        <w:t>|Arcadio Sánchez Gonzalez       |Lorenzo Osorio Sic              |</w:t>
        <w:br/>
        <w:t>|Arnulfo Osorio Chen            |Lucia Osorio Mendoza            |</w:t>
        <w:br/>
        <w:t>|Basilio Osorio Sánchez         |Lucia Sánchez Pérez             |</w:t>
        <w:br/>
        <w:t>|Bernarda Chén Osorio           |Lucía Sánchez Iboy              |</w:t>
        <w:br/>
        <w:t>|Bonifacio López Osorio         |Luis Osorio Chén[378]           |</w:t>
        <w:br/>
        <w:t>|Candelaria Pérez Osorio        |Magdalena Lajuj Ruiz            |</w:t>
        <w:br/>
        <w:t>|Carmelina Cuxum Lajuj          |Magdalena Osorio Chén           |</w:t>
        <w:br/>
        <w:t>|Carmen Osorio Chén             |Manuel Osorio Chen              |</w:t>
        <w:br/>
        <w:t>|Catarina Ivoy Sánchez          |Marcela Chen                    |</w:t>
        <w:br/>
        <w:t>|Catarino Chen Tecú             |Marcela Ivoy Osorio             |</w:t>
        <w:br/>
        <w:t>|Cesario Osorio Ivoy            |Marcela Osorio Chen             |</w:t>
        <w:br/>
        <w:t>|Ciriaca Chen Chen              |Marcelo Tecú Osorio             |</w:t>
        <w:br/>
        <w:t>|Ciriaca Osorio Osorio          |Margarita Chen Chen             |</w:t>
        <w:br/>
        <w:t>|Clementina Osorio              |Margarita Chen Uscap            |</w:t>
        <w:br/>
        <w:t>|Cleotilde Osorio Chen          |Margarita Sánchez               |</w:t>
        <w:br/>
        <w:t>|Crispina Chen Sánchez          |Margarita Sánchez Chén          |</w:t>
        <w:br/>
        <w:t>|Cristina Sánchez González      |María del Rosario Osorio Chen   |</w:t>
        <w:br/>
        <w:t>|Delfina Chen Osorio            |Maria Dolores Chén Osorio       |</w:t>
        <w:br/>
        <w:t>|Demetria Osorio Lajúj          |María Luiza Osorio Sánchez      |</w:t>
        <w:br/>
        <w:t>|Demetrio Osorio Chen           |Maria Pedrina Gonzalez Tecú     |</w:t>
        <w:br/>
        <w:t>|Dominga Chen                   |Martha Julia Chen Osorio        |</w:t>
        <w:br/>
        <w:t>|Dominga Ivoy Chen              |Matilde Osorio Chen             |</w:t>
        <w:br/>
        <w:t>|Dominga Sanchez Chén           |Micaela Osorio Osorio           |</w:t>
        <w:br/>
        <w:t>|Dominga Tecú Osorio            |Miguel Angel Pérez Osorio       |</w:t>
        <w:br/>
        <w:t>|Dorotea Chen Osorio            |Miguel Osorio Chen              |</w:t>
        <w:br/>
        <w:t>|Elena Osorio Chen              |Narcisa Chén                    |</w:t>
        <w:br/>
        <w:t>|Eligia Chén Osorio             |Narcisa Chen Osorio             |</w:t>
        <w:br/>
        <w:t>|Emiliano Pérez Osorio          |Narcisa Osorio López            |</w:t>
        <w:br/>
        <w:t>|Emilio Sic Chen                |Nazaria Sanchez                 |</w:t>
        <w:br/>
        <w:t>|Enriqueta Chen Iboy            |Nicolas Osorio Sánchez          |</w:t>
        <w:br/>
        <w:t>|Esperanza Pérez Ivoy           |Pablo Osorio Sánchez            |</w:t>
        <w:br/>
        <w:t>|Estefana Tecú León             |Pablo Sánchez                   |</w:t>
        <w:br/>
        <w:t>|Eugenia Osorio Chen            |Patrocinio Tecú León            |</w:t>
        <w:br/>
        <w:t>|Eugenia Teletor Perez          |Paula Chén                      |</w:t>
        <w:br/>
        <w:t>|Eulalia Chen Osorio            |Paula Perez                     |</w:t>
        <w:br/>
        <w:t>|Eusebia Osorio                 |Paulina Iboy Osorio             |</w:t>
        <w:br/>
        <w:t>|Eusebio Chen López             |Pedrina Osorio Pérez            |</w:t>
        <w:br/>
        <w:t>|Felipa Osorio Chén             |Petronila Cahuec Osorio         |</w:t>
        <w:br/>
        <w:t>|Felipe Chen                    |Petronila Osorio Iboy           |</w:t>
        <w:br/>
        <w:t>|Felisa Tun Osorio              |Petronila Sánchez               |</w:t>
        <w:br/>
        <w:t>|Floridalma Elvira Sanchez Chen |Reginaldo Sánchez González      |</w:t>
        <w:br/>
        <w:t>|Florinda Sánchez Chen          |Rosa Sánchez Osorio             |</w:t>
        <w:br/>
        <w:t>|Francisco Sánchez López        |Sabina Tecú Osorio              |</w:t>
        <w:br/>
        <w:t>|Francisco Síc Chen             |Santa Eduarda Chen Chen         |</w:t>
        <w:br/>
        <w:t>|Gabina Sic Siana               |Santos Ines Sánchez Pérez       |</w:t>
        <w:br/>
        <w:t>|Gabriel Tun Osorio             |Santiago Chen Osorio            |</w:t>
        <w:br/>
        <w:t>|Gilberto Osorio Chén           |Santos Joaquina Osorio Mendoza  |</w:t>
        <w:br/>
        <w:t>|Gregoria Alvarado Gonzalez     |Santos Sánchez López            |</w:t>
        <w:br/>
        <w:t>|Gregorio Chén Chén             |Silveria Alvarado Ivoy          |</w:t>
        <w:br/>
        <w:t>|Guillerma Osorio Chén          |Silveria Osorio Ivoy            |</w:t>
        <w:br/>
        <w:t>|Herlinda Lajuj Ivoy            |Silveria Sic Sánchez            |</w:t>
        <w:br/>
        <w:t>|Higinia Chén Ixpatá            |Silveria Osorio Chen            |</w:t>
        <w:br/>
        <w:t>|Hilaria Chen Chen              |Timotea Osorio Chen             |</w:t>
        <w:br/>
        <w:t>|Hortensia Uscap Teletor        |Tomasa López Ixpatá             |</w:t>
        <w:br/>
        <w:t>|Irma Osorio Ivoy               |Tomasa Osorio Chen              |</w:t>
        <w:br/>
        <w:t>|Isabel Osorio                  |Tomasa Tecú Osorio              |</w:t>
        <w:br/>
        <w:t>|Isabel Osorio Chen             |Toribia Cuxúm Osorio            |</w:t>
        <w:br/>
        <w:t>|Isabel Sanchez Chen            |Tranquilina Osorio Chen         |</w:t>
        <w:br/>
        <w:t>|Israel Ivoy Sánchez            |Ubaldo Ivoy Sánchez             |</w:t>
        <w:br/>
        <w:t>|Jaime Tecú Osorio              |Valeria Sic Perez               |</w:t>
        <w:br/>
        <w:t>|Javier Chen Chen               |Vicenta Chen Osorio             |</w:t>
        <w:br/>
        <w:t>|Jesus Tecú León                |Vicenta Ivoy Chén               |</w:t>
        <w:br/>
        <w:t>|Jesusa Sánchez Pérez           |Vicenta Lajuj Chén              |</w:t>
        <w:br/>
        <w:t>|José Chen Uscap                |Vicenta Tecú Sánchez            |</w:t>
        <w:br/>
        <w:t>|Juán Chén Tecú                 |Victor Osorio Chen              |</w:t>
        <w:br/>
        <w:t>|Juan Ivoy Sánchez              |Victoriana Osorio Sic           |</w:t>
        <w:br/>
        <w:t>|Juana Chen Osorio              |                                |</w:t>
        <w:br/>
        <w:br/>
        <w:br/>
        <w:br/>
        <w:br/>
        <w:t>Anexo IV. Personas  presuntamente  ejecutadas  durante  la  Masacre  de  Los</w:t>
        <w:br/>
        <w:t>Encuentros</w:t>
        <w:br/>
        <w:br/>
        <w:t>|Andrea Sánchez Síc             |Mariano Alvarado Ivoy           |</w:t>
        <w:br/>
        <w:t>|Angela Sánchez Sic             |Marina Chen Lajuj               |</w:t>
        <w:br/>
        <w:t>|Benita Osorio Osorio           |Marta Elena Chen Ivoy           |</w:t>
        <w:br/>
        <w:t>|Carlos Chen Osorio             |Martina Chén Chén               |</w:t>
        <w:br/>
        <w:t>|Cristina Lajuj Osorio          |Martina Rojas                   |</w:t>
        <w:br/>
        <w:t>|Daniel Chen Osorio             |Paula Osorio Chén               |</w:t>
        <w:br/>
        <w:t>|Eulalia Pérez Túm              |Paulina Chén Osorio             |</w:t>
        <w:br/>
        <w:t>|Gregoria Chen Osorio           |Pedrina Lajuj Ivoy              |</w:t>
        <w:br/>
        <w:t>|Gregoria Lajuj Toj             |Pedro Chen                      |</w:t>
        <w:br/>
        <w:t>|Hilaria Chén Iboy              |Petrona Chen                    |</w:t>
        <w:br/>
        <w:t>|Joaquin Chen Ivoy              |Petronilo Osorio Tahuico        |</w:t>
        <w:br/>
        <w:t>|Jose Osorio Valey              |Pilar Chen Ivoy                 |</w:t>
        <w:br/>
        <w:t>|Juam Osorio Chen               |Refugia Sic Siana               |</w:t>
        <w:br/>
        <w:t>|Juan Osorio Lajuj              |Roberto López Chén              |</w:t>
        <w:br/>
        <w:t>|Juana Chen Osorio              |Roman Osorio Chen               |</w:t>
        <w:br/>
        <w:t>|Juliana Lajúj Túm              |Rosa Alvarado Ivoy              |</w:t>
        <w:br/>
        <w:t>|Julio Chén Ivoy                |Santos Timoteo Lajuj Tum        |</w:t>
        <w:br/>
        <w:t>|Magdalena Chen                 |Sebastiana Ivoy Sic             |</w:t>
        <w:br/>
        <w:t>|Marcelo Pérez Tum              |Tomas Osorio Tahuico            |</w:t>
        <w:br/>
        <w:t>|María Dolores Sic Siana        |Vacilio Laju Sanches            |</w:t>
        <w:br/>
        <w:t>|Maria López López              |Victoriana Yvoy Osorio          |</w:t>
        <w:br/>
        <w:t>|Maria Margarita Túm Iboy       |Vilma López Chen                |</w:t>
        <w:br/>
        <w:t>|María Rafaela Tahuico Morales  |                                |</w:t>
        <w:br/>
        <w:br/>
        <w:br/>
        <w:br/>
        <w:br/>
        <w:t>Anexo V. Personas presuntamente ejecutadas durante la Masacre de Agua Fría</w:t>
        <w:br/>
        <w:br/>
        <w:br/>
        <w:t xml:space="preserve">        |Alejandro Sic Lajuj             |Julio Enríquez López           |</w:t>
        <w:br/>
        <w:t>|Ana Sánchez Sic                 |Leonarda Sic Hernández         |</w:t>
        <w:br/>
        <w:t>|Anastacia Cuxum Lajuj           |Leonardo Sic Sic               |</w:t>
        <w:br/>
        <w:t>|Angela Enriquez Mendoza         |Lucía Sic Sánchez              |</w:t>
        <w:br/>
        <w:t>|Antonia Sic Alvarado            |Lucia Sic Sic                  |</w:t>
        <w:br/>
        <w:t>|Antonio Sic Sis                 |Luisa Sánchez Chen             |</w:t>
        <w:br/>
        <w:t>|Benito Sic Alvarado             |Marcelo Sic Ixquem             |</w:t>
        <w:br/>
        <w:t>|Castulo Sic Sis                 |Margarita Sánchez Ivoy         |</w:t>
        <w:br/>
        <w:t>|Catalina Rafael Tepáz           |María Celestina Síc Lajuj      |</w:t>
        <w:br/>
        <w:t>|Ciriaca Pérez Osorio            |María Crúz Lajuj Alvarado      |</w:t>
        <w:br/>
        <w:t>|Cristina Sic Alvarado           |Maria Felipa Sic Sic           |</w:t>
        <w:br/>
        <w:t>|Cruz Alvarado Sic               |María Herlinda Sic Enriquez    |</w:t>
        <w:br/>
        <w:t>|Cruz Sánchez Chen               |María Isabel Sic Sic           |</w:t>
        <w:br/>
        <w:t>|Cruz Sic Lajuj                  |Maria Leonarda Sic Sic (Leona  |</w:t>
        <w:br/>
        <w:t>|                                |Sic Sic)                       |</w:t>
        <w:br/>
        <w:t>|Cruz Sic Sic                    |María Mercedes Cuxúm Sánchez   |</w:t>
        <w:br/>
        <w:t>|Demetrio Síc Alvarado           |María Ramona Síc Síc           |</w:t>
        <w:br/>
        <w:t>|Eduardo Cuxum Sánchez           |Maria Sic Cahuec               |</w:t>
        <w:br/>
        <w:t>|Elena Sic Lajuj                 |Matilde Sic Lajuj              |</w:t>
        <w:br/>
        <w:t>|Emiliana Sic Cuxum              |Nemesia Hernández López        |</w:t>
        <w:br/>
        <w:t>|Eusebia Sic Ysmalej             |Nolberto Sánchez Ivoy          |</w:t>
        <w:br/>
        <w:t>|Eusebio de Jesús Cuxúm Sánchez  |Pablo Síc Síc                  |</w:t>
        <w:br/>
        <w:t>|Eusebio Sic Lajuj               |Pascual Sic Lajuj              |</w:t>
        <w:br/>
        <w:t>|Fermín Sic Sis                  |Petronila Sanchez Osorio       |</w:t>
        <w:br/>
        <w:t>|Fermina Alvarado González       |Rafaela Ivoy Uscap             |</w:t>
        <w:br/>
        <w:t>|Francisca Cuxum Sanchez         |Román Sic Alvarado             |</w:t>
        <w:br/>
        <w:t>|Francisca Lopez                 |Rosa Cuxúm Alvarado            |</w:t>
        <w:br/>
        <w:t>|Francisca Sic Alvarado          |Rosa Rafael                    |</w:t>
        <w:br/>
        <w:t>|Francisca Sic Osorio            |Santiago Sanchez               |</w:t>
        <w:br/>
        <w:t>|Francisco Rafael Cuxúm          |Santiago Sic Rafael            |</w:t>
        <w:br/>
        <w:t>|Francisco Sic Ismalej           |Santos Elena Sic Lajuj         |</w:t>
        <w:br/>
        <w:t>|Gregoria Sic Alvarado           |Santos Iberta Cuxum Sánchez    |</w:t>
        <w:br/>
        <w:t>|Higinia Sic Sis                 |Saturnino Sic Sic              |</w:t>
        <w:br/>
        <w:t>|Inocente Sánchez Sic            |Sebastian Sic Alvarado         |</w:t>
        <w:br/>
        <w:t>|Ismael Sic Cuxúm                |Serapia Rafael Lajuj           |</w:t>
        <w:br/>
        <w:t>|Jesús Sic Osorio                |Serapia Sic Sic                |</w:t>
        <w:br/>
        <w:t>|Jorge Síc Hernández             |Tereso Sic Alvarado            |</w:t>
        <w:br/>
        <w:t>|José Sic                        |Tereso Sic Cuxum               |</w:t>
        <w:br/>
        <w:t>|Juán Osorio Chen                |Tereso Sic López               |</w:t>
        <w:br/>
        <w:t>|Juan Sic                        |Tomás Cuxúm Lajuj              |</w:t>
        <w:br/>
        <w:t>|Juán Sic Sic                    |Tomasa Rafael Lajuj            |</w:t>
        <w:br/>
        <w:t>|Juana Cuxum Lajuj               |Valerio Sic Isquém             |</w:t>
        <w:br/>
        <w:t>|Juana Sic Enriquez              |Vicenta Sánchez Ivoy           |</w:t>
        <w:br/>
        <w:t>|Juana Túm Sánchez               |Victor Sic Sic                 |</w:t>
        <w:br/>
        <w:t>|Juliana Chén Alvarado           |Zenon Sic Hernández            |</w:t>
        <w:br/>
        <w:t>|Juliana Osorio Chen             |</w:t>
        <w:br/>
        <w:br/>
        <w:br/>
        <w:br/>
        <w:br/>
        <w:t>Anexo VI. Sobrevivientes</w:t>
        <w:br/>
        <w:br/>
        <w:t>|Abelina Iboy Osorio                       |José Osorio Sic             |</w:t>
        <w:br/>
        <w:t>|Abelino Sic Iboy                          |Josefa Ixpatá Chen          |</w:t>
        <w:br/>
        <w:t>|Abundio Osorio Vargas                     |Juan Chen[379]              |</w:t>
        <w:br/>
        <w:t>|Adela Osorio Sic                          |Juan Chen Chen[380]         |</w:t>
        <w:br/>
        <w:t>|Agripina Lajuj Alvarado                   |Juan Chen Chen[381]         |</w:t>
        <w:br/>
        <w:t>|Agustín Chen Sánchez                      |Juán Chén Osorío            |</w:t>
        <w:br/>
        <w:t>|Agustín Iboy Osorio                       |Juan Osorio Alvarado        |</w:t>
        <w:br/>
        <w:t>|Agustina Chen                             |Juan Osorio Chen            |</w:t>
        <w:br/>
        <w:t>|Agustina Osorio Yxpatá                    |Juan Osorío Ixpatá          |</w:t>
        <w:br/>
        <w:t>|Alberta Alvarado Sic                      |Juan Osorio Lajuj           |</w:t>
        <w:br/>
        <w:t>|Alberta Chen                              |Juan Osorio Sánchez         |</w:t>
        <w:br/>
        <w:t>|Alberta Uscap Chen                        |Juan Sánchez                |</w:t>
        <w:br/>
        <w:t>|Alberto Chen                              |Juan Sanchez Osorio         |</w:t>
        <w:br/>
        <w:t>|Alberto Sánchez Chén                      |Juan Uscap Ivoy             |</w:t>
        <w:br/>
        <w:t>|Alejandra Chén Chén                       |Juana Chen Ixpatá           |</w:t>
        <w:br/>
        <w:t>|Alejandra Mendoza Sic                     |Juana Chen Osorio           |</w:t>
        <w:br/>
        <w:t>|Alejandra Uscap Chen                      |Juana Enriquez López        |</w:t>
        <w:br/>
        <w:t>|Alejandro Chen González                   |Juana Lajuj Osorio          |</w:t>
        <w:br/>
        <w:t>|Alejandro Lajuj Alvarado                  |Juana Osorio Chen[382]      |</w:t>
        <w:br/>
        <w:t>|Alejandro Lajuj Chen                      |Juana Osorio Sánchez        |</w:t>
        <w:br/>
        <w:t>|Alfonso Osorio Osorio                     |Juana Osorio Síc            |</w:t>
        <w:br/>
        <w:t>|Alfredo Chen Iboy                         |Juana Osorio Vargas         |</w:t>
        <w:br/>
        <w:t>|Alfredo Chen Uscap                        |Juana Sanchez Chen          |</w:t>
        <w:br/>
        <w:t>|Alfredo Lajuj Osorio                      |Juana Síc Sís               |</w:t>
        <w:br/>
        <w:t>|Ambrocia Mendoza Sic                      |Juana Túm Cahuec            |</w:t>
        <w:br/>
        <w:t>|Ana Iboy Sánchez                          |Juana Tun Chen              |</w:t>
        <w:br/>
        <w:t>|Anastacia Alvarado Sic                    |Julia Lajúj Chén            |</w:t>
        <w:br/>
        <w:t>|Anastacio Tun Chen                        |Julia Maria Osorio Chén     |</w:t>
        <w:br/>
        <w:t>|Anastacio Tun Sánchez                     |Julía Síc                   |</w:t>
        <w:br/>
        <w:t>|Anastasio Osorio Chen                     |Julián Sanchez Chen         |</w:t>
        <w:br/>
        <w:t>|Andrés Sánchez Chen                       |Julian Sanchez Osorio       |</w:t>
        <w:br/>
        <w:t>|Angel Chen Pérez                          |Julian Síc López            |</w:t>
        <w:br/>
        <w:t>|Angela Alvarado Chén                      |Juliana Alvarado González   |</w:t>
        <w:br/>
        <w:t>|Angela Mendoza Sic                        |Juliana Chen Ismalej        |</w:t>
        <w:br/>
        <w:t>|Angela Osorio Sánchez                     |Juliana Yxpata              |</w:t>
        <w:br/>
        <w:t>|Anibal Sánchez Uscap                      |Julio Chen y Chen           |</w:t>
        <w:br/>
        <w:t>|Anselmo Osorio Lajuj                      |Julio Tecú Chén             |</w:t>
        <w:br/>
        <w:t>|Antonia Osorio Pérez                      |Justa Lajuj Jerónimo        |</w:t>
        <w:br/>
        <w:t>|Antonia Osorio Sánchez[383]               |Justina Chén Chén           |</w:t>
        <w:br/>
        <w:t>|Antonia Osorio Sanchez[384]               |Laura Tecú Osorio           |</w:t>
        <w:br/>
        <w:t>|Antonio Osorio Lajuj                      |Leona López                 |</w:t>
        <w:br/>
        <w:t>|Antonio Sánchez Sánchez                   |Leona Sic Sic               |</w:t>
        <w:br/>
        <w:t>|Ascención Chen Chen                       |Leonardo Sánchez Sánchez    |</w:t>
        <w:br/>
        <w:t>|Ascención Chén Iboy                       |Leoncía Sanchez Chen        |</w:t>
        <w:br/>
        <w:t>|Ascención Osorio Túm                      |Luciano Alvarado Síc        |</w:t>
        <w:br/>
        <w:t>|Ascención Salvador Chen Chen              |Luis Enrique Osorio Chen    |</w:t>
        <w:br/>
        <w:t>|Aurelia Alvarado Sic                      |Luis Osorio Sánchez         |</w:t>
        <w:br/>
        <w:t>|Bartolomé Chen Tum                        |Luisa Lajuj Osorio          |</w:t>
        <w:br/>
        <w:t>|Basilia Osorio Osorio                     |Luisa Uscap Chen            |</w:t>
        <w:br/>
        <w:t>|Baudilio Alvarado Sic                     |Manuel Sánchez Chén         |</w:t>
        <w:br/>
        <w:t>|Belia Antonia Iboy Alvarado               |Manuel Sic                  |</w:t>
        <w:br/>
        <w:t>|Benedicto Iboy Sánchez                    |Manuela Chen Osorio         |</w:t>
        <w:br/>
        <w:t>|Benedicto Román Sánchez                   |Marcelo Osorio Osorio       |</w:t>
        <w:br/>
        <w:t>|Benita Ismalej Sic                        |Marcial Osorio Ixpatá       |</w:t>
        <w:br/>
        <w:t>|Benito Osorio Vargas                      |Marcos Osorio Sánchez       |</w:t>
        <w:br/>
        <w:t>|Benito Pérez Sic                          |Marcos Síc Ismalej          |</w:t>
        <w:br/>
        <w:t>|Bernarda Chen Ismalej                     |Margarita Osorio            |</w:t>
        <w:br/>
        <w:t>|Bernarda Lajuj Osorio                     |Margarita Siana             |</w:t>
        <w:br/>
        <w:t>|Bernardino Lajuj Jerónimo                 |Maria Chén Sanchez          |</w:t>
        <w:br/>
        <w:t>|Bernardo Chén Chén                        |Maria del Carmen Lajuj Toj  |</w:t>
        <w:br/>
        <w:t>|Bernardo Osorio Iboy                      |Maria Elena Chen Osorio     |</w:t>
        <w:br/>
        <w:t>|Bernardo Osorio Sánchez                   |María Elena Osorio Alvarado |</w:t>
        <w:br/>
        <w:t>|Berta Sánchez Chen                        |Maria Elena Túm Sánchez     |</w:t>
        <w:br/>
        <w:t>|Brígido Chén Ivoy                         |María Estela Sánchez Sánchez|</w:t>
        <w:br/>
        <w:t>|Bruna Pérez Osorio                        |María Eustaquia Uscap Ivoy  |</w:t>
        <w:br/>
        <w:t>|Buenaventura Lajuj Túm                    |Maria Gilberta Lajuj Tum    |</w:t>
        <w:br/>
        <w:t>|Candelaria León Rodríguez                 |Maria Guadalupe Pérez       |</w:t>
        <w:br/>
        <w:t>|                                          |Alvarado                    |</w:t>
        <w:br/>
        <w:t>|Candelaria Sánchez Chen                   |María Hilda Chen            |</w:t>
        <w:br/>
        <w:t>|Candelaria Sánchez Tum                    |Maria Ixpatá Chén           |</w:t>
        <w:br/>
        <w:t>|Candelario Sic López                      |Maria Ixpatá López          |</w:t>
        <w:br/>
        <w:t>|Carlos Chen Osorio                        |María Magdalena Osorio      |</w:t>
        <w:br/>
        <w:t>|                                          |Sanchez                     |</w:t>
        <w:br/>
        <w:t>|Carlos Roberto Cuxúm López                |Maria Mendoza Sic           |</w:t>
        <w:br/>
        <w:t>|Carlos Sánchez Mendoza                    |Maria Osorio Chen           |</w:t>
        <w:br/>
        <w:t>|Carmelina Chen Pérez                      |María Osorio Yxpatá         |</w:t>
        <w:br/>
        <w:t>|Carmen Alvarado Sic                       |María Pérez Alvarado        |</w:t>
        <w:br/>
        <w:t>|Carmen Sánchez Chen                       |María Romualda Osorio Chen  |</w:t>
        <w:br/>
        <w:t>|Catalina Iboy Sánchez                     |Maria Sanchez Osorio        |</w:t>
        <w:br/>
        <w:t>|Catalina López Osorio                     |María Teresa Osorio Osorio  |</w:t>
        <w:br/>
        <w:t>|Catarina Chen Osorio                      |María Tum Chén              |</w:t>
        <w:br/>
        <w:t>|Catarina Osorio Osorio                    |Mariano Sanchez             |</w:t>
        <w:br/>
        <w:t>|Catarina Sánchez Jerónimo                 |Mariano Sic                 |</w:t>
        <w:br/>
        <w:t>|Celestina Osorio Ixpatá                   |Marina Sánchez Ixpatá       |</w:t>
        <w:br/>
        <w:t>|Celestina Uscap Ivoy                      |Mario Chén Rojas            |</w:t>
        <w:br/>
        <w:t>|Celso Cuxum Lajuj                         |Mario Sic Alvarado          |</w:t>
        <w:br/>
        <w:t>|Cesar Chén                                |Marío Túm Sánchez           |</w:t>
        <w:br/>
        <w:t>|Cipriano Chén Osorio                      |Marta Ivoy Lajuj            |</w:t>
        <w:br/>
        <w:t>|Ciriaca Osorio                            |Martina Osorio Chen         |</w:t>
        <w:br/>
        <w:t>|Ciriaco Osorio Chen                       |Martina Osorio Sánchez      |</w:t>
        <w:br/>
        <w:t>|Ciriaco Pérez                             |Matea Ivoy Chén             |</w:t>
        <w:br/>
        <w:t>|Clara Chen Ivoy                           |Matea Toj                   |</w:t>
        <w:br/>
        <w:t>|Clara Osorio Chen                         |Matias Osorio Sic           |</w:t>
        <w:br/>
        <w:t>|Clemente Lajuj Chen                       |Matilde Tún Chen            |</w:t>
        <w:br/>
        <w:t>|Clemente Uscap Teletor                    |Maura Chen Gonzalez         |</w:t>
        <w:br/>
        <w:t>|Cleotilde Sic Alvarado                    |Medardo Chén Túm            |</w:t>
        <w:br/>
        <w:t>|Cornelio Osorio Sánchez                   |Melecio Chén Osorio         |</w:t>
        <w:br/>
        <w:t>|Cristina Sánchez Uscap                    |Melecio Túm Sánchez         |</w:t>
        <w:br/>
        <w:t>|Cristina Tum Chen                         |Melesio Iboy Chén           |</w:t>
        <w:br/>
        <w:t>|Cristobal Osorio                          |Miliano Rafael Lajuj        |</w:t>
        <w:br/>
        <w:t>|Cristóbal Osorio Sánchez                  |Modesta Alvarado            |</w:t>
        <w:br/>
        <w:t>|Cruz Pérez Osorio                         |Modesta Chén                |</w:t>
        <w:br/>
        <w:t>|Cruz Sic Alvarado                         |Modesta Iboy Osorio         |</w:t>
        <w:br/>
        <w:t>|Cupertino Iboy Sánchez                    |Modesta Ivoy Sánchez        |</w:t>
        <w:br/>
        <w:t>|Damían Alvarado Chen                      |Modesto Cahuec Osorio       |</w:t>
        <w:br/>
        <w:t>|Daniel Ixpatá Alvarado                    |Modesto Osorio Lajuj        |</w:t>
        <w:br/>
        <w:t>|Daniel Osorio Chen                        |Narcísa Ivoy Osorio         |</w:t>
        <w:br/>
        <w:t>|David Ixpatá Alvarado                     |Nicolás Chen                |</w:t>
        <w:br/>
        <w:t>|Dominga Gonzalez Tecú                     |Pablo Chen                  |</w:t>
        <w:br/>
        <w:t>|Dominga Síc Ruiz                          |Pablo Lajuj Chen            |</w:t>
        <w:br/>
        <w:t>|Domingo Lajúj Chén                        |Pablo Sánchez Chén          |</w:t>
        <w:br/>
        <w:t>|Dorotea Florentina Chen Chen              |Pascual Chén Osorio         |</w:t>
        <w:br/>
        <w:t>|Dorotea Ivoy Sic                          |Patrocinia Sánchez Chén     |</w:t>
        <w:br/>
        <w:t>|Edgar Perez López                         |Paula Chen Túm              |</w:t>
        <w:br/>
        <w:t>|Efrain Osorio Chen                        |Paulina Chen Osorio         |</w:t>
        <w:br/>
        <w:t>|Eleodoro Osorio Sánchez                   |Paulina Ixpatá Chén         |</w:t>
        <w:br/>
        <w:t>|Emilio Sánchez Chen                       |Pedrina Sánchez Sic         |</w:t>
        <w:br/>
        <w:t>|Erlin Estuardo Chén Túm                   |Pedrina Vargas Ixpatá       |</w:t>
        <w:br/>
        <w:t>|Ermín Pérez                               |Pedro Alvarado López        |</w:t>
        <w:br/>
        <w:t>|Estanislao Ignacio Chen Chen              |Pedro Osorio López          |</w:t>
        <w:br/>
        <w:t>|Estanislao Sic Hernández                  |Pedro Sic Sánchez           |</w:t>
        <w:br/>
        <w:t>|Esteban Mendoza Sic                       |Pedro Sic Sic               |</w:t>
        <w:br/>
        <w:t>|Eugenia Tum Sánchez                       |Pedro Uscap                 |</w:t>
        <w:br/>
        <w:t>|Eusebia Pérez Osorio                      |Pio Sánchez Chén            |</w:t>
        <w:br/>
        <w:t>|Eusebio Sic Sic                           |Porfiria Chen Chen          |</w:t>
        <w:br/>
        <w:t>|Everildo Lajuj Ivoy                       |Prudencio Tum Ivoy          |</w:t>
        <w:br/>
        <w:t>|Fabian Chén Ivoy                          |Ramón Pérez Tecú            |</w:t>
        <w:br/>
        <w:t>|Fabiana Osorio Tum                        |Ramona Chen Uscap           |</w:t>
        <w:br/>
        <w:t>|Fabiana Túm Sanchez                       |Ramona Sanchez Chen         |</w:t>
        <w:br/>
        <w:t>|Faustino Perez Gonzalez                   |Ramona Uscap Túm            |</w:t>
        <w:br/>
        <w:t>|Felipa Osorio Tahuico                     |Reginaldo Sánchez Ixpatá    |</w:t>
        <w:br/>
        <w:t>|Felipa Sánchez Chén                       |Reina Isabel Osorio Tecú    |</w:t>
        <w:br/>
        <w:t>|Felipa Sic Sic                            |Ricardo Chen Ivoy           |</w:t>
        <w:br/>
        <w:t>|Felipa Tecú Chén                          |Roberto Chen Osorio         |</w:t>
        <w:br/>
        <w:t>|Felipe Lajuj Chén                         |Rodolfo Uscap Chén          |</w:t>
        <w:br/>
        <w:t>|Felipe Osorio Vargas                      |Rodrigo Sanchez Uscap       |</w:t>
        <w:br/>
        <w:t>|Felipe Uscap Chén                         |Rogelío Chen Rojas          |</w:t>
        <w:br/>
        <w:t>|Felísa Gonzalez Coloch                    |Rogelío Ivoy Sánchez        |</w:t>
        <w:br/>
        <w:t>|Felix Alvarado Sic                        |Romualdo Tum Sanchez        |</w:t>
        <w:br/>
        <w:t>|Fernando Osorio                           |Romualdo Tun Ivoy           |</w:t>
        <w:br/>
        <w:t>|Fidel Chen Chen                           |Ronaldo Sic Iboy            |</w:t>
        <w:br/>
        <w:t>|Florentina Sánchez Sánchez                |Rosa Iboy Osorio            |</w:t>
        <w:br/>
        <w:t>|Francisca Cahuec Chen                     |Rosa Osorio Sánchez         |</w:t>
        <w:br/>
        <w:t>|Francisca Chén Ismalej                    |Rosalia Alvarado López      |</w:t>
        <w:br/>
        <w:t>|Francisca Chen Uscap                      |Rosalio Sánchez Cahuec      |</w:t>
        <w:br/>
        <w:t>|Francisca Lajuj Toj                       |Rosario Tahuico Osorio      |</w:t>
        <w:br/>
        <w:t>|Francisco Chén                            |Ruperto Túm Sánchez         |</w:t>
        <w:br/>
        <w:t>|Francisco Chén Osorio                     |Salvador de Jesus Chen Ivoy |</w:t>
        <w:br/>
        <w:t>|Francisco Chen Sánchez                    |Sanfío Chen Tún             |</w:t>
        <w:br/>
        <w:t>|Francisco Osorio                          |Santiago Lajuj Jerónimo     |</w:t>
        <w:br/>
        <w:t>|Francisco Osorio Osorio                   |Santo Olegario Chen Siana   |</w:t>
        <w:br/>
        <w:t>|Francisco Sanchez Sic                     |Santos Eulogio Lajuj        |</w:t>
        <w:br/>
        <w:t>|                                          |Alvarado                    |</w:t>
        <w:br/>
        <w:t>|Froilan Uscap Ivoy                        |Santos Gabriel Uscap Teletor|</w:t>
        <w:br/>
        <w:t>|Gabina Osorio Tún                         |Santos Joaquin Osorio Chen  |</w:t>
        <w:br/>
        <w:t>|Gabriel Sánchez Chén                      |Saturnina Chén Osorio       |</w:t>
        <w:br/>
        <w:t>|Genaro Sucup Lajuj                        |Saturnino Chen Uscap        |</w:t>
        <w:br/>
        <w:t>|Gilberta Tún Osorio                       |Sebastian Iboy Osorio       |</w:t>
        <w:br/>
        <w:t>|Gilberto Lajuj Sánchez                    |Sergio Rolando Chen Osorio  |</w:t>
        <w:br/>
        <w:t>|Gilberto Osorio Tecú                      |Servando Pérez Chén         |</w:t>
        <w:br/>
        <w:t>|Gonzalo Chen Uscap                        |Silveria Lajuj Tum          |</w:t>
        <w:br/>
        <w:t>|Gregoria Tum Ivoy                         |Silvería Uscap Chen         |</w:t>
        <w:br/>
        <w:t>|Gregorío Lajuj Chén                       |Silvestre Cuxúm Chen        |</w:t>
        <w:br/>
        <w:t>|Gregorío Sánchez Chen                     |Silvia Lajuj Sanchéz        |</w:t>
        <w:br/>
        <w:t>|Gregorio Sic Alvarado                     |Simona Sánchez Osorio       |</w:t>
        <w:br/>
        <w:t>|Guadalupe Salomon Chen Chen               |Sotero Sic Rafael           |</w:t>
        <w:br/>
        <w:t>|Herla Bernarda Chen Siana                 |Teodora Chen                |</w:t>
        <w:br/>
        <w:t>|Herlinda Alvarado Chén                    |Teresa de Jesus López       |</w:t>
        <w:br/>
        <w:t>|                                          |Alvarado                    |</w:t>
        <w:br/>
        <w:t>|Herlinda Alvarado Sic                     |Teresa Pérez Sic            |</w:t>
        <w:br/>
        <w:t>|Hermelinda Sánchez Sánchez                |Teresa Sánchez Sánchez      |</w:t>
        <w:br/>
        <w:t>|Hermenegildo Sánchez Chén                 |Timotea Lajuj López         |</w:t>
        <w:br/>
        <w:t>|Higinia Lopez Lopez                       |Timoteo Lajuj Túm           |</w:t>
        <w:br/>
        <w:t>|Hilaría Lajuj Sánchez                     |Tomás Alvarado Sic          |</w:t>
        <w:br/>
        <w:t>|Hilario Sic Ixquem                        |Tomás González Tecú         |</w:t>
        <w:br/>
        <w:t>|Hipólita Sánchez Chén                     |Tomasa Chén Tún             |</w:t>
        <w:br/>
        <w:t>|Ilda Sánchez Sánchez                      |Tomasa Jerónimo Amperez     |</w:t>
        <w:br/>
        <w:t>|Indalecio Alvarado Chén                   |Tomasa Osorio Chén          |</w:t>
        <w:br/>
        <w:t>|Isabel Lajuj Toj                          |Tomasa Sic Hernández        |</w:t>
        <w:br/>
        <w:t>|Isabel Osorio Chen                        |Tomasa Vargas Osorío        |</w:t>
        <w:br/>
        <w:t>|Isabel Osorio Tum                         |Valentina Mendoza Síc       |</w:t>
        <w:br/>
        <w:t>|Jaime Sánchez                             |Venancio Sánchez Uscap      |</w:t>
        <w:br/>
        <w:t>|Jerónimo Osorio Chen                      |Ventura Pérez González      |</w:t>
        <w:br/>
        <w:t>|Jesus Alvarado Chen                       |Vicente Lajúj Alvarado      |</w:t>
        <w:br/>
        <w:t>|Jesus Alvarado Síc                        |Victor Chén Uscap           |</w:t>
        <w:br/>
        <w:t>|Jesus Chén Chén                           |Victor Osorio Ixpatá        |</w:t>
        <w:br/>
        <w:t>|Jesús Osorio Chen                         |Victor Vicente Lajuj Toj    |</w:t>
        <w:br/>
        <w:t>|Jesús Tecú León                           |Victoria Cuxum Chen         |</w:t>
        <w:br/>
        <w:t>|Jesus Tecú Osorio                         |Victoriano Chén Osorio      |</w:t>
        <w:br/>
        <w:t>|Jesúsa Osorio Sánchez                     |Victoriano López Osorio     |</w:t>
        <w:br/>
        <w:t>|Joaquin Osorio Galeano                    |Victoriano Osorio Lajuj     |</w:t>
        <w:br/>
        <w:t>|José Luis Osorio Lajuj                    |Yanuario Sic Hernández      |</w:t>
        <w:br/>
        <w:t>|José María López Osorio                   |Yolanda Sánchez Uscap       |</w:t>
        <w:br/>
        <w:t>|José Mauricio Osorio Tecú                 |Ysabel Osorio Burrero       |</w:t>
        <w:br/>
        <w:t>|José Osorio Chen                          |Zoila Román Sánchez         |</w:t>
        <w:br/>
        <w:t>|Jose Osorio del Rosario                   |</w:t>
        <w:br/>
        <w:br/>
        <w:t>Anexo VII- Sobrevivientes que viven en el Asentamiento de Pacux</w:t>
        <w:br/>
        <w:br/>
        <w:t>|Abelina Iboy Osorio              |Joaquin Osorio Galeano                |</w:t>
        <w:br/>
        <w:t>|Abelino Sic Iboy                 |José Mauricio Osorio Tecú             |</w:t>
        <w:br/>
        <w:t>|Abundio Osorio Vargas            |José Osorio Chen                      |</w:t>
        <w:br/>
        <w:t>|Adela Osorio Sic                 |Jose Osorio del Rosario               |</w:t>
        <w:br/>
        <w:t>|Agustín Chen Sánchez             |José Osorio Sic                       |</w:t>
        <w:br/>
        <w:t>|Agustín Iboy Osorio              |Josefa Ixpatá Chen                    |</w:t>
        <w:br/>
        <w:t>|Agustina Chen                    |Juan Chen[385]                        |</w:t>
        <w:br/>
        <w:t>|Agustina Osorio Yxpatá           |Juan Chen Chen[386]                   |</w:t>
        <w:br/>
        <w:t>|Alberta Alvarado Sic             |Juan Chen Chen[387]                   |</w:t>
        <w:br/>
        <w:t>|Alberta Chen                     |Juan Chén Osorío                      |</w:t>
        <w:br/>
        <w:t>|Alberta Uscap Chen               |Juan Osorio Alvarado                  |</w:t>
        <w:br/>
        <w:t>|Alberto Chen                     |Juan Osorio Chen                      |</w:t>
        <w:br/>
        <w:t>|Alberto Sánchez Chén             |Juan Osorío Ixpatá                    |</w:t>
        <w:br/>
        <w:t>|Alejandra Chén Chén              |Juan Osorio Sánchez                   |</w:t>
        <w:br/>
        <w:t>|Alejandra Uscap Chen             |Juan Sánchez                          |</w:t>
        <w:br/>
        <w:t>|Alejandro Chen González          |Juan Sanchez Osorio                   |</w:t>
        <w:br/>
        <w:t>|Alejandro Lajuj Chen             |Juana Sanchez Chen                    |</w:t>
        <w:br/>
        <w:t>|Alfredo Chen Iboy                |Juana Chen Ixpatá                     |</w:t>
        <w:br/>
        <w:t>|Alfredo Chen Uscap               |Juana Lajuj Osorio                    |</w:t>
        <w:br/>
        <w:t>|Ana Iboy Sánchez                 |Juana Osorio Chen[388]                |</w:t>
        <w:br/>
        <w:t>|Anastacio Tun Chen               |Juana Osorio Sánchez                  |</w:t>
        <w:br/>
        <w:t>|Anastacio Tun Sánchez            |Juana Osorio Síc                      |</w:t>
        <w:br/>
        <w:t>|Anastasio Osorio Chen            |Juana Osorio Vargas                   |</w:t>
        <w:br/>
        <w:t>|Andrés Sánchez Chen              |Juana Túm Cahuec                      |</w:t>
        <w:br/>
        <w:t>|Angela Alvarado Chén             |Juana Tun Chen                        |</w:t>
        <w:br/>
        <w:t>|Angela Osorio Sánchez            |Julia Lajúj Chén                      |</w:t>
        <w:br/>
        <w:t>|Anibal Sánchez Uscap             |Julia Maria Osorio Chén               |</w:t>
        <w:br/>
        <w:t>|Anselmo Osorio Lajuj             |Julía Síc                             |</w:t>
        <w:br/>
        <w:t>|Antonia Osorio Pérez             |Julian Sanchez Osorio                 |</w:t>
        <w:br/>
        <w:t>|Antonia Osorio Sánchez[389]      |Julian Síc López                      |</w:t>
        <w:br/>
        <w:t>|Antonia Osorio Sanchez[390]      |Juliana Chen Ismalej                  |</w:t>
        <w:br/>
        <w:t>|Antonio Osorio Lajuj             |Juliana Yxpata                        |</w:t>
        <w:br/>
        <w:t>|Antonio Sánchez Sánchez          |Julio Chen y Chen                     |</w:t>
        <w:br/>
        <w:t>|Ascención Chen Chen              |Justa Lajuj Jerónimo                  |</w:t>
        <w:br/>
        <w:t>|Ascención Chén Iboy              |Justina Chén Chén                     |</w:t>
        <w:br/>
        <w:t>|Ascención Osorio Túm             |Laura Tecú Osorio                     |</w:t>
        <w:br/>
        <w:t>|Ascención Salvador Chen Chen     |Leonardo Sánchez Sánchez              |</w:t>
        <w:br/>
        <w:t>|Aurelia Alvarado Sic             |Leoncía Sanchez Chen                  |</w:t>
        <w:br/>
        <w:t>|Bartolomé Chen Tum               |Luis Enrique Osorio Chen              |</w:t>
        <w:br/>
        <w:t>|Basilia Osorio Osorio            |Luis Osorio Sánchez                   |</w:t>
        <w:br/>
        <w:t>|Baudilio Alvarado Sic            |Luisa Uscap Chen                      |</w:t>
        <w:br/>
        <w:t>|Belia Antonia Iboy Alvarado      |Manuel Sánchez Chén                   |</w:t>
        <w:br/>
        <w:t>|Benedicto Iboy Sánchez           |Manuela Chen Osorio                   |</w:t>
        <w:br/>
        <w:t>|Benedicto Román Sánchez          |Marcelo Osorio Osorio                 |</w:t>
        <w:br/>
        <w:t>|Benita Ismalej Sic               |Marcial Osorio Ixpatá                 |</w:t>
        <w:br/>
        <w:t>|Benito Osorio Vargas             |Marcos Osorio Sánchez                 |</w:t>
        <w:br/>
        <w:t>|Bernarda Chen Ismalej            |Margarita Osorio                      |</w:t>
        <w:br/>
        <w:t>|Bernarda Lajuj Osorio            |Margarita Siana                       |</w:t>
        <w:br/>
        <w:t>|Bernardino Lajuj Jerónimo        |Maria Chén Sanchez                    |</w:t>
        <w:br/>
        <w:t>|Bernardo Chén Chén               |Maria Elena Chen Osorio               |</w:t>
        <w:br/>
        <w:t>|Bernardo Osorio Iboy             |Maria Elena Osorio Alvarado           |</w:t>
        <w:br/>
        <w:t>|Bernardo Osorio Sánchez          |Maria Elena Túm Sánchez               |</w:t>
        <w:br/>
        <w:t>|Berta Sánchez Chen               |María Estela Sánchez Sánchez          |</w:t>
        <w:br/>
        <w:t>|Brígido Chén Ivoy                |María Eustaquia Uscap Ivoy            |</w:t>
        <w:br/>
        <w:t>|Bruna Pérez Osorio               |María Hilda Chen                      |</w:t>
        <w:br/>
        <w:t>|Candelaria Sánchez Chen          |Maria Ixpatá Chén                     |</w:t>
        <w:br/>
        <w:t>|Candelaria Sánchez Tum           |Maria Ixpatá López                    |</w:t>
        <w:br/>
        <w:t>|Carlos Chen Osorio               |María Magdalena Osorio Sanchez        |</w:t>
        <w:br/>
        <w:t>|Carlos Sánchez Mendoza           |Maria Osorio Chen                     |</w:t>
        <w:br/>
        <w:t>|Carmelina Chen Pérez             |María Osorio Yxpatá                   |</w:t>
        <w:br/>
        <w:t>|Carmen Alvarado Sic              |María Pérez Alvarado                  |</w:t>
        <w:br/>
        <w:t>|Carmen Sánchez Chen              |Maria Sanchez Osorio                  |</w:t>
        <w:br/>
        <w:t>|Catalina Iboy Sánchez            |María Teresa Osorio Osorio            |</w:t>
        <w:br/>
        <w:t>|Catalina López Osorio            |María Tum Chén                        |</w:t>
        <w:br/>
        <w:t>|Catarina Chen Osorio (fallecida) |Mariano Sanchez                       |</w:t>
        <w:br/>
        <w:t>|Catarina Osorio Osorio           |Mariano Sic                           |</w:t>
        <w:br/>
        <w:t>|Catarina Sánchez Jerónimo        |Marina Sánchez Ixpatá                 |</w:t>
        <w:br/>
        <w:t>|Celestina Osorio Ixpatá          |Mario Chén Rojas                      |</w:t>
        <w:br/>
        <w:t>|Celso Cuxum Lajuj                |Marío Túm Sánchez                     |</w:t>
        <w:br/>
        <w:t>|Cesar Chén                       |Marta Ivoy Lajuj                      |</w:t>
        <w:br/>
        <w:t>|Cipriano Chén Osorio             |Martina Osorio Chen                   |</w:t>
        <w:br/>
        <w:t>|Ciriaca Osorio                   |Matea Ivoy Chén                       |</w:t>
        <w:br/>
        <w:t>|Ciriaco Pérez                    |Matias Osorio Sic                     |</w:t>
        <w:br/>
        <w:t>|Clara Chen Ivoy                  |Matilde Tún Chen                      |</w:t>
        <w:br/>
        <w:t>|Clara Osorio Chen                |Maura Chen Gonzalez                   |</w:t>
        <w:br/>
        <w:t>|Clemente Uscap Teletor           |Medardo Chén Túm                      |</w:t>
        <w:br/>
        <w:t>|Cornelio Osorio Sánchez          |Melecio Chén Osorio                   |</w:t>
        <w:br/>
        <w:t>|Cristina Sánchez Uscap           |Melesio Iboy Chén                     |</w:t>
        <w:br/>
        <w:t>|Cristina Tum Chen                |Melecio Túm Sánchez                   |</w:t>
        <w:br/>
        <w:t>|Cristobal Osorio                 |Miliano Rafael Lajuj                  |</w:t>
        <w:br/>
        <w:t>|Cristóbal Osorio Sánchez         |Modesta Chén                          |</w:t>
        <w:br/>
        <w:t>|Cruz Pérez Osorio                |Modesta Iboy Osorio                   |</w:t>
        <w:br/>
        <w:t>|Damían Alvarado Chen             |Modesta Ivoy Sánchez                  |</w:t>
        <w:br/>
        <w:t>|Daniel Ixpatá Alvarado           |Modesto Cahuec Osorio                 |</w:t>
        <w:br/>
        <w:t>|Daniel Osorio Chen               |Nicolás Chen                          |</w:t>
        <w:br/>
        <w:t>|David Ixpatá Alvarado            |Pablo Chen                            |</w:t>
        <w:br/>
        <w:t>|Dominga Gonzalez Tecú            |Pablo Lajuj Chen                      |</w:t>
        <w:br/>
        <w:t>|Domingo Lajúj Chén               |Pablo Sánchez Chén                    |</w:t>
        <w:br/>
        <w:t>|Dorotea Florentina Chen Chen     |Pascual Chén Osorio                   |</w:t>
        <w:br/>
        <w:t>|Dorotea Ivoy Sic                 |Patrocinia Sánchez Chén               |</w:t>
        <w:br/>
        <w:t>|Efrain Osorio Chen               |Paula Chen Túm                        |</w:t>
        <w:br/>
        <w:t>|Eleodoro Osorio Sánchez          |Paulina Chen Osorio                   |</w:t>
        <w:br/>
        <w:t>|Emilio Sánchez Chen              |Paulina Ixpatá Chén                   |</w:t>
        <w:br/>
        <w:t>|Erlin Estuardo Chén Túm          |Pedrina Sánchez Sic                   |</w:t>
        <w:br/>
        <w:t>|Ermín Pérez                      |Pedro Sic Sánchez                     |</w:t>
        <w:br/>
        <w:t>|Estanislao Ignacio Chen Chen     |Pedro Uscap                           |</w:t>
        <w:br/>
        <w:t>|Eugenia Tum Sánchez              |Pio Sánchez Chén                      |</w:t>
        <w:br/>
        <w:t>|Eusebia Pérez Osorio             |Porfiria Chen Chen                    |</w:t>
        <w:br/>
        <w:t>|Everildo Lajuj Ivoy              |Prudencio Tum Ivoy                    |</w:t>
        <w:br/>
        <w:t>|Fabian Chén Ivoy                 |Ramón Pérez Tecú                      |</w:t>
        <w:br/>
        <w:t>|Fabiana Osorio Tum               |Ramona Chen Uscap                     |</w:t>
        <w:br/>
        <w:t>|Fabiana Túm Sanchez              |Ramona Sanchez Chen                   |</w:t>
        <w:br/>
        <w:t>|Felipa Sánchez Chén              |Ramona Uscap Túm                      |</w:t>
        <w:br/>
        <w:t>|Felipa Tecú Chén                 |Reginaldo Sánchez Ixpatá              |</w:t>
        <w:br/>
        <w:t>|Felipe Lajuj Chén                |Reina Isabel Osorio Tecú              |</w:t>
        <w:br/>
        <w:t>|Felipe Osorio Vargas             |Ricardo Chen Ivoy                     |</w:t>
        <w:br/>
        <w:t>|Felipe Uscap Chén                |Roberto Chen Osorio                   |</w:t>
        <w:br/>
        <w:t>|Felísa Gonzalez Coloch           |Rodolfo Uscap Chén                    |</w:t>
        <w:br/>
        <w:t>|Fernando Osorio                  |Rodrigo Sanchez Uscap                 |</w:t>
        <w:br/>
        <w:t>|Fidel Chen Chen                  |Rogelío Ivoy Sánchez                  |</w:t>
        <w:br/>
        <w:t>|Florentina Sánchez Sánchez       |Romualdo Tum Sanchez                  |</w:t>
        <w:br/>
        <w:t>|Francisca Cahuec Chen            |Romualdo Tun Ivoy                     |</w:t>
        <w:br/>
        <w:t>|Francisca Chén Ismalej           |Ronaldo Sic Iboy                      |</w:t>
        <w:br/>
        <w:t>|Francisca Chen Uscap             |Rosa Iboy Osorio                      |</w:t>
        <w:br/>
        <w:t>|Francisco Chén                   |Rosa Osorio Sánchez                   |</w:t>
        <w:br/>
        <w:t>|Francisco Chén Osorio            |Rosalio Sánchez Cahuec                |</w:t>
        <w:br/>
        <w:t>|Francisco Chen Sánchez           |Rosario Tahuico Osorio                |</w:t>
        <w:br/>
        <w:t>|Francisco Osorio                 |Ruperto Túm Sánchez                   |</w:t>
        <w:br/>
        <w:t>|Francisco Osorio Osorio          |Salvador de Jesus Chen Ivoy           |</w:t>
        <w:br/>
        <w:t>|Francisco Sanchez Sic            |Sanfío Chen Tún                       |</w:t>
        <w:br/>
        <w:t>|Froilan Uscap Ivoy               |Santiago Lajuj Jerónimo               |</w:t>
        <w:br/>
        <w:t>|Gabina Osorio Tún                |Santo Olegario Chen Siana             |</w:t>
        <w:br/>
        <w:t>|Gabriel Sánchez Chén             |Santos Gabriel Uscap Teletor          |</w:t>
        <w:br/>
        <w:t>|Gilberto Lajuj Sánchez           |Saturnina Chén Osorio                 |</w:t>
        <w:br/>
        <w:t>|Gilberto Osorio Tecú             |Saturnino Chen Uscap                  |</w:t>
        <w:br/>
        <w:t>|Gonzalo Chen Uscap               |Sergio Rolando Chen Osorio            |</w:t>
        <w:br/>
        <w:t>|Gregoria Tum Ivoy                |Servando Pérez Chén                   |</w:t>
        <w:br/>
        <w:t>|Gregorío Lajuj Chén              |Silvería Uscap Chen                   |</w:t>
        <w:br/>
        <w:t>|Gregorío Sánchez Chen            |Silvestre Cuxúm Chen                  |</w:t>
        <w:br/>
        <w:t>|Guadalupe Salomon Chen Chen      |Silvia Lajuj Sanchéz                  |</w:t>
        <w:br/>
        <w:t>|Herla Bernarda Chen Siana        |Simona Sánchez Osorio                 |</w:t>
        <w:br/>
        <w:t>|Herlinda Alvarado Chén           |Teodora Chen                          |</w:t>
        <w:br/>
        <w:t>|Herlinda Alvarado Sic            |Teresa Sánchez Sánchez                |</w:t>
        <w:br/>
        <w:t>|Hermelinda Sánchez Sánchez       |Timotea Lajuj López                   |</w:t>
        <w:br/>
        <w:t>|Hermenegildo Sánchez Chén        |Timoteo Lajuj Túm                     |</w:t>
        <w:br/>
        <w:t>|Higinia Lopez Lopez              |Tomás González Tecú                   |</w:t>
        <w:br/>
        <w:t>|Hipólita Sánchez Chen            |Tomasa  Jerónimo Amperez              |</w:t>
        <w:br/>
        <w:t>|Ilda Sánchez Sánchez             |Tomasa  Vargas Osorío                 |</w:t>
        <w:br/>
        <w:t>|Indalecio Alvarado Chén          |Tomasa Chén Tún                       |</w:t>
        <w:br/>
        <w:t>|Isabel Lajuj Toj                 |Tomasa Osorio Chén                    |</w:t>
        <w:br/>
        <w:t>|Ysabel Osorio Burrero            |Valentina Mendoza Síc                 |</w:t>
        <w:br/>
        <w:t>|Isabel Osorio Chen               |Venancio Sánchez Uscap                |</w:t>
        <w:br/>
        <w:t>|Jaime Sánchez                    |Victor Chén Uscap                     |</w:t>
        <w:br/>
        <w:t>|Jesus Alvarado Chen              |Victor Osorio Ixpatá                  |</w:t>
        <w:br/>
        <w:t>|Jesus Alvarado Síc               |Victor Vicente Lajuj Toj              |</w:t>
        <w:br/>
        <w:t>|Jesús Chén Chén                  |Victoria Cuxum Chen                   |</w:t>
        <w:br/>
        <w:t>|Jesús Osorio Chen                |Victoriano López Osorio               |</w:t>
        <w:br/>
        <w:t>|Jesus Tecú Osorio                |Yolanda Sánchez Uscap                 |</w:t>
        <w:br/>
        <w:t>|Jesúsa Osorio Sánchez            |Zoila Román Sánchez                   |</w:t>
        <w:br/>
        <w:br/>
        <w:br/>
        <w:br/>
        <w:br/>
        <w:br/>
        <w:br/>
        <w:br/>
        <w:br/>
        <w:t>-----------------------</w:t>
        <w:br/>
        <w:br/>
        <w:t>[1]         Reglamento de la Corte aprobado por el Tribunal  en  su  LXXXV</w:t>
        <w:br/>
        <w:t>Período Ordinario de Sesiones celebrado del 16 al 28 de noviembre de 2009.</w:t>
        <w:br/>
        <w:br/>
        <w:br/>
        <w:br/>
        <w:br/>
        <w:br/>
        <w:t>[2]         En el Informe de Fondo No. 86/10, la Comisión  concluyó  que  el</w:t>
        <w:br/>
        <w:t>Estado era responsable de la violación de los derechos  reconocidos  en  los</w:t>
        <w:br/>
        <w:t>artículos 3, 4, 5, 6, 7, 8, 11, 12, 16, 17, 19,  21,  22,  24  y  25  de  la</w:t>
        <w:br/>
        <w:t>Convención Americana sobre Derechos Humanos; así como del incumplimiento  de</w:t>
        <w:br/>
        <w:t>las obligaciones establecidas en los artículos 1, 6 y  8  de  la  Convención</w:t>
        <w:br/>
        <w:t>Interamericana para Prevenir y Sancionar la Tortura, en el artículo  7.b  de</w:t>
        <w:br/>
        <w:t>la Convención de Belém do  Pará,  y  en  el  artículo  I  de  la  Convención</w:t>
        <w:br/>
        <w:t>Interamericana sobre Desaparición Forzada de Personas, en perjuicio  de  las</w:t>
        <w:br/>
        <w:t>presuntas víctimas indicadas en dicho Informe.</w:t>
        <w:br/>
        <w:br/>
        <w:br/>
        <w:t>[3]         Cfr. Caso Masacres de Río Negro Vs.  Guatemala.  Convocatoria  a</w:t>
        <w:br/>
        <w:t>Audiencia Pública. Resolución del Presidente de la Corte  Interamericana  de</w:t>
        <w:br/>
        <w:t>Derechos Humanos de 31  de  mayo  de  2012.  Esta  Resolución  se  encuentra</w:t>
        <w:br/>
        <w:t>disponible en: http://www.corteidh.or.cr/docs/asuntos/rio_01_06_12.pdf.  Con</w:t>
        <w:br/>
        <w:t>posterioridad a la mencionada convocatoria,  el  18  de  junio  de  2012  el</w:t>
        <w:br/>
        <w:t>Estado desistió de su ofrecimiento de la  declaración  testimonial  a  cargo</w:t>
        <w:br/>
        <w:t>del señor Manuel Giovanni Vásquez.</w:t>
        <w:br/>
        <w:br/>
        <w:br/>
        <w:t>[4]          A  esta  audiencia  pública  comparecieron  por   la   Comisión</w:t>
        <w:br/>
        <w:t>Interamericana de Derechos Humanos: Rosa María Ortíz, Comisionada,  y  Karla</w:t>
        <w:br/>
        <w:t>I.  Quintana  Osuna,  Especialista  de  la  Secretaría  Ejecutiva;  por  los</w:t>
        <w:br/>
        <w:t>representantes: Edgar Fernando Pérez Archila, Juan  de  Dios  García  Xajil,</w:t>
        <w:br/>
        <w:t>Tomás  Marcelino  Alonzo  Teletor,  Jorge  Alfredo  Xitumul   Sucup,   María</w:t>
        <w:br/>
        <w:t>Hortencia Lajuj Sánchez, María Eustaquia  Uscap  Ivoy,  María  Osorio  Chen,</w:t>
        <w:br/>
        <w:t>Bruna Pérez Osorio,   Jose  Osorio  Sic,  José  Osorio  Osorio,  Cruz  Pérez</w:t>
        <w:br/>
        <w:t>Osorio, Juana Chen Osorio, Juan Chen Osorio,  Carmen  Sánchez  Chen,  Tomasa</w:t>
        <w:br/>
        <w:t>Osorio Chen, Edgar Alfredo Ortega Franco, José Rodolfo González Sierra,  Ana</w:t>
        <w:br/>
        <w:t>Elisa Virginia de la Asunción Samayoa Guzmán, Silvia  Weber,  María  Purvis,</w:t>
        <w:br/>
        <w:t>Denis Becker y Scott Sic; por la República de  Guatemala:  Antonio  Arenales</w:t>
        <w:br/>
        <w:t>Forno, Secretario de la Paz; Larry Mark Robles Guibert,  Procurador  General</w:t>
        <w:br/>
        <w:t>de la Nación; Raúl Morales Moscoso, Vice Ministro de Relaciones  Exteriores;</w:t>
        <w:br/>
        <w:t>Jorge  Humberto  Herrera  Castillo,  Presidente  del  Programa  Nacional  de</w:t>
        <w:br/>
        <w:t>Resarcimiento, María Elena de Jesús Rodríguez López, Agente  del  Estado,  y</w:t>
        <w:br/>
        <w:t>Diego  Roberto  Estrada  Tobar,  Asesor   Jurídico   del   Departamento   de</w:t>
        <w:br/>
        <w:t>Seguimiento de Casos Internacionales en materia de Derechos  Humanos  de  la</w:t>
        <w:br/>
        <w:t>Comisión Presidencial Coordinadora de la Política del Ejecutivo  en  Materia</w:t>
        <w:br/>
        <w:t>de Derechos Humanos.</w:t>
        <w:br/>
        <w:br/>
        <w:br/>
        <w:t>[5]         Cfr. Caso Kimel Vs. Argentina. Fondo, Reparaciones  y  Costas.</w:t>
        <w:br/>
        <w:t>Sentencia de 2 de mayo de 2008. Serie C No. 177, párr. 24, y  Caso  Pueblo</w:t>
        <w:br/>
        <w:t>Indígena Kichwa de Sarayaku Vs. Ecuador. Fondo y  reparaciones.  Sentencia</w:t>
        <w:br/>
        <w:t>de 27 de junio de 2012. Serie C No. 245, párr. 26.</w:t>
        <w:br/>
        <w:br/>
        <w:br/>
        <w:t>[6]         Cfr. Caso  Manuel  Cepeda  Vargas  Vs.  Colombia.  Excepciones</w:t>
        <w:br/>
        <w:t>Preliminares, Fondo, Reparaciones y Costas. Sentencia de  26  de  mayo  de</w:t>
        <w:br/>
        <w:t>2010. Serie C No. 213, párr. 17, y Caso Pueblo Indígena Kichwa de Sarayaku</w:t>
        <w:br/>
        <w:t>Vs. Ecuador, supra, párr. 26.</w:t>
        <w:br/>
        <w:br/>
        <w:br/>
        <w:t>[7]   Cfr. Caso Myrna Mack Chang  Vs.  Guatemala.  Fondo,  Reparaciones  y</w:t>
        <w:br/>
        <w:t>Costas. Sentencia de 25 de noviembre de 2003. Serie C No. 101, párr.107, y</w:t>
        <w:br/>
        <w:t>Caso  Torres  Millacura  Vs.  Argentina.  Fondo,  Reparaciones  y  Costas.</w:t>
        <w:br/>
        <w:t>Sentencia de 26 de agosto de 2011. Serie C No. 229, párr. 34.</w:t>
        <w:br/>
        <w:br/>
        <w:br/>
        <w:t>[8]          Cfr.  Caso  Neira  Alegría  y  otros  Vs.  Perú.  Excepciones</w:t>
        <w:br/>
        <w:t>Preliminares. Sentencia de 11 de diciembre de 1991. Serie C No. 13,  párr.</w:t>
        <w:br/>
        <w:t>29, y Caso Chocrón Chocrón Vs.  Venezuela.  Excepción  Preliminar,  Fondo,</w:t>
        <w:br/>
        <w:t>Reparaciones y Costas.  Sentencia de 1 de julio de 2011. Serie C No.  227,</w:t>
        <w:br/>
        <w:t>párr. 36</w:t>
        <w:br/>
        <w:br/>
        <w:br/>
        <w:t>[9]          Cfr.  Caso  Acevedo  Jaramillo  y  otros  Vs.  Perú.  Excepción</w:t>
        <w:br/>
        <w:t>Preliminar, Fondo, Reparaciones y Costas.  Sentencia  de  7  de  febrero  de</w:t>
        <w:br/>
        <w:t>2006. Serie C No. 144, párrs. 176 a  180;  Caso  Manuel  Cepeda  Vargas  Vs.</w:t>
        <w:br/>
        <w:t>Colombia, supra, párr. 14;  Caso  Fernández  Ortega  y  otros.  Vs.  México.</w:t>
        <w:br/>
        <w:t>Excepción Preliminar, Fondo, Reparaciones  y  Costas.  Sentencia  de  30  de</w:t>
        <w:br/>
        <w:t>agosto de 2010 Serie C No. 215, párr. 16; Caso  Rosendo  Cantú  y  otra  Vs.</w:t>
        <w:br/>
        <w:t>México. Excepción Preliminar, Fondo, Reparaciones y Costas. Sentencia de  31</w:t>
        <w:br/>
        <w:t>de agosto de 2010. Serie C No. 216, párr. 16; Caso Pacheco  Teruel  y  otros</w:t>
        <w:br/>
        <w:t>Vs. Honduras. Fondo, Reparaciones y Costas. Sentencia  de  27  de  abril  de</w:t>
        <w:br/>
        <w:t>2012. Serie C No. 241, párr. 19, y Caso Pueblo Indígena Kichwa  de  Sarayaku</w:t>
        <w:br/>
        <w:t>Vs. Ecuador, supra, párr. 23.</w:t>
        <w:br/>
        <w:br/>
        <w:br/>
        <w:t>[10]  Cfr. Caso del Caracazo  Vs.  Venezuela.  Fondo.  Sentencia  de  11  de</w:t>
        <w:br/>
        <w:t>noviembre de 1999. Serie C No. 58, párr. 43, y Caso Pueblo  Indígena  Kichwa</w:t>
        <w:br/>
        <w:t>de Sarayaku Vs. Ecuador, supra, párr. 29.</w:t>
        <w:br/>
        <w:br/>
        <w:br/>
        <w:t>[11]  Cfr. Caso Manuel Cepeda Vargas Vs. Colombia, supra, párr. 18,  y  Caso</w:t>
        <w:br/>
        <w:t>Pueblo Indígena Kichwa de Sarayaku Vs. Ecuador, supra, párr. 29.</w:t>
        <w:br/>
        <w:br/>
        <w:br/>
        <w:t>[12]  Cfr. Caso Tiu Tojín  Vs.  Guatemala.  Fondo,  Reparaciones  y  Costas.</w:t>
        <w:br/>
        <w:t>Sentencia de 26 de noviembre de 2008. Serie C No.  190,  párr.  26,  y  Caso</w:t>
        <w:br/>
        <w:t>Pueblo Indígena Kichwa de Sarayaku Vs. Ecuador, supra, párr. 30.</w:t>
        <w:br/>
        <w:br/>
        <w:br/>
        <w:br/>
        <w:br/>
        <w:br/>
        <w:t>[13]  Cfr. Caso  Las  Palmeras  Vs.  Colombia.  Excepciones  Preliminares.</w:t>
        <w:br/>
        <w:t>Sentencia de 4 de febrero de 2000. Serie C No. 67, párr. 34, y Caso  Gomes</w:t>
        <w:br/>
        <w:t>Lund y otros (Guerrilha do Araguaia) Vs. Brasil. Excepciones Preliminares,</w:t>
        <w:br/>
        <w:t>Fondo, Reparaciones y Costas. Sentencia de 24 de noviembre de 2010.  Serie</w:t>
        <w:br/>
        <w:t>C No. 219, párr. 11.</w:t>
        <w:br/>
        <w:br/>
        <w:br/>
        <w:t>[14]  Cfr. Caso Castañeda Gutman  Vs.  México.  Excepciones  Preliminares,</w:t>
        <w:br/>
        <w:t>fondo, Reparaciones y Costas. Sentencia de 6 de agosto de  2008.  Serie  C</w:t>
        <w:br/>
        <w:t>No. 184, párr. 39, y Caso Gomes Lund y otros (Guerrilha do  Araguaia)  Vs.</w:t>
        <w:br/>
        <w:t>Brasil, supra, párr. 11.</w:t>
        <w:br/>
        <w:br/>
        <w:br/>
        <w:t>[15]  Cfr. Caso Hilaire, Constantine y  Benjamin  y  otros  Vs.  Trinidad  y</w:t>
        <w:br/>
        <w:t>Tobago. Fondo, Reparaciones y Costas. Sentencia de  21  de  junio  de  2002.</w:t>
        <w:br/>
        <w:t>Serie C No. 94, párrs. 16 y 17, y Caso  González  Medina  y  familiares  Vs.</w:t>
        <w:br/>
        <w:t>República  Dominicana.  Excepciones  Preliminares,  Fondo,  Reparaciones   y</w:t>
        <w:br/>
        <w:t>Costas. Sentencia de 27 de febrero de 2012. Serie C No. 240, párr. 45.</w:t>
        <w:br/>
        <w:br/>
        <w:br/>
        <w:t>[16]  Cfr. Caso Blake Vs. Guatemala. Excepciones Preliminares. Sentencia  de</w:t>
        <w:br/>
        <w:t>2 de julio de 1996. Serie C No. 27, párrs. 39 y 40, y Caso  González  Medina</w:t>
        <w:br/>
        <w:t>y familiares Vs. República Dominicana, supra, párr. 48.</w:t>
        <w:br/>
        <w:br/>
        <w:br/>
        <w:t>[17]   Cfr.  Caso  Hermanas  Serrano  Cruz  Vs.  El  Salvador.   Excepciones</w:t>
        <w:br/>
        <w:t>Preliminares. Sentencia de 23 de noviembre de 2004. Serie C No. 118,  párrs.</w:t>
        <w:br/>
        <w:t>65 y 66, y Caso González  Medina  y  familiares  Vs.  República  Dominicana,</w:t>
        <w:br/>
        <w:t>supra, párr. 48.</w:t>
        <w:br/>
        <w:br/>
        <w:br/>
        <w:t>[18]  Cfr. Caso de la Masacre de las  Dos  Erres  Vs.  Guatemala.  Excepción</w:t>
        <w:br/>
        <w:t>Preliminar, Fondo, Reparaciones y Costas. Sentencia de 24  de  noviembre  de</w:t>
        <w:br/>
        <w:t>2009. Serie C No. 211, párr. 48.</w:t>
        <w:br/>
        <w:br/>
        <w:br/>
        <w:t>[19]  Cfr. Caso de la  “Panel  Blanca”  (Paniagua  Morales  y  otros)  Vs.</w:t>
        <w:br/>
        <w:t>Guatemala. Fondo. Sentencia de 8 de marzo de 1998. Serie C No.  37,  párr.</w:t>
        <w:br/>
        <w:t>76, y Caso Pueblo Indígena Kichwa de Sarayaku Vs.  Ecuador,  supra,  párr.</w:t>
        <w:br/>
        <w:t>31.</w:t>
        <w:br/>
        <w:br/>
        <w:br/>
        <w:t>[20]  Los objetos de las declaraciones y los dictámenes periciales  pueden</w:t>
        <w:br/>
        <w:t>consultarse en la Resolución de Convocatoria a Audiencia Pública de 31  de</w:t>
        <w:br/>
        <w:t>mayo de 2012, supra, puntos resolutivos primero y quinto.</w:t>
        <w:br/>
        <w:br/>
        <w:br/>
        <w:t>[21]  Cfr. Caso Velásquez Rodríguez Vs. Honduras. Fondo. Sentencia de 29  de</w:t>
        <w:br/>
        <w:t>julio de 1988. Serie C No. 4, párr. 140, y Caso Pueblo  Indigena  Kichwa  de</w:t>
        <w:br/>
        <w:t>Sarayaku Vs. Ecuador, supra, párr.  35.</w:t>
        <w:br/>
        <w:br/>
        <w:br/>
        <w:t>[22]  Estos documentos son: copia certificada de la sentencia de 28 de  mayo</w:t>
        <w:br/>
        <w:t>de 2008, dictada dentro de la causa 28-2003 por  el  Tribunal  de  Sentencia</w:t>
        <w:br/>
        <w:t>Penal, Narcoactividad y Delitos contra el Ambiente del Departamento de  Baja</w:t>
        <w:br/>
        <w:t>Verapaz; copia simple de los expedientes administrativos de las víctimas  de</w:t>
        <w:br/>
        <w:t>la Comunidad de Río Negro que han sido resarcidas por el  Programa  Nacional</w:t>
        <w:br/>
        <w:t>de  Resarcimiento;   copia   del   informe   ejecutivo   del   Programa   de</w:t>
        <w:br/>
        <w:t>Reasentamientos Humanos, de los  afectados  por  el  embalse  de  la  planta</w:t>
        <w:br/>
        <w:t>hidroeléctrica   Chixoy,   elaborado   por   el   Instituto   Nacional    de</w:t>
        <w:br/>
        <w:t>Electrificación –INDE-, septiembre 2004; lista de  “víctimas  aceptadas  por</w:t>
        <w:br/>
        <w:t>el Estado en el presente caso”, y lista de “víctimas que  fueron  resarcidas</w:t>
        <w:br/>
        <w:t>por el Programa Nacional de Resarcimiento”.</w:t>
        <w:br/>
        <w:br/>
        <w:br/>
        <w:t>[23]  Expediente Penal 01076-2011-00009 y el Expediente Penal 001-98-1ro.</w:t>
        <w:br/>
        <w:br/>
        <w:br/>
        <w:t>[24]  Documento titulado “Informe Final de la Comisión Técnica de  Apoyo  al</w:t>
        <w:br/>
        <w:t>Representante del INDE ante la  Instancia  de  Negociación  que  refiere  el</w:t>
        <w:br/>
        <w:t>Acuerdo Político suscrito entre COCAHICH y el Gobierno de  la  República  de</w:t>
        <w:br/>
        <w:t>Guatemala”.</w:t>
        <w:br/>
        <w:br/>
        <w:br/>
        <w:t>[25]   Cfr.  Caso  Loayza  Tamayo  Vs.  Perú.  Fondo.  Sentencia  de  17  de</w:t>
        <w:br/>
        <w:t>septiembre de 1997. Serie C No. 33, párr. 43, y Caso Pueblo Indigena  Kichwa</w:t>
        <w:br/>
        <w:t>de Sarayaku Vs. Ecuador, supra, párr. 43.</w:t>
        <w:br/>
        <w:br/>
        <w:br/>
        <w:t>[26]  Cfr. Acta de nacimiento de Juan Osorio Alvarado (expediente de  anexos</w:t>
        <w:br/>
        <w:t>al escrito de solicitudes y argumentos, folio  16995).  Conforme  consta  en</w:t>
        <w:br/>
        <w:t>dicha acta, Juan Osorio Alvarado nació el 19 de agosto de 1976.</w:t>
        <w:br/>
        <w:br/>
        <w:br/>
        <w:t>[27]  La única persona respecto de la cual la Corte no cuenta con prueba  es</w:t>
        <w:br/>
        <w:t>Regina Sic Siana, mencionada por los representantes en sus alegatos  finales</w:t>
        <w:br/>
        <w:t>escritos y su fe de erratas (expediente de fondo, tomo III, folio 1572).</w:t>
        <w:br/>
        <w:br/>
        <w:br/>
        <w:t>[28]  Cfr. Caso Cinco Pensionistas Vs. Perú. Fondo, Reparaciones  y  Costas.</w:t>
        <w:br/>
        <w:t>Sentencia de 28 de febrero de 2003. Serie  C  No.  98,  párr.  153,  y  Caso</w:t>
        <w:br/>
        <w:t>Pueblo Indígena Kichwa de Sarayaku Vs. Ecuador, supra,  párr.  27,  nota  al</w:t>
        <w:br/>
        <w:t>pie de página 28.</w:t>
        <w:br/>
        <w:br/>
        <w:br/>
        <w:br/>
        <w:br/>
        <w:br/>
        <w:t>[29]  Cfr. Caso Goiburú y otros Vs. Paraguay. Fondo, Reparaciones y  Costas.</w:t>
        <w:br/>
        <w:t>Sentencia de 22 de septiembre de 2006. Serie C No. 153, párrs. 53  y  63,  y</w:t>
        <w:br/>
        <w:t>Caso  Radilla  Pacheco  Vs.   México.   Excepciones   Preliminares,   Fondo,</w:t>
        <w:br/>
        <w:t>Reparaciones y Costas. Sentencia de 23 de noviembre de  2009.  Serie  C  No.</w:t>
        <w:br/>
        <w:t>209, párr. 116.</w:t>
        <w:br/>
        <w:br/>
        <w:br/>
        <w:t>[30]   Cfr.  Caso  Almonacid  Arellano  y  otros  Vs.   Chile.   Excepciones</w:t>
        <w:br/>
        <w:t>Preliminares, Fondo, Reparaciones y Costas. Sentencia de 26 de setiembre  de</w:t>
        <w:br/>
        <w:t>2006. Serie C No. 154, párr. 82, y Caso Manuel Cepeda Vargas  Vs.  Colombia,</w:t>
        <w:br/>
        <w:t>supra, párr. 46.</w:t>
        <w:br/>
        <w:br/>
        <w:br/>
        <w:t>[31]  Cfr. Caso  de  la  Masacre  Plan  de  Sánchez  Vs.  Guatemala.  Fondo.</w:t>
        <w:br/>
        <w:t>Sentencia de 29 de abril de 2004. Serie  C  No.  105;  Caso  Tiu  Tojín  Vs.</w:t>
        <w:br/>
        <w:t>Guatemala, supra; Caso  de la  Masacre  de  las  Dos  Erres  Vs.  Guatemala,</w:t>
        <w:br/>
        <w:t>supra, y Caso Chitay Nech y otros Vs. Guatemala.  Excepciones  Preliminares,</w:t>
        <w:br/>
        <w:t>Fondo, Reparaciones y Costas. Sentencia de 25 de mayo de 2010. Serie  C  No.</w:t>
        <w:br/>
        <w:t>212.</w:t>
        <w:br/>
        <w:br/>
        <w:br/>
        <w:t>[32]        Cfr. Caso de la Masacre Plan de Sánchez  Vs.  Guatemala,  Fondo,</w:t>
        <w:br/>
        <w:t>supra, párrs. 42.1 a 42.11; Caso Tiu Tojín Vs. Guatemala, supra,  párrs.  48</w:t>
        <w:br/>
        <w:t>a 51; Caso  de la Masacre de las Dos Erres Vs. Guatemala, supra,  párrs.  70</w:t>
        <w:br/>
        <w:t>a 73, y Caso Chitay Nech Vs. Guatemala, supra, párrs. 64 a 69.</w:t>
        <w:br/>
        <w:br/>
        <w:br/>
        <w:t>[33]  Cfr. Informe de  la  Comisión  para  el  Esclarecimiento  Histórico,</w:t>
        <w:br/>
        <w:t>“Guatemala, Memoria del Silencio”, Guatemala, Oficina  de  Servicios  para</w:t>
        <w:br/>
        <w:t>Proyectos    de    las    Naciones    Unidas,    1999.    Disponible    en</w:t>
        <w:br/>
        <w:t>http://shr.aaas.org/guatemala/ceh/gmds_pdf/ (última visita: 4 de agosto de</w:t>
        <w:br/>
        <w:t>2012),  y  Oficina  de  Derechos  Humanos  del  Arzobispado  de  Guatemala</w:t>
        <w:br/>
        <w:t>(ODHAG),  “Guatemala  Nunca  Más”,  Informe  del  Proyecto  Interdiocesano</w:t>
        <w:br/>
        <w:t>“Recuperación    de    la    Memoria     Histórica”.     Disponible     en</w:t>
        <w:br/>
        <w:t>http://www.fundacionpdh.org/lesahumanidad/informes/guatemala/informeREMHI-</w:t>
        <w:br/>
        <w:t>Tomo1.htm (última visita: 4 de agosto de 2012).</w:t>
        <w:br/>
        <w:br/>
        <w:br/>
        <w:t>[34]  Cfr. Informe  “Guatemala,  Memoria  del  Silencio”,  supra;  Informe</w:t>
        <w:br/>
        <w:t>“Guatemala Nunca Más”, supra; Caso Tiu Tojín Vs. Guatemala,  supra,  párr.</w:t>
        <w:br/>
        <w:t>48; Caso de la Masacre Plan de Sánchez Vs. Guatemala, Fondo, supra,  párr.</w:t>
        <w:br/>
        <w:t>42.1; Caso de la Masacre de las Dos Erres Vs. Guatemala, supra, párr.  70,</w:t>
        <w:br/>
        <w:t>y Caso Chitay Nech y otros Vs. Guatemala, supra, párr. 64.</w:t>
        <w:br/>
        <w:br/>
        <w:br/>
        <w:t>[35]  Caso de la Masacre de las Dos Erres Vs. Guatemala, supra, párr.  70;</w:t>
        <w:br/>
        <w:t>Informe “Guatemala, Memoria del Silencio”, supra, capítulo  segundo,  tomo</w:t>
        <w:br/>
        <w:t>II, párr. 1729.</w:t>
        <w:br/>
        <w:br/>
        <w:br/>
        <w:t>[36]  Cfr. Informe “Guatemala,  Memoria  del  Silencio”,  supra,  capítulo</w:t>
        <w:br/>
        <w:t>segundo, tomo II, párrs. 1754, y 2053 a 2057.</w:t>
        <w:br/>
        <w:br/>
        <w:br/>
        <w:t>[37]  Cfr. Caso de la Masacre Plan de Sánchez Vs. Guatemala, Fondo, supra,</w:t>
        <w:br/>
        <w:t>párr. 42.2; Caso Chitay Nech y otros Vs. Guatemala,  supra,  párr.  64,  e</w:t>
        <w:br/>
        <w:t>Informe “Guatemala, Memoria del Silencio”, supra, capítulo  primero,  tomo</w:t>
        <w:br/>
        <w:t>I, párr. 357.</w:t>
        <w:br/>
        <w:br/>
        <w:br/>
        <w:t>[38]  El 23 de marzo de 1982, como resultado de un  golpe  de  Estado,  en</w:t>
        <w:br/>
        <w:t>Guatemala se instaló una Junta Militar  de  Gobierno  presidida  por  José</w:t>
        <w:br/>
        <w:t>Efraín Ríos Montt e integrada, además, por  los  vocales  Horacio  Egberto</w:t>
        <w:br/>
        <w:t>Maldonado Schaad y Francisco Luis Gordillo Martínez. El 8 de junio de 1982</w:t>
        <w:br/>
        <w:t>José Efraín Ríos Montt asumió los cargos de Presidente de la  República  y</w:t>
        <w:br/>
        <w:t>Comandante General del Ejército, permaneciendo como Presidente hasta el 31</w:t>
        <w:br/>
        <w:t>de agosto de 1983. En abril de 1982, la Junta Militar de Gobierno dictó el</w:t>
        <w:br/>
        <w:t>“Plan Nacional de Seguridad y Desarrollo”, el  cual  establecía  objetivos</w:t>
        <w:br/>
        <w:t>nacionales en  términos  militares,  administrativos,  legales,  sociales,</w:t>
        <w:br/>
        <w:t>económicos y políticos. Dicho Plan identificó  las  principales  áreas  de</w:t>
        <w:br/>
        <w:t>conflicto. Cfr. Caso de la Masacre Plan de Sánchez Vs.  Guatemala,  Fondo,</w:t>
        <w:br/>
        <w:t>supra, párrs. 42.3 a 42.4 y  Caso  Chitay  Nech  y  otros  Vs.  Guatemala,</w:t>
        <w:br/>
        <w:t>supra, párr. 65.</w:t>
        <w:br/>
        <w:br/>
        <w:br/>
        <w:t>[39]  Cfr. Caso de la Masacre Plan de Sánchez Vs. Guatemala, Fondo, supra,</w:t>
        <w:br/>
        <w:t>párr. 42.6, y Caso de la Masacre de las Dos Erres  Vs.  Guatemala,  supra,</w:t>
        <w:br/>
        <w:t>párr. 73.</w:t>
        <w:br/>
        <w:br/>
        <w:br/>
        <w:t>[40]  Cfr. Caso de la Masacre Plan de Sánchez Vs. Guatemala, Fondo, supra,</w:t>
        <w:br/>
        <w:t>párr. 42.5.</w:t>
        <w:br/>
        <w:br/>
        <w:br/>
        <w:t>[41]  Cfr. Caso de la Masacre Plan de Sánchez Vs. Guatemala, Fondo, supra,</w:t>
        <w:br/>
        <w:t>párr. 42.6; Caso de la Masacre de  las  Dos  Erres,  supra,  párr.  73,  e</w:t>
        <w:br/>
        <w:t>Informe “Guatemala, Memoria del Silencio”, supra, capítulo  segundo,  tomo</w:t>
        <w:br/>
        <w:t>III, párrs. 3086, 3105, 3128 y 3177.</w:t>
        <w:br/>
        <w:br/>
        <w:br/>
        <w:t>[42]  Cfr. Caso de la Masacre Plan de Sánchez Vs. Guatemala, Fondo, supra,</w:t>
        <w:br/>
        <w:t>párr. 42.7.</w:t>
        <w:br/>
        <w:br/>
        <w:br/>
        <w:t>[43]  De conformidad con el Informe  “Guatemala, Memoria del Silencio”, en</w:t>
        <w:br/>
        <w:t>términos étnicos, “el 83.3% de las víctimas  de  violaciones  de  derechos</w:t>
        <w:br/>
        <w:t>humanos y hechos de violencia  registrados  por  [aquella]  pertenecían  a</w:t>
        <w:br/>
        <w:t>alguna  etnia  maya  […]”.  Informe  “Guatemala,  Memoria  del  Silencio”,</w:t>
        <w:br/>
        <w:t>capítulo segundo,  tomo  II,  párr.  1745;  además,  Caso  Tiu  Tojín  Vs.</w:t>
        <w:br/>
        <w:t>Guatemala, supra, párr. 48,  y Caso Chitay Nech  y  otros  Vs.  Guatemala,</w:t>
        <w:br/>
        <w:t>supra, párr. 66.</w:t>
        <w:br/>
        <w:br/>
        <w:br/>
        <w:t>[44]  Cfr. Caso de la Masacre Plan de Sánchez Vs. Guatemala. Fondo, supra,</w:t>
        <w:br/>
        <w:t>párr. 42.5; Informe “Guatemala, Memoria del Silencio”,  capítulo  segundo,</w:t>
        <w:br/>
        <w:t>tomo III, párr. 2951. De conformidad con el peritaje de la señora Rosalina</w:t>
        <w:br/>
        <w:t>Tuyuk rendido durante la audiencia pública,  las  personas  desplazadas  a</w:t>
        <w:br/>
        <w:t>lugares lejanos a su comunidad perdieron la oportunidad de  participar  en</w:t>
        <w:br/>
        <w:t>las actividades, los ritos, la espiritualidad y el ciclo de aprendizaje de</w:t>
        <w:br/>
        <w:t>la misma, de hablar su idioma y de  portar  su  vestimenta,  así  como  de</w:t>
        <w:br/>
        <w:t>practicar sus labores tradicionales.</w:t>
        <w:br/>
        <w:br/>
        <w:br/>
        <w:t>[45]  Informe “Guatemala, Memoria del Silencio”,  supra,  capítulo  segundo,</w:t>
        <w:br/>
        <w:t>tomo III, párr. 3392.</w:t>
        <w:br/>
        <w:br/>
        <w:br/>
        <w:t>[46]  Cfr. Caso de la Masacre Plan de Sánchez Vs. Guatemala.  Reparaciones</w:t>
        <w:br/>
        <w:t>y Costas. Sentencia de 19 de noviembre de 2004. Serie  C  No.  116,  párr.</w:t>
        <w:br/>
        <w:t>49.19; Caso Masacre de las Dos Erres Vs. Guatemala, supra,  párr.  139,  e</w:t>
        <w:br/>
        <w:t>Informe “Guatemala, Memoria del Silencio”, supra, capítulo  segundo,  tomo</w:t>
        <w:br/>
        <w:t>II, párr. 1363.</w:t>
        <w:br/>
        <w:br/>
        <w:br/>
        <w:t>[47]  Informe “Guatemala, Memoria del Silencio”, supra, capítulo  segundo,</w:t>
        <w:br/>
        <w:t>tomo III, párr. 3348 y 3418. Igualmente, la perita Rosalina Tuyuk  refirió</w:t>
        <w:br/>
        <w:t>durante la audiencia pública que las  violaciones  sexuales  cometidas  en</w:t>
        <w:br/>
        <w:t>contra de las mujeres mayas han impedido, en muchos casos, la  procreación</w:t>
        <w:br/>
        <w:t>del pueblo, debido a las secuelas psicológicas provocadas por las  mismas.</w:t>
        <w:br/>
        <w:t>Además, señaló que muchas de las mujeres violadas sexualmente mantienen lo</w:t>
        <w:br/>
        <w:t>que han vivido en secreto,  puesto  que  divulgarlo  “significaría  […para</w:t>
        <w:br/>
        <w:t>ellas] la deshonra, las críticas, los señalamientos y la vergüenza que  de</w:t>
        <w:br/>
        <w:t>alguna manera [se] ocasiona dentro de la familia […]”.</w:t>
        <w:br/>
        <w:br/>
        <w:br/>
        <w:t>[48]  Cfr. Caso Molina Theissen Vs. Guatemala. Fondo. Sentencia  de  4  de</w:t>
        <w:br/>
        <w:t>mayo de 2004. Serie C No. 106, párr. 40.6</w:t>
        <w:br/>
        <w:br/>
        <w:br/>
        <w:t>[49]  Cfr. Caso de la Masacre de las Dos Erres Vs. Guatemala, supra,  párrs.</w:t>
        <w:br/>
        <w:t>177, 170 y 199.</w:t>
        <w:br/>
        <w:br/>
        <w:br/>
        <w:t>[50]  Cfr. Peritaje rendido por la señora Rosalina Tuyuc  Velásquez  durante</w:t>
        <w:br/>
        <w:t>la audiencia pública.</w:t>
        <w:br/>
        <w:br/>
        <w:br/>
        <w:t>[51]  Caso de la Masacre de las Dos Erres Vs. Guatemala, supra, párr. 171.</w:t>
        <w:br/>
        <w:br/>
        <w:br/>
        <w:t>[52]        Informe  “Guatemala,  Memoria  del  Silencio”,  supra,  capítulo</w:t>
        <w:br/>
        <w:t>segundo, tomo III, párr. 2520.</w:t>
        <w:br/>
        <w:br/>
        <w:br/>
        <w:t>[53]        Informe “Guatemala Nunca Más”, supra, tomo I, capitulo  segundo.</w:t>
        <w:br/>
        <w:br/>
        <w:br/>
        <w:br/>
        <w:t>[54]        Informe “Guatemala Nunca Más”, supra, tomo I, capítulo  segundo.</w:t>
        <w:br/>
        <w:br/>
        <w:br/>
        <w:br/>
        <w:t>[55]  Cfr. Caso de la Masacre Plan de Sánchez Vs. Guatemala. Fondo, supra,</w:t>
        <w:br/>
        <w:t>párr. 42.7.</w:t>
        <w:br/>
        <w:br/>
        <w:br/>
        <w:t>[56]  Como ha sido establecido en otros casos  sobre  Guatemala  conocidos</w:t>
        <w:br/>
        <w:t>por este Tribunal,  la  desaparición  forzada  de  personas  en  ese  país</w:t>
        <w:br/>
        <w:t>constituyó una práctica del Estado durante la época del  conflicto  armado</w:t>
        <w:br/>
        <w:t>interno, la cual fue llevada a cabo  principalmente  por  agentes  de  sus</w:t>
        <w:br/>
        <w:t>fuerzas de seguridad. Se les retenía clandestinamente sin  dar  noticia  a</w:t>
        <w:br/>
        <w:t>autoridad judicial competente, independiente e imparcial, se les torturaba</w:t>
        <w:br/>
        <w:t>física y psicológicamente para la obtención de información, e incluso,  en</w:t>
        <w:br/>
        <w:t>la mayoría de los casos, se les causaba la muerte. Además, la desaparición</w:t>
        <w:br/>
        <w:t>forzada tenía la finalidad de castigar no sólo a la víctima, sino  también</w:t>
        <w:br/>
        <w:t>al colectivo político o social al que pertenecía y a su propia familia.  A</w:t>
        <w:br/>
        <w:t>tal efecto, el informe Guatemala, Nunca Más señaló que  “[l]os  asesinatos</w:t>
        <w:br/>
        <w:t>selectivos de líderes tuvieron a menudo  una  dimensión  de  hostigamiento</w:t>
        <w:br/>
        <w:t>también a sus familias,  ya  fuera  antes  o  después  de  los  hechos  de</w:t>
        <w:br/>
        <w:t>violencia […] El hostigamiento hacia la población civil por parte  de  las</w:t>
        <w:br/>
        <w:t>fuerzas  militares,  tuvo  en  muchos  lugares  del  país  una   dimensión</w:t>
        <w:br/>
        <w:t>comunitaria. Las acusaciones de  participación  o  apoyo  a  la  guerrilla</w:t>
        <w:br/>
        <w:t>involucraron globalmente a  muchas  comunidades  que  fueron  tildadas  de</w:t>
        <w:br/>
        <w:t>‘guerrilleras’”. Cfr. Caso Chitay Nech y otros Vs. Guatemala, supra párrs.</w:t>
        <w:br/>
        <w:t>66 a 67, y 69.</w:t>
        <w:br/>
        <w:br/>
        <w:br/>
        <w:t>[57]  La perita Rosalina Tuyuk indicó durante la audiencia pública que  la</w:t>
        <w:br/>
        <w:t>violencia tuvo como resultado la desarticulación del tejido social,  entre</w:t>
        <w:br/>
        <w:t>otros,  porque  la  muerte  de  niños  y  ancianos  implicó  la  falta  de</w:t>
        <w:br/>
        <w:t>convivencia y la ruptura de lazos  familiares.  Asimismo,  señaló  que  la</w:t>
        <w:br/>
        <w:t>búsqueda de los desaparecidos y la falta de apoyo  por  parte  del  Estado</w:t>
        <w:br/>
        <w:t>para  la  realización  de  exhumaciones  en  cementerios  clandestinos  ha</w:t>
        <w:br/>
        <w:t>implicado una carga emocional para los pueblos mayas. Según la perita,  el</w:t>
        <w:br/>
        <w:t>hecho de no poder ver a sus familiares “ni entre los vivos  ni  entre  los</w:t>
        <w:br/>
        <w:t>muertos”, de no poder darles una digna sepultura y realizar  sus  rituales</w:t>
        <w:br/>
        <w:t>de despedida, ha mantenido abierto el duelo que sufren dichos pueblos.</w:t>
        <w:br/>
        <w:br/>
        <w:br/>
        <w:t>[58]  Peritaje rendido por la señora Rosalina  Tuyuk  Velázquez  durante  la</w:t>
        <w:br/>
        <w:t>audiencia pública.</w:t>
        <w:br/>
        <w:br/>
        <w:br/>
        <w:t>[59]  Informe “Guatemala, Memoria del Silencio”,  supra,  capítulo  tercero,</w:t>
        <w:br/>
        <w:t>párr. 4447.</w:t>
        <w:br/>
        <w:br/>
        <w:br/>
        <w:t>[60]  Informe “Guatemala, Memoria del Silencio”,  supra,  capítulo  tercero,</w:t>
        <w:br/>
        <w:t>párr. 4447.</w:t>
        <w:br/>
        <w:br/>
        <w:br/>
        <w:t>[61]  Caso de la Masacre de las Dos Erres Vs. Guatemala, supra, párr.  82;</w:t>
        <w:br/>
        <w:t>e  Informe   “Guatemala,   Memoria   del   Silencio”,   capítulo   cuarto,</w:t>
        <w:br/>
        <w:t>conclusiones, párr. 126.</w:t>
        <w:br/>
        <w:br/>
        <w:br/>
        <w:t>[62]  Cfr. Caso de la Masacre Plan de Sánchez Vs. Guatemala. Fondo, supra,</w:t>
        <w:br/>
        <w:t>párr. 42.8, y Caso de la Masacre de las Dos Erres  Vs.  Guatemala,  supra,</w:t>
        <w:br/>
        <w:t>párr. 83.</w:t>
        <w:br/>
        <w:br/>
        <w:br/>
        <w:t>[63]  Cfr. Caso de la Masacre Plan de Sánchez Vs. Guatemala.  Fondo,  supra,</w:t>
        <w:br/>
        <w:t>párr. 42.8.</w:t>
        <w:br/>
        <w:br/>
        <w:br/>
        <w:t>[64]  Cfr. peritaje rendido ante fedatario  público  por  el  señor  Alfredo</w:t>
        <w:br/>
        <w:t>Itzep Manuel (expediente de fondo, tomo  II,  folios  1034,  1035  y  1037);</w:t>
        <w:br/>
        <w:t>Informe “Guatemala, Memoria del Silencio”, supra, tomo  VI,  anexo  I,  Caso</w:t>
        <w:br/>
        <w:t>Ilustrativo No. 10 “Masacre y Eliminación de la Comunidad de Río  Negro”,  y</w:t>
        <w:br/>
        <w:t>Burgos, Walter, “Tesoros Mayas: Las sociedades prehispánicas  de  la  cuenca</w:t>
        <w:br/>
        <w:t>del Río Chixoy”,  Guatemala,  Museo  Nacional  de  Arqueología  y  Etnología</w:t>
        <w:br/>
        <w:t>(MUNAE) de la Dirección General  del  Patrimonio  Cultural  y  Nacional  del</w:t>
        <w:br/>
        <w:t>Ministerio de Cultura y Deportes de Guatemala, 2009  (expediente  de  anexos</w:t>
        <w:br/>
        <w:t>al escrito de solicitudes y argumentos, tomo XXI, folios 12670 y 12692).</w:t>
        <w:br/>
        <w:br/>
        <w:br/>
        <w:t>[65]  Según el  perito  Alfredo  Itzep  Manuel,  para  los  mayas  Achí,  la</w:t>
        <w:br/>
        <w:t>cosmovisión maya “se basa en la relación armónica  de  todos  los  elementos</w:t>
        <w:br/>
        <w:t>del universo, en la que el ser humano es un elemento más, la  tierra  es  la</w:t>
        <w:br/>
        <w:t>madre que da la vida y el maíz es un elemento sagrado, eje  de  la  cultura.</w:t>
        <w:br/>
        <w:t>[…] El agua tiene trascendental importancia para el pueblo […]. Está  ligada</w:t>
        <w:br/>
        <w:t>a su configuración cultural,  como  elemento  generador  de  vida  para  los</w:t>
        <w:br/>
        <w:t>hombres y mujeres. […] Para los Maya Achí de la Comunidad de  Río  Negro  la</w:t>
        <w:br/>
        <w:t>construcción de la hidroeléctrica supuso el cierre o  la  tapada  [sic]  del</w:t>
        <w:br/>
        <w:t>agua, que significa el cierre a la vida misma de los  seres  humanos”.  Cfr.</w:t>
        <w:br/>
        <w:t>Peritaje rendido ante fedatario público por el señor  Alfredo  Itzep  Manuel</w:t>
        <w:br/>
        <w:t>(expediente de fondo, tomo II, folios 1069 a 1071).</w:t>
        <w:br/>
        <w:br/>
        <w:br/>
        <w:t>[66]  Cfr. peritaje rendido ante fedatario  público  por  el  señor  Alfredo</w:t>
        <w:br/>
        <w:t>Itzep Manuel (expediente de fondo, tomo II, folios  1037  a  1044);  Informe</w:t>
        <w:br/>
        <w:t>“Guatemala,  Memoria  del  Silencio”,  supra,  tomo  VI,   anexo   I,   Caso</w:t>
        <w:br/>
        <w:t>Ilustrativo No. 10 “Masacre y Eliminación de la Comunidad de Río Negro”.</w:t>
        <w:br/>
        <w:br/>
        <w:br/>
        <w:t>[67]  Cfr. Informe “Guatemala, Memoria del Silencio”, supra, tomo VI,  anexo</w:t>
        <w:br/>
        <w:t>I, Caso Ilustrativo No. 10 “Masacre y Eliminación de  la  Comunidad  de  Río</w:t>
        <w:br/>
        <w:t>Negro”; Johnston, Barbara Rose, Estudio de los Elementos del  Legado  de  la</w:t>
        <w:br/>
        <w:t>Represa Chixoy, tomo uno, Guatemala, Centro para la Ecología Política,  2005</w:t>
        <w:br/>
        <w:t>(expediente de anexos al escrito de  solicitudes  y  argumentos,  tomo  XXI,</w:t>
        <w:br/>
        <w:t>folio 12746); FLACSO-Guatemala,  Informe  “Generación  de  insumos  para  la</w:t>
        <w:br/>
        <w:t>verificación e identificación de daños y perjuicios por construcción  de  la</w:t>
        <w:br/>
        <w:t>hidroeléctrica de Chixoy”, Guatemala, Facultad Latinoamericana  de  Ciencias</w:t>
        <w:br/>
        <w:t>Sociales-Guatemala, 2009, (expediente de anexos al escrito de solicitudes  y</w:t>
        <w:br/>
        <w:t>argumentos, tomo XXI, folios 13029 a 13030).</w:t>
        <w:br/>
        <w:br/>
        <w:br/>
        <w:t>[68]  Cfr. Estudio de los Elementos del Legado de la Represa Chixoy,  supra,</w:t>
        <w:br/>
        <w:t>volumen dos (expediente de anexos al escrito de  solicitudes  y  argumentos,</w:t>
        <w:br/>
        <w:t>tomo XXI, folio 12821).</w:t>
        <w:br/>
        <w:br/>
        <w:br/>
        <w:t>[69]  Cfr. Informe “Guatemala, Memoria del Silencio”, supra, tomo VI,  anexo</w:t>
        <w:br/>
        <w:t>I, Caso Ilustrativo No. 10 “Masacre y Eliminación de  la  Comunidad  de  Río</w:t>
        <w:br/>
        <w:t>Negro”,  e  Informe  “Generación  de  insumos   para   la   verificación   e</w:t>
        <w:br/>
        <w:t>identificación de daños y perjuicios por construcción de  la  hidroeléctrica</w:t>
        <w:br/>
        <w:t>de Chixoy”, supra,  (expediente  de  anexos  al  escrito  de  solicitudes  y</w:t>
        <w:br/>
        <w:t>argumentos, tomo XXI, folio 12975).</w:t>
        <w:br/>
        <w:br/>
        <w:br/>
        <w:t>[70]  Informe “Guatemala, Memoria del Silencio”, supra, tomo  VI,  anexo  I,</w:t>
        <w:br/>
        <w:t>Caso Ilustrativo No. 10 “Masacre  y  Eliminación  de  la  Comunidad  de  Río</w:t>
        <w:br/>
        <w:t>Negro”.</w:t>
        <w:br/>
        <w:br/>
        <w:br/>
        <w:t>[71]   La  construcción  del  proyecto  concluyó  en  1983.  Cfr.  Informe</w:t>
        <w:br/>
        <w:t>“Guatemala,  Memoria  del  Silencio”,  supra,  tomo  VI,  anexo  I,   Caso</w:t>
        <w:br/>
        <w:t>Ilustrativo No. 10 “Masacre y Eliminación de la Comunidad de  Río  Negro”;</w:t>
        <w:br/>
        <w:t>Estudio  de  los  Elementos  del  Legado  de  la  Represa  Chixoy,  supra,</w:t>
        <w:br/>
        <w:t>(expediente de anexos al escrito de solicitudes y  argumentos,  tomo  XXI,</w:t>
        <w:br/>
        <w:t>folios  12747  y  12748),  e  Informe  “Generación  de  insumos  para   la</w:t>
        <w:br/>
        <w:t>verificación e identificación de daños y perjuicios por construcción de la</w:t>
        <w:br/>
        <w:t>hidroeléctrica de Chixoy”, supra, (expediente  de  anexos  al  escrito  de</w:t>
        <w:br/>
        <w:t>solicitudes y argumentos, tomo XXI, folio 13051).</w:t>
        <w:br/>
        <w:br/>
        <w:br/>
        <w:t>[72]  Estudio de los Elementos del  Legado  de  la  Represa  Chixoy,  supra,</w:t>
        <w:br/>
        <w:t>volumen dos (expediente de anexos al escrito de  solicitudes  y  argumentos,</w:t>
        <w:br/>
        <w:t>tomo XXI, folio 12851).</w:t>
        <w:br/>
        <w:br/>
        <w:br/>
        <w:t>[73]  Cfr. Informe “Guatemala, Memoria del Silencio”, supra, tomo VI,  anexo</w:t>
        <w:br/>
        <w:t>I, Caso Ilustrativo No. 10 “Masacre y Eliminación de  la  Comunidad  de  Río</w:t>
        <w:br/>
        <w:t>Negro”.</w:t>
        <w:br/>
        <w:br/>
        <w:br/>
        <w:t>[74]  Cfr.  Informe  “Guatemala,  Memoria  del  Silencio”,  supra,  capítulo</w:t>
        <w:br/>
        <w:t>segundo, tomo III, párr. 3390.</w:t>
        <w:br/>
        <w:br/>
        <w:br/>
        <w:t>[75]  Informe “Guatemala, Memoria del Silencio”, supra, capítulo  segundo,</w:t>
        <w:br/>
        <w:t>tomo III, párr. 3411.</w:t>
        <w:br/>
        <w:br/>
        <w:br/>
        <w:t>[76]  Cfr. Informe “Guatemala, Memoria del Silencio”, supra, tomo VI,  anexo</w:t>
        <w:br/>
        <w:t>I, Caso Ilustrativo No. 10 “Masacre y Eliminación de  la  Comunidad  de  Río</w:t>
        <w:br/>
        <w:t>Negro”; testimonio rendido por Antonia Osorio Sánchez  el  24  de  junio  de</w:t>
        <w:br/>
        <w:t>2009 (expediente de anexos al sometimiento del caso,  tomo  I,  folio  481);</w:t>
        <w:br/>
        <w:t>testimonio  rendido  por  Jerónimo  Osorio  Chen  el  6  de  julio  de  2009</w:t>
        <w:br/>
        <w:t>(expediente de anexos al sometimiento del caso, tomo I, folios 495  a  496),</w:t>
        <w:br/>
        <w:t>y testimonio rendido por Francisco  Chen  Osorio  el  1  de  julio  de  2009</w:t>
        <w:br/>
        <w:t>(expediente de anexos al sometimiento del caso, tomo I, folios 553 a 554).</w:t>
        <w:br/>
        <w:br/>
        <w:br/>
        <w:t>[77]  Los testimonios que constan en el expediente discrepan en cuanto a  si</w:t>
        <w:br/>
        <w:t>los miembros de la comunidad de Río Negro  se  reunieron  en  frente  de  la</w:t>
        <w:br/>
        <w:t>capilla por iniciativa propia, o bien, fueron citados por  los  agentes  del</w:t>
        <w:br/>
        <w:t>Estado mencionados. Cfr. Informe “Guatemala, Memoria del  Silencio”,  supra,</w:t>
        <w:br/>
        <w:t>tomo VI, anexo I, Caso Ilustrativo No.  10  “Masacre  y  Eliminación  de  la</w:t>
        <w:br/>
        <w:t>Comunidad de Río Negro”; testimonio rendido por Antonia  Osorio  Sánchez  el</w:t>
        <w:br/>
        <w:t>24 de junio de 2009 (expediente de anexos al sometimiento del caso, tomo  I,</w:t>
        <w:br/>
        <w:t>folio 481); testimonio rendido por Jerónimo Osorio Chen el  6  de  julio  de</w:t>
        <w:br/>
        <w:t>2009 (expediente de anexos al sometimiento del caso, tomo I, folio  495),  y</w:t>
        <w:br/>
        <w:t>testimonio rendido  por  Francisco  Chen  Osorio  el  1  de  julio  de  2009</w:t>
        <w:br/>
        <w:t>(expediente de anexos al sometimiento del caso, tomo I, folio 554).</w:t>
        <w:br/>
        <w:br/>
        <w:br/>
        <w:t>[78]        Las personas que murieron en este ataque fueron:  Calixto  Chen.</w:t>
        <w:br/>
        <w:t>Cfr.  certificado  de  nacimiento  (expediente  de  anexos  al  escrito   de</w:t>
        <w:br/>
        <w:t>solicitudes y argumentos, tomo XXV, folio 15133) y certificado de  defunción</w:t>
        <w:br/>
        <w:t>(expediente de anexos al escrito de  solicitudes  y  argumentos,  tomo  XXV,</w:t>
        <w:br/>
        <w:t>folio 15132). Véase,  además,  la  declaración  de  Antonia  Osorio  Sánchez</w:t>
        <w:br/>
        <w:t>(expediente de anexos al sometimiento del caso, tomo I, folios 481 a 490)  y</w:t>
        <w:br/>
        <w:t>la  declaración  de  Jerónimo  Osorio  Chen   (expediente   de   anexos   al</w:t>
        <w:br/>
        <w:t>sometimiento del caso, tomo I, folios 491 a 505); Francisco Tum Uscap.  Cfr.</w:t>
        <w:br/>
        <w:t>certificado de nacimiento (expediente de anexos al escrito de solicitudes  y</w:t>
        <w:br/>
        <w:t>argumentos, tomo XXV, folio 15135) y certificado  de  defunción  (expediente</w:t>
        <w:br/>
        <w:t>de anexos al escrito de solicitudes y argumentos, tomo  XXV,  folio  15134).</w:t>
        <w:br/>
        <w:t>Véase, además, la declaración  de  Antonia  Osorio  Sánchez  (expediente  de</w:t>
        <w:br/>
        <w:t>anexos al sometimiento del caso, tomo I, folios 481 a 490) y la  declaración</w:t>
        <w:br/>
        <w:t>de Jerónimo Osorio Chen (expediente de  anexos  al  sometimiento  del  caso,</w:t>
        <w:br/>
        <w:t>tomo I, folios 491 a 505);  Máxima  Chen.  Cfr.  certificado  de  nacimiento</w:t>
        <w:br/>
        <w:t>(expediente de anexos al escrito de  solicitudes  y  argumentos,  tomo  XXV,</w:t>
        <w:br/>
        <w:t>folio 15140) y certificado de defunción (expediente de anexos al ESAP,  tomo</w:t>
        <w:br/>
        <w:t>XXV, folio 15138). Véase, además, la declaración de Antonia  Osorio  Sánchez</w:t>
        <w:br/>
        <w:t>(expediente de anexos al sometimiento del caso, tomo I, folios 481 a 490)  y</w:t>
        <w:br/>
        <w:t>la  declaración  de  Jerónimo  Osorio  Chen   (expediente   de   anexos   al</w:t>
        <w:br/>
        <w:t>sometimiento del caso, tomo I, folios  491  a  505);  Santos  Oswaldo  López</w:t>
        <w:br/>
        <w:t>Ixpatá. Cfr. certificado de nacimiento (expediente de anexos al  escrito  de</w:t>
        <w:br/>
        <w:t>solicitudes y argumentos, tomo XXV, folio 15143) y certificado de  defunción</w:t>
        <w:br/>
        <w:t>(expediente de anexos al escrito de  solicitudes  y  argumentos,  tomo  XXV,</w:t>
        <w:br/>
        <w:t>folio 15142). Véase, además,  la  declaración  de   Antonia  Osorio  Sánchez</w:t>
        <w:br/>
        <w:t>(expediente de anexos al sometimiento del caso, tomo I, folios 481 a 490)  y</w:t>
        <w:br/>
        <w:t>la  declaración  de  Jerónimo  Osorio  Chen   (expediente   de   anexos   al</w:t>
        <w:br/>
        <w:t>sometimiento del caso, tomo I, folios 491 a  505);  Jesús  Alvarado  Ixpatá.</w:t>
        <w:br/>
        <w:t>Cfr.  certificado  de  nacimiento  (expediente  de  anexos  al  escrito   de</w:t>
        <w:br/>
        <w:t>solicitudes y argumentos, tomo XXV, folio 15146) y certificado de  defunción</w:t>
        <w:br/>
        <w:t>(expediente de anexos al escrito de  solicitudes  y  argumentos,  tomo  XXV,</w:t>
        <w:br/>
        <w:t>folio 15145). Véase, además,  la  declaración  de   Antonia  Osorio  Sánchez</w:t>
        <w:br/>
        <w:t>(expediente de anexos al sometimiento del caso, tomo I, folios 481 a 490)  y</w:t>
        <w:br/>
        <w:t>la  declaración  de  Jerónimo  Osorio  Chen   (expediente   de   anexos   al</w:t>
        <w:br/>
        <w:t>sometimiento del caso, tomo I, folios 491 a  505);  Mateo  Ixpatá  Jerónimo.</w:t>
        <w:br/>
        <w:t>Cfr.  certificado  de  nacimiento  (expediente  de  anexos  al  escrito   de</w:t>
        <w:br/>
        <w:t>solicitudes y argumentos, tomo XXV, folio 15149) y certificado de  defunción</w:t>
        <w:br/>
        <w:t>(expediente de anexos al escrito de  solicitudes  y  argumentos,  tomo  XXV,</w:t>
        <w:br/>
        <w:t>folio 15148). Véase,  además,  la  declaración  de  Antonia  Osorio  Sánchez</w:t>
        <w:br/>
        <w:t>(expediente de anexos al sometimiento del caso, tomo I, folios 481 a 490)  y</w:t>
        <w:br/>
        <w:t>la  declaración  de  Jerónimo  Osorio  Chen   (expediente   de   anexos   al</w:t>
        <w:br/>
        <w:t>sometimiento del caso, tomo I, folios 491 a 505).</w:t>
        <w:br/>
        <w:br/>
        <w:br/>
        <w:t>[79]  Esta persona fue Mateo Uscap  Chen.  Cfr.  certificado  de  nacimiento</w:t>
        <w:br/>
        <w:t>(expediente de anexos al escrito de  solicitudes  y  argumentos,  tomo  XXV,</w:t>
        <w:br/>
        <w:t>folio 15137) y certificado de defunción (expediente de anexos al escrito  de</w:t>
        <w:br/>
        <w:t>solicitudes y  argumentos,  tomo  XXV,  folio  15136).   Véase,  además,  el</w:t>
        <w:br/>
        <w:t>testimonio rendido ante fedatario público  por  la  señora  María  Eustaquia</w:t>
        <w:br/>
        <w:t>Uscap Ivoy (expediente de fondo, tomo II, folio  1006);  la  declaración  de</w:t>
        <w:br/>
        <w:t>Antonia Osorio Sánchez (expediente de anexos al sometimiento del caso,  tomo</w:t>
        <w:br/>
        <w:t>I, folios 481 a 490) y la declaración de Jerónimo  Osorio  Chen  (expediente</w:t>
        <w:br/>
        <w:t>de anexos al sometimiento del caso, tomo I, folios 491 a 505).</w:t>
        <w:br/>
        <w:br/>
        <w:br/>
        <w:t>[80]  Cfr. Informe “Guatemala, Memoria del Silencio”, supra, tomo VI,</w:t>
        <w:br/>
        <w:t>anexo I, Caso Ilustrativo No. 10 “Masacre y Eliminación de la Comunidad de</w:t>
        <w:br/>
        <w:t>Río Negro”; testimonio rendido por Antonia Osorio Sánchez el 24 de junio</w:t>
        <w:br/>
        <w:t>de 2009 (expediente de anexos al sometimiento del caso, tomo I, folios 481</w:t>
        <w:br/>
        <w:t>a 482); testimonio rendido por Jerónimo Osorio Chen el 6 de julio de 2009</w:t>
        <w:br/>
        <w:t>(expediente de anexos al sometimiento del caso, tomo I, folios 496 a 497),</w:t>
        <w:br/>
        <w:t>y testimonio rendido por Francisco Chen Osorio el 1 de julio de 2009</w:t>
        <w:br/>
        <w:t>(expediente de anexos al sometimiento del caso, tomo I, folio 554).</w:t>
        <w:br/>
        <w:br/>
        <w:br/>
        <w:t>[81]  Cfr. testimonio rendido por Jerónimo Osorio Chen  el  6  de  julio  de</w:t>
        <w:br/>
        <w:t>2009 (expediente de anexos al sometimiento del caso, tomo I, folio  499),  y</w:t>
        <w:br/>
        <w:t>testimonio rendido por Antonia  Osorio  Sánchez  el  24  de  junio  de  2009</w:t>
        <w:br/>
        <w:t>(expediente de anexos al sometimiento del caso, tomo I, folio 482).</w:t>
        <w:br/>
        <w:br/>
        <w:br/>
        <w:t>[82]  Cfr. testimonio rendido por Jerónimo Osorio Chen  el  6  de  julio  de</w:t>
        <w:br/>
        <w:t>2009 (expediente de anexos al sometimiento del caso,  tomo  I,  folio  500);</w:t>
        <w:br/>
        <w:t>testimonio rendido por Antonia  Osorio  Sánchez  el  24  de  junio  de  2009</w:t>
        <w:br/>
        <w:t>(expediente de anexos al sometimiento  del  caso,  tomo  I,  folio  482),  y</w:t>
        <w:br/>
        <w:t>testimonio rendido  por  Francisco  Chen  Osorio  el  1  de  julio  de  2009</w:t>
        <w:br/>
        <w:t>(expediente de anexos al sometimiento del caso, tomo I, folio  556).  Consta</w:t>
        <w:br/>
        <w:t>en el expediente ante el  Tribunal  que  Valeriano  Osorio  Chen  murió  por</w:t>
        <w:br/>
        <w:t>herida de proyectil arma de fuego en el tórax  abdominal,  hemorragia  aguda</w:t>
        <w:br/>
        <w:t>interna, herida pulmón e hígado. Cfr. certificado de  defunción  (expediente</w:t>
        <w:br/>
        <w:t>de anexos al escrito de solicitudes y argumentos, tomo XXVII, folio  16530).</w:t>
        <w:br/>
        <w:t>Asimismo, se desprende  de  la  prueba  que  consta  en  el  expediente  que</w:t>
        <w:br/>
        <w:t>Evaristo Osorio falleció como consecuencia de herida de  proyectil  arma  de</w:t>
        <w:br/>
        <w:t>fuego  en  cráneo,  atrición  cerebral.  Cfr.   certificado   de   Defuncion</w:t>
        <w:br/>
        <w:t>(expediente de anexos al escrito de solicitudes y  argumentos,  tomo  XXVII,</w:t>
        <w:br/>
        <w:t>folio 16466).</w:t>
        <w:br/>
        <w:br/>
        <w:br/>
        <w:t>[83]  Cfr. Informe “Guatemala, Memoria  del  Silencio”,  supra,  tomo  VI,</w:t>
        <w:br/>
        <w:t>anexo I, Caso Ilustrativo No. 10 “Masacre y Eliminación de la Comunidad de</w:t>
        <w:br/>
        <w:t>Río Negro”, y testimonio rendido por Jerónimo Osorio Chen el 6 de julio de</w:t>
        <w:br/>
        <w:t>2009 (expediente de anexos al sometimiento del caso, tomo I, folio  502  y</w:t>
        <w:br/>
        <w:t>503). Véase, además, Tecú Osorio, Jesús. Memoria de las  Masacres  de  Río</w:t>
        <w:br/>
        <w:t>Negro: Recuerdo de mis padres y memoria para mis  hijos,  Guatemala,  2002</w:t>
        <w:br/>
        <w:t>(expediente de anexos al sometimiento del caso, tomo XX,  folios  12385  y</w:t>
        <w:br/>
        <w:t>12386).</w:t>
        <w:br/>
        <w:br/>
        <w:br/>
        <w:t>[84]  Los documentos  de  prueba  que  constan  en  el  expediente  difieren</w:t>
        <w:br/>
        <w:t>respecto de si los miembros de la comunidad de Río Negro fueron  citados  el</w:t>
        <w:br/>
        <w:t>sábado 6 o el domingo 7 de febrero de  1982.  Cfr.  testimonio  de  Jerónimo</w:t>
        <w:br/>
        <w:t>Osorio Chen (expediente de anexos al sometimiento del caso, tomo  I,  folios</w:t>
        <w:br/>
        <w:t>502 a  503);  testimonio  de  José  Osorio  Sic  (expediente  de  anexos  al</w:t>
        <w:br/>
        <w:t>sometimiento del caso, tomo I, folio  536);  testimonio  de  Francisco  Chen</w:t>
        <w:br/>
        <w:t>Osorio (expediente de anexos al sometimiento del caso, tomo I,  folio  556);</w:t>
        <w:br/>
        <w:t>testimonio de Fabián Chen Ivoy (expediente de  anexos  al  sometimiento  del</w:t>
        <w:br/>
        <w:t>caso, tomo I, folio 550),  e  Informe  “Guatemala,  Memoria  del  Silencio”,</w:t>
        <w:br/>
        <w:t>supra, tomo VI, anexo I, Caso Ilustrativo No. 10 “Masacre y  Eliminación  de</w:t>
        <w:br/>
        <w:t>la Comunidad de Río Negro”. Véase, además,  “Peritaje  antropológico-forense</w:t>
        <w:br/>
        <w:t>realizado en la Aldea de  Xococ,  anexo  al  escrito  de  los  peticionarios</w:t>
        <w:br/>
        <w:t>recibido el 1° de marzo de 2010” (expediente de anexos al  sometimiento  del</w:t>
        <w:br/>
        <w:t>caso, tomo III, folio 1787),  y  Memoria  de  las  Masacres  de  Río  Negro:</w:t>
        <w:br/>
        <w:t>Recuerdo de mis padres y  memoria  para  mis  hijos,  supra  (expediente  de</w:t>
        <w:br/>
        <w:t>anexos al sometimiento del caso, tomo XX, folio 12386).</w:t>
        <w:br/>
        <w:br/>
        <w:br/>
        <w:t>[85]  Cfr. testimonio de Jerónimo Osorio Chen  (expediente  de  anexos  al</w:t>
        <w:br/>
        <w:t>sometimiento del caso, tomo I, folios  502  a  503);  testimonio  de  José</w:t>
        <w:br/>
        <w:t>Osorio Sic (expediente de anexos al sometimiento del caso, tomo I,  folios</w:t>
        <w:br/>
        <w:t>536 a 537); testimonio de Francisco Chen Osorio (expediente de  anexos  al</w:t>
        <w:br/>
        <w:t>sometimiento del caso, tomo I, folios 556 a  557);  testimonio  de  Fabián</w:t>
        <w:br/>
        <w:t>Chen Ivoy (expediente de anexos al sometimiento del caso,  tomo  I,  folio</w:t>
        <w:br/>
        <w:t>550);  testimonio  de  Carmen  Sánchez  Chen  (expediente  de  anexos   al</w:t>
        <w:br/>
        <w:t>sometimiento del caso, tomo I, folio 525); Informe “Guatemala, Memoria del</w:t>
        <w:br/>
        <w:t>Silencio”, supra, tomo VI, anexo I, Caso Ilustrativo  No.  10  “Masacre  y</w:t>
        <w:br/>
        <w:t>Eliminación de la Comunidad de Río  Negro”.  Véase,  además,  “Declaración</w:t>
        <w:br/>
        <w:t>presentada por Denese Joy Burck el 19 de marzo de 2001 en la sede [de]  la</w:t>
        <w:br/>
        <w:t>Fiscalía Especial del Ministerio Público de la Ciudad de Guatemala,  anexo</w:t>
        <w:br/>
        <w:t>al escrito de los peticionarios recibido el 7 de mayo de 2007” (expediente</w:t>
        <w:br/>
        <w:t>de anexos al sometimiento del caso, tomo III, folio 1772),  y  Memoria  de</w:t>
        <w:br/>
        <w:t>las Masacres de Río Negro: Recuerdo de  mis  padres  y  memoria  para  mis</w:t>
        <w:br/>
        <w:t>hijos, supra (expediente de anexos al  sometimiento  del  caso,  tomo  XX,</w:t>
        <w:br/>
        <w:t>folios 12386 a 12387).</w:t>
        <w:br/>
        <w:br/>
        <w:br/>
        <w:t>[86]  Cfr. testimonio de Antonia Osorio Sánchez (expediente de  anexos  al</w:t>
        <w:br/>
        <w:t>sometimiento del caso, tomo I, folio 483); testimonio de  Jerónimo  Osorio</w:t>
        <w:br/>
        <w:t>Chen (expediente de anexos al sometimiento del caso, tomo I,  folio  503);</w:t>
        <w:br/>
        <w:t>testimonio  de  Cornelio  Osorio  Sánchez   (expediente   de   anexos   al</w:t>
        <w:br/>
        <w:t>sometimiento del caso, tomo I, folio  508);  testimonio  de  Teodora  Chen</w:t>
        <w:br/>
        <w:t>(expediente de anexos al  sometimiento  del  caso,  tomo  I,  folio  518);</w:t>
        <w:br/>
        <w:t>testimonio de Carmen Sánchez Chen (expediente de  anexos  al  sometimiento</w:t>
        <w:br/>
        <w:t>del caso, tomo I, folio 525), y testimonio de Fabián Chen Ivoy (expediente</w:t>
        <w:br/>
        <w:t>de anexos al sometimiento del caso, tomo I,  folio  550).  Véase,  además,</w:t>
        <w:br/>
        <w:t>Memoria de las Masacres de Río Negro: Recuerdo de  mis  padres  y  memoria</w:t>
        <w:br/>
        <w:t>para mis hijos, supra (expediente de anexos al sometimiento del caso, tomo</w:t>
        <w:br/>
        <w:t>XX, folio 12392).</w:t>
        <w:br/>
        <w:br/>
        <w:br/>
        <w:t>[87]  Testimonio de Teodora Chen (expediente de anexos al sometimiento del</w:t>
        <w:br/>
        <w:t>caso, tomo I, folio 51). Véase,  además,  “Peritaje  antropológico-forense</w:t>
        <w:br/>
        <w:t>realizado en la Aldea de Xococ, anexo  al  escrito  de  los  peticionarios</w:t>
        <w:br/>
        <w:t>recibido el 1° de marzo de 2010” (expediente de anexos al sometimiento del</w:t>
        <w:br/>
        <w:t>caso, tomo III, folio 1787)</w:t>
        <w:br/>
        <w:br/>
        <w:br/>
        <w:t>[88]    Cfr.  testimonio  de  Teodora  Chen  (expediente  de   anexos   al</w:t>
        <w:br/>
        <w:t>sometimiento del caso,  tomo  I,  folio  519).  Véase,  además,  “Peritaje</w:t>
        <w:br/>
        <w:t>antropológico-forense realizado en la Aldea de Xococ, anexo al escrito  de</w:t>
        <w:br/>
        <w:t>los peticionarios recibido el 1° de marzo de 2010” (expediente  de  anexos</w:t>
        <w:br/>
        <w:t>al sometimiento del caso, tomo III, folio 1788).</w:t>
        <w:br/>
        <w:br/>
        <w:br/>
        <w:t>[89]  Cfr. testimonio de Teodora Chen (expediente de anexos al  sometimiento</w:t>
        <w:br/>
        <w:t>del caso, tomo I, folio 519).</w:t>
        <w:br/>
        <w:br/>
        <w:br/>
        <w:t>[90]  Testimonio de Teodora Chen (expediente de anexos al  sometimiento  del</w:t>
        <w:br/>
        <w:t>caso, tomo I, folios 519 a 522).</w:t>
        <w:br/>
        <w:br/>
        <w:br/>
        <w:t>[91]  Cfr. testimonio de Teodora Chen (expediente de anexos al  sometimiento</w:t>
        <w:br/>
        <w:t>del caso, tomo I, folio  520).  Véase,  además,  el  testimonio  de  Antonia</w:t>
        <w:br/>
        <w:t>Osorio Sánchez (expediente de anexos  al  sometimiento  del  caso,  tomo  I,</w:t>
        <w:br/>
        <w:t>folios 483 a 484).</w:t>
        <w:br/>
        <w:br/>
        <w:br/>
        <w:t>[92]  La Comisión Interamericana alegó que 93 personas de  la  comunidad  de</w:t>
        <w:br/>
        <w:t>Río Negro fueron asesinadas el 13 de febrero de 1982 en la aldea  de  Xococ.</w:t>
        <w:br/>
        <w:t>No obstante, únicamente individualizó  a  91  de  éstas,  6  de  las  cuales</w:t>
        <w:br/>
        <w:t>presuntamente  eran  menores  de  edad  en  ese  momento.  Cfr.  escrito  de</w:t>
        <w:br/>
        <w:t>sometimiento del caso (expediente de fondo, tomo I, folios  30  y  61).  Por</w:t>
        <w:br/>
        <w:t>otro lado, el Tribunal observa que los representantes remitieron  una  lista</w:t>
        <w:br/>
        <w:t>de 80 personas, 12 de éstas menores de  edad,  presuntamente  masacradas  en</w:t>
        <w:br/>
        <w:t>Xococ.  Cfr.  “Anexo  i.  Listado  de  víctimas  de  la  masacre  de  Xococ”</w:t>
        <w:br/>
        <w:t>(expediente de anexos al escrito de solicitudes y  argumentos,  tomo  XXIII,</w:t>
        <w:br/>
        <w:t>folio 13747), y “Listado de personas masacrada[s] el 13 de febrero de  1982”</w:t>
        <w:br/>
        <w:t>(expediente de anexos a los alegatos finales de los  representantes,  folios</w:t>
        <w:br/>
        <w:t>26134 a 26144). Al mismo tiempo, el Tribunal observa que  según  el  Informe</w:t>
        <w:br/>
        <w:t>de la CEH, 74 miembros de la  comunidad  de  Río  Negro  (55  hombres  y  19</w:t>
        <w:br/>
        <w:t>mujeres) fueron asesinados en Xococ. Cfr. Informe  “Guatemala,  Memoria  del</w:t>
        <w:br/>
        <w:t>Silencio”, supra, tomo VI, anexo I,  Caso  Ilustrativo  No.  10  “Masacre  y</w:t>
        <w:br/>
        <w:t>Eliminación de la Comunidad de Río Negro”. Además, la señora  Teodora  Chen,</w:t>
        <w:br/>
        <w:t>testigo de los hechos en Xococ, indicó que el  13  de  febrero  de  1982  se</w:t>
        <w:br/>
        <w:t>trasladaron 70 a 80 personas de Río Negro a dicha aldea. Cfr. testimonio  de</w:t>
        <w:br/>
        <w:t>Teodora Chen (expediente de anexos al sometimiento del caso, tomo I,  folios</w:t>
        <w:br/>
        <w:t>518 a 519). Esto  es  consistente  con  los  testimonios  rendidos  por  las</w:t>
        <w:br/>
        <w:t>señoras Carmen Sánchez Chen y Denese Joy Burck, y por el  señor  Jesús  Tecú</w:t>
        <w:br/>
        <w:t>Osorio,  quienes  refirieron,  respectivamente,   que   aproximadamente   73</w:t>
        <w:br/>
        <w:t>personas se habían trasladado a  Xococ  en  esa  ocasión.  La  señora  Burck</w:t>
        <w:br/>
        <w:t>indicó que “la mayoría [de estas personas] eran hombres”, y  el  señor  Tecú</w:t>
        <w:br/>
        <w:t>Osorio señaló que se trataba de 55 hombres y 18 mujeres. Cfr. testimonio  de</w:t>
        <w:br/>
        <w:t>Carmen Sánchez Chen (expediente de anexos al sometimiento del caso, tomo  I,</w:t>
        <w:br/>
        <w:t>folios 525 a 526);  “Declaración presentada por Denese Joy Burck  el  19  de</w:t>
        <w:br/>
        <w:t>marzo de 2001 en la sede [de] la Fiscalía Especial  del  Ministerio  Público</w:t>
        <w:br/>
        <w:t>de la Ciudad de Guatemala, anexo al escrito de  los  peticionarios  recibido</w:t>
        <w:br/>
        <w:t>el 7 de mayo de 2007” (expediente de anexos al sometimiento del  caso,  tomo</w:t>
        <w:br/>
        <w:t>III, folio 1772), y “Testimonio de Jesús Tecú Osorio  de  febrero  de  1995.</w:t>
        <w:br/>
        <w:t>Proceso Penal 001-98-1. Anexo al escrito de los peticionarios recibido el  7</w:t>
        <w:br/>
        <w:t>de mayo de 2007” (expediente de anexos al sometimiento  del  caso,  tomo  I,</w:t>
        <w:br/>
        <w:t>folio  571).  Asimismo,  la  Corte  observa   que,   como   parte   de   las</w:t>
        <w:br/>
        <w:t>investigaciones adelantadas por los hechos del presente caso,  la  Fundación</w:t>
        <w:br/>
        <w:t>de Antropología Forense de Guatemala (FAFG)  estableció,  a  partir  de  los</w:t>
        <w:br/>
        <w:t>testimonios recabados, que 73 personas, incluidas 7  mujeres,  habrían  sido</w:t>
        <w:br/>
        <w:t>víctimas de los hechos  del  13  de  febrero  de  1982  en  Xococ.  La  FAFG</w:t>
        <w:br/>
        <w:t>individualizó a 68 de estas personas. Cfr.  “Peritaje  antropológico-forense</w:t>
        <w:br/>
        <w:t>realizado en la Aldea de  Xococ,  anexo  al  escrito  de  los  peticionarios</w:t>
        <w:br/>
        <w:t>recibido el 1 de marzo de 2010 (expediente de  anexos  al  sometimiento  del</w:t>
        <w:br/>
        <w:t>caso, tomo III, folios 1788 a 1790).</w:t>
        <w:br/>
        <w:br/>
        <w:br/>
        <w:t>[93]   Cfr.  testimonio  de  Teodora  Chen  (expediente   de   anexos   al</w:t>
        <w:br/>
        <w:t>sometimiento del caso, tomo I, folio 521), y testimonio de Antonia  Osorio</w:t>
        <w:br/>
        <w:t>Sánchez (expediente de anexos al sometimiento  del  caso,  tomo  I,  folio</w:t>
        <w:br/>
        <w:t>483).</w:t>
        <w:br/>
        <w:br/>
        <w:br/>
        <w:t>[94]   Cfr.  testimonio  de  Teodora  Chen  (expediente   de   anexos   al</w:t>
        <w:br/>
        <w:t>sometimiento del caso, tomo I, folios 518 a 524);  testimonio  de  Antonia</w:t>
        <w:br/>
        <w:t>Osorio Sánchez (expediente de anexos al sometimiento  del  caso,  tomo  I,</w:t>
        <w:br/>
        <w:t>folio 484); testimonio de Jerónimo Osorio Chen (expediente  de  anexos  al</w:t>
        <w:br/>
        <w:t>sometimiento del caso, tomo I, folio 504); testimonio  de  Carmen  Sánchez</w:t>
        <w:br/>
        <w:t>Chen (expediente de anexos al sometimiento del caso, tomo I,  folio  526);</w:t>
        <w:br/>
        <w:t>testimonio de Francisco Chen Osorio (expediente de anexos al  sometimiento</w:t>
        <w:br/>
        <w:t>del caso, tomo I, folio 558), y declaración rendida ante fedatario público</w:t>
        <w:br/>
        <w:t>por la señora María Osorio Chen (expediente de fondo, tomo II, folios  996</w:t>
        <w:br/>
        <w:t>a 1001);. Véase, además, “Declaración presentada por Denese Joy  Burck  el</w:t>
        <w:br/>
        <w:t>19 de marzo de 2001 en la sede [de] la Fiscalía  Especial  del  Ministerio</w:t>
        <w:br/>
        <w:t>Público de la Cuidad de Guatemala, anexo al escrito de  los  peticionarios</w:t>
        <w:br/>
        <w:t>recibido el 7 de mayo de 2007” (expediente de anexos al  sometimiento  del</w:t>
        <w:br/>
        <w:t>caso, tomo III, folio 1772); “Peritaje antropológico-forense realizado  en</w:t>
        <w:br/>
        <w:t>la Aldea de Xococ, anexo al escrito de los peticionarios recibido el 1° de</w:t>
        <w:br/>
        <w:t>marzo de 2010” (expediente de anexos al sometimiento del caso,  tomo  III,</w:t>
        <w:br/>
        <w:t>folio 1788), y Memoria de las Masacres  de  Río  Negro:  Recuerdo  de  mis</w:t>
        <w:br/>
        <w:t>padres  y  memoria  para  mis  hijos,  supra  (expediente  de  anexos   al</w:t>
        <w:br/>
        <w:t>sometimiento del caso, tomo XX, folio 12392).</w:t>
        <w:br/>
        <w:br/>
        <w:br/>
        <w:t>[95]   Cfr.  testimonio  de  Teodora  Chen  (expediente   de   anexos   al</w:t>
        <w:br/>
        <w:t>sometimiento del caso, tomo I, folios 521  a  522;  testimonio  de  Carmen</w:t>
        <w:br/>
        <w:t>Sánchez Chen (expediente de anexos al sometimiento del caso, tomo I, folio</w:t>
        <w:br/>
        <w:t>526); testimonio de José Osorio Sic (expediente de anexos al  sometimiento</w:t>
        <w:br/>
        <w:t>del caso, tomo I, folio  537),  y  testimonio  de  Francisco  Chen  Osorio</w:t>
        <w:br/>
        <w:t>(expediente de anexos al sometimiento del caso, tomo I, folios 558 a 559).</w:t>
        <w:br/>
        <w:t>Véase, además, la “Declaración presentada por Denese Joy Burck  el  19  de</w:t>
        <w:br/>
        <w:t>marzo de 2001 en la sede [de] la Fiscalía Especial del Ministerio  Público</w:t>
        <w:br/>
        <w:t>de la Ciudad de Guatemala, anexo al escrito de los peticionarios  recibido</w:t>
        <w:br/>
        <w:t>el 7 de mayo de 2007” (expediente de anexos al sometimiento del caso, tomo</w:t>
        <w:br/>
        <w:t>III, folio 1773), y  “Testimonio de Jesús Tecú Osorio de febrero de  1995.</w:t>
        <w:br/>
        <w:t>Proceso Penal 001-98-1. Anexo al escrito de los peticionarios recibido  el</w:t>
        <w:br/>
        <w:t>7 de mayo de 2007” (expediente de anexos al sometimiento del caso, tomo I,</w:t>
        <w:br/>
        <w:t>folio 572).</w:t>
        <w:br/>
        <w:br/>
        <w:br/>
        <w:t>[96]   Testimonio  de  Francisco  Chen  Osorio  (expediente  de  anexos   al</w:t>
        <w:br/>
        <w:t>sometimiento del caso, tomo I, folios 558 a 559),  y  testimonio  de  Carmen</w:t>
        <w:br/>
        <w:t>Sánchez Chen (expediente de anexos al sometimiento del caso, tomo  I,  folio</w:t>
        <w:br/>
        <w:t>526).</w:t>
        <w:br/>
        <w:br/>
        <w:br/>
        <w:t>[97]  El Informe de la CEH indicó que llegaron “12 miembros  del  ejército</w:t>
        <w:br/>
        <w:t>acompañados por 15  patrulleros  de  la  aldea  de  Xococ”.  Cfr.  Informe</w:t>
        <w:br/>
        <w:t>“Guatemala,  Memoria  del  Silencio”,  supra,  tomo  VI,  anexo  I,   Caso</w:t>
        <w:br/>
        <w:t>Ilustrativo No. 10 “Masacre y Eliminación de la Comunidad de  Río  Negro”.</w:t>
        <w:br/>
        <w:t>Véase, además, el “Testimonio de Jesús Tecú Osorio  de  febrero  de  1995.</w:t>
        <w:br/>
        <w:t>Proceso Penal 001-98-1. Anexo al escrito de los peticionarios recibido  el</w:t>
        <w:br/>
        <w:t>7 de mayo de 2007” (expediente de anexos al sometimiento del caso, tomo I,</w:t>
        <w:br/>
        <w:t>folio 573). En su declaración, el señor Tecú Osorio  indicó  que  llegaron</w:t>
        <w:br/>
        <w:t>“unos 25 hombres armados en total, como 15 patrulleros (con armas M-1) que</w:t>
        <w:br/>
        <w:t>el [e]jército usaba en los años 1970) y 10  soldados  (con  ametralladoras</w:t>
        <w:br/>
        <w:t>Galil)”.</w:t>
        <w:br/>
        <w:br/>
        <w:br/>
        <w:t>[98]  Cfr. declaración rendida ante fedatario público por la señora  Bruna</w:t>
        <w:br/>
        <w:t>Pérez Osorio (expediente  de  fondo,  tomo  II,  folio  992);  declaración</w:t>
        <w:br/>
        <w:t>rendida ante fedatario público por la señora María Osorio Chen (expediente</w:t>
        <w:br/>
        <w:t>de fondo, tomo II, folio 996); Sentencia  de  30  de  noviembre  de  1998,</w:t>
        <w:br/>
        <w:t>Proceso Penal No. 001-98-1, (expediente  de  anexos  al  sometimiento  del</w:t>
        <w:br/>
        <w:t>caso, tomo I, folios 587 a 588); Sentencia de 28 de mayo  de  2008,  Causa</w:t>
        <w:br/>
        <w:t>número 28-2003-OF  (expediente de anexos al sometimiento  del  caso,  tomo</w:t>
        <w:br/>
        <w:t>II, folios 739 a 743, 761 a 767, 775 a 778, 785 a 789, 800 a  805,  813  a</w:t>
        <w:br/>
        <w:t>817, 831 a 836, 839 a 842, 852 a 857, 859 a 861, 869 a 871, 875 a 878, 882</w:t>
        <w:br/>
        <w:t>a 884, 893 a 894, 906 a 907, y 930 a 933); testimonio  de  Antonia  Osorio</w:t>
        <w:br/>
        <w:t>Sánchez (expediente de anexos al sometimiento del caso, tomo I, folios 484</w:t>
        <w:br/>
        <w:t>a 485); testimonio de  Jerónimo  Osorio  Chen  (expediente  de  anexos  al</w:t>
        <w:br/>
        <w:t>sometimiento del caso, tomo I, folio  504);  testimonio  de  Teodora  Chen</w:t>
        <w:br/>
        <w:t>(expediente de anexos al  sometimiento  del  caso,  tomo  I,  folio  522);</w:t>
        <w:br/>
        <w:t>testimonio de Juana Chen Osorio (expediente de anexos al sometimiento  del</w:t>
        <w:br/>
        <w:t>caso, tomo I, folio 531); testimonio de José  Osorio  Sic  (expediente  de</w:t>
        <w:br/>
        <w:t>anexos al sometimiento del caso, tomo I, folios 537 a 538); testimonio  de</w:t>
        <w:br/>
        <w:t>Francisco Chen Osorio (expediente de anexos al sometimiento del caso, tomo</w:t>
        <w:br/>
        <w:t>I, folio 559), e Informe “Guatemala, Memoria del  Silencio”,  supra,  tomo</w:t>
        <w:br/>
        <w:t>VI, anexo I,  Caso  Ilustrativo  No.  10  “Masacre  y  Eliminación  de  la</w:t>
        <w:br/>
        <w:t>Comunidad de Río Negro”. Véase, además, la   “Declaración  presentada  por</w:t>
        <w:br/>
        <w:t>Denese Joy Burck el 19 de marzo de  2001  en  la  sede  [de]  la  Fiscalía</w:t>
        <w:br/>
        <w:t>Especial del Ministerio Público  de  la  Ciudad  de  Guatemala,  anexo  al</w:t>
        <w:br/>
        <w:t>escrito de los peticionarios recibido el 7 de mayo de 2007” (expediente de</w:t>
        <w:br/>
        <w:t>anexos al sometimiento del caso, tomo III, folio 1773); el “Testimonio  de</w:t>
        <w:br/>
        <w:t>Jesús Tecú Osorio de febrero de 1995. Proceso  Penal  001-98-1.  Anexo  al</w:t>
        <w:br/>
        <w:t>escrito de los peticionarios recibido el 7 de mayo de 2007” (expediente de</w:t>
        <w:br/>
        <w:t>anexos al sometimiento del caso, tomo I, folio  573),  y  Memoria  de  las</w:t>
        <w:br/>
        <w:t>Masacres de Río Negro: Recuerdo de mis padres y memoria  para  mis  hijos,</w:t>
        <w:br/>
        <w:t>supra (expediente de anexos al sometimiento  del  caso,  tomo  XX,  folios</w:t>
        <w:br/>
        <w:t>12398 a 12400).</w:t>
        <w:br/>
        <w:br/>
        <w:br/>
        <w:t>[99]  Cfr. declaración rendida ante fedatario público por la señora  María</w:t>
        <w:br/>
        <w:t>Eustaquia  Uscap  Ivoy  (expediente  de  fondo,  tomo  II,  folio   1007);</w:t>
        <w:br/>
        <w:t>declaración rendida ante fedatario  público  por  la  señora  Bruna  Pérez</w:t>
        <w:br/>
        <w:t>Osorio (expediente de fondo, tomo II, folio  1014);  Sentencia  de  30  de</w:t>
        <w:br/>
        <w:t>noviembre de 1998, Proceso Penal No. 001-98-1  (expediente  de  anexos  al</w:t>
        <w:br/>
        <w:t>sometimiento del caso, tomo I, folios 587 y 588; Sentencia de 28  de  mayo</w:t>
        <w:br/>
        <w:t>de 2008, Causa número 28-2003-OF (expediente de anexos al sometimiento del</w:t>
        <w:br/>
        <w:t>caso, tomo II, folios 739 a 743, 761 a 767, 775 a 778, 785 a  789,  800  a</w:t>
        <w:br/>
        <w:t>805, 813 a 817, 831 a 836, 839 a 842, 852 a 857, 859 a 861, 869 a 871, 875</w:t>
        <w:br/>
        <w:t>a 878, 882 a 884, 893 a 894, 906 a  907,  y  930  a  933);  testimonio  de</w:t>
        <w:br/>
        <w:t>Antonia Osorio Sánchez (expediente de anexos  al  sometimiento  del  caso,</w:t>
        <w:br/>
        <w:t>tomo I, folio 484); testimonio de Teodora Chen (expediente  de  anexos  al</w:t>
        <w:br/>
        <w:t>sometimiento del caso, tomo I, folios 522 a 523); testimonio de Juana Chen</w:t>
        <w:br/>
        <w:t>Osorio (expediente de anexos al sometimiento del caso, tomo I, folio 532);</w:t>
        <w:br/>
        <w:t>testimonio de Francisco Chen Osorio (expediente de anexos al  sometimiento</w:t>
        <w:br/>
        <w:t>del caso, tomo I, folio 559), e Informe “Guatemala, Memoria del Silencio”,</w:t>
        <w:br/>
        <w:t>supra, tomo VI, anexo I, Caso Ilustrativo No. 10 “Masacre y Eliminación de</w:t>
        <w:br/>
        <w:t>la Comunidad de Río Negro”. Véase, además, la  “Declaración presentada por</w:t>
        <w:br/>
        <w:t>Denese Joy Burck el 19 de marzo de  2001  en  la  sede  [de]  la  Fiscalía</w:t>
        <w:br/>
        <w:t>Especial del Ministerio Público  de  la  Ciudad  de  Guatemala,  anexo  al</w:t>
        <w:br/>
        <w:t>escrito de los peticionarios recibido el 7 de mayo de 2007” (expediente de</w:t>
        <w:br/>
        <w:t>anexos al sometimiento del caso, tomo III, folio 1774); el “Testimonio  de</w:t>
        <w:br/>
        <w:t>Jesús Tecú Osorio de febrero de 1995. Proceso  Penal  001-98-1.  Anexo  al</w:t>
        <w:br/>
        <w:t>escrito de los peticionarios recibido el 7 de mayo de 2007” (expediente de</w:t>
        <w:br/>
        <w:t>anexos al sometimiento del caso, tomo I,  folio  573);  el  testimonio  de</w:t>
        <w:br/>
        <w:t>Carmen Sánchez Chen (expediente de anexos al sometimiento del  caso,  tomo</w:t>
        <w:br/>
        <w:t>I, folios 527 y 528), y el testimonio de José Osorio  Sic  (expediente  de</w:t>
        <w:br/>
        <w:t>anexos al sometimiento del caso, tomo I, folio 538).</w:t>
        <w:br/>
        <w:br/>
        <w:br/>
        <w:t>[100]       Cfr. Sentencia de 28 de mayo de 2008,  Causa  Número  28-2003-OF</w:t>
        <w:br/>
        <w:t>(expediente de anexos al sometimiento del caso, tomo  II,  anexo  16,  folio</w:t>
        <w:br/>
        <w:t>616). En esta sentencia se cita  el  testimonio  de  María  Eustaquia  Uscap</w:t>
        <w:br/>
        <w:t>Ivoy. Además, véase la declaración de María  Eustaquia  Uscap  Ivoy  rendida</w:t>
        <w:br/>
        <w:t>ante fedatario público (expediente de fondo, tomo II, folio 1007).</w:t>
        <w:br/>
        <w:br/>
        <w:br/>
        <w:t>[101]       Cfr. declaración rendida ante fedatario público por la  señora</w:t>
        <w:br/>
        <w:t>María Eustaquia Uscap Ivoy (expediente de fondo, tomo II,  folios  1006  y</w:t>
        <w:br/>
        <w:t>1007); declaración rendida ante fedatario  público  por  la  señora  Bruna</w:t>
        <w:br/>
        <w:t>Pérez Osorio (expediente de fondo, tomo II, folios 1014 y 1015); Sentencia</w:t>
        <w:br/>
        <w:t>de 30 de noviembre de 1998, Proceso  Penal  No.  001-98-1  (expediente  de</w:t>
        <w:br/>
        <w:t>anexos al sometimiento del caso, tomo I, folios 587 a 588 y  607  a  608);</w:t>
        <w:br/>
        <w:t>Sentencia de 28 de mayo de 2008, Causa número  28-2003-OF  (expediente  de</w:t>
        <w:br/>
        <w:t>anexos al sometimiento del caso, tomo II, folios 739 a 743, 761 a 767, 775</w:t>
        <w:br/>
        <w:t>a 778, 785 a 789, 800 a 805, 813 a 817, 831 a 836, 839 a 842, 852  a  857,</w:t>
        <w:br/>
        <w:t>859 a 861, 869 a 871, 875 a 878, 882 a 884, 893 a 894, 899, 906 a  907,  y</w:t>
        <w:br/>
        <w:t>930 a 933); testimonio de Antonia Osorio Sánchez (expediente de anexos  al</w:t>
        <w:br/>
        <w:t>sometimiento del caso, tomo I, folios 484 y 485);  testimonio  de  Teodora</w:t>
        <w:br/>
        <w:t>Chen (expediente de anexos al sometimiento del caso, tomo I, folios 522  a</w:t>
        <w:br/>
        <w:t>523);  testimonio  de  Juana  Chen  Osorio  (expediente   de   anexos   al</w:t>
        <w:br/>
        <w:t>sometimiento del caso, tomo I, folio 532); testimonio  de  Francisco  Chen</w:t>
        <w:br/>
        <w:t>Osorio (expediente de anexos al sometimiento del caso, tomo I, folios  559</w:t>
        <w:br/>
        <w:t>y 560), e Informe “Guatemala, Memoria del Silencio”, supra, tomo VI, anexo</w:t>
        <w:br/>
        <w:t>I, Caso Ilustrativo No. 10 “Masacre y Eliminación de la Comunidad  de  Río</w:t>
        <w:br/>
        <w:t>Negro”. Véase, además, el “Testimonio de Jesús Tecú Osorio de  febrero  de</w:t>
        <w:br/>
        <w:t>1995. Proceso Penal  001-98-1.  Anexo  al  escrito  de  los  peticionarios</w:t>
        <w:br/>
        <w:t>recibido el 7 de mayo de 2007” (expediente de anexos al  sometimiento  del</w:t>
        <w:br/>
        <w:t>caso, tomo I, folios 572 a 575); la “Declaración presentada por Denese Joy</w:t>
        <w:br/>
        <w:t>Burck el 19 de marzo de 2001 en la sede  [de]  la  Fiscalía  Especial  del</w:t>
        <w:br/>
        <w:t>Ministerio Público de la Ciudad de Guatemala,  anexo  al  escrito  de  los</w:t>
        <w:br/>
        <w:t>peticionarios recibido el 7 de mayo de  2007”  (expediente  de  anexos  al</w:t>
        <w:br/>
        <w:t>sometimiento del caso, tomo III, folio  1774);  el  testimonio  de  Carmen</w:t>
        <w:br/>
        <w:t>Sánchez Chen (expediente de anexos  al  sometimiento  del  caso,  tomo  I,</w:t>
        <w:br/>
        <w:t>folios 527 y 528), y el testimonio  de  José  Osorio  Sic  (expediente  de</w:t>
        <w:br/>
        <w:t>anexos al sometimiento del caso, tomo I, folio 538).</w:t>
        <w:br/>
        <w:br/>
        <w:br/>
        <w:t>[102]       El señor Jesús Tecú Osorio, de 10 años de edad  el  día  de  los</w:t>
        <w:br/>
        <w:t>hechos, refirió que  fue  seleccionado  por  uno  de  los  patrulleros  para</w:t>
        <w:br/>
        <w:t>regresar a Xococ a vivir con él, por lo fue apartado del resto de los  niños</w:t>
        <w:br/>
        <w:t>masacrados. Sin embargo, al  terminar  la  matanza,  el  patrullero  se  dio</w:t>
        <w:br/>
        <w:t>cuenta que Jesús Tecú  Osorio  llevaba  consigo  a  su  hermano  Jaime  Tecú</w:t>
        <w:br/>
        <w:t>Osorio, de 3 años de edad en ese entonces. A  pesar  de  que  Jesús  intentó</w:t>
        <w:br/>
        <w:t>pedir perdón y negociar por la vida de su hermano, el patrullero  mencionado</w:t>
        <w:br/>
        <w:t>se lo quitó de los brazos, colocó un lazo alrededor del cuello del niño,  lo</w:t>
        <w:br/>
        <w:t>arrastró hasta una quebrada mientras éste pataleaba  y  estrelló  su  cabeza</w:t>
        <w:br/>
        <w:t>contra las piedras. Cfr. Declaración rendida durante  la  audiencia  pública</w:t>
        <w:br/>
        <w:t>por el señor Jesús Tecú Osorio. Además, véase la Sentencia de 28 de mayo  de</w:t>
        <w:br/>
        <w:t>2008, Causa número 28-2003-OF (expediente  de  anexos  al  sometimiento  del</w:t>
        <w:br/>
        <w:t>caso, tomo II, folios 765 a 766), y Memoria de las Masacres  de  Río  Negro:</w:t>
        <w:br/>
        <w:t>Recuerdo de mis padres y  memoria  para  mis  hijos,  supra  (expediente  de</w:t>
        <w:br/>
        <w:t>anexos al sometimiento del caso, tomo XX, folios 12403 y 12404).</w:t>
        <w:br/>
        <w:br/>
        <w:br/>
        <w:t>[103]       Cfr. sentencia de 28 de mayo de 2008,  Causa  Número  28-2003-OF</w:t>
        <w:br/>
        <w:t>(expediente de anexos al sometimiento del caso, tomo II,  anexo  16,  folios</w:t>
        <w:br/>
        <w:t>576, 756, 760, 784, 811, 839 y 847).</w:t>
        <w:br/>
        <w:br/>
        <w:br/>
        <w:t>[104]       Por ejemplo, el señor Jesús Tecú Osorio fue golpeado y  ahorcado</w:t>
        <w:br/>
        <w:t>hasta perder la consciencia. Cfr. declaración de Jesús Tecú  Osorio  rendida</w:t>
        <w:br/>
        <w:t>durante la audiencia pública. Véase, además, el “Testimonio  de  Jesús  Tecú</w:t>
        <w:br/>
        <w:t>Osorio de febrero de 1995. Proceso Penal 001-98-1. Anexo al escrito  de  los</w:t>
        <w:br/>
        <w:t>peticionarios recibido el 7 de  mayo  de  2007”  (expediente  de  anexos  al</w:t>
        <w:br/>
        <w:t>sometimiento del caso, tomo I, folios 575 y 576); Memoria  de  las  Masacres</w:t>
        <w:br/>
        <w:t>de Río Negro: Recuerdo de  mis  padres  y  memoria  para  mis  hijos,  supra</w:t>
        <w:br/>
        <w:t>(expediente de anexos al sometimiento del caso,  tomo  XX,  folios  12408  a</w:t>
        <w:br/>
        <w:t>12414). Asimismo, de conformidad con el testimonio de la señora  Juana  Chen</w:t>
        <w:br/>
        <w:t>Osorio que consta en el expediente, las  personas  que  la  seleccionaron  a</w:t>
        <w:br/>
        <w:t>ella y a su hermano menor,  llamado  Juan,  les  cambiaron  de  nombre,  les</w:t>
        <w:br/>
        <w:t>forzaban a trabajar y les pegaban  con  “chicotes”.  Según  la  señora  Chen</w:t>
        <w:br/>
        <w:t>Osorio, “yo ya me desesperé me dijo el Juan, me voy a ir de aquí y me voy  a</w:t>
        <w:br/>
        <w:t>ir a matar, […] la señora escuchó, de a[hí] la señora  lo  fue  a  traer  al</w:t>
        <w:br/>
        <w:t>Juan, y […] había una hoya [sic] en el fuego y le quemó los  pies  al  Juan,</w:t>
        <w:br/>
        <w:t>empecé a cuidar al Juan, pegaba gritos, a probas  un  poquito  le  decía  la</w:t>
        <w:br/>
        <w:t>señora, [sic] ustedes tienen que  trabajar[.]  [¿D]e  d[ó]nde  va  venir  el</w:t>
        <w:br/>
        <w:t>dinero para sus ropas[?…] [sic]”.  Cfr.  testimonio  de  Juana  Chen  Osorio</w:t>
        <w:br/>
        <w:t>(expediente de anexos al sometimiento del caso, tomo I, folio  533).  En  la</w:t>
        <w:br/>
        <w:t>declaración de María Eustaquia Uscap Ivoy rendida a ante  fedatario  público</w:t>
        <w:br/>
        <w:t>ella indicó que “[….] La mamá de doña Paula maltrataba a mi hermana y  quizá</w:t>
        <w:br/>
        <w:t>por eso se enfermó y luego se murió.  Florinda  era  muy  chiquita  pero  le</w:t>
        <w:br/>
        <w:t>pegaba y la mandaba a lavar su ropa. Cuando  dejé  a  mi  hermana,  las  dos</w:t>
        <w:br/>
        <w:t>lloramos mucho […]” (expediente de fondo, tomo II, folio1008).</w:t>
        <w:br/>
        <w:br/>
        <w:br/>
        <w:t>[105]       Cfr. Informe “Guatemala, Memoria del Silencio”, supra, tomo  VI,</w:t>
        <w:br/>
        <w:t>anexo I, Caso Ilustrativo No. 10 “Masacre y Eliminación de la  Comunidad  de</w:t>
        <w:br/>
        <w:t>Río Negro”, ycapítulo segundo, tomo III,  párr.  2526;  declaración  rendida</w:t>
        <w:br/>
        <w:t>ante fedatario público por la señora María Eustaquia Uscap Ivoy  (expediente</w:t>
        <w:br/>
        <w:t>de fondo, tomo II, folios 1008 y 1009); Sentencia  de  30  de  noviembre  de</w:t>
        <w:br/>
        <w:t>1998, Proceso Penal No. 001-98-1 (expediente de anexos al  sometimiento  del</w:t>
        <w:br/>
        <w:t>caso, tomo I, folios 588 a 589); Sentencia de 28  de  mayo  de  2008,  Causa</w:t>
        <w:br/>
        <w:t>número 28-2003-OF (expediente de anexos al sometimiento del caso,  tomo  II,</w:t>
        <w:br/>
        <w:t>folios 723, 742 a 743, 759 a 760, 765 a 766, 781 a 783, 787, 796 a 798,  803</w:t>
        <w:br/>
        <w:t>a 804, 807 a 812, 816 a 817, 824 a 835, 841, 845 a 848, 855  a  859,  897  a</w:t>
        <w:br/>
        <w:t>899, y 933); testimonio de  Juana  Chen  Osorio  (expediente  de  anexos  al</w:t>
        <w:br/>
        <w:t>sometimiento del caso, tomo  I,  folios  532  a  535);  declaración  rendida</w:t>
        <w:br/>
        <w:t>durante la audiencia pública por el señor Jesús Tecú Osorio; “Testimonio  de</w:t>
        <w:br/>
        <w:t>Jesús Tecú Osorio de febrero de  1995.  Proceso  Penal  001-98-1.  Anexo  al</w:t>
        <w:br/>
        <w:t>escrito de los peticionarios recibido el 7 de mayo de 2007”  (expediente  de</w:t>
        <w:br/>
        <w:t>anexos al sometimiento del caso, tomo I, folios 574 a  576);  testimonio  de</w:t>
        <w:br/>
        <w:t>José Osorio Sic (expediente de anexos al  sometimiento  del  caso,  tomo  I,</w:t>
        <w:br/>
        <w:t>folios 547 a 549), y Memoria de las Masacres de Río Negro: Recuerdo  de  mis</w:t>
        <w:br/>
        <w:t>padres  y  memoria  para  mis  hijos,  supra  (expediente   de   anexos   al</w:t>
        <w:br/>
        <w:t>sometimiento del caso, tomo XX, folios 12408 a 12416).</w:t>
        <w:br/>
        <w:br/>
        <w:br/>
        <w:t>[106]       Consta en el expediente que de esta masacre sobrevivieron, por</w:t>
        <w:br/>
        <w:t>lo menos, los 17 niños seleccionados por los patrulleros y  soldados  para</w:t>
        <w:br/>
        <w:t>ser llevados a Xococ, Antonia Osorio Sánchez, Laura  Tecú  Osorio,  Felisa</w:t>
        <w:br/>
        <w:t>Gonzalez Coloch, Bruna Pérez Osorio y Dominga Sic Ruiz (Denese Joy Burck).</w:t>
        <w:br/>
        <w:t>Cfr. testimonio  de  Antonia  Osorio  Sánchez  (expediente  de  anexos  al</w:t>
        <w:br/>
        <w:t>sometimiento del caso, tomo I, folios 484 a 485); declaración rendida ante</w:t>
        <w:br/>
        <w:t>fedatario público por Bruna Pérez Osorio (expediente de  fondo,  tomo  II,</w:t>
        <w:br/>
        <w:t>folios 992 a 995); declaración rendida durante la audiencia pública por el</w:t>
        <w:br/>
        <w:t>señor Jesús Tecú Osorio; ); Sentencia de 30 de noviembre de 1998,  Proceso</w:t>
        <w:br/>
        <w:t>Penal No. 001-98-1 (expediente de anexos al sometimiento del caso, tomo I,</w:t>
        <w:br/>
        <w:t>folios 588 a 589); Sentencia de 28 de mayo de 2008, Causa número  28-2003-</w:t>
        <w:br/>
        <w:t>OF (expediente de anexos al sometimiento del caso, tomo  II,  folios  740,</w:t>
        <w:br/>
        <w:t>765 a 778, 834 y 871 a 884), y  “Declaración  presentada  por  Denese  Joy</w:t>
        <w:br/>
        <w:t>Burck el 19 de marzo de 2001 en la sede  [de]  la  Fiscalía  Especial  del</w:t>
        <w:br/>
        <w:t>Ministerio Público de la Ciudad de Guatemala,  anexo  al  escrito  de  los</w:t>
        <w:br/>
        <w:t>peticionarios recibido el 7 de mayo de  2007”  (expediente  de  anexos  al</w:t>
        <w:br/>
        <w:t>sometimiento del  caso,  tomo  III,  folios  1772  a  1774).  La  Comisión</w:t>
        <w:br/>
        <w:t>Interamericana  identificó  a  una  sobreviviente  como   “Felisa   Coloch</w:t>
        <w:br/>
        <w:t>Gonzáles”. Sin embargo, el Tribunal ha constatado que se trata  de  Felisa</w:t>
        <w:br/>
        <w:t>González Coloch.  Cfr.  cédula  y  certificado  de  nacimiento  de  Felisa</w:t>
        <w:br/>
        <w:t>González  Coloch  (expediente  de  anexos  al  escrito  de  solicitudes  y</w:t>
        <w:br/>
        <w:t>argumentos, tomo XXVIII, folios 16849 a 16852).  Asimismo,  este  Tribunal</w:t>
        <w:br/>
        <w:t>hace constar que la Comisión Interamericana listó a Dominga Sic Ruiz  como</w:t>
        <w:br/>
        <w:t>sobreviviente de la masacre en Pacoxom. Sin embargo, esta persona ahora es</w:t>
        <w:br/>
        <w:t>conocida en los Estados Unidos de América  como  Denese  Joy  Burck.  Cfr.</w:t>
        <w:br/>
        <w:t>“Declaración presentada por Denese Joy Burck el 19 de marzo de 2001 en  la</w:t>
        <w:br/>
        <w:t>sede [de] la Fiscalía Especial del Ministerio  Público  de  la  Ciudad  de</w:t>
        <w:br/>
        <w:t>Guatemala, anexo al escrito de los peticionarios recibido el 7 de mayo  de</w:t>
        <w:br/>
        <w:t>2007” (expediente de anexos al sometimiento  del  caso,  tomo  III,  folio</w:t>
        <w:br/>
        <w:t>1772).</w:t>
        <w:br/>
        <w:br/>
        <w:br/>
        <w:t>[107]        La  Comisión  Interamericana  alegó  que  203  personas  de  la</w:t>
        <w:br/>
        <w:t>comunidad de Río Negro fueron asesinadas el 13  de  marzo  de  1982.  Indicó</w:t>
        <w:br/>
        <w:t>que, de éstas, 77 eran menores de edad  y  50  eran  adultas,  sin  embargo,</w:t>
        <w:br/>
        <w:t>desconocía  la  edad  de  las  76  personas  restantes.  Cfr.   escrito   de</w:t>
        <w:br/>
        <w:t>sometimiento del caso (expediente de fondo, tomo I, folios  34  y  35).  Por</w:t>
        <w:br/>
        <w:t>otro lado, el Tribunal observa que los representantes remitieron  una  lista</w:t>
        <w:br/>
        <w:t>de 175 personas, 98 de éstas menores de edad,  presuntamente  masacradas  el</w:t>
        <w:br/>
        <w:t>13 de marzo de 1982. Sin embargo, con sus  alegatos  finales  escritos,  los</w:t>
        <w:br/>
        <w:t>representantes remitieron una lista de 167 personas, 98 de éstas menores  de</w:t>
        <w:br/>
        <w:t>edad, presuntamente masacradas en esa  fecha.  Cfr.  “Anexo  j.  Listado  de</w:t>
        <w:br/>
        <w:t>víctimas de la masacre de Pakoxom”  (expediente  de  anexos  al  escrito  de</w:t>
        <w:br/>
        <w:t>solicitudes y argumentos, tomo XXIII, folios 13751 y 13759), y  “Listado  de</w:t>
        <w:br/>
        <w:t>personas masacrada[s] el 13 de marzo de 1982” (expediente de  anexos  a  los</w:t>
        <w:br/>
        <w:t>alegatos finales de los representantes, folios  26145  a  26170).  Al  mismo</w:t>
        <w:br/>
        <w:t>tiempo, el Tribunal observa que según el Informe de la CEH, 177 miembros  de</w:t>
        <w:br/>
        <w:t>la comunidad de Río Negro (70 mujeres y 107 niños) fueron asesinados en  esa</w:t>
        <w:br/>
        <w:t>ocasión. Cfr. Informe “Guatemala, Memoria del  Silencio”,  supra,  tomo  VI,</w:t>
        <w:br/>
        <w:t>anexo I, Caso Ilustrativo No. 10 “Masacre y Eliminación de la  Comunidad  de</w:t>
        <w:br/>
        <w:t>Río Negro”. Además, en la Sentencia emitida el 28 de  mayo  de  2008,  Causa</w:t>
        <w:br/>
        <w:t>número  28-2003-OF,  se  estableció,  con  base   en   las   investigaciones</w:t>
        <w:br/>
        <w:t>realizadas por la FAFG, que el 13 de  marzo  de  1982  fallecieron  “por  lo</w:t>
        <w:br/>
        <w:t>menos” 143 personas de Río Negro (expediente de anexos al  sometimiento  del</w:t>
        <w:br/>
        <w:t>caso, tomo II, folio 942).</w:t>
        <w:br/>
        <w:br/>
        <w:br/>
        <w:t>[108]       Cfr. Informe “Guatemala, Memoria del Silencio”, supra, tomo  VI,</w:t>
        <w:br/>
        <w:t>anexo I, Caso Ilustrativo No. 10 “Masacre y Eliminación de la  Comunidad  de</w:t>
        <w:br/>
        <w:t>Río Negro”. La Comisión Interamericana presentó una  lista  de  81  personas</w:t>
        <w:br/>
        <w:t>que  presuntamente  fueron  asesinadas  el  14  de  mayo  de  1982  en   Los</w:t>
        <w:br/>
        <w:t>Encuentros. Cfr. escrito de sometimiento  del  caso  (expediente  de  fondo,</w:t>
        <w:br/>
        <w:t>tomo I, folio 39). Por otro lado, los representantes presentaron  una  lista</w:t>
        <w:br/>
        <w:t>de 45 personas presuntamente masacradas en Los Encuentros  en  esa  ocasión.</w:t>
        <w:br/>
        <w:t>Sin  embargo,  con  sus  alegatos  finales  escritos,   los   representantes</w:t>
        <w:br/>
        <w:t>remitieron  una  lista  de  61  personas,  33  de  éstas  menores  de  edad,</w:t>
        <w:br/>
        <w:t>presuntamente masacradas en  Los  Encuentros.  Cfr.  “Anexo  k)  Listado  de</w:t>
        <w:br/>
        <w:t>víctimas de la masacre de “Los Encuentros” (expediente de anexos al  escrito</w:t>
        <w:br/>
        <w:t>de solicitudes y argumentos, tomo XXIII, folios 13760 a 13762),  y  “Listado</w:t>
        <w:br/>
        <w:t>de personas de la aldea Río Negro, Masacrad[a]s el 14 de mayo de 1982 en  la</w:t>
        <w:br/>
        <w:t>comunidad Los Encuentros” (expediente de anexos a los  alegatos  finales  de</w:t>
        <w:br/>
        <w:t>los representantes, folios 26172 a 26180).</w:t>
        <w:br/>
        <w:br/>
        <w:br/>
        <w:t>[109]       Cfr. Informe “Guatemala, Memoria del  Silencio”,  supra,  tomo</w:t>
        <w:br/>
        <w:t>VI, anexo I,  Caso  Ilustrativo  No.  10  “Masacre  y  Eliminación  de  la</w:t>
        <w:br/>
        <w:t>Comunidad de Río Negro”; testimonio rendido  ante  fedatario  público  por</w:t>
        <w:br/>
        <w:t>Antonia Osorio  Sánchez  (expediente  de  fondo,  tomo  II,  folio  1002);</w:t>
        <w:br/>
        <w:t>testimonio de Antonia Osorio Sánchez (expediente de anexos al sometimiento</w:t>
        <w:br/>
        <w:t>del caso, tomo I, folios 484 a 487); testimonio de  Jerónimo  Osorio  Chen</w:t>
        <w:br/>
        <w:t>(expediente de anexos al  sometimiento  del  caso,  tomo  I,  folio  504);</w:t>
        <w:br/>
        <w:t>testimonio de Carmen Sánchez Chen (expediente de  anexos  al  sometimiento</w:t>
        <w:br/>
        <w:t>del caso, tomo I, folios  528  y  529);  testimonio  de  José  Osorio  Sic</w:t>
        <w:br/>
        <w:t>(expediente de anexos al sometimiento del caso, tomo I, folios 540 y 541);</w:t>
        <w:br/>
        <w:t>testimonio de Fabián Chen Ivoy (expediente de anexos al  sometimiento  del</w:t>
        <w:br/>
        <w:t>caso, tomo I, folios 551 y 552) y  testimonio  de  Francisco  Chen  Osorio</w:t>
        <w:br/>
        <w:t>(expediente de anexos al sometimiento del caso, tomo I, folio 561).</w:t>
        <w:br/>
        <w:br/>
        <w:br/>
        <w:t>[110]        La CEH indicó que: “[e]l 14 de setiembre de 1982  llegaron  a</w:t>
        <w:br/>
        <w:t>esta comunidad soldados y patrulleros de Xococ, procediendo a concentrar a</w:t>
        <w:br/>
        <w:t>todas las personas  en  una  de  las  viviendas  […]”,  mientras  que  una</w:t>
        <w:br/>
        <w:t>declaración a nivel interno indicó que fue una  escuela.  Por  otro  lado,</w:t>
        <w:br/>
        <w:t>Francisco Chen Osorio indicó que “quemaron a todo [sic]  la  gente  en  un</w:t>
        <w:br/>
        <w:t>solo lugar y quemaron las casas”.  Cfr. Informe  “Guatemala,  Memoria  del</w:t>
        <w:br/>
        <w:t>Silencio”, supra, tomo VI, anexo I, Caso Ilustrativo  No.  10  “Masacre  y</w:t>
        <w:br/>
        <w:t>Eliminación de la Comunidad de Río Negro”, y testimonio de Francisco  Chen</w:t>
        <w:br/>
        <w:t>Osorio (expediente de anexos al sometimiento del caso, tomo I, folio 562).</w:t>
        <w:br/>
        <w:br/>
        <w:br/>
        <w:br/>
        <w:t>[111]       Cfr. Informe “Guatemala, Memoria del  Silencio”,  supra,  tomo</w:t>
        <w:br/>
        <w:t>VI, anexo I,  Caso  Ilustrativo  No.  10  “Masacre  y  Eliminación  de  la</w:t>
        <w:br/>
        <w:t>Comunidad de Río Negro”. testimonio de Francisco Chen  Osorio  (expediente</w:t>
        <w:br/>
        <w:t>de anexos al sometimiento de caso, tomo I, folios 561 a 562); Sentencia de</w:t>
        <w:br/>
        <w:t>30 de noviembre de 1998, Proceso Penal No. 001-98-1 (expediente de  anexos</w:t>
        <w:br/>
        <w:t>al sometimiento del caso, tomo I, folio  590),  y  testimonio  de  Antonia</w:t>
        <w:br/>
        <w:t>Osorio Sánchez (expediente de anexos al sometimiento  del  caso,  tomo  I,</w:t>
        <w:br/>
        <w:t>folio 489).</w:t>
        <w:br/>
        <w:br/>
        <w:br/>
        <w:t>[112]       La CEH indicó que en Agua  Fría  “murieron  92  personas,  entre</w:t>
        <w:br/>
        <w:t>ancianos, niños y mujeres”. Cfr. Informe “Guatemala, Memoria del  Silencio”,</w:t>
        <w:br/>
        <w:t>supra, tomo VI, anexo I, Caso Ilustrativo No. 10 “Masacre y  Eliminación  de</w:t>
        <w:br/>
        <w:t>la Comunidad de Río Negro”. Asimismo, el señor Francisco Chen Osorio  indicó</w:t>
        <w:br/>
        <w:t>que ese día murieron entre 90 y 100 personas. Cfr. testimonio  de  Francisco</w:t>
        <w:br/>
        <w:t>Chen Osorio (expediente de anexos al sometimiento del caso,  tomo  I,  folio</w:t>
        <w:br/>
        <w:t>562). La Comisión Interamericana alegó que 128 personas fallecieron en  esta</w:t>
        <w:br/>
        <w:t>masacre. Cfr. escrito de sometimiento del caso (expediente  de  fondo,  tomo</w:t>
        <w:br/>
        <w:t>I, folio 41). Por otro lado, los representantes remitieron una lista  de  96</w:t>
        <w:br/>
        <w:t>personas presuntamente masacradas en Agua Fría el 14 de septiembre de  1982.</w:t>
        <w:br/>
        <w:t>Sin  embargo,  con  sus  alegatos  finales  escritos,   los   representantes</w:t>
        <w:br/>
        <w:t>remitieron  una  lista  de  89  personas,  43  de  éstas  menores  de  edad,</w:t>
        <w:br/>
        <w:t>presuntamente masacradas en esa fecha. Cfr. “Anexo l.  Listado  de  víctimas</w:t>
        <w:br/>
        <w:t>de la masacre de Agua Fría” (expediente de anexos al escrito de  solicitudes</w:t>
        <w:br/>
        <w:t>y argumentos, tomo XXIII, folios 13763 a  13766),  y  “Listado  de  personas</w:t>
        <w:br/>
        <w:t>masacradas el 14 de septiembre de 1982 en la aldea  Agua  Fría”  (expediente</w:t>
        <w:br/>
        <w:t>de anexos a los alegatos finales  de  los  representantes,  folios  26181  a</w:t>
        <w:br/>
        <w:t>26201).</w:t>
        <w:br/>
        <w:br/>
        <w:br/>
        <w:t>[113]       Cfr.  testimonio  de  Francisco  Chen  Osorio  (expediente  de</w:t>
        <w:br/>
        <w:t>anexos al sometimiento del caso, tomo  I,  folio  562),  y  testimonio  de</w:t>
        <w:br/>
        <w:t>Antonia Osorio Sánchez (expediente de anexos  al  sometimiento  del  caso,</w:t>
        <w:br/>
        <w:t>tomo I, folio 489).</w:t>
        <w:br/>
        <w:br/>
        <w:br/>
        <w:t>[114]       Informe “Guatemala, Memoria  del  Silencio”,  supra,  capítulo</w:t>
        <w:br/>
        <w:t>segundo, tomo III, párr. 3383.</w:t>
        <w:br/>
        <w:br/>
        <w:br/>
        <w:t>[115]       Cfr. Informe “Guatemala, Memoria del  Silencio”,  supra,  tomo</w:t>
        <w:br/>
        <w:t>VI, anexo I,  Caso  Ilustrativo  No.  10  “Masacre  y  Eliminación  de  la</w:t>
        <w:br/>
        <w:t>Comunidad de Río Negro”; declaración rendida ante fedatario público por la</w:t>
        <w:br/>
        <w:t>señora María Osorio Chen (expediente de  fondo,  tomo  II,  folios  996  a</w:t>
        <w:br/>
        <w:t>1001); testimonio de Teodora Chen (expediente de  anexos  al  sometimiento</w:t>
        <w:br/>
        <w:t>del caso, tomo I, folios 523 a 524); testimonio de Antonia Osorio  Sánchez</w:t>
        <w:br/>
        <w:t>(expediente de anexos al sometimiento del caso, tomo I, folios 487 a 490);</w:t>
        <w:br/>
        <w:t>testimonio de Carmen Sánchez Chen (expediente de  anexos  al  sometimiento</w:t>
        <w:br/>
        <w:t>del caso, tomo I,  folio  529  a  530);  testimonio  de  José  Osorio  Sic</w:t>
        <w:br/>
        <w:t>(expediente de anexos al sometimiento del caso, tomo I, folios 541 a 542);</w:t>
        <w:br/>
        <w:t>testimonio de Francisco Chen Osorio (expediente de anexos al  sometimiento</w:t>
        <w:br/>
        <w:t>del caso, tomo I, folio  567).  La  Comisión  presentó  una  lista  de  63</w:t>
        <w:br/>
        <w:t>personas presuntamente fallecidas por circunstancias relacionadas  con  la</w:t>
        <w:br/>
        <w:t>persecución  de  que  eran  objeto.  Por  su  parte,  los   representantes</w:t>
        <w:br/>
        <w:t>presentaron una lista  de  32  personas  presuntamente  fallecidas  en  la</w:t>
        <w:br/>
        <w:t>persecución posterior a las masacres. Cfr. “Anexo w) Listado  de  víctimas</w:t>
        <w:br/>
        <w:t>de la persecución posterior a la masacre” (expediente de anexos al escrito</w:t>
        <w:br/>
        <w:t>de solicitudes y argumentos, tomo XXV, folios 14912 a 14914).</w:t>
        <w:br/>
        <w:br/>
        <w:br/>
        <w:t>[116]        Según  el  testimonio  de  Francisco  Chen  Osorio,   “nosotros</w:t>
        <w:br/>
        <w:t>está[ba]mos ahí castigado[s], sin comer […,] nosotros por  el  hambre  puros</w:t>
        <w:br/>
        <w:t>ebrios  parecíamos  [sic]”.  Cfr.  testimonio  de  Francisco   Chen   Osorio</w:t>
        <w:br/>
        <w:t>(expediente de anexos al sometimiento del caso, tomo I, folio 566).</w:t>
        <w:br/>
        <w:br/>
        <w:br/>
        <w:t>[117]       Por ejemplo, de conformidad con el testimonio de Francisco  Chen</w:t>
        <w:br/>
        <w:t>Osorio, el señor José Osorio Ivoy fue “tortur[ado] con cuchilla y  braza  de</w:t>
        <w:br/>
        <w:t>[c]igarros, a veces quedaba inconsciente, le daban de comer y  lo  golpeaban</w:t>
        <w:br/>
        <w:t>de nuevo, le hicieron vomitar toda [la] comida [sic]”.  Cfr.  testimonio  de</w:t>
        <w:br/>
        <w:t>Francisco Chen Osorio (expediente de anexos al sometimiento del  caso,  tomo</w:t>
        <w:br/>
        <w:t>I, folio 564).  Asimismo, la  señora  Antonia  Osorio  Sánchez  declaró  que</w:t>
        <w:br/>
        <w:t>“castigaron a [su] hermano Cristobal Osorio Sanchez,  Luis  Osorio  Sanchez,</w:t>
        <w:br/>
        <w:t>los arrastraban en las charcas, se escuchaban  gritos,  llantos  y  personas</w:t>
        <w:br/>
        <w:t>agonizando, porque los estaban torturando en el destacamento.  Estando  [e]n</w:t>
        <w:br/>
        <w:t>Pacux, también llegaban los soldados  a  violar  a  las  mujeres,  y  cuando</w:t>
        <w:br/>
        <w:t>salíamos al mercado, teníamos que hacerlo en grupo[s] de  mujeres  y  éramos</w:t>
        <w:br/>
        <w:t>custodiadas por pelotones de militares”. Cfr. testimonio de  Antonia  Osorio</w:t>
        <w:br/>
        <w:t>Sánchez (expediente de anexos al sometimiento del caso, tomo I, folio  488).</w:t>
        <w:br/>
        <w:br/>
        <w:br/>
        <w:br/>
        <w:t>[118]       El señor José Osorio Sic indicó que “unos  de  [sus]  compañeros</w:t>
        <w:br/>
        <w:t>[…] fueron torturados durante ocho días […], Cristobal Osorio,  Luis  Osorio</w:t>
        <w:br/>
        <w:t>Sánchez, Sebastián Ivoy Osorio, Francisco Chen  Osorio,  Margarita  Siana  y</w:t>
        <w:br/>
        <w:t>Jesusa Osorio Sanchez, y el señor José Ivoy Osorio se murió torturado y  los</w:t>
        <w:br/>
        <w:t>señores Juan Osorio Chen, Simeón  Chen  López  y  Pedro  Chen  López,  lo[s]</w:t>
        <w:br/>
        <w:t>llevaron en un helicóptero hacia la zona militar de Cobán  Alta  Verapaz,  y</w:t>
        <w:br/>
        <w:t>a[h]í pienso que se murieron porque ya no aparecieron y sólo el  señor  Juan</w:t>
        <w:br/>
        <w:t>Osorio Chen , regresó un mes después [sic]”. Cfr. testimonio de José  Osorio</w:t>
        <w:br/>
        <w:t>Sic (expediente de anexos al sometimiento del caso, tomo I, folio 543).</w:t>
        <w:br/>
        <w:br/>
        <w:br/>
        <w:t>[119]       Cfr. Informe “Guatemala, Memoria del Silencio”, supra, tomo  VI,</w:t>
        <w:br/>
        <w:t>anexo I, Caso Ilustrativo No. 10 “Masacre y Eliminación de la  Comunidad  de</w:t>
        <w:br/>
        <w:t>Río Negro”; testimonio de Francisco Chen Osorio  (expediente  de  anexos  al</w:t>
        <w:br/>
        <w:t>sometimiento del caso, tomo I, folios 562  a  568);  testimonio  de  Antonia</w:t>
        <w:br/>
        <w:t>Osorio Sánchez (expediente de anexos  al  sometimiento  del  caso,  tomo  I,</w:t>
        <w:br/>
        <w:t>folio 488), y testimonio  de  José  Osorio  Sic  (expediente  de  anexos  al</w:t>
        <w:br/>
        <w:t>sometimiento del caso, tomo I, folio 543 a 546).</w:t>
        <w:br/>
        <w:br/>
        <w:br/>
        <w:t>[120]       Informe “Guatemala,  Memoria  del  Silencio”,  supra,  tomo  VI,</w:t>
        <w:br/>
        <w:t>anexo I, Caso Ilustrativo No. 10 “Masacre y Eliminación de la  Comunidad  de</w:t>
        <w:br/>
        <w:t>Río Negro”.</w:t>
        <w:br/>
        <w:br/>
        <w:br/>
        <w:t>[121]       Declaración rendida ante fedatario público por la  señora  Bruna</w:t>
        <w:br/>
        <w:t>Pérez Osorio (expediente de fondo, tomo II, folios 1015 y 1016), y  peritaje</w:t>
        <w:br/>
        <w:t>rendido  ante  fedatario  público  por  el  señor   Alfredo   Itzep   Manuel</w:t>
        <w:br/>
        <w:t>(expediente de fondo, tomo II; folios 1034 a 1053).</w:t>
        <w:br/>
        <w:br/>
        <w:br/>
        <w:t>[122]       Sobre la calidad de  la  alimentación  en  dicha  comunidad,  la</w:t>
        <w:br/>
        <w:t>señora Antonia Osorio  Sánchez  indicó  que  “[…]  antes  teníamos  gallinas</w:t>
        <w:br/>
        <w:t>naturales, ahora nos enfermamos porque solo comemos químico […]  ahorita  en</w:t>
        <w:br/>
        <w:t>Pacux no podemos tener gallinas porque a los  tres  meses  se  enferman  […]</w:t>
        <w:br/>
        <w:t>tenemos agua pero es pagada, ya no es limpia, trae químicos y no la  podemos</w:t>
        <w:br/>
        <w:t>tomar porque nos enfermamos por la suciedad que trae.” Asimismo, señalo  que</w:t>
        <w:br/>
        <w:t>“[h]a cambiado mucho nuestra  vida  de  la  comunidad  de  Río  Negro  a  la</w:t>
        <w:br/>
        <w:t>comunidad de Pacux. En la comunidad  de  Pacux  vivimos  una  vida  difícil,</w:t>
        <w:br/>
        <w:t>estamos allí más jóvenes que  se  perdieron,  tenemos  que  salir  a  buscar</w:t>
        <w:br/>
        <w:t>trabajo, porque allí no  podemos  hacer  nada  por  el  espacio.  Ahora  por</w:t>
        <w:br/>
        <w:t>ejemplo con la leña, en Pacux, tenemos que comprarla,  antes  en  Río  Negro</w:t>
        <w:br/>
        <w:t>uno podía salir a buscar leña  cerca.  En  Pacux  todo  es  comprado,  hemos</w:t>
        <w:br/>
        <w:t>tenido que recolectar en terrenos privados y los dueños  nos  han  amenazado</w:t>
        <w:br/>
        <w:t>por eso […] en Pacux sólo tenemos una parcela por familia, no  es  el  mismo</w:t>
        <w:br/>
        <w:t>tipo de tierra y ya no se puede sembrar igual […] [d]urante  el  tiempo  que</w:t>
        <w:br/>
        <w:t>estuvo el INDE en Río Negro nos prometieron muchas cosas,  nos  dijeron  que</w:t>
        <w:br/>
        <w:t>íbamos a tener camiones para ir a traer leña al Río Negro  y  que  íbamos  a</w:t>
        <w:br/>
        <w:t>tener energía eléctrica gratis.  Tenemos  luz  pero  tenemos  que  pagarla.”</w:t>
        <w:br/>
        <w:t>Declaración  de  Antonia  Osorio  Sánchez  rendida  ante  fedatario  público</w:t>
        <w:br/>
        <w:t>(expediente de fondo, tomo II, folios 1003 y 1004).</w:t>
        <w:br/>
        <w:br/>
        <w:br/>
        <w:t>[123]        Según  el  perito,  “se  perdieron  elementos  del   vestuario,</w:t>
        <w:br/>
        <w:t>principalmente en los hombres; también cambiaron la  comida  y  la  música”.</w:t>
        <w:br/>
        <w:t>Cfr. peritaje rendido ante fedatario público  por  el  señor  Alfredo  Itzep</w:t>
        <w:br/>
        <w:t>Manuel (expediente de fondo, tomo II; folio 1050).</w:t>
        <w:br/>
        <w:br/>
        <w:br/>
        <w:t>[124]       Declaración rendida ante fedatario público por el señor  Alfredo</w:t>
        <w:br/>
        <w:t>Itzep Manuel (expediente de fondo, tomo II; folio 1069).</w:t>
        <w:br/>
        <w:br/>
        <w:br/>
        <w:t>[125]       Declaración rendida  ante  fedatario  público  por  el  perito</w:t>
        <w:br/>
        <w:t>Alfredo Itzep Manuel (expediente de fondo, tomo II; folio 1071).  En  este</w:t>
        <w:br/>
        <w:t>mismo sentido, la señora Pérez Osorio indicó que “ya  no  se  practica[n]”</w:t>
        <w:br/>
        <w:t>las ceremonias y costumbres culturales, salvo “en conmemoración de los que</w:t>
        <w:br/>
        <w:t>murieron, pero no es igual”. Según esta sobreviviente, “[a]hora  […]  sólo</w:t>
        <w:br/>
        <w:t>dos personas practican  la  medicina  natural  […],  los  pequeños  ya  no</w:t>
        <w:br/>
        <w:t>aprendieron estas costumbres. […Y]a sólo [se] compra de segunda  mano  [el</w:t>
        <w:br/>
        <w:t>traje típico] y el cordón del pelo ya no se usa. […E]l  achí  casi  ni  se</w:t>
        <w:br/>
        <w:t>practica. En la escuela sólo  el  español  se  aprende  […]”.  Declaración</w:t>
        <w:br/>
        <w:t>rendida  ante  fedatario  público  por  la  señora  Bruna   Pérez   Osorio</w:t>
        <w:br/>
        <w:t>(expediente de fondo, tomo II, folios 992 y 1015).</w:t>
        <w:br/>
        <w:br/>
        <w:br/>
        <w:br/>
        <w:br/>
        <w:br/>
        <w:t>[126]       Cfr. declaración de Denese Joy Burck el  19  de  marzo  de  2001</w:t>
        <w:br/>
        <w:t>ante la Fiscalía Especial del Ministerio Público de la ciudad  de  Guatemala</w:t>
        <w:br/>
        <w:t>(expediente de anexos al sometimiento del caso, tomo III, folio 1771).</w:t>
        <w:br/>
        <w:br/>
        <w:br/>
        <w:t>[127]       Cfr. peritaje antropológico-forense realizado por la FAFG en  la</w:t>
        <w:br/>
        <w:t>Aldea de Xococ (expediente de anexos al sometimiento  del  caso,  tomo  III,</w:t>
        <w:br/>
        <w:t>folio 1783).</w:t>
        <w:br/>
        <w:br/>
        <w:br/>
        <w:t>[128]       Cfr. peritaje antropológico-forense realizado por la FAFG en  la</w:t>
        <w:br/>
        <w:t>Aldea de Xococ (expediente de anexos al  sometimiento  del  caso,  tomo  IV,</w:t>
        <w:br/>
        <w:t>folio 1902).</w:t>
        <w:br/>
        <w:br/>
        <w:br/>
        <w:t>[129]       Cfr. escritos de 11 de marzo de 2002 de  la  FAFG  dirigidos  al</w:t>
        <w:br/>
        <w:t>Ministerio Público de Baja  Verapaz  y  al  Juez  de  Paz  de  Baja  Verapaz</w:t>
        <w:br/>
        <w:t>(expediente de anexos al sometimiento del caso,  tomo  III,  folios  1777  y</w:t>
        <w:br/>
        <w:t>1778).</w:t>
        <w:br/>
        <w:br/>
        <w:br/>
        <w:t>[130]       Cfr. declaración rendida por el señor Carlos Chen Osorio  el  27</w:t>
        <w:br/>
        <w:t>de  marzo  de  2003  en  la  Fiscalía  Distrital  de  Salamá  Baja   Verapaz</w:t>
        <w:br/>
        <w:t>(expediente de anexos al sometimiento del caso, tomo IV, folio 1954).</w:t>
        <w:br/>
        <w:br/>
        <w:br/>
        <w:t>[131]       Cfr. escrito presentado por Jesús Tecú Osorio y  Francisco  Chen</w:t>
        <w:br/>
        <w:t>Osorio el 11 de  agosto  de  1993  ante  el  Juzgado  de  Primera  Instancia</w:t>
        <w:br/>
        <w:t>(expediente de anexos a los alegatos finales  escritos  del  Estado,  folios</w:t>
        <w:br/>
        <w:t>28669 a 28670).</w:t>
        <w:br/>
        <w:br/>
        <w:br/>
        <w:t>[132]       Cfr. actas de ratificación de  Jesús  Tecú  Osorio  y  Francisco</w:t>
        <w:br/>
        <w:t>Chen Osorio de 13 de agosto de 1993 ante el Juez  de  Primera  Instancia   y</w:t>
        <w:br/>
        <w:t>auto de 13 de agosto de 1993 del Juez de Primera  Instancia  (expediente  de</w:t>
        <w:br/>
        <w:t>anexos al sometimiento del caso, folios 28671 a 28678).</w:t>
        <w:br/>
        <w:br/>
        <w:br/>
        <w:t>[133]       Cfr. denuncia presentada por la Auxiliatura Departamental de  la</w:t>
        <w:br/>
        <w:t>Procuraduría de Derechos  Humanos  de  Guatemala  el  25  de  mayo  de  1994</w:t>
        <w:br/>
        <w:t>(expediente de anexos a los alegatos finales  escritos  del  Estado,  folios</w:t>
        <w:br/>
        <w:t>28978 a 28981).</w:t>
        <w:br/>
        <w:br/>
        <w:br/>
        <w:t>[134]       Cfr. denuncia presentada por la Auxiliatura Departamental de  la</w:t>
        <w:br/>
        <w:t>Procuraduría de Derechos  Humanos  de  Guatemala  el  25  de  mayo  de  1994</w:t>
        <w:br/>
        <w:t>(expediente de anexos a los alegatos  finales  escritos  del  Estado,  folio</w:t>
        <w:br/>
        <w:t>28978).</w:t>
        <w:br/>
        <w:br/>
        <w:br/>
        <w:t>[135]       Cfr. acta de ratificación de denuncia del señor  Víctor  Mendoza</w:t>
        <w:br/>
        <w:t>Sic ante el Juzgado de Primera Instancia de 10 de junio de 1994  (expediente</w:t>
        <w:br/>
        <w:t>de anexos a los  alegatos  finales  escritos  del  Estado,  folios  28986  a</w:t>
        <w:br/>
        <w:t>28990).</w:t>
        <w:br/>
        <w:br/>
        <w:br/>
        <w:t>[136]       Cfr. auto del Juez de Primera Instancia de 26 de  mayo  de  1994</w:t>
        <w:br/>
        <w:t>(expediente de anexos a los alegatos  finales  escritos  del  Estado,  folio</w:t>
        <w:br/>
        <w:t>28983).</w:t>
        <w:br/>
        <w:br/>
        <w:br/>
        <w:t>[137]       Cfr. auto del Juzgado de Primera Instancia de  14  de  junio  de</w:t>
        <w:br/>
        <w:t>1994 (expediente de anexos a  los  alegatos  finales  escritos  del  Estado,</w:t>
        <w:br/>
        <w:t>folio 28758).</w:t>
        <w:br/>
        <w:br/>
        <w:br/>
        <w:t>[138]       Cfr. acta del Juzgado de Primera Instancia de  25  de  julio  de</w:t>
        <w:br/>
        <w:t>1994 (expediente de anexos a  los  alegatos  finales  escritos  del  Estado,</w:t>
        <w:br/>
        <w:t>folio 28763).</w:t>
        <w:br/>
        <w:br/>
        <w:br/>
        <w:t>[139]       Cfr. oficio del Juzgado de Primera Instancia de 25 de  julio  de</w:t>
        <w:br/>
        <w:t>1994 (expediente de anexos a  los  alegatos  finales  escritos  del  Estado,</w:t>
        <w:br/>
        <w:t>folio 28790).</w:t>
        <w:br/>
        <w:br/>
        <w:br/>
        <w:t>[140]       Cfr. solicitud del Auxiliar Departamental de la Procuraduría  de</w:t>
        <w:br/>
        <w:t>los Derechos Humanos  de 19 de octubre de 1993 (expediente de anexos  a  los</w:t>
        <w:br/>
        <w:t>alegatos finales escritos del Estado, folios 1075 y 1076).</w:t>
        <w:br/>
        <w:br/>
        <w:br/>
        <w:t>[141]       Cfr. escrito del  ministerio  público  dirigido  al  Juzgado  de</w:t>
        <w:br/>
        <w:t>Primera Instancia de 17  de  febrero  de  1995   (expediente  de  anexos  al</w:t>
        <w:br/>
        <w:t>sometimiento del caso, tomo III, folios 1169 a 1174).</w:t>
        <w:br/>
        <w:br/>
        <w:br/>
        <w:t>[142]        Cfr.   auto  del  Juzgado  de  Primera   Instancia   Penal   de</w:t>
        <w:br/>
        <w:t>Narcoactividad y Delitos contra  el  Ambiente  de  Baja  Verapaz  de  20  de</w:t>
        <w:br/>
        <w:t>febrero de 1995 (expediente de anexos al sometimiento del  caso,  tomo  III,</w:t>
        <w:br/>
        <w:t>folios 1175 a 1178).</w:t>
        <w:br/>
        <w:br/>
        <w:br/>
        <w:t>[143]       Cfr. auto de procesamiento dictado por  el  Juzgado  de  Primera</w:t>
        <w:br/>
        <w:t>Instancia Penal de Narcoactividad y  Delitos  contra  el  Ambiente  de  Baja</w:t>
        <w:br/>
        <w:t>Verapaz el 7 de marzo de 1995 (expediente de anexos a los  alegatos  finales</w:t>
        <w:br/>
        <w:t>escritos del Estado, folio 29063 a 29065).</w:t>
        <w:br/>
        <w:br/>
        <w:br/>
        <w:t>[144]       Cfr. escrito del  ministerio  público  dirigido  al  Juzgado  de</w:t>
        <w:br/>
        <w:t>Primera Instancia de 20 de  marzo  de  1996  (expediente  de  anexos  a  los</w:t>
        <w:br/>
        <w:t>alegatos finales escritos del Estado, folios 29353 a 29361).</w:t>
        <w:br/>
        <w:br/>
        <w:br/>
        <w:t>[145]        Cfr.  auto  del  Juzgado  de   Primera   Instancia   Penal   de</w:t>
        <w:br/>
        <w:t>Narcoactividad y Delitos contra el Ambiente de Baja Verapaz de 9 de mayo  de</w:t>
        <w:br/>
        <w:t>1996 (expediente de anexos a  los  alegatos  finales  escritos  del  Estado,</w:t>
        <w:br/>
        <w:t>folios 29390 a 29394).</w:t>
        <w:br/>
        <w:br/>
        <w:br/>
        <w:t>[146]       Cfr.  sentencia  del  Juzgado  de  Primera  Instancia  Penal  de</w:t>
        <w:br/>
        <w:t>Narcoactividad y Delitos contra  el  Ambiente  de  Baja  Verapaz  de  30  de</w:t>
        <w:br/>
        <w:t>noviembre de 1998 (expediente de anexos a los alegatos finales escritos  del</w:t>
        <w:br/>
        <w:t>Estado, folios 29965 a 30001).</w:t>
        <w:br/>
        <w:br/>
        <w:br/>
        <w:t>[147]       Cfr. ampliación de sentencia del Juzgado  de  Primera  Instancia</w:t>
        <w:br/>
        <w:t>Penal de Narcoactividad y Delitos contra el Ambiente de Baja  Verapaz  de  7</w:t>
        <w:br/>
        <w:t>de diciembre de 1998 (expediente de anexos a los alegatos  finales  escritos</w:t>
        <w:br/>
        <w:t>del Estado, folios 30117 a 30119).</w:t>
        <w:br/>
        <w:br/>
        <w:br/>
        <w:t>[148]       Cfr. recurso de apelación especial interpuesto  por  la  defensa</w:t>
        <w:br/>
        <w:t>de Fermín Lajuj Xitumul, Carlos  Chen  y  Pedro  Gónzalez  Gómez  de  15  de</w:t>
        <w:br/>
        <w:t>diciembre de 1998 (expediente de anexos a los alegatos finales escritos  del</w:t>
        <w:br/>
        <w:t>Estado, folios 30121 a 30163).</w:t>
        <w:br/>
        <w:br/>
        <w:br/>
        <w:t>[149]       Cfr.  sentencia  de  la  Sala  Décimo  Cuarta  de  la  Corte  de</w:t>
        <w:br/>
        <w:t>Apelaciones Penal, Narcoactividad y  Delitos  contra  el  Ambiente  de  Alta</w:t>
        <w:br/>
        <w:t>Verapaz de 25 de febrero de  1999  (expediente  de  anexos  a  los  alegatos</w:t>
        <w:br/>
        <w:t>finales escritos del Estado, folios 30179 a 30187).</w:t>
        <w:br/>
        <w:br/>
        <w:br/>
        <w:t>[150]       Cfr. sentencia del Tribunal de Sentencia  Penal,  Narcoactividad</w:t>
        <w:br/>
        <w:t>y Delitos contra el Ambiente del  Departamento  de  Baja  Verapaz  de  7  de</w:t>
        <w:br/>
        <w:t>octubre de 1999 (expediente de anexos a los alegatos  finales  escritos  del</w:t>
        <w:br/>
        <w:t>Estado, folios 30596 a 30672).</w:t>
        <w:br/>
        <w:br/>
        <w:br/>
        <w:t>[151]       Cfr. recurso de apelación especial interpuesto  por  la  defensa</w:t>
        <w:br/>
        <w:t>de Fermín Lajuj Xitumul, Carlos  Chen  y  Pedro  Gónzalez  Gómez  de  27  de</w:t>
        <w:br/>
        <w:t>octubre de 1999 (expediente de anexos a los alegatos  finales  escritos  del</w:t>
        <w:br/>
        <w:t>Estado, folios 30924 a 30981).</w:t>
        <w:br/>
        <w:br/>
        <w:br/>
        <w:t>[152]       Cfr.  sentencia  de  la  Sala  Décimo  Cuarta  de  la  Corte  de</w:t>
        <w:br/>
        <w:t>Apelaciones de Cobán de 1 de febrero de 2000. (expediente de  anexos  a  los</w:t>
        <w:br/>
        <w:t>alegatos finales escritos del Estado, folios 30993 a 31005).</w:t>
        <w:br/>
        <w:br/>
        <w:br/>
        <w:t>[153]       Cfr. sentencia de  la  Cámara  Penal  de  la  Corte  Suprema  de</w:t>
        <w:br/>
        <w:t>Justicia de 15 de marzo  de  2000  (expediente  de  anexos  a  los  alegatos</w:t>
        <w:br/>
        <w:t>finales escritos del Estado, folios 31017 a 31020).</w:t>
        <w:br/>
        <w:br/>
        <w:br/>
        <w:t>[154]       Cfr. sentencia de  la  Cámara  Penal  de  la  Corte  Suprema  de</w:t>
        <w:br/>
        <w:t>Justicia de 25 de abril  de  2000  (expediente  de  anexos  a  los  alegatos</w:t>
        <w:br/>
        <w:t>finales escritos del Estado, folios 31021 a 31023).</w:t>
        <w:br/>
        <w:br/>
        <w:br/>
        <w:t>[155]       Cfr. escrito del Auxiliar Fiscal del Ministerio Público de 4  de</w:t>
        <w:br/>
        <w:t>octubre de 2002 (expediente de anexos a los alegatos  finales  escritos  del</w:t>
        <w:br/>
        <w:t>Estado, folios 28171 a 28176).</w:t>
        <w:br/>
        <w:br/>
        <w:br/>
        <w:t>[156]       Cfr. oficio del Tribunal de Sentencia  Penal,  Narcoactividad  y</w:t>
        <w:br/>
        <w:t>Delitos contra el Ambiente del Departamento de Baja Verapaz de 15  de  julio</w:t>
        <w:br/>
        <w:t>de 2003, y decisión  del  Tribunal  de  Sentencia  Penal,  Narcoactividad  y</w:t>
        <w:br/>
        <w:t>Delitos contra el Ambiente del Departamento de Baja Verapaz de  16  de  mayo</w:t>
        <w:br/>
        <w:t>de 1993 (expediente de anexos a los alegatos finales  escritos  del  Estado,</w:t>
        <w:br/>
        <w:t>folios 28312 a 28319, y 28457).</w:t>
        <w:br/>
        <w:br/>
        <w:br/>
        <w:t>[157]       Cfr.  escrito del Fiscal Distrital del Ministerio Público de  12</w:t>
        <w:br/>
        <w:t>de junio de 1993 (expediente de anexos al sometimiento del caso,  tomo  III,</w:t>
        <w:br/>
        <w:t>folios 1660 a 1665).</w:t>
        <w:br/>
        <w:br/>
        <w:br/>
        <w:t>[158]       Cfr. recurso de amparo interpuesto  por  Macario  Alvarado  Toj,</w:t>
        <w:br/>
        <w:t>Francisco  Alvarado  Lajuj,  Tomás  Vino  Alvarado,  Pablo  Ruiz   Alvarado,</w:t>
        <w:br/>
        <w:t>Bonifacio Cuxum López y Lucas Lajuj Alvarado ante la Sala Décimo  Cuarta  de</w:t>
        <w:br/>
        <w:t>la Corte de Apelaciones de 21 de julio de 2003 (expediente de anexos  a  los</w:t>
        <w:br/>
        <w:t>alegatos finales escritos del Estado, folio 28463).</w:t>
        <w:br/>
        <w:br/>
        <w:br/>
        <w:t>[159]       Cfr. sentencia  de  la  Sala  Regional  Mixta  de  la  Corte  de</w:t>
        <w:br/>
        <w:t>Apelaciones de Cobán, Constituida en Tribunal Constitucional de Amparo de  9</w:t>
        <w:br/>
        <w:t>de mayo de 2005 (expediente de anexos al sometimiento del  caso,  tomo  III,</w:t>
        <w:br/>
        <w:t>folio 1737).</w:t>
        <w:br/>
        <w:br/>
        <w:br/>
        <w:t>[160]       Cfr. sentencia del Tribunal de Sentencia  Penal,  Narcoactividad</w:t>
        <w:br/>
        <w:t>y Delitos contra el Ambiente del Departamento de Baja Verapaz de 28 de  mayo</w:t>
        <w:br/>
        <w:t>de 2008 (expediente de anexos a los alegatos finales  escritos  del  Estado,</w:t>
        <w:br/>
        <w:t>folios 27803 a 28167).</w:t>
        <w:br/>
        <w:br/>
        <w:br/>
        <w:t>[161]       Sentencia del Tribunal  de  Sentencia  Penal,  Narcoactividad  y</w:t>
        <w:br/>
        <w:t>Delitos contra el Ambiente del Departamento de Baja Verapaz de  28  de  mayo</w:t>
        <w:br/>
        <w:t>de 2008 (expediente de anexos a los alegatos finales  escritos  del  Estado,</w:t>
        <w:br/>
        <w:t>folio 28166).</w:t>
        <w:br/>
        <w:br/>
        <w:br/>
        <w:t>[162]       Cfr. oficio del Comisario  de  Policía  al  Juzgado  de  Primera</w:t>
        <w:br/>
        <w:t>Instancia Penal de Narcoactividad y  Delitos  contra  el  Ambiente  de  Baja</w:t>
        <w:br/>
        <w:t>Verapaz de 2 de noviembre  de 1993 y oficio del Juez de Paz de Baja  Verapaz</w:t>
        <w:br/>
        <w:t>de 4 de octubre de 1993 (expediente de  anexos  al  sometimiento  del  caso,</w:t>
        <w:br/>
        <w:t>tomo II, folios 993 y 1118).</w:t>
        <w:br/>
        <w:br/>
        <w:br/>
        <w:t>[163]       Cfr.  sentencia  del  Juzgado  de  Primera  Instancia  Penal  de</w:t>
        <w:br/>
        <w:t>Narcoactividad y Delitos contra  el  Ambiente  de  Baja  Verapaz  de  30  de</w:t>
        <w:br/>
        <w:t>noviembre de 1998 (expediente de anexos a los alegatos finales escritos  del</w:t>
        <w:br/>
        <w:t>Estado folio 29989).</w:t>
        <w:br/>
        <w:br/>
        <w:br/>
        <w:t>[164]       Cfr. informe del Médico Forense Departamental de 4  de  mayo  de</w:t>
        <w:br/>
        <w:t>1994 (expediente de anexos al sometimiento del caso, tomo II, folios 1016  a</w:t>
        <w:br/>
        <w:t>1018).</w:t>
        <w:br/>
        <w:br/>
        <w:br/>
        <w:t>[165]       Cfr. oficio del Agente Fiscal del Ministerio  Público  de  4  de</w:t>
        <w:br/>
        <w:t>marzo de 1996 y acta de exhumación de 19 de febrero de 1996  (expediente  de</w:t>
        <w:br/>
        <w:t>anexos a los alegatos finales escritos del Estado, folios 29248 a  29251,  y</w:t>
        <w:br/>
        <w:t>29316).</w:t>
        <w:br/>
        <w:br/>
        <w:br/>
        <w:t>[166]       Cfr.  Informe  de  Investigaciones  Antropológico  Forenses  del</w:t>
        <w:br/>
        <w:t>Caserío de Agua Fría presentado por la Fundación de Antropología Forense  de</w:t>
        <w:br/>
        <w:t>Guatemala (expediente de anexos a los alegatos finales escritos del  Estado,</w:t>
        <w:br/>
        <w:t>folio 29344).</w:t>
        <w:br/>
        <w:br/>
        <w:br/>
        <w:t>[167]       Informe de Investigaciones Antropológico  Forenses  del  Caserío</w:t>
        <w:br/>
        <w:t>de Agua  Fría  presentado  por  la  Fundación  de  Antropología  Forense  de</w:t>
        <w:br/>
        <w:t>Guatemala (expediente de anexos a los alegatos finales escritos del  Estado,</w:t>
        <w:br/>
        <w:t>folio 29346).</w:t>
        <w:br/>
        <w:br/>
        <w:br/>
        <w:t>[168]       Cfr. acta de exhumación de cadáveres llevada a cabo los días  8,</w:t>
        <w:br/>
        <w:t>9 y 11 de abril de  1997  (expediente  de  anexos  a  los  alegatos  finales</w:t>
        <w:br/>
        <w:t>escritos del Estado, folios 29565 a 29568).</w:t>
        <w:br/>
        <w:br/>
        <w:br/>
        <w:t>[169]       Además, la Corte cuenta con información  sobre  varias  personas</w:t>
        <w:br/>
        <w:t>de nombre “Juana Osorio” además de otro apellido, por lo cual no es  posible</w:t>
        <w:br/>
        <w:t>verificar si los supuestos restos de “Juana Osorio” encontrados  durante  la</w:t>
        <w:br/>
        <w:t>excavación en Monte Redondo pertenecen a alguna de ellas.</w:t>
        <w:br/>
        <w:br/>
        <w:br/>
        <w:t>[170]        Cfr.  oficio  del  Juzgado  de  Primera  Instancia   Penal   de</w:t>
        <w:br/>
        <w:t>Narcoactividad y Delitos contra el Ambiente de Baja Verapaz de 25  de  enero</w:t>
        <w:br/>
        <w:t>de 1994 (expediente de anexos a los alegatos finales  escritos  del  Estado,</w:t>
        <w:br/>
        <w:t>folio 28718).</w:t>
        <w:br/>
        <w:br/>
        <w:br/>
        <w:t>[171]        Cfr.  oficio  del  Juzgado  de  Primera  Instancia   Penal   de</w:t>
        <w:br/>
        <w:t>Narcoactividad y Delitos contra el Ambiente de Baja Verapaz de 25  de  enero</w:t>
        <w:br/>
        <w:t>de 1994 (expediente de anexos a los alegatos finales  escritos  del  Estado,</w:t>
        <w:br/>
        <w:t>folio 28718).</w:t>
        <w:br/>
        <w:br/>
        <w:br/>
        <w:t>[172]       Cfr. oficio del Comandante de Reservas  Militares  Departamental</w:t>
        <w:br/>
        <w:t>de 6 de febrero de  1994  (expediente  de  anexos  a  los  alegatos  finales</w:t>
        <w:br/>
        <w:t>escritos del Estado, folio 28721).</w:t>
        <w:br/>
        <w:br/>
        <w:br/>
        <w:t>[173]       Cfr. oficio del Comandante de la Zona Militar  No.  4  de  9  de</w:t>
        <w:br/>
        <w:t>marzo de 1994 (expediente de anexos  al  sometimiento  del  caso,  tomo  II,</w:t>
        <w:br/>
        <w:t>folio 1146).</w:t>
        <w:br/>
        <w:br/>
        <w:br/>
        <w:t>[174]       Oficio del Juzgado de Primera Instancia Penal de  Narcoactividad</w:t>
        <w:br/>
        <w:t>y Delitos contra el Ambiente  de  Baja  Verapaz  de  25  de  abril  de  2003</w:t>
        <w:br/>
        <w:t>(expediente de anexos a los alegatos  finales  escritos  del  Estado,  folio</w:t>
        <w:br/>
        <w:t>27431).</w:t>
        <w:br/>
        <w:br/>
        <w:br/>
        <w:t>[175]       Cfr. los diversos oficios se  encuentran  en  el  expediente  C-</w:t>
        <w:br/>
        <w:t>01076-2011-00009-Of.4o remitido por  el  Estado  con  sus  alegatos  finales</w:t>
        <w:br/>
        <w:t>escritos (expediente de anexos a los alegatos finales escritos  del  Estado,</w:t>
        <w:br/>
        <w:t>folios 27310 a 27802).</w:t>
        <w:br/>
        <w:br/>
        <w:br/>
        <w:t>[176]       Oficio del Fiscal Distrital dirigido a al Fiscal General  de  la</w:t>
        <w:br/>
        <w:t>República de 14 de mayo de 2003 (expediente de anexos  al  sometimiento  del</w:t>
        <w:br/>
        <w:t>caso, tomo III, folio 1656).</w:t>
        <w:br/>
        <w:br/>
        <w:br/>
        <w:t>[177]       Oficio del Fiscal Distrital dirigido a al Fiscal General  de  la</w:t>
        <w:br/>
        <w:t>República de 14 de mayo de 2003 (expediente de anexos  al  sometimiento  del</w:t>
        <w:br/>
        <w:t>caso, tomo III, folio 1656).</w:t>
        <w:br/>
        <w:br/>
        <w:br/>
        <w:t>[178]       Cfr. oficio  del  Agente  Fiscal  dirigido  al  del  Juzgado  de</w:t>
        <w:br/>
        <w:t>Primera Instancia Penal de Narcoactividad y Delitos contra  el  Ambiente  de</w:t>
        <w:br/>
        <w:t>Baja Verapaz de 12 de marzo de 2009 (expediente de  anexos  a  los  alegatos</w:t>
        <w:br/>
        <w:t>finales escritos del Estado, folio 27689).</w:t>
        <w:br/>
        <w:br/>
        <w:br/>
        <w:t>[179]        Cfr.  auto  del  Juzgado  de   Primera   Instancia   Penal   de</w:t>
        <w:br/>
        <w:t>Narcoactividad y Delitos contra el Ambiente de Baja Verapaz de 13  de  marzo</w:t>
        <w:br/>
        <w:t>de 2009 (expediente de anexos a los alegatos finales  escritos  del  Estado,</w:t>
        <w:br/>
        <w:t>folio 27691).</w:t>
        <w:br/>
        <w:br/>
        <w:br/>
        <w:t>[180]       Cfr. Caso Velásquez  Rodríguez  Vs.  Honduras.  Fondo,  supra,</w:t>
        <w:br/>
        <w:t>párr. 155, y Caso González Medina y familiares Vs.  República  Dominicana,</w:t>
        <w:br/>
        <w:t>supra, párr. 50.</w:t>
        <w:br/>
        <w:br/>
        <w:br/>
        <w:t>[181]       En el ámbito del Derecho Internacional de los Derechos Humanos</w:t>
        <w:br/>
        <w:t>se desarrolló desde la década de los ochenta una definición operativa  del</w:t>
        <w:br/>
        <w:t>fenómeno por parte del Grupo de Trabajo sobre  Desapariciones  Forzadas  e</w:t>
        <w:br/>
        <w:t>Involuntarias  de  Personas  de  las  Naciones   Unidas.   Los   elementos</w:t>
        <w:br/>
        <w:t>conceptuales establecidos por dicho  Grupo  de  Trabajo  fueron  retomados</w:t>
        <w:br/>
        <w:t>posteriormente   en   las   definiciones   de    distintos    instrumentos</w:t>
        <w:br/>
        <w:t>internacionales. Cfr. Caso Chitay Nech y otros Vs. Guatemala, supra, párr.</w:t>
        <w:br/>
        <w:t>82, y Caso González Medina y familiares Vs. República  Dominicana,  supra,</w:t>
        <w:br/>
        <w:t>párr.  50.  Véase,  además,  el  Informe  del  Grupo  de   Trabajo   sobre</w:t>
        <w:br/>
        <w:t>Desapariciones Forzadas o Involuntarias, Comisión de Derechos Humanos, 37º</w:t>
        <w:br/>
        <w:t>período de sesiones, U.N. Doc. E/CN.4/1435, de 22 de enero de 1981,  párr.</w:t>
        <w:br/>
        <w:t>4;  Informe  del  Grupo  de  Trabajo  sobre  Desapariciones   Forzadas   o</w:t>
        <w:br/>
        <w:t>Involuntarias, Comisión de Derechos Humanos, 39º período de sesiones, U.N.</w:t>
        <w:br/>
        <w:t>Doc. E/CN.4/1983/14, de 21 de enero de 1983, párrs. 130 a 132,  e  Informe</w:t>
        <w:br/>
        <w:t>del Grupo de Trabajo sobre  Desapariciones  Forzadas  o  Involuntarias  de</w:t>
        <w:br/>
        <w:t>Personas, Comisión de Derechos Humanos, Informe a la  visita  realizada  a</w:t>
        <w:br/>
        <w:t>Sri Lanka por tres miembros del Grupo de Trabajo, 7 a  18  de  octubre  de</w:t>
        <w:br/>
        <w:t>1991, E/CN.4/1992/18/Add. 1 de 5 de enero de 1992.</w:t>
        <w:br/>
        <w:br/>
        <w:br/>
        <w:t>[182]       Cfr.  Caso  Velásquez  Rodríguez  Vs.  Honduras.  Fondo,  supra,</w:t>
        <w:br/>
        <w:t>párrs. 155 a 157; Caso Godínez Cruz Vs. Honduras. Fondo. Sentencia de 20  de</w:t>
        <w:br/>
        <w:t>enero de 1989. Serie C No. 5, párrs. 163 a 166; Caso Fairén  Garbi  y  Solís</w:t>
        <w:br/>
        <w:t>Corrales Vs. Honduras. Fondo. Sentencia de 15 de marzo de 1989. Serie C  No.</w:t>
        <w:br/>
        <w:t>6, párr. 147; Caso Blake Vs. Guatemala. Fondo. Sentencia de 24 de  enero  de</w:t>
        <w:br/>
        <w:t>1998. Serie C No. 36,  párr.  65;  Caso  Gómez  Palomino  Vs.  Perú.  Fondo,</w:t>
        <w:br/>
        <w:t>Reparaciones y Costas. Sentencia de 22 de noviembre de  2005.  Serie  C  No.</w:t>
        <w:br/>
        <w:t>136, párr. 92; Caso Goiburú y otros Vs.  Paraguay,  supra,  párr.  82;  Caso</w:t>
        <w:br/>
        <w:t>Heliodoro   Portugal   Vs.   Panamá.   Excepciones   Preliminares,    Fondo,</w:t>
        <w:br/>
        <w:t>Reparaciones y Costas. Sentencia de 12 de agosto de 2008. Serie C  No.  186,</w:t>
        <w:br/>
        <w:t>párrs. 52 y 112; Caso Tiu Tojín Vs. Guatemala, supra, párr. 52; Caso  Ticona</w:t>
        <w:br/>
        <w:t>Estrada y otros Vs. Bolivia. Fondo, Reparaciones y Costas. Sentencia  de  27</w:t>
        <w:br/>
        <w:t>de noviembre de 2008. Serie C No. 191, párr. 54; Caso  Anzualdo  Castro  Vs.</w:t>
        <w:br/>
        <w:t>Perú. Excepción Preliminar, Fondo, Reparaciones y Costas.  Sentencia  de  22</w:t>
        <w:br/>
        <w:t>de Septiembre de 2009. Serie C No. 202, párr. 59; Caso Radilla  Pacheco  Vs.</w:t>
        <w:br/>
        <w:t>México, supra, párrs. 139 a 140; Caso Chitay Nech  y  otros  Vs.  Guatemala,</w:t>
        <w:br/>
        <w:t>supra, párr. 81; Caso Ibsen  Cárdenas  e  Ibsen  Peña  Vs.  Bolivia.  Fondo,</w:t>
        <w:br/>
        <w:t>Reparaciones y Costas. Sentencia de 1 de septiembre de  2010.  Serie  C  No.</w:t>
        <w:br/>
        <w:t>217, párrs. 59 a 60; Caso Gomes Lund y otros  (Guerrilha  do  Araguaia)  Vs.</w:t>
        <w:br/>
        <w:t>Brasil, supra, párr. 103; Caso Gelman Vs.  Uruguay.  Fondo  y  Reparaciones.</w:t>
        <w:br/>
        <w:t>Sentencia de 24 de febrero de 2011. Serie C No. 221, párr. 74;  Caso  Torres</w:t>
        <w:br/>
        <w:t>Millacura y otros Vs. Argentina, supra, párr. 91;  Caso  Contreras  y  otros</w:t>
        <w:br/>
        <w:t>Vs. El Salvador. Fondo, Reparaciones y Costas. Sentencia de 31 de agosto  de</w:t>
        <w:br/>
        <w:t>2011. Serie C No. 232, párr. 82, y Caso González  Medina  y  familiares  Vs.</w:t>
        <w:br/>
        <w:t>República Dominicana, supra, párr.  50.  El  Tribunal  Europeo  de  Derechos</w:t>
        <w:br/>
        <w:t>Humanos también ha considerado el  carácter  continuo  o  permanente  de  la</w:t>
        <w:br/>
        <w:t>desaparición forzada de personas en el caso  Chipre  Vs.  Turquía  [GC],  no</w:t>
        <w:br/>
        <w:t>25781/94, párrs. 136, 150 y 158, 2001-IV.</w:t>
        <w:br/>
        <w:br/>
        <w:br/>
        <w:t>[183]       Cfr. inter alia, Caso Velásquez Rodríguez Vs.  Honduras.  Fondo,</w:t>
        <w:br/>
        <w:t>supra, párrs. 155 a 157, y Caso González Medina y familiares  Vs.  República</w:t>
        <w:br/>
        <w:t>Dominicana, supra, párr. 50.</w:t>
        <w:br/>
        <w:br/>
        <w:br/>
        <w:t>[184]       Cfr. Caso Ibsen Cárdenas e Ibsen Peña Vs. Bolivia, supra,  párr.</w:t>
        <w:br/>
        <w:t>82.</w:t>
        <w:br/>
        <w:br/>
        <w:br/>
        <w:t>[185]       Cfr. Caso Radilla Pacheco Vs. México, supra, párr. 138,  y  Caso</w:t>
        <w:br/>
        <w:t>González Medina y familiares Vs. República Dominicana, supra, párr. 129.</w:t>
        <w:br/>
        <w:br/>
        <w:br/>
        <w:t>[186]       Cfr. Caso Velásquez Rodríguez Vs. Honduras. Fondo, supra,  párr.</w:t>
        <w:br/>
        <w:t>158, y Caso González Medina y familiares Vs.  República  Dominicana,  supra,</w:t>
        <w:br/>
        <w:t>párr. 130.</w:t>
        <w:br/>
        <w:br/>
        <w:br/>
        <w:t>[187]       Cfr. Caso Goiburú y otros Vs. Paraguay,  supra,  párr.  84,  y</w:t>
        <w:br/>
        <w:t>Caso González Medina y familiares Vs. República Dominicana,  supra,  párr.</w:t>
        <w:br/>
        <w:t>130.</w:t>
        <w:br/>
        <w:br/>
        <w:br/>
        <w:t>[188] Cfr. Caso Gómez Palomino Vs. Perú, supra, párr. 97,  y  Caso  González</w:t>
        <w:br/>
        <w:t>Medina y familiares Vs. República Dominicana, supra, párr. 128.</w:t>
        <w:br/>
        <w:br/>
        <w:br/>
        <w:t>[189]       Cfr.  artículo  2  de  la  Convención  Internacional  para  la</w:t>
        <w:br/>
        <w:t>protección de todas las personas contra las desapariciones forzadas,  U.N.</w:t>
        <w:br/>
        <w:t>Doc. A/RES/61/177, de 20 de diciembre de  2006;  artículo  7,  numeral  2,</w:t>
        <w:br/>
        <w:t>inciso i) del Estatuto de Roma de la Corte Penal Internacional, U.N.  Doc.</w:t>
        <w:br/>
        <w:t>A/CONF.183/9, de 17 de julio de 1998, y preámbulo de la Declaración  sobre</w:t>
        <w:br/>
        <w:t>la protección de todas las personas contra  las  desapariciones  forzadas,</w:t>
        <w:br/>
        <w:t>U.N. Doc. A/RES/47/133 de 12 de febrero de 1993.</w:t>
        <w:br/>
        <w:br/>
        <w:br/>
        <w:t>[190]       Al respecto, pueden consultarse  los  siguientes  casos  sobre</w:t>
        <w:br/>
        <w:t>desaparición forzada de personas: Tribunal Europeo de Derechos Humanos (en</w:t>
        <w:br/>
        <w:t>adelante, “TEDH”), Caso Chipre Vs. Turquía [GC] (No. 25781/94),  Sentencia</w:t>
        <w:br/>
        <w:t>de 10 de mayo de 2001, párrs. 132 a 134 y 147 a 148, y TEDH, Caso  Varnava</w:t>
        <w:br/>
        <w:t>y otros Vs. Turkey (Nos. 16064/90, 16065/90, 16066/90, 16068/90, 16069/90,</w:t>
        <w:br/>
        <w:t>16070/90, 16071/90, 16072/90 y 16073/90), Sentencia  de  10  de  enero  de</w:t>
        <w:br/>
        <w:t>2008, párrs. 111 a 113, 117 y 118, 133, 138 y 145.</w:t>
        <w:br/>
        <w:br/>
        <w:br/>
        <w:t>[191]       Al respecto, véase, Messaouda  Grioua  y  Mohamed  Grioua  Vs.</w:t>
        <w:br/>
        <w:t>Algeria, CCPR/C/90/D/1327/2004 (2007), Comunicación No. 1327/2004,  16  de</w:t>
        <w:br/>
        <w:t>agosto  de  2007;  Yasoda  Sharma  y  Surya  Prasad  Sharma   Vs.   Nepal,</w:t>
        <w:br/>
        <w:t>CCPR/C/97/D/1469/2006 (2008), Comunicación No. 1469/2006, 6  de  noviembre</w:t>
        <w:br/>
        <w:t>de 2008; Zohra Madoui y Menouar Madoui vs. Algeria,  CCPR/C/94/D/1495/2006</w:t>
        <w:br/>
        <w:t>(2008), Comunicación No. 1495/2006, 1 de diciembre de 2008, y Nydia  Erika</w:t>
        <w:br/>
        <w:t>Bautista de Arellana vs. Colombia, CCPR/C/55/D/563/1993, Comunicación  No.</w:t>
        <w:br/>
        <w:t>563/1993, 13 de noviembre de 1995.</w:t>
        <w:br/>
        <w:br/>
        <w:br/>
        <w:t>[192] Cfr. Tribunal Supremo de  Justicia  de  la  República  Bolivariana  de</w:t>
        <w:br/>
        <w:t>Venezuela, Caso Marco Antonio Monasterios Pérez, sentencia de 10  de  agosto</w:t>
        <w:br/>
        <w:t>de 2007 (declarando la naturaleza pluriofensiva y permanente del  delito  de</w:t>
        <w:br/>
        <w:t>desaparición forzada); Suprema Corte de Justicia de  la  Nación  de  México,</w:t>
        <w:br/>
        <w:t>Tesis: P./J. 87/2004, “Desaparición forzada de personas. El plazo  para  que</w:t>
        <w:br/>
        <w:t>opere su prescripción inicia hasta que aparece la víctima o se establece  su</w:t>
        <w:br/>
        <w:t>destino” (afirmando que las desapariciones forzadas son delitos  permanentes</w:t>
        <w:br/>
        <w:t>y que la prescripción se debe comenzar a calcular a partir de  que  cesa  su</w:t>
        <w:br/>
        <w:t>consumación);  Pleno de la Corte Suprema de  Chile,  Caso  de  desafuero  de</w:t>
        <w:br/>
        <w:t>Pinochet, sentencia de 8  de  agosto  del  2000;  Corte  de  Apelaciones  de</w:t>
        <w:br/>
        <w:t>Santiago de Chile, Caso Sandoval, sentencia de  5  de enero del 2004  (todos</w:t>
        <w:br/>
        <w:t>declarando que el delito  de  desaparición  forzada  es  continuo,  de  lesa</w:t>
        <w:br/>
        <w:t>humanidad, imprescriptible y que no puede ser objeto  de  amnistía);  Cámara</w:t>
        <w:br/>
        <w:t>Nacional de Apelaciones  en  lo  Criminal  y  Correccional   Federal  de  la</w:t>
        <w:br/>
        <w:t>Capital de Argentina, Caso Videla  y otros, sentencia de 9 de septiembre  de</w:t>
        <w:br/>
        <w:t>1999 (declarando que las desapariciones forzadas son delitos continuos y  de</w:t>
        <w:br/>
        <w:t>lesa humanidad, así como su  imprescriptibilidad);  Tribunal  Constitucional</w:t>
        <w:br/>
        <w:t>de Bolivia, Caso José Carlos Trujillo, sentencia  de  12  de  noviembre  del</w:t>
        <w:br/>
        <w:t>2001 (declarando  que  los  delitos  de  desaparición  forzada  son  delitos</w:t>
        <w:br/>
        <w:t>continuos y que el plazo para que opere su  prescripción  inicia  hasta  que</w:t>
        <w:br/>
        <w:t>cese su consumación), y Tribunal  Constitucional  del  Perú,  Caso  Castillo</w:t>
        <w:br/>
        <w:t>Páez, sentencia de 18 de marzo de 2004 (declarando, a razón de  lo  ordenado</w:t>
        <w:br/>
        <w:t>por la Corte Interamericana en el mismo caso, que  la  desaparición  forzada</w:t>
        <w:br/>
        <w:t>es un delito permanente hasta tanto se establezca el paradero de la  víctima</w:t>
        <w:br/>
        <w:t>y sobre su naturaleza pluriofensiva).</w:t>
        <w:br/>
        <w:br/>
        <w:br/>
        <w:t>[193]       Caso Heliodoro Portugal Vs. Panamá, supra,  párr.  112,  y  Caso</w:t>
        <w:br/>
        <w:t>González Medina y familiares Vs. República Dominicana, supra, párr. 179.</w:t>
        <w:br/>
        <w:br/>
        <w:br/>
        <w:t>[194]       Cfr. Caso Radilla Pacheco Vs. México, supra, párr. 152,  y  Caso</w:t>
        <w:br/>
        <w:t>Torres Millacura y otros Vs. Argentina, supra, párr. 103.</w:t>
        <w:br/>
        <w:br/>
        <w:br/>
        <w:t>[195]       Caso Velásquez Rodríguez Vs. Honduras. Fondo, supra, párr.  187,</w:t>
        <w:br/>
        <w:t>y Caso González Medina y familiares Vs. República Dominicana,  supra,  párr.</w:t>
        <w:br/>
        <w:t>180.</w:t>
        <w:br/>
        <w:br/>
        <w:br/>
        <w:t>[196]       Cfr. Caso Velásquez Rodríguez Vs. Honduras. Fondo, supra,  párr.</w:t>
        <w:br/>
        <w:t>175, y Caso González Medina y familiares Vs.  República  Dominicana,  supra,</w:t>
        <w:br/>
        <w:t>párr. 181.</w:t>
        <w:br/>
        <w:br/>
        <w:br/>
        <w:t>[197]       Cfr. Caso Anzualdo Castro Vs. Perú, supra, párrs. 90  a  101,  y</w:t>
        <w:br/>
        <w:t>Caso González Medina y familiares Vs.  República  Dominicana,  supra,  párr.</w:t>
        <w:br/>
        <w:t>186.</w:t>
        <w:br/>
        <w:br/>
        <w:br/>
        <w:t>[198] Cfr. Caso Bámaca Velásquez Vs. Guatemala. Fondo. Sentencia  de  25  de</w:t>
        <w:br/>
        <w:t>noviembre de 2000. Serie C No. 70, párr.  179,  y  Caso  González  Medina  y</w:t>
        <w:br/>
        <w:t>familiares Vs. República Dominicana, supra, párr. 187.</w:t>
        <w:br/>
        <w:br/>
        <w:br/>
        <w:t>[199] Cfr. Caso Anzualdo Castro Vs. Perú, supra, párr. 90, y Caso González</w:t>
        <w:br/>
        <w:t>Medina y familiares Vs. República Dominicana, supra, párr. 188.</w:t>
        <w:br/>
        <w:br/>
        <w:br/>
        <w:t>[200]  Cfr.  Condición  Jurídica  y  Derechos  Humanos  del  Niño.   Opinión</w:t>
        <w:br/>
        <w:t>Consultiva OC-17/02 del 28 de agosto de 2002. Serie A No. 27, párrs. 53,  54</w:t>
        <w:br/>
        <w:t>y 60, y Caso De la Masacre de las Dos  Erres  Vs.  Guatemala,  supra,  párr.</w:t>
        <w:br/>
        <w:t>184.</w:t>
        <w:br/>
        <w:br/>
        <w:br/>
        <w:t>[201]  Cfr.  Condición  Jurídica  y  Derechos  Humanos  del  Niño.   Opinión</w:t>
        <w:br/>
        <w:t>Consultiva OC-17/02, supra, párrs. 56, 57 y 60, y  Caso  Comunidad  Indígena</w:t>
        <w:br/>
        <w:t>Xákmok Kásek. Vs. Paraguay. Fondo, Reparaciones y Costas.  Sentencia  de  24</w:t>
        <w:br/>
        <w:t>de agosto de 2010 Serie C No. 214, párr. 257.</w:t>
        <w:br/>
        <w:br/>
        <w:br/>
        <w:t>[202]       Cfr. Caso De la Masacre de las Dos Erres Vs.  Guatemala,  supra,</w:t>
        <w:br/>
        <w:t>párr. 184, y Caso Comunidad Indígena  Xákmok  Kásek.  Vs.  Paraguay,  supra,</w:t>
        <w:br/>
        <w:t>párr. 257.</w:t>
        <w:br/>
        <w:br/>
        <w:br/>
        <w:t>[203]       Cfr. certificado de nacimiento de Ramona  Lajuj  (expediente  de</w:t>
        <w:br/>
        <w:t>anexos al escrito de solicitudes y argumentos, tomo XXVII, folio 16417).</w:t>
        <w:br/>
        <w:br/>
        <w:br/>
        <w:t>[204]       Cfr. testimonio de Carmen Sánchez Chen (expediente de anexos  al</w:t>
        <w:br/>
        <w:t>sometimiento del caso, tomo I, folios 526, 527  y  529).  La  Corte  observa</w:t>
        <w:br/>
        <w:t>adicionalmente que los certificados  de  defunción  de  Ramona  Lajuj  y  de</w:t>
        <w:br/>
        <w:t>Manuel Chen Sánchez mencionan como causa de muerte “muerte  presunta”.  Cfr.</w:t>
        <w:br/>
        <w:t>certificado de defunción de Ramona Lajuj (expediente de  anexos  al  escrito</w:t>
        <w:br/>
        <w:t>de solicitudes y argumentos, tomo XXVII,  folio  16415),  y  certificado  de</w:t>
        <w:br/>
        <w:t>defunción de Manuel  Chen  Sánchez  (expediente  de  anexos  al  escrito  de</w:t>
        <w:br/>
        <w:t>solicitudes y argumentos, tomo XXVII, folio 16356).</w:t>
        <w:br/>
        <w:br/>
        <w:br/>
        <w:t>[205]        Cfr.  certificado  de  nacimiento  de   Manuel   Chen   Sánchez</w:t>
        <w:br/>
        <w:t>(expediente de anexos al escrito de solicitudes y  argumentos,  tomo  XXVII,</w:t>
        <w:br/>
        <w:t>folio 16358).</w:t>
        <w:br/>
        <w:br/>
        <w:br/>
        <w:t>[206]       Cfr. “Anexo k)  Listado  de  víctimas  de  la  masacre  de  ‘Los</w:t>
        <w:br/>
        <w:t>Encuentros’” (expediente de anexos al escrito de solicitudes  y  argumentos,</w:t>
        <w:br/>
        <w:t>tomo XXIII, folios 13760 a 13762).</w:t>
        <w:br/>
        <w:br/>
        <w:br/>
        <w:t>[207]       Los certificados de defunción  de  las  siguientes  personas  se</w:t>
        <w:br/>
        <w:t>encuentran  en  el  expediente  de  anexos  al  escrito  de  solicitudes   y</w:t>
        <w:br/>
        <w:t>argumentos, tomo XXVII: 1) Aurelia Alvarado Ivoy,  causa  de  defunción  “se</w:t>
        <w:br/>
        <w:t>ignora”, folio 16253; 2) Demetria Osorio Tahuico, “muerte  presunta”,  folio</w:t>
        <w:br/>
        <w:t>16275;  3)  Francisco  Chen  Osorio,  “muerte  presunta”,  folio  16287;  4)</w:t>
        <w:br/>
        <w:t>Francísco Sánchez Sic, “se ignora”, folio 16291; 5)  Pablo  Osorio  Tahuico,</w:t>
        <w:br/>
        <w:t>“muerte presunta”, folio 16376; 6) Pedro López Osorio,  causa  de  defunción</w:t>
        <w:br/>
        <w:t>“se  desconoce”,  folio  16399;  7)  Sebastiana  Osorio   Tahuico,   “muerte</w:t>
        <w:br/>
        <w:t>presunta”, folio 16437, y 8) Soterio  Pérez  Tum,  causa  de  defunción  “se</w:t>
        <w:br/>
        <w:t>ignora”, folio 16441. También constan en el expediente de anexos al  escrito</w:t>
        <w:br/>
        <w:t>de solicitudes y argumentos, tomo XXVII, los certificados de  defunción  de:</w:t>
        <w:br/>
        <w:t>1) Cornelio Osorio Lajúj, folio 16263; 2) Fermin Tum Chén, folio  16283;  3)</w:t>
        <w:br/>
        <w:t>Héctor López Osorio, folio 16300; 4) Jerónimo Osorio Chen, folio  16304;  5)</w:t>
        <w:br/>
        <w:t>Luciano Osorio Chen, folio 16332;  6) Pedro Chén Rojas, folio  16391,  y  7)</w:t>
        <w:br/>
        <w:t>Pedro Osorio Chén, folio 16403.</w:t>
        <w:br/>
        <w:br/>
        <w:br/>
        <w:t>[208]       Cfr. testimonio de José Osorio  Sic  (expediente  de  anexos  al</w:t>
        <w:br/>
        <w:t>sometimiento del caso, tomo I, folio 540).</w:t>
        <w:br/>
        <w:br/>
        <w:br/>
        <w:t>[209]       Cfr. Caso del  Penal  Miguel  Castro  Castro  Vs.  Perú.  Fondo,</w:t>
        <w:br/>
        <w:t>Reparaciones y Costas. Sentencia de 25 de noviembre de  2006.  Serie  C  No.</w:t>
        <w:br/>
        <w:t>160, párr. 311, y Caso Rosendo Cantú y otra Vs. México,  supra,  párr.  114.</w:t>
        <w:br/>
        <w:t>Tribunal Europeo de Derechos Humanos (en adelante “TEDH”). Caso de Aydin  v.</w:t>
        <w:br/>
        <w:t>Turkey (No. 57/1996/676/866), Sentencia de 25 de septiembre de  1997,  párr.</w:t>
        <w:br/>
        <w:t>83.</w:t>
        <w:br/>
        <w:br/>
        <w:br/>
        <w:t>[210]       Cfr. Caso Fernández Ortega y otros.  Vs.  México,  supra,  párr.</w:t>
        <w:br/>
        <w:t>124, y Caso Rosendo Cantú y otra Vs. México, supra, párr. 114.</w:t>
        <w:br/>
        <w:br/>
        <w:br/>
        <w:t>[211]       Cfr. Caso Fernández Ortega y otros.  Vs.  México,  supra,  párr.</w:t>
        <w:br/>
        <w:t>128, y Caso Rosendo Cantú y otra Vs. México, supra, párr. 118.</w:t>
        <w:br/>
        <w:br/>
        <w:br/>
        <w:t>[212]       Cfr. Caso de las Masacres de  Ituango  Vs.  Colombia.  Excepción</w:t>
        <w:br/>
        <w:t>Preliminar, Fondo, Reparaciones y Costas. Sentencia de 1 de  julio  de  2006</w:t>
        <w:br/>
        <w:t>Serie C No. 148, párr. 193, y Caso Atala Riffo y  Niñas  Vs.  Chile.  Fondo,</w:t>
        <w:br/>
        <w:t>Reparaciones y Costas. Sentencia del 24 de febrero  de  2012.  Serie  C  No.</w:t>
        <w:br/>
        <w:t>239, párr. 162.</w:t>
        <w:br/>
        <w:br/>
        <w:br/>
        <w:t>[213]       Cfr. Caso Fernández Ortega y otros.  Vs.  México,  supra,  párr.</w:t>
        <w:br/>
        <w:t>129, y Caso Atala Riffo y Niñas Vs. Chile,  supra,  párr.  162;  TEDH,  Caso</w:t>
        <w:br/>
        <w:t>Dudgeon vs. Reino Unido (No. 7525/76), Sentencia de 22 de octubre de   1981,</w:t>
        <w:br/>
        <w:t>párr. 41, y TEDH, Caso X and Y vs. Holanda (No. 8978/80) Sentencia de 26  de</w:t>
        <w:br/>
        <w:t>marzo de 1985, párr. 22.</w:t>
        <w:br/>
        <w:br/>
        <w:br/>
        <w:t>[214]       Cfr. sentencia emitida  por  el  Tribunal  de  Sentencia  Penal,</w:t>
        <w:br/>
        <w:t>Narcoactividad y  Delitos  contra  el  Ambiente  del  Departamento  de  Baja</w:t>
        <w:br/>
        <w:t>Verapaz,  Salamá,  causa  numero  28-2003-OF  1  de  28  de  mayo  de   2008</w:t>
        <w:br/>
        <w:t>(expediente de anexos al sometimiento del caso, tomo II, folios 718,  723  y</w:t>
        <w:br/>
        <w:t>724).</w:t>
        <w:br/>
        <w:br/>
        <w:br/>
        <w:t>[215]       Declaración rendida por la señora  María  Eustaquia  Uscap  Ivoy</w:t>
        <w:br/>
        <w:t>ante fedatario público el 15 de junio de 2012  (expediente  de  fondo,  tomo</w:t>
        <w:br/>
        <w:t>II, folios 1007 y 1009).</w:t>
        <w:br/>
        <w:br/>
        <w:br/>
        <w:t>[216]       La Comisión alegó que durante el trabajo forzado,  los  niños  y</w:t>
        <w:br/>
        <w:t>niñas fueron amenazados directa e implícitamente con violencia o  muerte  en</w:t>
        <w:br/>
        <w:t>contra de ellos mismos o, en algunos casos,  en  contra  de  sus  familiares</w:t>
        <w:br/>
        <w:t>sobrevivientes, y que no tuvieron otra opción más que realizar  las  labores</w:t>
        <w:br/>
        <w:t>que se les imponían.</w:t>
        <w:br/>
        <w:br/>
        <w:br/>
        <w:t>[217]       Refirieron que “[los] niños  fueron  seleccionados  como  fuerza</w:t>
        <w:br/>
        <w:t>laboral, sirvientes dentro de las casas de los  patrulleros  de  autodefensa</w:t>
        <w:br/>
        <w:t>civil, a quienes les fueron enseñados todo  tipo  de  labores,  sin  recibir</w:t>
        <w:br/>
        <w:t>remuneración alguna e incluso sin encontrarse  en  condiciones  dignas  para</w:t>
        <w:br/>
        <w:t>vivir”.</w:t>
        <w:br/>
        <w:br/>
        <w:br/>
        <w:t>[218]       Cfr. Corte Internacional de Justicia, Caso Barcelona Traction,</w:t>
        <w:br/>
        <w:t>Light and Power Company, Limited. Sentencia de 5 de febrero de  1970,   p.</w:t>
        <w:br/>
        <w:t>32, párrs. 33-34. Véase, además, Comité de Derechos  Humanos,  Observación</w:t>
        <w:br/>
        <w:t>General 24, párr. 8. y el Voto concurrente del Juez A.  Cancado  Trindade,</w:t>
        <w:br/>
        <w:t>Condición Jurídica y Derechos de  los  Migrantes  Indocumentados.  Opinión</w:t>
        <w:br/>
        <w:t>Consultiva OC-18/03 del 17 de septiembre de 2003. Serie A  No.  18,  párr.</w:t>
        <w:br/>
        <w:t>75.</w:t>
        <w:br/>
        <w:br/>
        <w:br/>
        <w:t>[219]       Condición  Jurídica  y  Derechos  Humanos  del  Niño.  Opinión</w:t>
        <w:br/>
        <w:t>Consultiva OC-17/02, supra, párrs. 53, 54 y 60 y, Caso Chitay Nech y otros</w:t>
        <w:br/>
        <w:t>Vs. Guatemala, supra, párr. 164.</w:t>
        <w:br/>
        <w:br/>
        <w:br/>
        <w:t>[220]       Cfr. Condición Jurídica y Derechos Humanos del  Niño.  Opinión</w:t>
        <w:br/>
        <w:t>Consultiva OC-17/02, supra, párr. 164.</w:t>
        <w:br/>
        <w:br/>
        <w:br/>
        <w:t>[221]   Cfr.  Condición  Jurídica  y  Derechos  Humanos  del  Niño.  Opinión</w:t>
        <w:br/>
        <w:t>Consultiva OC-17/02, supra, párr. 56, y Caso Atala Riffo y Niñas Vs.  Chile,</w:t>
        <w:br/>
        <w:t>supra, párr. 108.</w:t>
        <w:br/>
        <w:br/>
        <w:br/>
        <w:t>[222]       Cfr. Caso De la Masacre de las Dos Erres Vs.  Guatemala,  supra,</w:t>
        <w:br/>
        <w:t>párr. 184, y Caso Rosendo Cantú y otra Vs. México, supra, párr. 201.</w:t>
        <w:br/>
        <w:br/>
        <w:t>[223]  Caso de los “Niños de la  Calle”  (Villagrán  Morales  y  otros)  Vs.</w:t>
        <w:br/>
        <w:t>Guatemala. Fondo. Sentencia de 19 de noviembre de  1999.  Serie  C  No.  63,</w:t>
        <w:br/>
        <w:t>párr. 194, y Caso Fornerón e  hija  Vs.  Argentina.  Fondo,  Reparaciones  y</w:t>
        <w:br/>
        <w:t>Costas. Sentencia de 27 de abril de 2012. Serie C No. 242, párr. 137.</w:t>
        <w:br/>
        <w:br/>
        <w:t>[224]       La Convención sobre los Derechos del Niño, además del artículo</w:t>
        <w:br/>
        <w:t>30, contiene diversas disposiciones que destacan la importancia de la vida</w:t>
        <w:br/>
        <w:t>cultural del niño  indígena  para  su  formación  y  desarrollo.  Así,  el</w:t>
        <w:br/>
        <w:t>Preámbulo declara que: “[l]os Estados Partes  [suscribieron]  la  presente</w:t>
        <w:br/>
        <w:t>Convención  […t]eniendo  debidamente  en  cuenta  la  importancia  de  las</w:t>
        <w:br/>
        <w:t>tradiciones y los valores culturales de cada pueblo para la  protección  y</w:t>
        <w:br/>
        <w:t>el desarrollo armonioso del niño”. El artículo 2, inciso 1,  establece  la</w:t>
        <w:br/>
        <w:t>obligación de los Estados  de  asegurar  la  aplicación  de  los  derechos</w:t>
        <w:br/>
        <w:t>establecidos en dicha Convención sin distinción por el “origen […] étnico”</w:t>
        <w:br/>
        <w:t>del niño. En el mismo sentido, el artículo  17,  inciso  d,  dispone  que:</w:t>
        <w:br/>
        <w:t>“[l]os Estados […] [a]lentarán a los medios de comunicación a  que  tengan</w:t>
        <w:br/>
        <w:t>particularmente  en  cuenta  las   necesidades   lingüísticas   del   niño</w:t>
        <w:br/>
        <w:t>perteneciente a un grupo minoritario o que sea indígena”. El artículo  20,</w:t>
        <w:br/>
        <w:t>inciso 3, determina que, ante niños privados  de  su  medio  familiar,  el</w:t>
        <w:br/>
        <w:t>Estado deberá adoptar medidas especiales y, al considerarlas, deberá  “[…]</w:t>
        <w:br/>
        <w:t>presta[r] particular atención a la conveniencia de que haya continuidad en</w:t>
        <w:br/>
        <w:t>la educación del  niño  y  a  su  origen  étnico,  religioso,  cultural  y</w:t>
        <w:br/>
        <w:t>lingüístico”. En la misma línea, el artículo 29,  inciso 1 c) y d), señala</w:t>
        <w:br/>
        <w:t>que “[l]os Estados Partes convienen en que la educación  del  niño  deberá</w:t>
        <w:br/>
        <w:t>estar encaminada a […i]nculcar al niño el respeto de  sus  padres,  de  su</w:t>
        <w:br/>
        <w:t>propia identidad cultural, de su idioma y  sus  valores,  de  los  valores</w:t>
        <w:br/>
        <w:t>nacionales del país en que vive, del país de que sea originario y  de  las</w:t>
        <w:br/>
        <w:t>civilizaciones distintas de la suya; [así como a p]reparar  al  niño  para</w:t>
        <w:br/>
        <w:t>asumir una vida  responsable  en  una  sociedad  libre,  con  espíritu  de</w:t>
        <w:br/>
        <w:t>comprensión, paz, tolerancia, igualdad de los sexos y amistad entre  todos</w:t>
        <w:br/>
        <w:t>los pueblos, grupos étnicos, nacionales y religiosos y personas de  origen</w:t>
        <w:br/>
        <w:t>indígena”. Finalmente, el artículo 31 determina que: “[l]os Estados Partes</w:t>
        <w:br/>
        <w:t>reconocen el derecho del niño […]  a  participar  libremente  en  la  vida</w:t>
        <w:br/>
        <w:t>cultural y en las artes. […] Los Estados Partes respetarán y promoverán el</w:t>
        <w:br/>
        <w:t>derecho del niño a participar plenamente en la vida cultural y artística y</w:t>
        <w:br/>
        <w:t>propiciarán oportunidades  apropiadas,  en  condiciones  de  igualdad,  de</w:t>
        <w:br/>
        <w:t>participar en la vida cultural, artística, recreativa y de esparcimiento”.</w:t>
        <w:br/>
        <w:t>Cfr. Caso Chitay Nech y otros Vs. Guatemala,  supra,  párr.  167,  y  Caso</w:t>
        <w:br/>
        <w:t>Comunidad Indígena Xákmok Kásek. Vs. Paraguay, supra, párr. 261.</w:t>
        <w:br/>
        <w:br/>
        <w:br/>
        <w:t>[225]       El artículo 30 dispone que “[e]n  los  Estados  en  que  existan</w:t>
        <w:br/>
        <w:t>minorías étnicas, religiosas o lingüísticas o personas de  origen  indígena,</w:t>
        <w:br/>
        <w:t>no se negará a un niño que pertenezca a tales minorías o  que  sea  indígena</w:t>
        <w:br/>
        <w:t>el derecho que le corresponde, en común con los demás miembros de su  grupo,</w:t>
        <w:br/>
        <w:t>a tener su propia vida cultural, a profesar y practicar su propia  religión,</w:t>
        <w:br/>
        <w:t>o a emplear su propio idioma”. Esta disposición tiene su antecedente  en  el</w:t>
        <w:br/>
        <w:t>artículo 27  del  Pacto  Internacional  de  Derechos  Civiles  y  Políticos,</w:t>
        <w:br/>
        <w:t>adoptado por la Asamblea General mediante resolución 2200  A  (XXI),  16  de</w:t>
        <w:br/>
        <w:t>diciembre de 1966, el cual reconoce  este  derecho  para  las  minorías  sin</w:t>
        <w:br/>
        <w:t>mencionar  a  los  indígenas  explícitamente.  El  artículo  27   del   PICP</w:t>
        <w:br/>
        <w:t>establece: “[e]n los Estados en que existan minorías étnicas,  religiosas  o</w:t>
        <w:br/>
        <w:t>lingüísticas, no se negará a las personas que pertenezcan a dichas  minorías</w:t>
        <w:br/>
        <w:t>el derecho que les corresponde, en  común  con  los  demás  miembros  de  su</w:t>
        <w:br/>
        <w:t>grupo, a tener su propia vida cultural, a profesar  y  practicar  su  propia</w:t>
        <w:br/>
        <w:t>religión y a emplear su propio idioma”.</w:t>
        <w:br/>
        <w:br/>
        <w:br/>
        <w:t>[226] Convención sobre los Derechos del Niño, A.G.  res.  44/25,  anexo,  44</w:t>
        <w:br/>
        <w:t>U.N. GAOR Supp. (No. 49), p. 167, ONU Doc. A/44/49 (1989), entrada en  vigor</w:t>
        <w:br/>
        <w:t>2 de septiembre de 1990.</w:t>
        <w:br/>
        <w:br/>
        <w:br/>
        <w:t>[227] ONU. Comité de los Derechos del Niño. Observación General No. 11.  Los</w:t>
        <w:br/>
        <w:t>niños indígenas y sus derechos en virtud de la Convención, 12 de febrero  de</w:t>
        <w:br/>
        <w:t>2009, párr. 82.</w:t>
        <w:br/>
        <w:br/>
        <w:br/>
        <w:t>[228]       Cfr. ONU. Comité de los Derechos del Niño.  Observación  General</w:t>
        <w:br/>
        <w:t>No. 11. Los niños indígenas y sus derechos en virtud de  la  Convención,  12</w:t>
        <w:br/>
        <w:t>de febrero de 2009, párr. 16. Véase, además, el Caso  Chitay  Nech  y  otros</w:t>
        <w:br/>
        <w:t>Vs. Guatemala, párr. 168.</w:t>
        <w:br/>
        <w:br/>
        <w:br/>
        <w:t>[229] Cfr. ONU. Comité de los Derechos del Niño. Observación General No.  5.</w:t>
        <w:br/>
        <w:t>Medidas generales de aplicación de la Convención de los Derechos  del  Niño,</w:t>
        <w:br/>
        <w:t>27 de noviembre de 2003, párr. 12.  Este concepto  de  desarrollo  holístico</w:t>
        <w:br/>
        <w:t>ha  tenido  recibo  en  anterior  jurisprudencia  de  la  Corte.  Cfr.  Caso</w:t>
        <w:br/>
        <w:t>"Instituto   de   Reeducación   del   Menor"   Vs.   Paraguay.   Excepciones</w:t>
        <w:br/>
        <w:t>Preliminares, Fondo, Reparaciones y Costas. Sentencia de 2 de septiembre  de</w:t>
        <w:br/>
        <w:t>2004. Serie C No. 112, párr. 161, y Caso Chitay Nech y otros Vs.  Guatemala,</w:t>
        <w:br/>
        <w:t>supra, párr. 169.</w:t>
        <w:br/>
        <w:br/>
        <w:br/>
        <w:t>[230]       Cfr. Caso Chitay Nech y otros Vs. Guatemala, supra, párr. 169.</w:t>
        <w:br/>
        <w:br/>
        <w:br/>
        <w:t>[231]       Cfr. Condición Jurídica y Derechos  Humanos  del  Niño.  Opinión</w:t>
        <w:br/>
        <w:t>Consultiva OC-17/02, supra, párr.  66,  y  Caso  Chitay  Nech  y  otros  Vs.</w:t>
        <w:br/>
        <w:t>Guatemala, supra, párr. 156.</w:t>
        <w:br/>
        <w:br/>
        <w:br/>
        <w:t>[232]       Cfr. Opinión consultiva. Condición Jurídica y  Derechos  Humanos</w:t>
        <w:br/>
        <w:t>del Niño. Opinión Consultiva OC-17/02, supra, párr. 71, y  Caso  Fornerón  e</w:t>
        <w:br/>
        <w:t>hija Vs. Argentina, supra, párr. 46.</w:t>
        <w:br/>
        <w:br/>
        <w:br/>
        <w:t>[233]       Opinión consultiva. Condición Jurídica y Derechos Humanos  del</w:t>
        <w:br/>
        <w:t>Niño. Opinión Consultiva OC-17/02, supra, párr. 71, y Caso Atala  Riffo  y</w:t>
        <w:br/>
        <w:t>Niñas Vs. Chile, supra, párr. 170. Al respecto, en la  Opinión  Consultiva</w:t>
        <w:br/>
        <w:t>No. 17 relativa a la Condición Jurídica y Derechos Humanos de  los  Niños,</w:t>
        <w:br/>
        <w:t>la Corte reconoció que el disfrute mutuo de la convivencia entre padres  e</w:t>
        <w:br/>
        <w:t>hijos constituye un elemento fundamental en la vida de familia, y  observó</w:t>
        <w:br/>
        <w:t>que la Corte Europea ha establecido que el artículo  8  de  la  Convención</w:t>
        <w:br/>
        <w:t>Europea de Derechos Humanos no  sólo  tiene  como  objetivo  preservar  al</w:t>
        <w:br/>
        <w:t>individuo contra las injerencias arbitrarias de las autoridades  públicas,</w:t>
        <w:br/>
        <w:t>sino que, además, este artículo supone obligaciones positivas a cargo  del</w:t>
        <w:br/>
        <w:t>Estado a favor del respeto efectivo de la vida familiar.</w:t>
        <w:br/>
        <w:br/>
        <w:br/>
        <w:t>[234]       A saber, los señores y  las  señoras:  María  Eustaquia  Uscap</w:t>
        <w:br/>
        <w:t>Ivoy, Froilan Uscap Ivoy, Pedro  Sic  Sánchez,  Jesús  Tecú  Osorio,  José</w:t>
        <w:br/>
        <w:t>Osorio Osorio, Juan Chen Chen, Juan Chen Osorio, Juan Uscap  Ivoy,  Tomasa</w:t>
        <w:br/>
        <w:t>Osorio Chen, Silveria Lajuj Tum. Sentencia  emitida  por  el  Tribunal  de</w:t>
        <w:br/>
        <w:t>Sentencia  Penal,  Narcoactividad  y  Delitos  contra  el   Ambiente   del</w:t>
        <w:br/>
        <w:t>Departamento de de Baja Verapaz, Salamá, el 28  de  mayo  de  2008,  causa</w:t>
        <w:br/>
        <w:t>número 28-2003-Of. 1º (expediente de anexos a  la demanda, tomo II, folios</w:t>
        <w:br/>
        <w:t>714, 718 a 719, 723, 728, 729, 731 a 736, 752 a 756, 759 a 760, 765 a 766,</w:t>
        <w:br/>
        <w:t>782, 784, y 787 a 789, 790, 793 a 799, 803 a 804, 807, 809 a  813,  815  a</w:t>
        <w:br/>
        <w:t>817, 824 a 831, 835, 838, 839, 841, 845 a 847, y 855 a 856, 857 a  859,  y</w:t>
        <w:br/>
        <w:t>861).</w:t>
        <w:br/>
        <w:br/>
        <w:br/>
        <w:t>[235]        Sentencia  emitida  por  el  Tribunal   de   Sentencia   Penal,</w:t>
        <w:br/>
        <w:t>Narcoactividad y  Delitos  contra  el  Ambiente  del  Departamento  de  Baja</w:t>
        <w:br/>
        <w:t>Verapaz, Salamá, el 28 de mayo de 2008, causa numero 28-2003-OF 1º de 28  de</w:t>
        <w:br/>
        <w:t>mayo de 2008 (expediente de anexos al sometimiento, tomo II,  folios  816  a</w:t>
        <w:br/>
        <w:t>817).</w:t>
        <w:br/>
        <w:br/>
        <w:br/>
        <w:t>[236]        Sentencia  emitida  por  el  Tribunal   de   Sentencia   Penal,</w:t>
        <w:br/>
        <w:t>Narcoactividad y  Delitos  contra  el  Ambiente  del  Departamento  de  Baja</w:t>
        <w:br/>
        <w:t>Verapaz, Salamá, el 28 de mayo de 2008, causa numero 28-2003-Of. 1º  (anexos</w:t>
        <w:br/>
        <w:t>al sometimiento, tomo II, folio 723).</w:t>
        <w:br/>
        <w:br/>
        <w:br/>
        <w:t>[237]       Cfr. Sentencia emitida  por  el  Tribunal  de  Sentencia  Penal,</w:t>
        <w:br/>
        <w:t>Narcoactividad y  Delitos  contra  el  Ambiente  del  Departamento  de  Baja</w:t>
        <w:br/>
        <w:t>Verapaz, Salamá, el  28  de  mayo  de  2008,  causa  numero  28-2003-Of.  1º</w:t>
        <w:br/>
        <w:t>(expediente de anexos al sometimiento, tomo II, folios 742 a 743).</w:t>
        <w:br/>
        <w:br/>
        <w:br/>
        <w:t>[238]        Sentencia  emitida  por  el  Tribunal   de   Sentencia   Penal,</w:t>
        <w:br/>
        <w:t>Narcoactividad y  Delitos  contra  el  Ambiente  del  Departamento  de  Baja</w:t>
        <w:br/>
        <w:t>Verapaz, Salamá, el  28  de  mayo  de  2008,  causa  numero  28-2003-Of.  1º</w:t>
        <w:br/>
        <w:t>(expediente de anexos al sometimiento, tomo II, folio 847).</w:t>
        <w:br/>
        <w:br/>
        <w:br/>
        <w:t>[239]       Cfr. Sentencia emitida  por  el  Tribunal  de  Sentencia  Penal,</w:t>
        <w:br/>
        <w:t>Narcoactividad y Delitos contra el Ambiente  del  Departamento  de  de  Baja</w:t>
        <w:br/>
        <w:t>Verapaz, Salamá, el  28  de  mayo  de  2008,  causa  número  28-2003-Of.  1º</w:t>
        <w:br/>
        <w:t>(expediente de anexos al sometimiento, tomo II, folios  752  a  756,  759  a</w:t>
        <w:br/>
        <w:t>760, y 765 a 766), y Testimonio de Jesús Tecú Osorio  de  febrero  de  1995,</w:t>
        <w:br/>
        <w:t>proceso penal 001-98-1  (expediente  de  anexos  al  sometimiento,  tomo  I,</w:t>
        <w:br/>
        <w:t>folios 574 a 576).</w:t>
        <w:br/>
        <w:br/>
        <w:br/>
        <w:t>[240]       Testimonio de Jesús Tecú Osorio  de  febrero  de  1995,  proceso</w:t>
        <w:br/>
        <w:t>penal 001-98-1 (expediente de anexos  al  sometimiento  del  caso,  tomo  I,</w:t>
        <w:br/>
        <w:t>folio 576).</w:t>
        <w:br/>
        <w:br/>
        <w:br/>
        <w:t>[241]       Testimonio  de  Juana  Chen  Osorio  de  24  de  junio  de  2009</w:t>
        <w:br/>
        <w:t>(expediente de anexos al sometimiento del caso, tomo I, folio 533).</w:t>
        <w:br/>
        <w:br/>
        <w:br/>
        <w:t>[242]        Sentencia  emitida  por  el  Tribunal   de   Sentencia   Penal,</w:t>
        <w:br/>
        <w:t>Narcoactividad y Delitos contra el Ambiente  del  Departamento  de  de  Baja</w:t>
        <w:br/>
        <w:t>Verapaz, Salamá, el  28  de  mayo  de  2008,  causa  número  28-2003-Of.  1º</w:t>
        <w:br/>
        <w:t>(expediente de anexos al sometimiento del caso, tomo II, folios 790 y 792).</w:t>
        <w:br/>
        <w:br/>
        <w:br/>
        <w:t>[243]       Cfr. Caso  “La  Última  Tentación  de  Cristo“(Olmedo  Bustos  y</w:t>
        <w:br/>
        <w:t>otros) Vs. Chile. Fondo, Reparaciones y Costas. Sentencia de  5  de  febrero</w:t>
        <w:br/>
        <w:t>de 2001. Serie C No. 73, párr. 79.</w:t>
        <w:br/>
        <w:br/>
        <w:br/>
        <w:t>[244]       Cfr. Caso La Cantuta Vs. Perú.  Fondo,  Reparaciones  y  Costas.</w:t>
        <w:br/>
        <w:t>Sentencia de 29 de noviembre de 2006. Serie C No. 162, supra, párr.  232,  y</w:t>
        <w:br/>
        <w:t>Caso González Medina y familiares Vs.  República  Dominicana,  supra,  párr.</w:t>
        <w:br/>
        <w:t>291.</w:t>
        <w:br/>
        <w:br/>
        <w:br/>
        <w:t>[245]       Cfr. Caso Masacre Plan de Sánchez Vs. Guatemala. Reparaciones  y</w:t>
        <w:br/>
        <w:t>Costas, supra, párr. 87.a, y Caso  de  la  Masacre  de  las  Dos  Erres  Vs.</w:t>
        <w:br/>
        <w:t>Guatemala, supra, párrs. 226 y 292.</w:t>
        <w:br/>
        <w:br/>
        <w:br/>
        <w:t>[246]        Peritaje  rendido  por  el  señor  Alfredo  Itzep  Manuel  ante</w:t>
        <w:br/>
        <w:t>fedatario público (expediente de fondo, tomo II, folio 1036).</w:t>
        <w:br/>
        <w:br/>
        <w:br/>
        <w:t>[247]        Peritaje  rendido  por  el  señor  Alfredo  Itzep  Manuel  ante</w:t>
        <w:br/>
        <w:t>fedatario público (expediente de fondo, tomo II, folio 1044).</w:t>
        <w:br/>
        <w:br/>
        <w:br/>
        <w:t>[248]       Cfr. peritaje rendido por el señor  Alfredo  Itzep  Manuel  ante</w:t>
        <w:br/>
        <w:t>fedatario público (expediente de fondo, tomo II, folios 1040, 1048,  1049  y</w:t>
        <w:br/>
        <w:t>1052).</w:t>
        <w:br/>
        <w:br/>
        <w:br/>
        <w:t>[249]       Cfr. Caso Comunidad  Indígena  Yakye  Axa  Vs.  Paraguay.  Fondo</w:t>
        <w:br/>
        <w:t>Reparaciones y Costas. Sentencia 17 de junio  de  2005.  Serie  C  No.  125,</w:t>
        <w:br/>
        <w:t>párr. 135, y Caso Comunidad Indígena  Xákmok  Kásek.  Vs.  Paraguay,  supra,</w:t>
        <w:br/>
        <w:t>párr. 261. En el Caso  Pueblo  Indígena  Kichwa  de  Sarayaku  Vs.  Ecuador,</w:t>
        <w:br/>
        <w:t>supra, párr. 213, la Corte recordó  que el reconocimiento del derecho  a  la</w:t>
        <w:br/>
        <w:t>identidad cultural es ingrediente y vía de interpretación  transversal  para</w:t>
        <w:br/>
        <w:t>concebir, respetar y garantizar el goce y ejercicio de los derechos  humanos</w:t>
        <w:br/>
        <w:t>de los pueblos y comunidades  indígenas  protegidos  por  la  Convención  y,</w:t>
        <w:br/>
        <w:t>según  el  artículo  29.b)  de  la  misma,  también  por  los  ordenamientos</w:t>
        <w:br/>
        <w:t>jurídicos internos.   Asimismo, el Convenio No. 169 de la OIT  reconoce  las</w:t>
        <w:br/>
        <w:t>aspiraciones de los pueblos indígenas a “asumir el control  de  sus  propias</w:t>
        <w:br/>
        <w:t>instituciones y formas de vida y de su desarrollo económico y a  mantener  y</w:t>
        <w:br/>
        <w:t>fortalecer sus identidades, lenguas y religiones, dentro del  marco  de  los</w:t>
        <w:br/>
        <w:t>Estados en que viven”. Cfr. Convenio sobre pueblos indígenas y  tribales  en</w:t>
        <w:br/>
        <w:t>países independientes, 1989 (núm. 169) de la OIT, considerando quinto.</w:t>
        <w:br/>
        <w:br/>
        <w:br/>
        <w:t>[250]       Cfr. Caso  Pueblo  Indígena  Kichwa  de  Sarayaku  Vs.  Ecuador,</w:t>
        <w:br/>
        <w:t>supra, párr. 217. La Declaración de las Naciones Unidas sobre  los  Derechos</w:t>
        <w:br/>
        <w:t>de los Pueblos  Indígenas  de  2007,  ampliamente  aceptada  al  haber  sido</w:t>
        <w:br/>
        <w:t>adoptada en el órgano respectivo con  la  firma  de  143  Estados  (incluido</w:t>
        <w:br/>
        <w:t>Guatemala), contempla el derecho de estos Pueblos  a  determinar  libremente</w:t>
        <w:br/>
        <w:t>su condición política,  a  perseguir  libremente  su  desarrollo  económico,</w:t>
        <w:br/>
        <w:t>social y cultural, a participar en la adopción de  las  decisiones  que  les</w:t>
        <w:br/>
        <w:t>afecten, y a participar plenamente, si  lo  desean,  en  la  vida  política,</w:t>
        <w:br/>
        <w:t>económica, social y cultural del Estado (Artículos 3, 4, 5, 18, 19,  20,  23</w:t>
        <w:br/>
        <w:t>, 32, 33 y 34).</w:t>
        <w:br/>
        <w:br/>
        <w:br/>
        <w:t>[251]       Declaración rendida  por  la  señora  Bruna  Pérez  Osorio  ante</w:t>
        <w:br/>
        <w:t>fedatario público el 15 de junio de 2012  (expediente  de  fondo,  tomo  II,</w:t>
        <w:br/>
        <w:t>folio 1015).</w:t>
        <w:br/>
        <w:br/>
        <w:br/>
        <w:t>[252]       Declaración rendida  por  la  señora  Bruna  Pérez  Osorio  ante</w:t>
        <w:br/>
        <w:t>fedatario público el 15 de junio de 2012  (expediente  de  fondo,  tomo  II,</w:t>
        <w:br/>
        <w:t>folio 992).</w:t>
        <w:br/>
        <w:br/>
        <w:br/>
        <w:t>[253]       Declaración rendida por la señora Antonia  Osorio  Sánchez  ante</w:t>
        <w:br/>
        <w:t>fedatario público el 15 de junio de 2012  (expediente  de  fondo,  tomo  II,</w:t>
        <w:br/>
        <w:t>folio 1024).</w:t>
        <w:br/>
        <w:br/>
        <w:br/>
        <w:t>[254]        Peritaje  rendido  por  el  señor  Alfredo  Itzep  Manuel  ante</w:t>
        <w:br/>
        <w:t>fedatario público (expediente de fondo, tomo II, folio 1050).</w:t>
        <w:br/>
        <w:br/>
        <w:br/>
        <w:t>[255]       Cfr. Caso Comunidad Indígena Xákmok Kásek. Vs. Paraguay,  supra,</w:t>
        <w:br/>
        <w:t>párr. 244.</w:t>
        <w:br/>
        <w:br/>
        <w:br/>
        <w:t>[256]       Cfr. las declaraciones rendidas  durante  la  audiencia  pública</w:t>
        <w:br/>
        <w:t>por los señores  Jesús  Tecú  Osorio  y  Carlos  Chen  Osorio.  Además,  las</w:t>
        <w:br/>
        <w:t>declaraciones rendidas ante fedatario público el 15 de  junio  de  2012  por</w:t>
        <w:br/>
        <w:t>las señoras Bruna Pérez Osorio (expediente de fondo, tomo  II,  folio  994);</w:t>
        <w:br/>
        <w:t>María Osorio Chen (expediente de fondo, tomo  II,  folio  1000),  y  Antonia</w:t>
        <w:br/>
        <w:t>Osorio Sánchez (expediente de fondo,  tomo  II,  folio  1004);  el  peritaje</w:t>
        <w:br/>
        <w:t>rendido  por  la  señora  Rosalina  Tuyuc  Velásquez  durante  la  audiencia</w:t>
        <w:br/>
        <w:t>pública, y el peritaje rendido  por  el  señor  Alfredo  Itzep  Manuel  ante</w:t>
        <w:br/>
        <w:t>fedatario público (expediente de fondo, tomo II folio 1050).</w:t>
        <w:br/>
        <w:br/>
        <w:br/>
        <w:t>[257] Cfr. Caso Baena Ricardo y otros Vs. Panamá. Excepciones  Preliminares.</w:t>
        <w:br/>
        <w:t>Sentencia de 18 de noviembre de 1999. Serie C  No.  61  párr.  156,  y  Caso</w:t>
        <w:br/>
        <w:t>Fleury y  otros  Vs.  Haití.  Fondo  y  Reparaciones.  Sentencia  de  23  de</w:t>
        <w:br/>
        <w:t>noviembre de 2011. Serie C No. 236, párr. 99.</w:t>
        <w:br/>
        <w:br/>
        <w:br/>
        <w:t>[258]       Cfr. Caso de la Masacre  de  Mapiripán  Vs.  Colombia.  Fondo,</w:t>
        <w:br/>
        <w:t>Reparaciones y Costas. Sentencia de 15 de septiembre de 2005. Serie C  No.</w:t>
        <w:br/>
        <w:t>134, párr. 188, y Caso Chitay Nech y otros  Vs.  Guatemala,  supra,  párr.</w:t>
        <w:br/>
        <w:t>139.</w:t>
        <w:br/>
        <w:br/>
        <w:br/>
        <w:t>[259]       Cfr. Comisión de Derechos Humanos, Principios Rectores de  los</w:t>
        <w:br/>
        <w:t>Desplazamientos Internos de las Naciones Unidas,  E/CN.4/1998/53/Add.2  de</w:t>
        <w:br/>
        <w:t>11 de febrero de 1998, p. 5. Anexo.  Introducción:  alcance  y  finalidad.</w:t>
        <w:br/>
        <w:t>Numeral                 2.                  Disponible                  en</w:t>
        <w:br/>
        <w:t>http://www.hchr.org.co/documentoseinformes/documentos/html/informes/onu/res</w:t>
        <w:br/>
        <w:t>di/E-CN-4-1998-53-ADD-2.html. Dichos principios han sido  reconocidos  por</w:t>
        <w:br/>
        <w:t>la comunidad internacional.   Véase  también:  Naciones  Unidas,  Asamblea</w:t>
        <w:br/>
        <w:t>General,  Protección  y  asistencia   para   los   desplazados   internos,</w:t>
        <w:br/>
        <w:t>A/RES/64/162, de 17 de marzo de 2010, p.1. Disponible en:  http://daccess-</w:t>
        <w:br/>
        <w:t>dds-ny.un.org/doc/UNDOC/GEN/N09/471/58/PDF/N0947158.pdf?OpenElement.</w:t>
        <w:br/>
        <w:t>También véase Council of Europe, Committee  of  Ministers,  Recommendation</w:t>
        <w:br/>
        <w:t>Rec (2006)6 to member states on internally  displaced  persons,  5  April,</w:t>
        <w:br/>
        <w:t>2006.                            Disponible                            en:</w:t>
        <w:br/>
        <w:t>https://wcd.coe.int/ViewDoc.jsp?id=987573&amp;BackColorInternet=9999CC&amp;BackColo</w:t>
        <w:br/>
        <w:t>rIntranet=FFBB55&amp;BackColorLogged=FFAC75; African Union, Convention for the</w:t>
        <w:br/>
        <w:t>Protection and  Assistance  of  Internally  Displaced  Persons  in  Africa</w:t>
        <w:br/>
        <w:t>(Kampala Convention), 23  October  2009,  article  1,  K).  Disponible  en</w:t>
        <w:br/>
        <w:t>http://www.unhcr.org/4ae9bede9.html; Consejo de Derechos Humanos,  Informe</w:t>
        <w:br/>
        <w:t>presentado por el representante del Secretario General sobre los  derechos</w:t>
        <w:br/>
        <w:t>humanos de los desplazados internos, Walter Kalin.  A/HRC/13/21/Add.3,  p.</w:t>
        <w:br/>
        <w:t>4.                  II.4.                  Disponible                   en</w:t>
        <w:br/>
        <w:t>http://www2.ohchr.org/english/bodies/hrcouncil/docs/13session/A-HRC-13-21-</w:t>
        <w:br/>
        <w:t>Add.3.pdf.</w:t>
        <w:br/>
        <w:br/>
        <w:br/>
        <w:t>[260]       Cfr.  Caso de la Comunidad Moiwana  Vs.  Surinam.  Excepciones</w:t>
        <w:br/>
        <w:t>Preliminares, Fondo, Reparaciones y Costas. Sentencia 15 de junio de 2005.</w:t>
        <w:br/>
        <w:t>Serie C No. 124, párr. 111, y Caso Chitay  Nech  y  otros  Vs.  Guatemala,</w:t>
        <w:br/>
        <w:t>supra, párr. 140.</w:t>
        <w:br/>
        <w:br/>
        <w:br/>
        <w:t>[261]       Principios Rectores de los  Desplazamientos  Internos  de  las</w:t>
        <w:br/>
        <w:t>Naciones Unidas, supra, párr. 2. Al respecto, la Asamblea  General  de  la</w:t>
        <w:br/>
        <w:t>Organización de los  Estados  Americanos  ha  recomendado  a  los  Estados</w:t>
        <w:br/>
        <w:t>utilizar los Principios Rectores como base para desarrollar sus políticas,</w:t>
        <w:br/>
        <w:t>e incluso integrarlos en sus legislaciones  domésticas  para  promover  su</w:t>
        <w:br/>
        <w:t>implementación. Cfr. AG/RES.  2508  (XXXIX-O/09)  “Desplazados  Internos”,</w:t>
        <w:br/>
        <w:t>Aprobada en la cuarta sesión plenaria, celebrada el 4 de  junio  de  2009,</w:t>
        <w:br/>
        <w:t>punto  resolutivo  2  (disponible   en:   www.oas.org/dil/esp/AG-RES_2508-</w:t>
        <w:br/>
        <w:t>2009.doc).</w:t>
        <w:br/>
        <w:br/>
        <w:br/>
        <w:t>[262]       Cfr. Caso de la Masacre  de  Mapiripán  Vs.  Colombia,  supra,</w:t>
        <w:br/>
        <w:t>párr. 177, y Caso Chitay Nech y otros Vs. Guatemala, supra, párr. 141.</w:t>
        <w:br/>
        <w:br/>
        <w:br/>
        <w:t>[263]       Cfr. Caso de la Masacre  de  Mapiripán  Vs.  Colombia,  supra,</w:t>
        <w:br/>
        <w:t>párr. 179, y Caso Chitay Nech y otros Vs. Guatemala, supra, párr. 141.</w:t>
        <w:br/>
        <w:br/>
        <w:br/>
        <w:t>[264] Cfr. Caso de la Comunidad Moiwana Vs. Surinam, supra, párrs.  119  y</w:t>
        <w:br/>
        <w:t>120, y Caso Chitay Nech y otros Vs. Guatemala, supra, párr. 142.</w:t>
        <w:br/>
        <w:br/>
        <w:br/>
        <w:t>[265]       Cfr.  Caso  Valle  Jaramillo  y  otros  Vs.  Colombia.  Fondo,</w:t>
        <w:br/>
        <w:t>Reparaciones y Costas. Sentencia de 27 de noviembre de 2008. Serie  C  No.</w:t>
        <w:br/>
        <w:t>192, párr. 139, y Caso Chitay Nech y otros  Vs.  Guatemala,  supra,  párr.</w:t>
        <w:br/>
        <w:t>142.</w:t>
        <w:br/>
        <w:br/>
        <w:br/>
        <w:t>[266]       La Corte ha determinado que la cultura de los miembros de  las</w:t>
        <w:br/>
        <w:t>comunidades indígenas corresponde a una forma de vida particular  de  ser,</w:t>
        <w:br/>
        <w:t>ver y actuar en el mundo, constituido a partir de su estrecha relación con</w:t>
        <w:br/>
        <w:t>sus tierras tradicionales y recursos naturales, no sólo por ser  estos  su</w:t>
        <w:br/>
        <w:t>principal  medio  de  subsistencia,  sino  además  porque  constituyen  un</w:t>
        <w:br/>
        <w:t>elemento integrante de su cosmovisión, religiosidad y,  por  ende,  de  su</w:t>
        <w:br/>
        <w:t>identidad cultural. Cfr. Caso Comunidad Indígena Yakye Axa  Vs.  Paraguay,</w:t>
        <w:br/>
        <w:t>supra, párr. 135, y Caso Chitay Nech y otros Vs. Guatemala,  supra,  párr.</w:t>
        <w:br/>
        <w:t>147.</w:t>
        <w:br/>
        <w:br/>
        <w:br/>
        <w:t>[267] Auto 004/009 emitido el 26 de enero de 2009, Corte Constitucional de</w:t>
        <w:br/>
        <w:t>Colombia,      parte      4,      pág.       11.       Disponible       en</w:t>
        <w:br/>
        <w:t>http://www.acnur.org/biblioteca/pdf/6981.pdf.</w:t>
        <w:br/>
        <w:br/>
        <w:br/>
        <w:t>[268]       Cfr. Principios  Rectores  de  los  Desplazamientos  Internos,</w:t>
        <w:br/>
        <w:t>supra, Principio 9.</w:t>
        <w:br/>
        <w:br/>
        <w:br/>
        <w:t>[269] Cfr. Caso Comunidad Indígena Yakye Axa Vs.  Paraguay,  supra,  párr.</w:t>
        <w:br/>
        <w:t>63, y Caso Chitay Nech y otros Vs. Guatemala, supra, párr. 147.</w:t>
        <w:br/>
        <w:br/>
        <w:br/>
        <w:t>[270]       De una cantidad de 383 personas sobrevivientes a las masacres,</w:t>
        <w:br/>
        <w:t>de conformidad con la información proporcionada  por  los  representantes,</w:t>
        <w:br/>
        <w:t>289 aún viven en la colonia Pacux.</w:t>
        <w:br/>
        <w:br/>
        <w:br/>
        <w:t>[271]       Cfr. Caso de la Comunidad Moiwana Vs.  Surinam,  supra,  párr.</w:t>
        <w:br/>
        <w:t>108.</w:t>
        <w:br/>
        <w:br/>
        <w:br/>
        <w:t>[272]       Cfr.  Caso  Velásquez  Rodríguez  Vs.  Honduras,  Fondo,  supra,</w:t>
        <w:br/>
        <w:t>párrs. 166 y 167, y Caso Pueblo Indígena Kichwa  de  Sarayaku  Vs.  Ecuador,</w:t>
        <w:br/>
        <w:t>supra, párr. 265.</w:t>
        <w:br/>
        <w:br/>
        <w:br/>
        <w:t>[273]       Cfr. Caso Velásquez Rodríguez, Fondo, supra, párr. 166,  y  Caso</w:t>
        <w:br/>
        <w:t>Contreras y otros Vs. El Salvador, supra, párr. 127.</w:t>
        <w:br/>
        <w:br/>
        <w:br/>
        <w:t>[274]       Cfr. Caso  La  Cantuta  Vs.  Perú,  supra,  párr.  157,  y  Caso</w:t>
        <w:br/>
        <w:t>Contreras y otros Vs. El Salvador, supra, párr. 127.</w:t>
        <w:br/>
        <w:br/>
        <w:br/>
        <w:t>[275]       Cfr. Caso Contreras y otros Vs. El Salvador, supra, párr. 127.</w:t>
        <w:br/>
        <w:br/>
        <w:br/>
        <w:t>[276]       Cfr. Caso Velásquez Rodríguez Vs. Honduras, Fondo, supra,  párr.</w:t>
        <w:br/>
        <w:t>91, y Caso González Medina y familiares  Vs.  República  Dominicana,  supra,</w:t>
        <w:br/>
        <w:t>párr. 207.</w:t>
        <w:br/>
        <w:br/>
        <w:br/>
        <w:t>[277]       Cfr. Caso Bulacio Vs. Argentina. Fondo, Reparaciones  y  Costas.</w:t>
        <w:br/>
        <w:t>Sentencia de 18 de septiembre de 2003. Serie C No. 100, párr.  113,  y  Caso</w:t>
        <w:br/>
        <w:t>González Medina y familiares Vs. República Dominicana, supra, párr. 255.</w:t>
        <w:br/>
        <w:br/>
        <w:br/>
        <w:t>[278]       Caso Velásquez  Rodríguez,  Fondo,  supra,  párr.  177,  y  Caso</w:t>
        <w:br/>
        <w:t>Pacheco Teruel y otros Vs. Honduras, supra, párr. 129.</w:t>
        <w:br/>
        <w:br/>
        <w:br/>
        <w:t>[279]       Caso Cantoral Huamaní y García Santa Cruz  Vs.  Perú.  Excepción</w:t>
        <w:br/>
        <w:t>Preliminar, Fondo, Reparaciones y Costas. Sentencia de 10 de julio de  2007.</w:t>
        <w:br/>
        <w:t>Serie C No. 167, párr. 131, y Caso Ibsen Cárdenas e Ibsen Peña Vs.  Bolivia,</w:t>
        <w:br/>
        <w:t>supra, párr. 153.</w:t>
        <w:br/>
        <w:br/>
        <w:br/>
        <w:t>[280]       Cfr. Caso de la Masacre de Pueblo Bello Vs. Colombia.  Sentencia</w:t>
        <w:br/>
        <w:t>de 31 de enero de 2006. Serie C No. 140, párr. 143, y Caso  González  Medina</w:t>
        <w:br/>
        <w:t>y familiares Vs. República Dominicana, supra, párr. 204.</w:t>
        <w:br/>
        <w:br/>
        <w:br/>
        <w:t>[281]       Cfr. Caso de los  “Niños  de  la  Calle”  (Villagrán  Morales  y</w:t>
        <w:br/>
        <w:t>otros) Vs. Guatemala. Fondo, supra, párr. 246,  y  Caso  González  Medina  y</w:t>
        <w:br/>
        <w:t>familiares Vs. República Dominicana, supra, párr. 251.</w:t>
        <w:br/>
        <w:br/>
        <w:br/>
        <w:t>[282]       Cfr. Caso Valle Jaramillo y otros  Vs.  Colombia,  supra,  párr.</w:t>
        <w:br/>
        <w:t>233, y Caso González Medina y familiares Vs.  República  Dominicana,  supra,</w:t>
        <w:br/>
        <w:t>párr. 251.</w:t>
        <w:br/>
        <w:br/>
        <w:br/>
        <w:t>[283]       Cfr. Caso Velásquez Rodríguez Vs. Honduras, Fondo, supra,  párr.</w:t>
        <w:br/>
        <w:t>177, y Caso Pueblo Indígena Kichwa de Sarayaku  Vs.  Ecuador,  supra,  párr.</w:t>
        <w:br/>
        <w:t>265.</w:t>
        <w:br/>
        <w:br/>
        <w:br/>
        <w:t>[284]       Cfr. Caso Velásquez Rodríguez, Fondo, supra, párr. 181,  y  Caso</w:t>
        <w:br/>
        <w:t>Contreras y otros Vs. El Salvador, supra, párr. 170.</w:t>
        <w:br/>
        <w:br/>
        <w:br/>
        <w:t>[285]       Cfr. Caso Las Palmeras Vs. Colombia. Reparaciones y Costas.</w:t>
        <w:br/>
        <w:t>Sentencia de 26 Noviembre de 2002. Serie C No. 96, y Caso Contreras y otros</w:t>
        <w:br/>
        <w:t>Vs. El Salvador, supra, párr. 170.</w:t>
        <w:br/>
        <w:br/>
        <w:br/>
        <w:t>[286]       Cfr. Caso de la Masacre  de  la  Rochela  Vs.  Colombia.  Fondo,</w:t>
        <w:br/>
        <w:t>Reparaciones y Costas. Sentencia de 11 de</w:t>
        <w:br/>
        <w:br/>
        <w:br/>
        <w:t>de mayo de 2007. Serie C No. 163, párr. 195,  y  Caso  Gelman  Vs.  Uruguay,</w:t>
        <w:br/>
        <w:t>supra, párr. 192.</w:t>
        <w:br/>
        <w:br/>
        <w:br/>
        <w:t>[287]       Cfr. Caso de la Masacre  de  la  Rochela  Vs.  Colombia,  supra,</w:t>
        <w:br/>
        <w:t>párr. 156, y Caso Contreras y otros Vs. El Salvador, supra, párr. 146.</w:t>
        <w:br/>
        <w:br/>
        <w:br/>
        <w:t>[288]       Cfr. Caso de las Hermanas Serrano Cruz Vs. El  Salvador.  Fondo,</w:t>
        <w:br/>
        <w:t>Reparaciones y Costas. Sentencia de 1 de marzo de 2005.  Serie  C  No.  120,</w:t>
        <w:br/>
        <w:t>párr.  166, y Caso Contreras y otros Vs. El Salvador, supra, párr. 146.</w:t>
        <w:br/>
        <w:br/>
        <w:br/>
        <w:t>[289]       Cfr. Caso García Prieto y otros  Vs.  El  Salvador.  Excepciones</w:t>
        <w:br/>
        <w:t>Preliminares, Fondo, Reparaciones y Costas. Sentencia de 20 de noviembre  de</w:t>
        <w:br/>
        <w:t>2007. Serie C No.  168,  párr.  112,  y   Caso  Contreras  y  otros  Vs.  El</w:t>
        <w:br/>
        <w:t>Salvador, supra, párr. 171.</w:t>
        <w:br/>
        <w:br/>
        <w:br/>
        <w:t>[290]       Cfr. Informe “Guatemala, Memoria del Silencio”, supra, tomo  VI,</w:t>
        <w:br/>
        <w:t>anexo I, Caso Ilustrativo No. 10 “Masacre y Eliminación de la  Comunidad  de</w:t>
        <w:br/>
        <w:t>Río Negro”.</w:t>
        <w:br/>
        <w:br/>
        <w:br/>
        <w:t>[291]       Caso de la “Panel  Blanca”  (Paniagua  Morales  y  otros)  Vs.</w:t>
        <w:br/>
        <w:t>Guatemala. Fondo, supra, párr. 97,  y  Caso  Contreras  Vs.  El  Salvador,</w:t>
        <w:br/>
        <w:t>supra, párr. 128, nota al pie de página 193.</w:t>
        <w:br/>
        <w:br/>
        <w:br/>
        <w:t>[292]       Por ejemplo, las declaraciones  ofrecidas  y  rendidas  por  las</w:t>
        <w:br/>
        <w:t>propias víctimas y por los imputados.</w:t>
        <w:br/>
        <w:br/>
        <w:br/>
        <w:t>[293]       Cfr. escrito presentado  por  el  señor  Jesús  Tecú  Osorio  al</w:t>
        <w:br/>
        <w:t>Juzgado de Primera  Instancia  Penal,  Narcoactividad  y  Delito  contra  el</w:t>
        <w:br/>
        <w:t>Ambiente de Baja Verapaz de 28 de enero de 2003 (expediente de anexos a  los</w:t>
        <w:br/>
        <w:t>alegatos finales escritos del Estado, folios 27361 a 27369).</w:t>
        <w:br/>
        <w:br/>
        <w:br/>
        <w:t>[294]       Cfr. Caso Gelman Vs. Uruguay, supra, párr. 234.</w:t>
        <w:br/>
        <w:br/>
        <w:br/>
        <w:t>[295]       Sentencia del Tribunal  de  Sentencia  Penal,  Narcoactividad  y</w:t>
        <w:br/>
        <w:t>Delitos contra el Ambiente del Departamento de Baja Verapaz de 7 de  octubre</w:t>
        <w:br/>
        <w:t>de 1999 (expediente de anexos a los alegatos finales  escritos  del  Estado,</w:t>
        <w:br/>
        <w:t>folio 30665).</w:t>
        <w:br/>
        <w:br/>
        <w:br/>
        <w:t>[296]       Declaración rendida  por  la  señora  Bruna  Pérez  Osorio  ante</w:t>
        <w:br/>
        <w:t>fedatario público el 15 de junio de 2012  (expediente  de  fondo,  tomo  II,</w:t>
        <w:br/>
        <w:t>folio 994).</w:t>
        <w:br/>
        <w:br/>
        <w:br/>
        <w:t>[297]       Declaración rendida por la señora  María  Eustaquia  Uscap  Ivoy</w:t>
        <w:br/>
        <w:t>ante fedatario público el 15 de junio de 2012  (expediente  de  fondo,  tomo</w:t>
        <w:br/>
        <w:t>II, folios 1009 y 1010).</w:t>
        <w:br/>
        <w:br/>
        <w:br/>
        <w:t>[298]       Cfr. Caso García Prieto y otros Vs. El  Salvador,  supra,  párr.</w:t>
        <w:br/>
        <w:t>112, y Caso Contreras y otros Vs. El Salvador, supra, párr. 171.</w:t>
        <w:br/>
        <w:br/>
        <w:br/>
        <w:t>[299]       Lo que el Estado presentó en respuesta  a  la  solicitud  de  la</w:t>
        <w:br/>
        <w:t>Corte fue el expediente de investigación de las masacres de Pacoxom  y  Agua</w:t>
        <w:br/>
        <w:t>Fría.</w:t>
        <w:br/>
        <w:br/>
        <w:br/>
        <w:t>[300]       Cfr. Caso Radilla Pacheco Vs. México, supra, párr.  92,  y  Caso</w:t>
        <w:br/>
        <w:t>Torres Millacura Vs. Argentina, supra, párr. 41.</w:t>
        <w:br/>
        <w:br/>
        <w:br/>
        <w:t>[301]       Caso Velásquez Rodríguez Vs. Honduras. Fondo, supra, párr.  181,</w:t>
        <w:br/>
        <w:t>y Caso Contreras y otros Vs. El Salvador, supra, párr. 129.</w:t>
        <w:br/>
        <w:br/>
        <w:br/>
        <w:t>[302]       Caso del Penal Miguel Castro  Castro  Vs.  Perú,  supra,  párrs.</w:t>
        <w:br/>
        <w:t>276, 377 y 379, Caso de la Masacre de las Dos Erres  Vs.  Guatemala,  supra,</w:t>
        <w:br/>
        <w:t>párr. 137.</w:t>
        <w:br/>
        <w:br/>
        <w:br/>
        <w:t>[303]       Caso Anzualdo Castro Vs. Perú, supra, párr.  65;  y  Caso  Ibsen</w:t>
        <w:br/>
        <w:t>Cárdenas e Ibsen Peña Vs. Bolivia, supra, párr. 65.</w:t>
        <w:br/>
        <w:br/>
        <w:br/>
        <w:t>[304]       Cfr. Caso Velásquez Rodríguez Vs. Honduras. Fondo, supra,  párr.</w:t>
        <w:br/>
        <w:t>177, y Caso Contreras Vs. El Salvador, supra, párr. 128.</w:t>
        <w:br/>
        <w:br/>
        <w:br/>
        <w:t>[305]       Cfr. Caso Anzualdo Castro Vs. Perú,  supra,  párr.  65,  y  Caso</w:t>
        <w:br/>
        <w:t>Contreras Vs. El Salvador, supra, párr. 129.</w:t>
        <w:br/>
        <w:br/>
        <w:br/>
        <w:t>[306]       Cfr. Caso Velásquez Rodríguez Vs. Honduras. Fondo, supra,  párr.</w:t>
        <w:br/>
        <w:t>181, y Caso Contreras Vs. El Salvador, supra, párr. 129.</w:t>
        <w:br/>
        <w:br/>
        <w:br/>
        <w:t>[307]       Cfr. Caso Goiburú y otros Vs.  Paraguay,  supra,  párr.  128,  y</w:t>
        <w:br/>
        <w:t>Caso de la Masacre de las Dos Erres Vs. Guatemala, supra, párr. 140.</w:t>
        <w:br/>
        <w:br/>
        <w:br/>
        <w:t>[308]       Cfr. Caso Suárez Rosero Vs. Ecuador. Fondo. Sentencia de  12  de</w:t>
        <w:br/>
        <w:t>noviembre de 1997. Serie C No. 35, párr. 71, y Caso de  la  Masacre  de  las</w:t>
        <w:br/>
        <w:t>Dos Erres  Vs. Guatemala, supra, párr.132.</w:t>
        <w:br/>
        <w:br/>
        <w:br/>
        <w:t>[309]       Cfr. Caso Suárez Rosero Vs. Ecuador, Fondo, supra, párr.  71,  y</w:t>
        <w:br/>
        <w:t>Caso de la Masacre de las Dos Erres  Vs. Guatemala, supra, párr. 132.</w:t>
        <w:br/>
        <w:br/>
        <w:br/>
        <w:t>[310]       Cfr. Caso Hilaire, Constantine y Benjamin y otros  Vs.  Trinidad</w:t>
        <w:br/>
        <w:t>y Tobago, supra, párr. 145, y Caso de la  Masacre  de  las  Dos  Erres   Vs.</w:t>
        <w:br/>
        <w:t>Guatemala, supra, párr. 132.</w:t>
        <w:br/>
        <w:br/>
        <w:br/>
        <w:t>[311]       Cfr. Caso García Pietro y otro Vs.  El  Salvador,  supra,  párr.</w:t>
        <w:br/>
        <w:t>115, y Caso de la Masacre de las Dos  Erres   Vs.  Guatemala,  supra,  párr.</w:t>
        <w:br/>
        <w:t>132.</w:t>
        <w:br/>
        <w:br/>
        <w:br/>
        <w:t>[312]        Caso  Bámaca  Velásquez   Vs.   Guatemala.   Supervisión   de</w:t>
        <w:br/>
        <w:t>Cumplimiento de  Sentencia.  Resolución  de  la  Corte  Interamericana  de</w:t>
        <w:br/>
        <w:t>Derechos Humanos de 27 de enero de 2009, párr.  25; Caso  Molina  Theissen</w:t>
        <w:br/>
        <w:t>Vs. Guatemala. Supervisión de Cumplimiento de Sentencia. Resolución de  la</w:t>
        <w:br/>
        <w:t>Corte Interamericana de Derechos Humanos de 16 de noviembre de 2009, párr.</w:t>
        <w:br/>
        <w:t>16. El Tribunal se refirió a la situación de impunidad  imperante  en  los</w:t>
        <w:br/>
        <w:t>casos Myrna  Mack  Chang,  Tiu  Tojín,  Carpio  Nicolle  y  otros,  Bámaca</w:t>
        <w:br/>
        <w:t>Velásquez, Molina Theissen, y “Niños de la  Calle”  (Villagrán  Morales  y</w:t>
        <w:br/>
        <w:t>otros), todos contra Guatemala.</w:t>
        <w:br/>
        <w:br/>
        <w:br/>
        <w:t>[313] Cfr. Caso de la Masacre de Mapiripán Vs. Colombia, supra, párr. 146;</w:t>
        <w:br/>
        <w:t>y Caso De la Masacre de Las Dos Erres Vs. Guatemala, supra, párr. 206.</w:t>
        <w:br/>
        <w:br/>
        <w:br/>
        <w:t>[314] Cfr. Caso Blake Vs. Guatemala. Fondo, supra, párrs.  114  a  116,  y</w:t>
        <w:br/>
        <w:t>Caso De la Masacre de Las Dos Erres Vs. Guatemala, supra, párr. 206.</w:t>
        <w:br/>
        <w:br/>
        <w:br/>
        <w:t>[315]       Cfr. Caso de las Hermanas Serrano Cruz Vs. El Salvador. Fondo,</w:t>
        <w:br/>
        <w:t>supra, párrs. 113 a 115, y Caso  De  la  Masacre  de  Las  Dos  Erres  Vs.</w:t>
        <w:br/>
        <w:t>Guatemala, supra, párr. 206.</w:t>
        <w:br/>
        <w:br/>
        <w:br/>
        <w:t>[316] Caso de la Masacre de Pueblo Bello Vs. Colombia, supra, párr. 145, y</w:t>
        <w:br/>
        <w:t>Caso De La Masacre de Las Dos Erres Vs. Guatemala, supra, párr. 206.</w:t>
        <w:br/>
        <w:br/>
        <w:br/>
        <w:t>[317]       Declaración rendida por  la  señora  María  Osorio  Chen  ante</w:t>
        <w:br/>
        <w:t>fedatario público el 15 de junio de 2012  (expediente de fondo,  tomo  II,</w:t>
        <w:br/>
        <w:t>folio 1000).</w:t>
        <w:br/>
        <w:br/>
        <w:br/>
        <w:t>[318] Cfr. Caso Velásquez Rodríguez Vs.  Honduras.  Reparaciones  y  Costas.</w:t>
        <w:br/>
        <w:t>Sentencia de 21 de julio de 1989. Serie C No. 7, párr.  25,  y  Caso  Pueblo</w:t>
        <w:br/>
        <w:t>Indígena Kichwa de Sarayaku Vs. Ecuador, supra, párr. 279.</w:t>
        <w:br/>
        <w:br/>
        <w:br/>
        <w:t>[319] Cfr. Caso Garrido y Baigorria Vs. Argentina.  Reparaciones  y  Costas.</w:t>
        <w:br/>
        <w:t>Sentencia de 27 de agosto de 1998. Serie C No. 39, párr. 40, y  Caso  Pueblo</w:t>
        <w:br/>
        <w:t>Indígena Kichwa de Sarayaku Vs. Ecuador, supra, párr. 279.</w:t>
        <w:br/>
        <w:br/>
        <w:br/>
        <w:t>[320] Cfr. Caso Velásquez Rodríguez Vs.  Honduras.  Reparaciones  y  Costas,</w:t>
        <w:br/>
        <w:t>supra, párrs. 25 a 26,  y  Caso  Pueblo  Indígena  Kichwa  de  Sarayaku  Vs.</w:t>
        <w:br/>
        <w:t>Ecuador, supra, párr. 283.</w:t>
        <w:br/>
        <w:br/>
        <w:br/>
        <w:t>[321] Cfr. Caso Ticona Estrada y otros Vs.  Bolivia,  supra,  párr.  110,  y</w:t>
        <w:br/>
        <w:t>Caso Pueblo Indígena Kichwa de Sarayaku Vs. Ecuador, supra, párr. 281.</w:t>
        <w:br/>
        <w:br/>
        <w:br/>
        <w:t>[322] Cfr. Caso Velásquez Rodríguez Vs.  Honduras.  Reparaciones  y  Costas,</w:t>
        <w:br/>
        <w:t>supra, párr. 26 y Caso Pueblo  Indígena  Kichwa  de  Sarayaku  Vs.  Ecuador,</w:t>
        <w:br/>
        <w:t>supra, párr. 280.</w:t>
        <w:br/>
        <w:br/>
        <w:br/>
        <w:t>[323]  Cfr.  Caso  Cantoral  Benavides  Vs.  Perú.  Reparaciones  y  Costas.</w:t>
        <w:br/>
        <w:t>Sentencia de 3 de diciembre de 2001. Serie C No. 88, párrs.  77-81,  y  Caso</w:t>
        <w:br/>
        <w:t>Pueblo Indígena Kichwa de Sarayaku Vs. Ecuador, supra, párr. 280.</w:t>
        <w:br/>
        <w:br/>
        <w:br/>
        <w:t>[324] Cfr. Caso Pacheco Teruel y otros Vs. Honduras, supra, párrs. 87 a 88.</w:t>
        <w:br/>
        <w:br/>
        <w:br/>
        <w:t>[325] Cfr.  Caso Pacheco Teruel y otros Vs. Honduras, supra, párr. 90.</w:t>
        <w:br/>
        <w:br/>
        <w:br/>
        <w:t>[326] Cfr.  Caso Pacheco Teruel y otros Vs. Honduras, supra, párr. 89.</w:t>
        <w:br/>
        <w:br/>
        <w:br/>
        <w:t>[327] La Comisión  especificó  que  el  Estado  debe  reabrir  los  procesos</w:t>
        <w:br/>
        <w:t>internos relacionados con las masacres de Río Negro (Pacoxom) y  Agua  Fría,</w:t>
        <w:br/>
        <w:t>respecto de la totalidad de las víctimas de las  mismas.  Asimismo,  que  el</w:t>
        <w:br/>
        <w:t>Estado debe llevar a cabo las investigaciones relacionadas  con  los  hechos</w:t>
        <w:br/>
        <w:t>de la capilla de Río Negro y de Los Encuentros.</w:t>
        <w:br/>
        <w:br/>
        <w:br/>
        <w:t>[328] Entre otros, los representantes indicaron que  el  Estado  debe:  a)</w:t>
        <w:br/>
        <w:t>iniciar las investigaciones de forma conjunta, tomando en cuenta el patrón</w:t>
        <w:br/>
        <w:t>sistemático de violaciones de derechos humanos existente en  la  época,  y</w:t>
        <w:br/>
        <w:t>procurar acumular los procesos;  b)  evitar  la  aplicación  de  leyes  de</w:t>
        <w:br/>
        <w:t>amnistía o de disposiciones análogas  en  beneficio  de  los  autores;  c)</w:t>
        <w:br/>
        <w:t>asegurar que las autoridades competentes tengan a su  alcance  y  utilicen</w:t>
        <w:br/>
        <w:t>los recursos logísticos y científicos necesarios para recabar  y  procesar</w:t>
        <w:br/>
        <w:t>las pruebas, y que tengan  facultades  para  acceder  a  la  documentación</w:t>
        <w:br/>
        <w:t>pertinente para investigar los hechos denunciados; d)  asegurar  el  pleno</w:t>
        <w:br/>
        <w:t>acceso y capacidad de actuar de los familiares de las  víctimas  en  todas</w:t>
        <w:br/>
        <w:t>las etapas de la investigación;  e)  asegurar  las  debidas  garantías  de</w:t>
        <w:br/>
        <w:t>seguridad para todas las personas que participen en  las  investigaciones;</w:t>
        <w:br/>
        <w:t>f) garantizar que las autoridades  se  abstengan  de  realizar  actos  que</w:t>
        <w:br/>
        <w:t>impliquen la obstrucción del proceso investigativo, así como  iniciar  las</w:t>
        <w:br/>
        <w:t>acciones disciplinarias, administrativas o  penales,  de  acuerdo  con  la</w:t>
        <w:br/>
        <w:t>legislación interna, a los responsables de las  distintas  irregularidades</w:t>
        <w:br/>
        <w:t>procesales e investigativas y, g)  asegurar  que  los  resultados  de  los</w:t>
        <w:br/>
        <w:t>procesos sean públicamente divulgados.</w:t>
        <w:br/>
        <w:br/>
        <w:br/>
        <w:t>[329] Cfr. Caso Myrna Mack Chang Vs. Guatemala, supra, párr. 277,  y  Caso</w:t>
        <w:br/>
        <w:t>Contreras y otros Vs. El Salvador, supra, párr. 128.</w:t>
        <w:br/>
        <w:br/>
        <w:br/>
        <w:t>[330] Cfr. Caso Anzualdo Castro Vs. Perú, supra, párr. 181, y Caso  González</w:t>
        <w:br/>
        <w:t>Medina y familiares Vs. República Dominicana, supra, párr. 285.</w:t>
        <w:br/>
        <w:br/>
        <w:br/>
        <w:t>[331]       Cfr. Caso Barrios Altos Vs. Perú.  Fondo.  Sentencia  de  14  de</w:t>
        <w:br/>
        <w:t>marzo de 2001.  Serie  C  No.  75,  párr.  41,  y  Caso  González  Medina  y</w:t>
        <w:br/>
        <w:t>familiares Vs. República Dominicana, supra, párr. 285.e.</w:t>
        <w:br/>
        <w:br/>
        <w:br/>
        <w:t>[332] Cfr. Caso de la Masacre de Las Dos Erres Vs. Guatemala,  supra,  párr.</w:t>
        <w:br/>
        <w:t>233.b. El Comité para la Eliminación de la Discriminación  contra  la  Mujer</w:t>
        <w:br/>
        <w:t>en su Recomendación General No.  19  “La  violencia  contra  la  mujer”,  ha</w:t>
        <w:br/>
        <w:t>establecido que en el marco  de  conflictos  armados  se  requiere  que  los</w:t>
        <w:br/>
        <w:t>Estados adopten medidas protectoras  y  punitivas,  asimismo  recomendó  que</w:t>
        <w:br/>
        <w:t>velen por que  las  leyes  contra  los  ataques  respeten  la  integridad  y</w:t>
        <w:br/>
        <w:t>dignidad  de  todas  las  mujeres,  y  que  proporcionen  protección  a  las</w:t>
        <w:br/>
        <w:t>víctimas, así como realizar una investigación de las causas  y  los  efectos</w:t>
        <w:br/>
        <w:t>de la violencia y la eficacia de las medidas para responder  a  ella  y  que</w:t>
        <w:br/>
        <w:t>prevean procedimientos eficaces de reparación, incluyendo la indemnización.</w:t>
        <w:br/>
        <w:br/>
        <w:br/>
        <w:t>[333] Cfr.  Caso  del  Caracazo  Vs.  Venezuela.  Reparaciones  y  Costas.</w:t>
        <w:br/>
        <w:t>Sentencia de 29 de agosto de 2002. Serie C  No.  95,  párr.  118,  y  Caso</w:t>
        <w:br/>
        <w:t>Pacheco Teruel y otros Vs. Honduras, supra, párr. 130.</w:t>
        <w:br/>
        <w:br/>
        <w:br/>
        <w:t>[334] Cfr. Caso del Caracazo Vs. Venezuela. Reparaciones  y  Costas,  supra,</w:t>
        <w:br/>
        <w:t>párr. 118, y Caso González Medina y  familiares  Vs.  República  Dominicana,</w:t>
        <w:br/>
        <w:t>supra, párr. 286.</w:t>
        <w:br/>
        <w:br/>
        <w:br/>
        <w:t>[335] Cfr. Caso de la Masacre de Las Dos Erres Vs. Guatemala,  supra,  párr.</w:t>
        <w:br/>
        <w:t>232, y Caso Chitay Nech y otros Vs. Guatemala, supra, párr. 234.</w:t>
        <w:br/>
        <w:br/>
        <w:br/>
        <w:t>[336] Cfr. Caso Almonacid Arellano y otros Vs. Chile, supra,  párr.  150,  y</w:t>
        <w:br/>
        <w:t>Caso Chitay Nech y otros Vs. Guatemala, supra, párr. 234.</w:t>
        <w:br/>
        <w:br/>
        <w:br/>
        <w:t>[337]       Cfr. Caso Valle Jaramillo y otros  Vs.  Colombia,  supra,  párr.</w:t>
        <w:br/>
        <w:t>88, y Caso Fleury y otros Vs. Haití, supra, párr. 80.</w:t>
        <w:br/>
        <w:br/>
        <w:br/>
        <w:t>[338]       Caso de  la  “Panel  Blanca”  (Paniagua  Morales  y  otros)  Vs.</w:t>
        <w:br/>
        <w:t>Guatemala. Fondo,  supra,  párr.  173,  y  Caso  Chitay  Nech  y  otros  Vs.</w:t>
        <w:br/>
        <w:t>Guatemala, supra, párr. 236.</w:t>
        <w:br/>
        <w:br/>
        <w:br/>
        <w:t>[339] Caso Velásquez Rodríguez Vs. Honduras.  Fondo,  supra,  párr.  166,  y</w:t>
        <w:br/>
        <w:t>Caso Torres Millacura y otros Vs. Argentina, supra, párr. 98.</w:t>
        <w:br/>
        <w:br/>
        <w:br/>
        <w:t>[340] Cfr. Caso Almonacid Arellano y otros Vs. Chile, supra, párr. 124,  y</w:t>
        <w:br/>
        <w:t>Caso Atala Riffo y Niñas Vs. Chile, supra, párrs. 281 a 282.</w:t>
        <w:br/>
        <w:br/>
        <w:br/>
        <w:t>[341]       Cfr. Caso Velásquez Rodríguez Vs. Honduras. Fondo, supra,  párr.</w:t>
        <w:br/>
        <w:t>181, y Caso González Medina y familiares Vs.  República  Dominicana,  supra,</w:t>
        <w:br/>
        <w:t>párr. 209.</w:t>
        <w:br/>
        <w:br/>
        <w:br/>
        <w:t>[342] Cfr. Caso de la Masacre de las Dos Erres Vs. Guatemala,  supra,  párr.</w:t>
        <w:br/>
        <w:t>245.</w:t>
        <w:br/>
        <w:br/>
        <w:br/>
        <w:t>[343] Por ejemplo, aquellos establecidos en el  Manual  de  Naciones  Unidas</w:t>
        <w:br/>
        <w:t>sobre   la   Prevención   e   Investigación    Efectiva    de    Ejecuciones</w:t>
        <w:br/>
        <w:t>Extrajudiciales, Arbitrarias y  Sumarias  y  su  protocolo  modelo  para  el</w:t>
        <w:br/>
        <w:t>análisis  de  restos  óseos.  Dicho  protocolo  propone   procedimientos   y</w:t>
        <w:br/>
        <w:t>lineamientos para: 1) la investigación de  la  escena;  2)  el  análisis  de</w:t>
        <w:br/>
        <w:t>laboratorio de los restos óseos; 3) la elaboración del informe final,  y  4)</w:t>
        <w:br/>
        <w:t>el resguardo de los restos exhumados.  Cfr. Caso de la Masacre de  Mapiripán</w:t>
        <w:br/>
        <w:t>Vs. Colombia, supra, párr. 305, y Caso  Gelman  Vs.  Uruguay,  supra,  párr.</w:t>
        <w:br/>
        <w:t>259.</w:t>
        <w:br/>
        <w:br/>
        <w:br/>
        <w:t>[344]       Cfr.  Caso  Molina  Theissen  Vs.  Guatemala.  Reparaciones  y</w:t>
        <w:br/>
        <w:t>Costas. Sentencia de  3  de  julio  de  2004.  Serie  C  No.  108,   punto</w:t>
        <w:br/>
        <w:t>resolutivo octavo.</w:t>
        <w:br/>
        <w:br/>
        <w:br/>
        <w:t>[345] Cfr. Caso Anzualdo Castro Vs. Perú, supra, párr. 185, y Caso  González</w:t>
        <w:br/>
        <w:t>Medina y familiares Vs. República Dominicana, supra, párr. 291.</w:t>
        <w:br/>
        <w:br/>
        <w:br/>
        <w:t>[346] Cfr. Caso Bámaca  Velásquez  Vs.  Guatemala.  Reparaciones  y  Costas.</w:t>
        <w:br/>
        <w:t>Sentencia de 22 de febrero de 2002. Serie C No. 91, párrs. 79 a 82,  y  Caso</w:t>
        <w:br/>
        <w:t>González Medina y familiares Vs. República Dominicana, supra, párr. 289.</w:t>
        <w:br/>
        <w:br/>
        <w:br/>
        <w:t>[347]       Cfr. Caso de las Masacres de Ituango Vs. Colombia, supra,  párr.</w:t>
        <w:br/>
        <w:t>396, y Caso de la Masacre de las Dos Erres Vs. Guatemala, supra, párr. 226.</w:t>
        <w:br/>
        <w:br/>
        <w:br/>
        <w:t>[348]       Cfr. Caso de la Masacre de Pueblo  Bello  Vs.  Colombia,  supra,</w:t>
        <w:br/>
        <w:t>párr. 256, y Caso de la Masacre de  las  Dos  Erres  Vs.  Guatemala,  supra,</w:t>
        <w:br/>
        <w:t>párr. 226.</w:t>
        <w:br/>
        <w:br/>
        <w:br/>
        <w:t>[349]       Cfr. Caso de la Masacre de Pueblo  Bello  Vs.  Colombia,  supra,</w:t>
        <w:br/>
        <w:t>párr. 256, y Caso de la Masacre de  las  Dos  Erres  Vs.  Guatemala,  supra,</w:t>
        <w:br/>
        <w:t>párr. 226.</w:t>
        <w:br/>
        <w:br/>
        <w:br/>
        <w:t>[350]       Cfr. Caso de la Masacre de Mapiripán Vs. Colombia, supra,  párr.</w:t>
        <w:br/>
        <w:t>294, y Caso de la Masacre de las Dos Erres Vs. Guatemala, supra, párr. 226.</w:t>
        <w:br/>
        <w:br/>
        <w:br/>
        <w:t>[351] Cfr. Caso Cantoral Benavides Vs. Perú. Reparaciones y  Costas,  supra,</w:t>
        <w:br/>
        <w:t>párr. 79, y Caso Pueblo Indígena Kichwa  de  Sarayaku  Vs.  Ecuador,  supra,</w:t>
        <w:br/>
        <w:t>párr. 307.</w:t>
        <w:br/>
        <w:br/>
        <w:br/>
        <w:t>[352] Cfr. Caso de  las  Hermanas  Serrano  Cruz  Vs.  El  Salvador.  Fondo,</w:t>
        <w:br/>
        <w:t>Reparaciones y Costas, supra, párr. 195, y Caso Pueblo  Indígena  Kichwa  de</w:t>
        <w:br/>
        <w:t>Sarayaku Vs. Ecuador, supra, párr. 307.</w:t>
        <w:br/>
        <w:br/>
        <w:br/>
        <w:t>[353] Cfr. Caso Cantoral Benavides Vs. Perú. Reparaciones y  Costas,  supra,</w:t>
        <w:br/>
        <w:t>párr. 81, y Caso Pueblo Indígena Kichwa  de  Sarayaku  Vs.  Ecuador,  supra,</w:t>
        <w:br/>
        <w:t>párr. 305.</w:t>
        <w:br/>
        <w:br/>
        <w:br/>
        <w:t>[354] Entre otros, los  representantes  solicitaron  a  la  Corte  ordenar</w:t>
        <w:br/>
        <w:t>acciones encaminadas a: a) fortalecer el centro de salud de Pacux mediante</w:t>
        <w:br/>
        <w:t>la provisión de medicamentos, recursos humanos permanentes  y  calificados</w:t>
        <w:br/>
        <w:t>en materia de atención a la  salud  física,  psicológica  y  odontológica,</w:t>
        <w:br/>
        <w:t>ambulancias equipadas y medios suficientes para la creación  de  programas</w:t>
        <w:br/>
        <w:t>dirigidos a las víctimas de violaciones a los derechos  humanos;  b)  “[la</w:t>
        <w:br/>
        <w:t>dotación de r]ecursos para el diseño de programas de seguridad alimentaria</w:t>
        <w:br/>
        <w:t>y  nutricional  para  las  familias  sobrevivientes[,]  a  través  de   la</w:t>
        <w:br/>
        <w:t>Secretaría de Seguridad Alimentaria [y] con la participación  de  ADIVIMA,</w:t>
        <w:br/>
        <w:t>puesto que en la [c]olonia de Pacux los habitantes no cuentan con un lugar</w:t>
        <w:br/>
        <w:t>adecuado para trabajar la tierra o poder criar animales que puedan  serles</w:t>
        <w:br/>
        <w:t>de  utilidad  tanto  para  alimentarse  como  para  comercia[lizarlos…]  y</w:t>
        <w:br/>
        <w:t>agenciarse  de  ingresos  suficientes   para   su   […]   alimentación   y</w:t>
        <w:br/>
        <w:t>sobrevivencia  […]”,  y  c)   la   “[r]ealización   de   mejoras   en   la</w:t>
        <w:br/>
        <w:t>infraestructura” de la colonia Pacux, a fin de garantizar las  necesidades</w:t>
        <w:br/>
        <w:t>básicas de sus  habitantes.  Específicamente,  solicitaron  la  mejora  de</w:t>
        <w:br/>
        <w:t>calles y avenidas dentro de la colonia,  la  realización  de  “actividades</w:t>
        <w:br/>
        <w:t>dirigidas a cubrir en el 100% la necesidad de agua de  los  pobladores  de</w:t>
        <w:br/>
        <w:t>Pacux” y la instalación de “sistemas de saneamiento, drenaje,  plantas  de</w:t>
        <w:br/>
        <w:t>tratamiento, aguas pluviales y hervidas [sic]” dentro  de  dicha  colonia,</w:t>
        <w:br/>
        <w:t>así como la  dotación  de  un  servicio  de  energía  eléctrica  gratuita.</w:t>
        <w:br/>
        <w:t>Finalmente, solicitaron que se ordene al Estado “[r]econstruir, mejorar  y</w:t>
        <w:br/>
        <w:t>equipar [a] las escuelas [de] nivel primario en la [c]olonia de Pacux […]”</w:t>
        <w:br/>
        <w:t>e instaurar “un programa de educación a nivel secundario  bilingüe  (tanto</w:t>
        <w:br/>
        <w:t>en español como [a]chí) para la continuación de la prestación del servicio</w:t>
        <w:br/>
        <w:t>educativo existente en dicha comunidad”.</w:t>
        <w:br/>
        <w:br/>
        <w:br/>
        <w:t>[355] Además de otras cosas, los representantes solicitaron  “como  medida</w:t>
        <w:br/>
        <w:t>para la preservación de la memoria colectiva, la sostenibilidad cultural y</w:t>
        <w:br/>
        <w:t>toda manifestación de las prácticas culturales  de  [la]  comunidad,”  las</w:t>
        <w:br/>
        <w:t>siguientes medidas: a) “la realización de programas para dar a  conocer  a</w:t>
        <w:br/>
        <w:t>las nuevas generaciones la cultura, los valores, principios  y  filosofías</w:t>
        <w:br/>
        <w:t>del pueblo [a]chí, enfatizando la experiencia vivida por la [c]omunidad de</w:t>
        <w:br/>
        <w:t>Río Negro […]”; b) “la creación de programas para la ubicación y acceso  a</w:t>
        <w:br/>
        <w:t>documentación existente sobre la cultura e historia del pueblo  maya  achí</w:t>
        <w:br/>
        <w:t>[…]”; c) “la implementación de programas  de  rescate  del  modus  vivendi</w:t>
        <w:br/>
        <w:t>tradicional del pueblo […]”; d)  “[e]l  fortalecimiento  y  promoción  del</w:t>
        <w:br/>
        <w:t>‘Museo  Comunitario  Rabinal  Achí’  para   que   se   exhiban   elementos</w:t>
        <w:br/>
        <w:t>fundamentales de la cultura [m]aya [a]chí […] que ya  no  son  practicados</w:t>
        <w:br/>
        <w:t>por las víctimas de la [c]omunidad de Río Negro que viven en la  [c]olonia</w:t>
        <w:br/>
        <w:t>de Pacux”, y e) “[l]a creación de espacios para propiciar la  reproducción</w:t>
        <w:br/>
        <w:t>del arte y la cultura del pueblo maya achí […]”.</w:t>
        <w:br/>
        <w:br/>
        <w:br/>
        <w:t>[356]       Cfr. Caso Masacre Plan de Sánchez Vs. Guatemala. Reparaciones  y</w:t>
        <w:br/>
        <w:t>Costas, supra, párrs. 110 y 111.</w:t>
        <w:br/>
        <w:br/>
        <w:br/>
        <w:t>[357]       Cfr. Caso Cantoral Benavides Vs. Perú.  Reparaciones  y  Costas,</w:t>
        <w:br/>
        <w:t>supra, párr. 51.e, y Caso  Pacheco  Teruel  y  otros  Vs.  Honduras,  supra,</w:t>
        <w:br/>
        <w:t>párrs. 116 a 118.</w:t>
        <w:br/>
        <w:br/>
        <w:br/>
        <w:t>[358] Véase, la Declaración de las Naciones Unidas sobre los  Derechos  de</w:t>
        <w:br/>
        <w:t>los Pueblos Indígenas,  Artículo  24:  1.  Los  pueblos  indígenas  tienen</w:t>
        <w:br/>
        <w:t>derecho a sus propias medicinas tradicionales y a mantener  sus  prácticas</w:t>
        <w:br/>
        <w:t>de salud, incluida la conservación de sus plantas medicinales, animales  y</w:t>
        <w:br/>
        <w:t>minerales de interés vital. Las personas indígenas también tienen  derecho</w:t>
        <w:br/>
        <w:t>de acceso, sin discriminación alguna, a todos los servicios sociales y  de</w:t>
        <w:br/>
        <w:t>salud. 2. Las personas indígenas tienen  igual  derecho  a  disfrutar  del</w:t>
        <w:br/>
        <w:t>nivel más alto posible de salud física y mental. Los Estados  tomarán  las</w:t>
        <w:br/>
        <w:t>medidas que sean necesarias para lograr progresivamente que  este  derecho</w:t>
        <w:br/>
        <w:t>se haga plenamente efectivo.</w:t>
        <w:br/>
        <w:br/>
        <w:br/>
        <w:t>Véase, además, el Convenio sobre pueblos indígenas y  tribales  en  países</w:t>
        <w:br/>
        <w:t>independientes, 1989 (núm. 169) de la OIT: Artículo 25: 1.  Los  gobiernos</w:t>
        <w:br/>
        <w:t>deberán velar por que se pongan a disposición de los  pueblos  interesados</w:t>
        <w:br/>
        <w:t>servicios de salud adecuados o proporcionar a dichos  pueblos  los  medios</w:t>
        <w:br/>
        <w:t>que les permitan organizar  y  prestar  tales  servicios  bajo  su  propia</w:t>
        <w:br/>
        <w:t>responsabilidad y control, a fin de que  puedan  gozar  del  máximo  nivel</w:t>
        <w:br/>
        <w:t>posible de salud física y mental.   2.  Los  servicios  de  salud  deberán</w:t>
        <w:br/>
        <w:t>organizarse, en la medida  de  lo  posible,  a  nivel  comunitario.  Estos</w:t>
        <w:br/>
        <w:t>servicios deberán planearse y administrarse en cooperación con los pueblos</w:t>
        <w:br/>
        <w:t>interesados y tener en cuenta  sus  condiciones  económicas,  geográficas,</w:t>
        <w:br/>
        <w:t>sociales y culturales, así  como  sus  métodos  de  prevención,  prácticas</w:t>
        <w:br/>
        <w:t>curativas y medicamentos tradicionales. […]</w:t>
        <w:br/>
        <w:br/>
        <w:br/>
        <w:t>En la publicación Convenio número 169 sobre pueblos indígenas y  tribales:</w:t>
        <w:br/>
        <w:t>Un Manual (2003), p. 60, la OIT estableció directrices  a  las  que  deben</w:t>
        <w:br/>
        <w:t>adecuarse los programas de salud. Entre otros, dichos programas deben:  i)</w:t>
        <w:br/>
        <w:t>basarse  en  la  comunidad;  ii)  ser  complementarios  de  las  prácticas</w:t>
        <w:br/>
        <w:t>curativas tradicionales y comprenderlas; iii) contar con la  participación</w:t>
        <w:br/>
        <w:t>activa de las comunidades; iv) formar a personal local  para  trabajar  en</w:t>
        <w:br/>
        <w:t>los servicios sanitarios; y v) los gobiernos deberán proporcionar recursos</w:t>
        <w:br/>
        <w:t>en igualdad de condiciones con los otros ciudadanos.</w:t>
        <w:br/>
        <w:br/>
        <w:br/>
        <w:t>[359] Cfr. Caso Del Caracazo Vs. Venezuela. Reparaciones  y  Costas,  supra,</w:t>
        <w:br/>
        <w:t>párr. 127, y Caso Contreras y otros Vs. El Salvador, supra, párr. 186.b.</w:t>
        <w:br/>
        <w:br/>
        <w:br/>
        <w:t>[360]       Caso Myrna Mack Chang Vs. Guatemala, supra, párr. 282.</w:t>
        <w:br/>
        <w:br/>
        <w:br/>
        <w:t>[361]       Caso de la Masacre de las Dos Erres Vs. Guatemala, supra,  punto</w:t>
        <w:br/>
        <w:t>resolutivo décimo segundo.</w:t>
        <w:br/>
        <w:br/>
        <w:br/>
        <w:t>[362] El Estado “asum[ió] el compromiso de impulsar la coordinación  entre</w:t>
        <w:br/>
        <w:t>el  Ministerio  de  Educación  y  ADIVIMA”  con  el  fin  de  “incluir  la</w:t>
        <w:br/>
        <w:t>incidencia” que tuvo el conflicto armado interno en las violaciones a  los</w:t>
        <w:br/>
        <w:t>derechos humanos que se cometieron en perjuicio de las víctimas. El Estado</w:t>
        <w:br/>
        <w:t>también  manifestó  que  tiene  la  disposición  de  gestionar  “ante  las</w:t>
        <w:br/>
        <w:t>autoridades correspondientes o dueños actuales de los terrenos”  donde  se</w:t>
        <w:br/>
        <w:t>encuentran los cementerios y lugares sagrados, para que los familiares  de</w:t>
        <w:br/>
        <w:t>las víctimas  puedan  visitarlos  sin  inconvenientes.  Asimismo,  propuso</w:t>
        <w:br/>
        <w:t>“integrar a la Comisión de Lugares Sagrados a un  comité  de  impulso  del</w:t>
        <w:br/>
        <w:t>caso” a fin de promover “la aprobación del proyecto de ley  3835  ‘Ley  de</w:t>
        <w:br/>
        <w:t>lugares sagrados de los pueblos indígenas’”. Asimismo, el Estado “asum[ió]</w:t>
        <w:br/>
        <w:t>la responsabilidad” de gestionar ante las instituciones pertinentes que se</w:t>
        <w:br/>
        <w:t>evite la instalación de un  destacamento  militar  en  Pacux.  También  se</w:t>
        <w:br/>
        <w:t>comprometió a solicitar a la  Policía  Nacional  Civil  el  resguardo  del</w:t>
        <w:br/>
        <w:t>perímetro del área donde se encuentra dicha colonia.</w:t>
        <w:br/>
        <w:br/>
        <w:br/>
        <w:t>[363] Cfr. Caso Bámaca  Velásquez  Vs.  Guatemala.  Reparaciones  y  Costas,</w:t>
        <w:br/>
        <w:t>supra, párr. 43, y Caso Pueblo Indígena  Kichwa  de  Sarayaku  Vs.  Ecuador,</w:t>
        <w:br/>
        <w:t>supra, párr.309.</w:t>
        <w:br/>
        <w:br/>
        <w:br/>
        <w:t>[364] Cfr. Caso de los “Niños de la Calle” (Villagrán Morales y  otros)  Vs.</w:t>
        <w:br/>
        <w:t>Guatemala. Reparaciones y Costas. Sentencia de 26 de mayo de 2001.  Serie  C</w:t>
        <w:br/>
        <w:t>No. 77, párr. 84, y  Caso  Pueblo  Indígena  Kichwa  Sarayaku  Vs.  Ecuador,</w:t>
        <w:br/>
        <w:t>supra, párr. 318.</w:t>
        <w:br/>
        <w:br/>
        <w:br/>
        <w:t>[365] Dictamen-PNR-BVRB-03-2011 de 27 de abril de 2011 del PRN, en  relación</w:t>
        <w:br/>
        <w:t>con el expediente correspondiente a Celestina Osorio Ixpatá y  María  Osorio</w:t>
        <w:br/>
        <w:t>Chen (expediente de anexos a la contestación, tomo XXXVI, folio 24596).</w:t>
        <w:br/>
        <w:br/>
        <w:br/>
        <w:t>[366]       Los representantes solicitaron a la Corte  que  “reconozca  la</w:t>
        <w:br/>
        <w:t>doble calidad de víctima de las personas individualizadas en los anexos h,</w:t>
        <w:br/>
        <w:t>i, j, k, l, m, y n de los listados de las víctimas de las masacres,  niños</w:t>
        <w:br/>
        <w:t>sometidos a condiciones de esclavitud y sobrevivientes en general  […],  y</w:t>
        <w:br/>
        <w:t>en tal virtud  aplique  los  criterios  anteriormente  expuestos  para  el</w:t>
        <w:br/>
        <w:t>cálculo del lucro cesante como parte  indispensable  de  la  determinación</w:t>
        <w:br/>
        <w:t>total de la indemnización compensatoria”.</w:t>
        <w:br/>
        <w:br/>
        <w:br/>
        <w:t>[367] Cfr. Caso Bámaca  Velásquez  Vs.  Guatemala.  Reparaciones  y  Costas,</w:t>
        <w:br/>
        <w:t>supra, párr. 43, y Caso Pueblo Indígena  Kichwa  de  Sarayaku  Vs.  Ecuador,</w:t>
        <w:br/>
        <w:t>supra, párr.309.</w:t>
        <w:br/>
        <w:br/>
        <w:br/>
        <w:t>[368]       Caso de los “Niños de la Calle” (Villagrán Morales y otros)  Vs.</w:t>
        <w:br/>
        <w:t>Guatemala. Reparaciones y Costas, supra, párr. 84, y  Caso  Pueblo  Indígena</w:t>
        <w:br/>
        <w:t>Kichwa Sarayaku Vs. Ecuador, supra, párr. 318.</w:t>
        <w:br/>
        <w:br/>
        <w:br/>
        <w:t>[369] Caso Reverón Trujillo  Vs.  Venezuela.  Excepción  Preliminar,  Fondo,</w:t>
        <w:br/>
        <w:t>Reparaciones y Costas. Sentencia de 30 de junio de 2009. Serie  C  No.  197,</w:t>
        <w:br/>
        <w:t>párr. 176, y Caso Chocrón Chocrón Vs. Venezuela, supra, párr. 190.</w:t>
        <w:br/>
        <w:br/>
        <w:br/>
        <w:t>[370] Cfr. Caso Ticona Estrada y otros  Vs. Bolivia, supra, párr.  109,  y</w:t>
        <w:br/>
        <w:t>Caso Chitay Nech y otros Vs. Guatemala, supra, párr. 278.</w:t>
        <w:br/>
        <w:br/>
        <w:br/>
        <w:t>[371] Cfr. Caso Garrido y Baigorria Vs. Argentina.  Reparaciones  y  Costas,</w:t>
        <w:br/>
        <w:t>supra, párrs. 79 a 83, y Caso Pueblo Indígena Kichwa Sarayaku  Vs.  Ecuador,</w:t>
        <w:br/>
        <w:t>supra, párr. 328.</w:t>
        <w:br/>
        <w:br/>
        <w:br/>
        <w:t>[372] El artículo 49 de la Convención establece: “[s]i se ha llegado a una</w:t>
        <w:br/>
        <w:t>solución amistosa con arreglo a las  disposiciones  del  inciso  1.f.  del</w:t>
        <w:br/>
        <w:t>artículo 48 la Comisión redactará  un  informe  que  será  transmitido  al</w:t>
        <w:br/>
        <w:t>peticionario y a los  Estados  Partes  en  esta  Convención  y  comunicado</w:t>
        <w:br/>
        <w:t>después, para su publicación, al Secretario General de la Organización  de</w:t>
        <w:br/>
        <w:t>los Estados Americanos. Este informe contendrá una breve exposición de los</w:t>
        <w:br/>
        <w:t>hechos y de la solución lograda. Si cualquiera de las partes en el caso lo</w:t>
        <w:br/>
        <w:t>solicitan, se les suministrará la más amplia información posible”.</w:t>
        <w:br/>
        <w:br/>
        <w:br/>
        <w:t>El artículo 50.1 de  la  Convención  dispone:  “[d]e  no  llegarse  a  una</w:t>
        <w:br/>
        <w:t>solución, y dentro del plazo que fije el Estatuto  de  la  Comisión,  ésta</w:t>
        <w:br/>
        <w:t>redactará un informe en el que expondrá los hechos y sus  conclusiones. Si</w:t>
        <w:br/>
        <w:t>el informe no representa, en todo o en parte, la opinión  unánime  de  los</w:t>
        <w:br/>
        <w:t>miembros de la Comisión, cualquiera de ellos podrá agregar a dicho informe</w:t>
        <w:br/>
        <w:t>su opinión por separado. También se agregarán al informe las  exposiciones</w:t>
        <w:br/>
        <w:t>verbales o escritas que hayan hecho los interesados en virtud  del  inciso</w:t>
        <w:br/>
        <w:t>1.e. del artículo 48”.</w:t>
        <w:br/>
        <w:br/>
        <w:br/>
        <w:t>[373]       Este monto fue calculado con base en los  recibos  remitidos  al</w:t>
        <w:br/>
        <w:t>Tribunal por los representantes.</w:t>
        <w:br/>
        <w:br/>
        <w:t>[374]             Para  la  identificación  de  las  personas  homónimas  se</w:t>
        <w:br/>
        <w:t>indican las fechas de nacimiento y/o defunción.</w:t>
        <w:br/>
        <w:t>Las personas que se mencionan en los anexos  I  a  V  no  fueron  declaradas</w:t>
        <w:br/>
        <w:t>víctimas del presente caso. La Corte incluye sus nombres solamente a  efecto</w:t>
        <w:br/>
        <w:t>de que el Estado proceda conforme a lo ordenado en los párrafos  268  a  271</w:t>
        <w:br/>
        <w:t>de la Sentencia.</w:t>
        <w:br/>
        <w:t>[375]            Nacido el 15 de marzo de 1954 y fallecido el 13 de  febrero</w:t>
        <w:br/>
        <w:t>de 1982.</w:t>
        <w:br/>
        <w:t>[376]            Nacida el 6 de mayo de 1956 y fallecida el 13 de  marzo  de</w:t>
        <w:br/>
        <w:t>1982.</w:t>
        <w:br/>
        <w:t>[377]            Nacida el 31 de julio de 1968 y fallecida  el 13  de  marzo</w:t>
        <w:br/>
        <w:t>de 1982.</w:t>
        <w:br/>
        <w:t>[378]            Nacido el 21 de junio de 1977 y fallecido el  13  de  marzo</w:t>
        <w:br/>
        <w:t>de 1982.</w:t>
        <w:br/>
        <w:t>[379]            Nacido el 27 de marzo de 1927.</w:t>
        <w:br/>
        <w:t>[380]            Nacido el 28 de diciembre de 1957.</w:t>
        <w:br/>
        <w:t>[381]            Nacido el 28 de marzo de 1971.</w:t>
        <w:br/>
        <w:t>[382]            Nacida el 8 de marzo de 1975.</w:t>
        <w:br/>
        <w:t>[383]       Nacida el 28 de febrero de 1954.</w:t>
        <w:br/>
        <w:t>[384]       Nacida el 7 de junio de 1977.</w:t>
        <w:br/>
        <w:t>[385]       Nacido el 27 de marzo de 1927.</w:t>
        <w:br/>
        <w:t>[386]       Nacido el 28 de diciembre de 1957.</w:t>
        <w:br/>
        <w:t>[387]       Nacido el 28 de marzo de 1971.</w:t>
        <w:br/>
        <w:t>[388]       Nacida el 8 de marzo de 1975.</w:t>
        <w:br/>
        <w:t>[389]       Nacida el 28 de febrero de 1954.</w:t>
        <w:br/>
        <w:t>[390]       Nacida el 7 de junio de 1977.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