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  <w:br/>
        <w:br/>
        <w:br/>
        <w:br/>
        <w:br/>
        <w:br/>
        <w:br/>
        <w:br/>
        <w:t xml:space="preserve">                  CORTE INTERAMERICANA DE DERECHOS HUMANOS</w:t>
        <w:br/>
        <w:br/>
        <w:t xml:space="preserve">            CASO NADEGE DORZEMA Y OTROS VS. REPÚBLICA DOMINICANA</w:t>
        <w:br/>
        <w:br/>
        <w:t xml:space="preserve">                     SENTENCIA DE 24 DE OCTUBRE DE 2012</w:t>
        <w:br/>
        <w:t xml:space="preserve">                       (Fondo, Reparaciones y Costas)</w:t>
        <w:br/>
        <w:br/>
        <w:br/>
        <w:br/>
        <w:t>En el caso Nadege Dorzema y otros,</w:t>
        <w:br/>
        <w:br/>
        <w:t>la  Corte  Interamericana  de  Derechos  Humanos  (en  adelante  “la   Corte</w:t>
        <w:br/>
        <w:t>Interamericana” o “la Corte”), integrada por los siguientes jueces[1]:</w:t>
        <w:br/>
        <w:br/>
        <w:t xml:space="preserve">      Diego García-Sayán, Presidente;</w:t>
        <w:br/>
        <w:t xml:space="preserve">      Manuel E. Ventura Robles, Vicepresidente;</w:t>
        <w:br/>
        <w:t xml:space="preserve">      Leonardo A. Franco, Juez;</w:t>
        <w:br/>
        <w:t xml:space="preserve">      Margarette May Macaulay, Jueza;</w:t>
        <w:br/>
        <w:t xml:space="preserve">      Alberto Pérez Pérez, Juez;</w:t>
        <w:br/>
        <w:t>Eduardo Vío Grossi, Juez, y</w:t>
        <w:br/>
        <w:br/>
        <w:t>presentes además,</w:t>
        <w:br/>
        <w:br/>
        <w:t xml:space="preserve">      Pablo Saavedra Alessandri, Secretario, y</w:t>
        <w:br/>
        <w:t xml:space="preserve">      Emilia Segares Rodríguez, Secretaria Adjunta;</w:t>
        <w:br/>
        <w:br/>
        <w:br/>
        <w:t>de conformidad con los artículos 62.3 y  63.1  de  la  Convención  Americana</w:t>
        <w:br/>
        <w:t>sobre Derechos  Humanos  (en  adelante  “la  Convención”  o  “la  Convención</w:t>
        <w:br/>
        <w:t>Americana”) y con los artículos 31,  32,  65  y  67  del  Reglamento  de  la</w:t>
        <w:br/>
        <w:t>Corte[2] (en adelante “el Reglamento”), dicta la presente Sentencia  que  se</w:t>
        <w:br/>
        <w:t>estructura en el siguiente orden:</w:t>
        <w:br/>
        <w:br/>
        <w:br/>
        <w:br/>
        <w:br/>
        <w:br/>
        <w:br/>
        <w:br/>
        <w:br/>
        <w:t xml:space="preserve">            CASO NADEGE DORZEMA Y OTROS VS. REPÚBLICA DOMINICANA</w:t>
        <w:br/>
        <w:br/>
        <w:t xml:space="preserve">                                   ÍNDICE</w:t>
        <w:br/>
        <w:t>|                                                              |Párrafos|Página|</w:t>
        <w:br/>
        <w:t>|INTRODUCCIÓN DE LA CAUSA Y OBJETO DE LA CONTROVERSIA          |1 – 3   |4     |</w:t>
        <w:br/>
        <w:t>|PROCEDIMIENTO ANTE LA CORTE                                   |4 - 11  |5     |</w:t>
        <w:br/>
        <w:t>|COMPETENCIA                                                   |12      |7     |</w:t>
        <w:br/>
        <w:t>|PRUEBA……..                                                    |13 – 25 |7     |</w:t>
        <w:br/>
        <w:t>|Prueba documental, testimonial y pericial                     |14      |7     |</w:t>
        <w:br/>
        <w:t>|Admisión de la prueba                                         |15 – 25 |8     |</w:t>
        <w:br/>
        <w:t>|Admisión de la prueba documental                              |15 – 24 |8     |</w:t>
        <w:br/>
        <w:t>|Admisión de las declaraciones de las presuntas víctimas y de  |25      |10    |</w:t>
        <w:br/>
        <w:t>|la prueba testimonial                                         |        |      |</w:t>
        <w:br/>
        <w:t>|CONSIDERACIÓN PREVIA SOBRE LAS PRESUNTAS VÍCTIMAS             |26 – 37 |10    |</w:t>
        <w:br/>
        <w:t>|Alegatos                                                      |27 – 28 |10    |</w:t>
        <w:br/>
        <w:t>|Consideraciones de la Corte                                   |29 – 37 |12    |</w:t>
        <w:br/>
        <w:t>|Solicitud de ampliación del número de presuntas víctimas      |29 – 35 |12    |</w:t>
        <w:br/>
        <w:t>|sobrevivientes                                                |        |      |</w:t>
        <w:br/>
        <w:t>|Solicitud de ampliación del número de familiares de las       |36      |13    |</w:t>
        <w:br/>
        <w:t>|presuntas víctimas fallecidas                                 |        |      |</w:t>
        <w:br/>
        <w:t>|Solicitud de inclusión de los familiares de las víctimas      |37      |13    |</w:t>
        <w:br/>
        <w:t>|sobrevivientes como presuntas víctimas                        |        |      |</w:t>
        <w:br/>
        <w:t>|HECHOS PROBADOS                                               |38 – 65 |14    |</w:t>
        <w:br/>
        <w:t>|Antecedentes contextuales                                     |38 – 40 |14    |</w:t>
        <w:br/>
        <w:t>|Hechos del caso                                               |41 – 65 |15    |</w:t>
        <w:br/>
        <w:t>|Persecución e incidente                                       |41 – 49 |15    |</w:t>
        <w:br/>
        <w:t>|Reacción de las autoridades frente al incidente               |50 – 53 |19    |</w:t>
        <w:br/>
        <w:t>|Detención y expulsión                                         |54 – 55 |20    |</w:t>
        <w:br/>
        <w:t>|Sobre el proceso en la jurisdicción militar                   |56 – 62 |21    |</w:t>
        <w:br/>
        <w:t>|Sobre el proceso tramitado en la jurisdicción ordinaria       |63 – 65 |23    |</w:t>
        <w:br/>
        <w:t>|DERECHOS AFECTADOS                                            |66      |24    |</w:t>
        <w:br/>
        <w:t>|VII-1.  DERECHOS A LA VIDA Y A LA INTEGRIDAD PERSONAL         |67 – 117|24    |</w:t>
        <w:br/>
        <w:t>|Alegatos                                                      |68 – 76 |25    |</w:t>
        <w:br/>
        <w:t>|Consideraciones de la Corte                                   |77 – 117|26    |</w:t>
        <w:br/>
        <w:t>|Acciones preventivas: legalidad y excepcionalidad del uso de  |79 – 82 |27    |</w:t>
        <w:br/>
        <w:t>|la fuerza en relación con el deber de garantía                |        |      |</w:t>
        <w:br/>
        <w:t>|Acciones concomitantes a los hechos: legalidad, necesidad y   |83 – 98 |28    |</w:t>
        <w:br/>
        <w:t>|proporcionalidad en relación con el deber de respeto.         |        |      |</w:t>
        <w:br/>
        <w:t>|El uso de la fuerza en el caso                                |85 – 91 |29    |</w:t>
        <w:br/>
        <w:t>|Privación arbitraria de la vida                               |92      |30    |</w:t>
        <w:br/>
        <w:t>|Ejecuciones extrajudiciales                                   |93 - 97 |31    |</w:t>
        <w:br/>
        <w:t>|Afectaciones a la integridad personal de los sobrevivientes   |98      |31    |</w:t>
        <w:br/>
        <w:t>|Acciones posteriores a los hechos: debida diligencia y        |99 – 117|32    |</w:t>
        <w:br/>
        <w:t>|humanidad en relación con el deber de garantía del derecho a  |        |      |</w:t>
        <w:br/>
        <w:t>|la vida y a la integridad personal                            |        |      |</w:t>
        <w:br/>
        <w:t>|Debida diligencia                                             |101 –   |32    |</w:t>
        <w:br/>
        <w:t>|                                                              |105     |      |</w:t>
        <w:br/>
        <w:t>|Trato a los sobrevivientes                                    |106 –   |34    |</w:t>
        <w:br/>
        <w:t>|                                                              |110     |      |</w:t>
        <w:br/>
        <w:t>|Tratamiento a las personas fallecidas y sus cadáveres         |111 –   |35    |</w:t>
        <w:br/>
        <w:t>|                                                              |117     |      |</w:t>
        <w:br/>
        <w:t>|VII-2.  DERECHOS A LA LIBERTAD PERSONAL, A LAS GARANTÍAS      |118 –   |36    |</w:t>
        <w:br/>
        <w:t>|JUDICIALES Y A LA LIBRE CIRCULACIÓN                           |178     |      |</w:t>
        <w:br/>
        <w:t>|Derecho a la libertad personal                                |119 –   |37    |</w:t>
        <w:br/>
        <w:t>|                                                              |144     |      |</w:t>
        <w:br/>
        <w:t>|Alegatos                                                      |119 –   |37    |</w:t>
        <w:br/>
        <w:t>|                                                              |123     |      |</w:t>
        <w:br/>
        <w:t>|Consideraciones de la Corte                                   |124 –   |38    |</w:t>
        <w:br/>
        <w:t>|                                                              |144     |      |</w:t>
        <w:br/>
        <w:t>|Libertad de circulación, expulsión colectiva y derecho a las  |145 –   |44    |</w:t>
        <w:br/>
        <w:t>|garantías judiciales……………………                                  |178     |      |</w:t>
        <w:br/>
        <w:t>|Alegatos                                                      |146 –   |44    |</w:t>
        <w:br/>
        <w:t>|                                                              |149     |      |</w:t>
        <w:br/>
        <w:t>|Consideraciones de la Corte                                   |150 –   |45    |</w:t>
        <w:br/>
        <w:t>|                                                              |178     |      |</w:t>
        <w:br/>
        <w:t>|Protección a migrantes                                        |152 –   |45    |</w:t>
        <w:br/>
        <w:t>|                                                              |155     |      |</w:t>
        <w:br/>
        <w:t>|Debido proceso en casos de deportación o expulsión            |156 –   |46    |</w:t>
        <w:br/>
        <w:t>|                                                              |159     |      |</w:t>
        <w:br/>
        <w:t>|Garantías mínimas al migrante sujeto de expulsión o           |160 –   |47    |</w:t>
        <w:br/>
        <w:t>|deportación                                                   |167     |      |</w:t>
        <w:br/>
        <w:t>|Expulsión colectiva                                           |168 –   |49    |</w:t>
        <w:br/>
        <w:t>|                                                              |175     |      |</w:t>
        <w:br/>
        <w:t>|Conclusiones                                                  |176 –   |50    |</w:t>
        <w:br/>
        <w:t>|                                                              |178     |      |</w:t>
        <w:br/>
        <w:t>|VII-3. DERECHO A LAS GARANTÍAS JUDICIALES Y A LA PROTECCIÓN   |179 –   |51    |</w:t>
        <w:br/>
        <w:t>|JUDICIAL                                                      |201     |      |</w:t>
        <w:br/>
        <w:t>|Alegatos                                                      |180 –   |51    |</w:t>
        <w:br/>
        <w:t>|                                                              |182     |      |</w:t>
        <w:br/>
        <w:t>|Consideraciones de la Corte                                   |183 –   |52    |</w:t>
        <w:br/>
        <w:t>|                                                              |201     |      |</w:t>
        <w:br/>
        <w:t>|La jurisdicción militar no pude ser el fuero competente en    |187 –   |53    |</w:t>
        <w:br/>
        <w:t>|materia de derechos humanos                                   |198     |      |</w:t>
        <w:br/>
        <w:t>|Impunidad de los infractores y acceso a la justicia           |199 –   |55    |</w:t>
        <w:br/>
        <w:t>|                                                              |201     |      |</w:t>
        <w:br/>
        <w:t>|VII-4. DEBER DE ADOPTAR DISPOSICIONES DE DERECHO INTERNO      | 202 –  |56    |</w:t>
        <w:br/>
        <w:t>|                                                              |217     |      |</w:t>
        <w:br/>
        <w:t>|Alegatos                                                      | 203 –  |56    |</w:t>
        <w:br/>
        <w:t>|                                                              |206     |      |</w:t>
        <w:br/>
        <w:t>|Consideraciones de la Corte                                   |207 –   |56    |</w:t>
        <w:br/>
        <w:t>|                                                              |217     |      |</w:t>
        <w:br/>
        <w:t>|Reformas legislativas                                         |212 –   |58    |</w:t>
        <w:br/>
        <w:t>|                                                              |215     |      |</w:t>
        <w:br/>
        <w:t>|Conclusiones                                                  |216 –   |59    |</w:t>
        <w:br/>
        <w:t>|                                                              |217     |      |</w:t>
        <w:br/>
        <w:t>|VII-5. DEBER DE RESPETAR Y GARANTIZAR LOS DERECHOS SIN        |218 –   |59    |</w:t>
        <w:br/>
        <w:t>|DISCRIMINACIÓN E IGUALDAD ANTE LA LEY                         |238     |      |</w:t>
        <w:br/>
        <w:t>|Alegatos                                                      |219 –   |59    |</w:t>
        <w:br/>
        <w:t>|                                                              |223     |      |</w:t>
        <w:br/>
        <w:t>|Consideraciones de la Corte                                   |224 –   |60    |</w:t>
        <w:br/>
        <w:t>|                                                              |238     |      |</w:t>
        <w:br/>
        <w:t>|Discriminación en el presente facto                           |228 –   |62    |</w:t>
        <w:br/>
        <w:t>|                                                              |236     |      |</w:t>
        <w:br/>
        <w:t>|Conclusiones                                                  |237 -   |65    |</w:t>
        <w:br/>
        <w:t>|                                                              |238     |      |</w:t>
        <w:br/>
        <w:t>|REPARACIONES                                                  |239 –   |65    |</w:t>
        <w:br/>
        <w:t>|                                                              |306     |      |</w:t>
        <w:br/>
        <w:t>|Parte lesionada                                               |244     |66    |</w:t>
        <w:br/>
        <w:t>|Obligación de investigar los hechos e identificar, juzgar y,  |245 –   |66    |</w:t>
        <w:br/>
        <w:t>|en su caso, sancionar a los responsables                      |253     |      |</w:t>
        <w:br/>
        <w:t>|Reapertura de la investigación y determinación de             |245 –   |66    |</w:t>
        <w:br/>
        <w:t>|responsabilidades individuales                                |249     |      |</w:t>
        <w:br/>
        <w:t>|Identificación y repatriación de los restos mortales de       |250 –   |68    |</w:t>
        <w:br/>
        <w:t>|las víctimas                                                  |253     |      |</w:t>
        <w:br/>
        <w:t>|Medidas de reparación integral: rehabilitación, satisfacción y|254 –   |68    |</w:t>
        <w:br/>
        <w:t>|garantías de no repetición                                    |279     |      |</w:t>
        <w:br/>
        <w:t>|Rehabilitación                                                |255 –   |68    |</w:t>
        <w:br/>
        <w:t>|                                                              |261     |      |</w:t>
        <w:br/>
        <w:t>|Satisfacción                                                  |262 –   |69    |</w:t>
        <w:br/>
        <w:t>|                                                              |265     |      |</w:t>
        <w:br/>
        <w:t>|Garantías de no repetición                                    |266 –   |70    |</w:t>
        <w:br/>
        <w:t>|                                                              |279     |      |</w:t>
        <w:br/>
        <w:t>|Indemnización compensatoria                                   |280 –   |72    |</w:t>
        <w:br/>
        <w:t>|                                                              |289     |      |</w:t>
        <w:br/>
        <w:t>|Daño material e inmaterial                                    |280 –   |72    |</w:t>
        <w:br/>
        <w:t>|                                                              |289     |      |</w:t>
        <w:br/>
        <w:t>|Costas y gastos                                               |290 –   |75    |</w:t>
        <w:br/>
        <w:t>|                                                              |297     |      |</w:t>
        <w:br/>
        <w:t>|Reintegro de los gastos al Fondo de Asistencia Legal de       |298 –   |77    |</w:t>
        <w:br/>
        <w:t>|Víctimas                                                      |301     |      |</w:t>
        <w:br/>
        <w:t>|Modalidades de cumplimiento de los pagos ordenados            |302 –   |77    |</w:t>
        <w:br/>
        <w:t>|                                                              |306     |      |</w:t>
        <w:br/>
        <w:t>|IX. PUNTOS                                                    |307     |78    |</w:t>
        <w:br/>
        <w:t>|RESOLUTIVOS………................................................|        |      |</w:t>
        <w:br/>
        <w:t>|......................                                        |        |      |</w:t>
        <w:br/>
        <w:t>I</w:t>
        <w:br/>
        <w:t>INTRODUCCIÓN DE LA CAUSA Y OBJETO DE LA CONTROVERSIA</w:t>
        <w:br/>
        <w:br/>
        <w:br/>
        <w:t>Sometimiento y sinopsis del caso. – El 11 de febrero  de  2011  la  Comisión</w:t>
        <w:br/>
        <w:t>Interamericana  de  Derechos  Humanos  (en  adelante  “la  Comisión”  o  “la</w:t>
        <w:br/>
        <w:t>Comisión Interamericana”)  sometió  a  la  Corte,  de  conformidad  con  los</w:t>
        <w:br/>
        <w:t>artículos 51 y 61 de la Convención, el  caso  12.688  contra  el  Estado  de</w:t>
        <w:br/>
        <w:t>República Dominicana (en adelante “el  Estado”  o  “República  Dominicana”),</w:t>
        <w:br/>
        <w:t>fundándose en lo que describió como “el uso excesivo de fuerza de  militares</w:t>
        <w:br/>
        <w:t>en contra de un grupo de haitianos, en  el  cual  perdieron  la  vida  siete</w:t>
        <w:br/>
        <w:t>personas y resultaron heridas varias más”. La Comisión expresó,  además,  lo</w:t>
        <w:br/>
        <w:t>siguiente:</w:t>
        <w:br/>
        <w:br/>
        <w:t>a) “[l]os hechos fueron puestos en  conocimiento  directo  de  la  justicia</w:t>
        <w:br/>
        <w:t xml:space="preserve">   militar la cual, luego de varios años de proceso y pese a  la  solicitud</w:t>
        <w:br/>
        <w:t xml:space="preserve">   de los familiares de los ejecutados de ser sometido  a  la  jurisdicción</w:t>
        <w:br/>
        <w:t xml:space="preserve">   ordinaria, absolvió a los militares involucrados”;</w:t>
        <w:br/>
        <w:br/>
        <w:t>b) “algunas  de  las  víctimas  sobrevivientes  sufrieron  violación  a  su</w:t>
        <w:br/>
        <w:t xml:space="preserve">   libertad personal y violaciones a las garantías judiciales y  protección</w:t>
        <w:br/>
        <w:t xml:space="preserve">   judicial, puesto que fueron  expulsadas  de  República  Dominicana,  sin</w:t>
        <w:br/>
        <w:t xml:space="preserve">   recibir las garantías debidas en su carácter de migrantes”;</w:t>
        <w:br/>
        <w:br/>
        <w:t>c) a nivel interno existe una “denegación de justicia desde la comisión  de</w:t>
        <w:br/>
        <w:t xml:space="preserve">   los hechos en perjuicio de las víctimas ejecutadas, así como respecto de</w:t>
        <w:br/>
        <w:t xml:space="preserve">   los sobrevivientes y la consecuente impunidad”, y</w:t>
        <w:br/>
        <w:br/>
        <w:t>d) “los hechos del presente caso se enmarcan en un contexto más general  de</w:t>
        <w:br/>
        <w:t xml:space="preserve">   discriminación en contra de las personas haitianas o de origen  haitiano</w:t>
        <w:br/>
        <w:t xml:space="preserve">   en la República Dominicana, así como de deportaciones de haitianos de la</w:t>
        <w:br/>
        <w:t xml:space="preserve">   República Dominicana”.</w:t>
        <w:br/>
        <w:br/>
        <w:t>La Comisión solicitó a la Corte que declare la violación de los artículos  2</w:t>
        <w:br/>
        <w:t>(Deber de Adoptar Disposiciones de Derecho Interno), 4 (Derecho a la  Vida),</w:t>
        <w:br/>
        <w:t>5 (Derecho a la Integridad Personal), 7 (Derecho a la Libertad Personal),  8</w:t>
        <w:br/>
        <w:t>(Garantías Judiciales), 25 (Protección Judicial)  y  24  (Igualdad  ante  la</w:t>
        <w:br/>
        <w:t>Ley) de la Convención, en relación con el artículo  1.1  de  la  misma.  Por</w:t>
        <w:br/>
        <w:t>otra parte, la Comisión solicitó al  Tribunal  que  ordenara  al  Estado  la</w:t>
        <w:br/>
        <w:t>adopción de ciertas medidas de reparación.</w:t>
        <w:br/>
        <w:br/>
        <w:t>Trámite  ante  la  Comisión.  –  El  trámite  del  caso  ante  la   Comisión</w:t>
        <w:br/>
        <w:t>Interamericana fue el siguiente:</w:t>
        <w:br/>
        <w:br/>
        <w:t>a) La petición inicial fue presentada el 28 de noviembre  de  2005  por  el</w:t>
        <w:br/>
        <w:t xml:space="preserve">   Grupo de Apoyo a los Repatriados y Refugiados (representado por Chérubin</w:t>
        <w:br/>
        <w:t xml:space="preserve">   Tragelus) y por el Centro Cultural Dominicano Haitiano (representado por</w:t>
        <w:br/>
        <w:t xml:space="preserve">   Antonio Pol Emil). El 23  de  octubre  de  2006  se  acreditó  como  co-</w:t>
        <w:br/>
        <w:t xml:space="preserve">   peticionaria a la Clínica  Internacional  de  Defensa  de  los  Derechos</w:t>
        <w:br/>
        <w:t xml:space="preserve">   Humanos de la Université du Québec à Montréal (UQAM)  (representada  por</w:t>
        <w:br/>
        <w:t xml:space="preserve">   Bernard Duheime y Carol Hilling)[3];</w:t>
        <w:br/>
        <w:br/>
        <w:t>b)  El  22  de  diciembre  de  2008  la  Comisión  aprobó  el  Informe   de</w:t>
        <w:br/>
        <w:t xml:space="preserve">   Admisibilidad No. 95/08;</w:t>
        <w:br/>
        <w:br/>
        <w:t>c) El 2 de noviembre de 2010 la Comisión emitió el  Informe  de  Fondo  No.</w:t>
        <w:br/>
        <w:t xml:space="preserve">   174/10, de conformidad con el artículo 50 de la Convención Americana (en</w:t>
        <w:br/>
        <w:t xml:space="preserve">   adelante “Informe de Fondo”). En dicho informe, la Comisión concluyó que</w:t>
        <w:br/>
        <w:t xml:space="preserve">   República Dominicana es responsable por la violación de los  derechos  a</w:t>
        <w:br/>
        <w:t xml:space="preserve">   la vida, integridad  personal,  libertad  personal,  no  discriminación,</w:t>
        <w:br/>
        <w:t xml:space="preserve">   garantías judiciales y protección judicial, consagrados en los artículos</w:t>
        <w:br/>
        <w:t xml:space="preserve">   2, 4, 5, 7, 24, 8 y 25 de la Convención Americana, en relación  con  las</w:t>
        <w:br/>
        <w:t xml:space="preserve">   obligaciones establecidas en el artículo 1.1 del mismo  instrumento,  en</w:t>
        <w:br/>
        <w:t xml:space="preserve">   perjuicio de las personas que se detallan a lo largo del informe, y</w:t>
        <w:br/>
        <w:br/>
        <w:t>d) El Informe de Fondo fue notificado a República Dominicana  mediante  una</w:t>
        <w:br/>
        <w:t xml:space="preserve">   comunicación de 11 de noviembre de 2010, en la que  se  le  otorgaba  un</w:t>
        <w:br/>
        <w:t xml:space="preserve">   plazo  de  dos  meses  para  informar  sobre  el  cumplimiento  de   las</w:t>
        <w:br/>
        <w:t xml:space="preserve">   recomendaciones, y posteriormente concedió una prórroga  del  plazo.  La</w:t>
        <w:br/>
        <w:t xml:space="preserve">   Comisión señaló que el plazo y su prórroga habían transcurrido  sin  que</w:t>
        <w:br/>
        <w:t xml:space="preserve">   el Estado diera cumplimiento a las recomendaciones, y por tanto  sometió</w:t>
        <w:br/>
        <w:t xml:space="preserve">   el caso a la Corte en virtud de la necesidad de obtener justicia  y  una</w:t>
        <w:br/>
        <w:t xml:space="preserve">   justa reparación. La Comisión Interamericana designó  como  delegados  a</w:t>
        <w:br/>
        <w:t xml:space="preserve">   los señores Rodrigo Escobar Gil, Comisionado, y a su entonces Secretario</w:t>
        <w:br/>
        <w:t xml:space="preserve">   Ejecutivo Santiago A. Cantón, y como  asesores  legales  a  las  señoras</w:t>
        <w:br/>
        <w:t xml:space="preserve">   Elizabeth Abi-Mershed,  Secretaria  Ejecutiva  Adjunta,  Karla  Quintana</w:t>
        <w:br/>
        <w:t xml:space="preserve">   Osuna e Isabel Madariaga Cuneo, abogadas de la Secretaría Ejecutiva.</w:t>
        <w:br/>
        <w:br/>
        <w:br/>
        <w:br/>
        <w:t>II</w:t>
        <w:br/>
        <w:t>PROCEDIMIENTO ANTE LA CORTE</w:t>
        <w:br/>
        <w:br/>
        <w:br/>
        <w:br/>
        <w:t>Notificación al Estado y a los representantes. – El  sometimiento  del  caso</w:t>
        <w:br/>
        <w:t>por parte de la Comisión fue notificado al Estado y a los representantes  el</w:t>
        <w:br/>
        <w:t>24 de mayo de 2011.</w:t>
        <w:br/>
        <w:br/>
        <w:t>Escrito de solicitudes, argumentos y pruebas. – El 26 de julio de  2011  las</w:t>
        <w:br/>
        <w:t>organizaciones representantes  presentaron  ante  la  Corte  su  escrito  de</w:t>
        <w:br/>
        <w:t>solicitudes, argumentos y pruebas (en adelante  “escrito  de  solicitudes  y</w:t>
        <w:br/>
        <w:t>argumentos”), en los términos de los artículos 25 y 40 del  Reglamento.  Los</w:t>
        <w:br/>
        <w:t>representantes coincidieron sustancialmente con los alegatos de la  Comisión</w:t>
        <w:br/>
        <w:t>y solicitaron al Tribunal que  declarara  la  responsabilidad  internacional</w:t>
        <w:br/>
        <w:t>del Estado por  la  violación  de  los  mismos  artículos  alegados  por  la</w:t>
        <w:br/>
        <w:t>Comisión y adicionalmente solicitaron que se declare  la  violación  de  los</w:t>
        <w:br/>
        <w:t>artículos 3 (Derecho al Reconocimiento de la Personalidad Jurídica)  y  22.9</w:t>
        <w:br/>
        <w:t>(Derecho  de  Circulación  y  Residencia)  de   la   Convención   Americana.</w:t>
        <w:br/>
        <w:t>Finalmente, solicitaron al Tribunal que ordenara al Estado  la  adopción  de</w:t>
        <w:br/>
        <w:t>diversas medidas de reparación y  el  reintegro  de  determinadas  costas  y</w:t>
        <w:br/>
        <w:t>gastos. Por otra parte, los representantes señalaron que contaban con  poder</w:t>
        <w:br/>
        <w:t>de  representación  de  28  familiares  de  las  siete  presuntas   víctimas</w:t>
        <w:br/>
        <w:t>fallecidas[4] y de nueve de las 14 presuntas víctimas sobrevivientes[5].</w:t>
        <w:br/>
        <w:br/>
        <w:t>Presentación extemporánea de la contestación del Estado. – El 14 de  febrero</w:t>
        <w:br/>
        <w:t>de 2012 el Estado presentó ante la  Corte  su  escrito  de  contestación  al</w:t>
        <w:br/>
        <w:t>sometimiento del caso  y  de  observaciones  al  escrito  de  solicitudes  y</w:t>
        <w:br/>
        <w:t>argumentos (en adelante “escrito de contestación”). Por medio de la nota  de</w:t>
        <w:br/>
        <w:t>Secretaría de 23 de febrero de 2012 (REF:  CDH-12.688/029),  se  informó  al</w:t>
        <w:br/>
        <w:t>Estado que de las constancias obrantes en el expediente del  presente  caso,</w:t>
        <w:br/>
        <w:t>se desprendió que el escrito de solicitudes, argumentos  y  pruebas  de  los</w:t>
        <w:br/>
        <w:t>representantes fue notificado vía correo electrónico  al  Estado  el  24  de</w:t>
        <w:br/>
        <w:t>noviembre de 2011, y que ese mismo día  fue  enviado  también  vía  courier,</w:t>
        <w:br/>
        <w:t>junto con la totalidad de los anexos, los cuales  fueron  recibidos  por  el</w:t>
        <w:br/>
        <w:t>Estado el 28 de noviembre de 2011, fecha a  partir  de  la  cual  comenzó  a</w:t>
        <w:br/>
        <w:t>correr el plazo improrrogable de dos meses para la presentación del  escrito</w:t>
        <w:br/>
        <w:t>de contestación que por  lo  tanto  vencía  el  28  de  enero  de  2012.  En</w:t>
        <w:br/>
        <w:t>consecuencia, dado el retraso en la presentación de la  contestación  de  17</w:t>
        <w:br/>
        <w:t>días, el Pleno de la Corte determinó, con fundamento  en  el  artículo  41.1</w:t>
        <w:br/>
        <w:t>del Reglamento de la Corte,  que  dicho  escrito  era  inadmisible  por  ser</w:t>
        <w:br/>
        <w:t>extemporáneo.</w:t>
        <w:br/>
        <w:br/>
        <w:t>Acogimiento al Fondo de Asistencia Legal. –  Mediante  Resolución  de  1  de</w:t>
        <w:br/>
        <w:t>diciembre de 2011 el Presidente de la Corte declaró procedente la  solicitud</w:t>
        <w:br/>
        <w:t>interpuesta por las presuntas víctimas,  a  través  de  sus  representantes,</w:t>
        <w:br/>
        <w:t>para acogerse al Fondo de Asistencia Legal de  Víctimas,  y  aprobó  que  se</w:t>
        <w:br/>
        <w:t>otorgara la asistencia  económica  necesaria  para  la  presentación  de  un</w:t>
        <w:br/>
        <w:t>máximo de tres  declaraciones,  fueran  por  affidávit  o  en  la  audiencia</w:t>
        <w:br/>
        <w:t>pública, y la comparecencia de uno de los representantes a la  audiencia[6].</w:t>
        <w:br/>
        <w:br/>
        <w:br/>
        <w:t>Audiencia pública.  –  Mediante  Resolución  de  31  de  mayo  de  2012,  el</w:t>
        <w:br/>
        <w:t>Presidente convocó a las  partes  a  una  audiencia  pública,  la  cual  fue</w:t>
        <w:br/>
        <w:t>celebrada el 21 y 22 de junio de 2012 durante el  95  Período  Ordinario  de</w:t>
        <w:br/>
        <w:t>Sesiones de la Corte, el cual tuvo lugar en su sede[7]. En la  audiencia  se</w:t>
        <w:br/>
        <w:t>recibieron las  declaraciones  de  dos  presuntas  víctimas,  así  como  las</w:t>
        <w:br/>
        <w:t>observaciones y alegatos finales orales de la Comisión  Interamericana,  los</w:t>
        <w:br/>
        <w:t>representantes y el Estado. Durante la referida audiencia la Corte  requirió</w:t>
        <w:br/>
        <w:t>a las partes que presentaran determinada documentación y explicaciones  para</w:t>
        <w:br/>
        <w:t>mejor  resolver.  Asimismo,  el  Presidente  ordenó,  entre  otros,  recibir</w:t>
        <w:br/>
        <w:t>diversas declaraciones rendidas ante fedatario  público  (affidávit)  en  el</w:t>
        <w:br/>
        <w:t>presente caso[8] (infra párr. 25).</w:t>
        <w:br/>
        <w:br/>
        <w:t>Amici curiae. – Por otra parte, la Corte recibió escritos de  amicus  curiae</w:t>
        <w:br/>
        <w:t>de  las  siguientes  instituciones[9]:  el  Instituto  de  Derechos  Humanos</w:t>
        <w:br/>
        <w:t>“Bartolomé de las Casas” de la Universidad  Carlos  III  de  Madrid[10];  la</w:t>
        <w:br/>
        <w:t>Clínica de Derechos Humanos de Loyola Law School  de  Los  Angeles[11];  The</w:t>
        <w:br/>
        <w:t>Equal Rights Trust[12]; la Clínica del Asilo y de  Derechos  Humanos  de  la</w:t>
        <w:br/>
        <w:t>Facultad de Derecho de Boston University[13] y  el  Consejo  Latinoamericano</w:t>
        <w:br/>
        <w:t>de Estudiosos de  Derecho  Internacional  y  Comparado,  Capítulo  República</w:t>
        <w:br/>
        <w:t>Dominicana (COLADIC-RD)[14].</w:t>
        <w:br/>
        <w:br/>
        <w:t>Alegatos y observaciones finales escritos. – El 23 y 24 de julio de 2012  el</w:t>
        <w:br/>
        <w:t>Estado  y  los  representantes  remitieron,  respectivamente,  sus  alegatos</w:t>
        <w:br/>
        <w:t>finales escritos y el  23  de  julio  de  2012  la  Comisión  Interamericana</w:t>
        <w:br/>
        <w:t>presentó sus observaciones finales escritas. Los representantes y el  Estado</w:t>
        <w:br/>
        <w:t>dieron  respuesta  a  las  solicitudes   de   la   Corte   de   información,</w:t>
        <w:br/>
        <w:t>documentación y explicaciones para mejor resolver (supra párr. 8).</w:t>
        <w:br/>
        <w:br/>
        <w:t>Observaciones de los representantes y el Estado. – Los escritos de  alegatos</w:t>
        <w:br/>
        <w:t>y observaciones finales escritos fueron transmitidos a las  partes  y  a  la</w:t>
        <w:br/>
        <w:t>Comisión Interamericana con fecha 1 de agosto de 2012. El Presidente  otorgó</w:t>
        <w:br/>
        <w:t>un plazo  a  los  representantes  y  al  Estado  para  que  presentaran  las</w:t>
        <w:br/>
        <w:t>observaciones que estimaran pertinentes a  la  prueba  para  mejor  resolver</w:t>
        <w:br/>
        <w:t>solicitada por la Corte, así como a la información y  anexos  remitidos  por</w:t>
        <w:br/>
        <w:t>los representantes  y  el  Estado.  El  14  y  15  de  agosto  de  2012  los</w:t>
        <w:br/>
        <w:t>representantes y el Estado, respectivamente, remitieron sus observaciones  a</w:t>
        <w:br/>
        <w:t>los alegatos finales escritos de la otra parte y sus  anexos  (infra  párrs.</w:t>
        <w:br/>
        <w:t>21 a 24).</w:t>
        <w:br/>
        <w:br/>
        <w:br/>
        <w:br/>
        <w:t>III</w:t>
        <w:br/>
        <w:t>COMPETENCIA</w:t>
        <w:br/>
        <w:br/>
        <w:br/>
        <w:br/>
        <w:t>La Corte Interamericana es competente, en los términos del artículo 62.3  de</w:t>
        <w:br/>
        <w:t>la Convención, para conocer el presente caso, en razón de que  la  República</w:t>
        <w:br/>
        <w:t>Dominicana es Estado Parte de la Convención Americana desde el 19  de  abril</w:t>
        <w:br/>
        <w:t>de 1978 y reconoció la competencia contenciosa de la Corte el  25  de  marzo</w:t>
        <w:br/>
        <w:t>de 1999, y los hechos del caso son posteriores a esas fechas.</w:t>
        <w:br/>
        <w:br/>
        <w:br/>
        <w:br/>
        <w:t>IV</w:t>
        <w:br/>
        <w:t>PRUEBA</w:t>
        <w:br/>
        <w:br/>
        <w:br/>
        <w:br/>
        <w:t>Con base en lo establecido en los artículos 46, 47, 50 y 57 del  Reglamento,</w:t>
        <w:br/>
        <w:t>así como en su jurisprudencia respecto de la prueba  y  su  apreciación[15],</w:t>
        <w:br/>
        <w:t>la  Corte  examinará  y  valorará  los  elementos  probatorios  documentales</w:t>
        <w:br/>
        <w:t>remitidos  por  las  partes  en  diversas  oportunidades   procesales,   las</w:t>
        <w:br/>
        <w:t>declaraciones  y  testimonios  rendidos  mediante  declaración  jurada  ante</w:t>
        <w:br/>
        <w:t>fedatario público (affidávit) y en la audiencia pública ante la  Corte,  así</w:t>
        <w:br/>
        <w:t>como las pruebas para mejor resolver solicitadas por la Corte  (infra  párr.</w:t>
        <w:br/>
        <w:t>15). Para ello la Corte se atendrá a los  principios  de  la  sana  crítica,</w:t>
        <w:br/>
        <w:t>dentro del marco normativo correspondiente[16].</w:t>
        <w:br/>
        <w:br/>
        <w:t>A. Prueba documental, testimonial y pericial</w:t>
        <w:br/>
        <w:br/>
        <w:t>La Corte  recibió  diversos  documentos  presentados  como  prueba  por  la</w:t>
        <w:br/>
        <w:t>Comisión Interamericana, los representantes y el  Estado,  adjuntos  a  sus</w:t>
        <w:br/>
        <w:t>escritos principales (supra párrs. 4, 5 y 10). Asimismo, la  Corte  recibió</w:t>
        <w:br/>
        <w:t>las declaraciones rendidas  ante  fedatario  público  (affidávit)  por  las</w:t>
        <w:br/>
        <w:t>presuntas víctimas Joseph Pierre, Sonide Nora y Joseph Desravine, así  como</w:t>
        <w:br/>
        <w:t>el testigo Pedro Ureña. En cuanto a la prueba rendida en audiencia pública,</w:t>
        <w:br/>
        <w:t>la Corte escuchó  las  declaraciones  de  las  presuntas  víctimas  Noclair</w:t>
        <w:br/>
        <w:t>Florvilien y Josier Maxime. Asimismo,  fueron  convocados  a  la  audiencia</w:t>
        <w:br/>
        <w:t>pública los peritos ofrecidos por la  Comisión,  Doudou  Diène,  ex-Relator</w:t>
        <w:br/>
        <w:t>Especial de Naciones Unidas sobre las  formas  contemporáneas  de  racismo,</w:t>
        <w:br/>
        <w:t>discriminación racial, xenofobia y formas conexas  de  intolerancia  y  Gay</w:t>
        <w:br/>
        <w:t>McDougall, Experta Independiente de Naciones Unidas sobre Cuestiones de las</w:t>
        <w:br/>
        <w:t>Minorías; no obstante,  la  Comisión  canceló  la  presentación  de  dichos</w:t>
        <w:br/>
        <w:t>peritajes[17].</w:t>
        <w:br/>
        <w:br/>
        <w:t>B. Admisión de la prueba</w:t>
        <w:br/>
        <w:br/>
        <w:t xml:space="preserve">   1.                                                              Admisión</w:t>
        <w:br/>
        <w:t xml:space="preserve">      de la prueba documental</w:t>
        <w:br/>
        <w:br/>
        <w:t>En el presente caso, como en otros,  la  Corte  admite  aquellos  documentos</w:t>
        <w:br/>
        <w:t>remitidos por las partes en la debida oportunidad procesal (supra  párrs.  4</w:t>
        <w:br/>
        <w:t>y 5) que no fueron controvertidos ni objetados,  ni  cuya  autenticidad  fue</w:t>
        <w:br/>
        <w:t>puesta en duda[18]. Los documentos solicitados por  la  Corte  en  audiencia</w:t>
        <w:br/>
        <w:t>pública, que  fueron  aportados  por  las  partes  con  posterioridad  a  la</w:t>
        <w:br/>
        <w:t>audiencia pública, son incorporados al acervo probatorio  en  aplicación  de</w:t>
        <w:br/>
        <w:t>lo dispuesto en el artículo 58 del Reglamento.</w:t>
        <w:br/>
        <w:br/>
        <w:t>En cuanto a las notas  de  prensa[19],  este  Tribunal  ha  considerado  que</w:t>
        <w:br/>
        <w:t>podrán  ser  apreciadas  cuando  recojan  hechos  públicos  y   notorios   o</w:t>
        <w:br/>
        <w:t>declaraciones de  funcionarios  del  Estado  o  cuando  corroboren  aspectos</w:t>
        <w:br/>
        <w:t>relacionados con el caso. La Corte decide admitir  aquellos  documentos  que</w:t>
        <w:br/>
        <w:t>se encuentren completos o que, por lo menos, permitan constatar su fuente  y</w:t>
        <w:br/>
        <w:t>fecha de publicación, y los valorará  tomando  en  cuenta  el  conjunto  del</w:t>
        <w:br/>
        <w:t>acervo probatorio, las observaciones de las partes y las reglas de  la  sana</w:t>
        <w:br/>
        <w:t>crítica[20].</w:t>
        <w:br/>
        <w:br/>
        <w:t>Igualmente, con respecto de algunos documentos señalados por  las  partes  y</w:t>
        <w:br/>
        <w:t>la Comisión por medio de enlaces electrónicos, la Corte ha  establecido  que</w:t>
        <w:br/>
        <w:t>si una  parte  proporciona  al  menos  el  enlace  electrónico  directo  del</w:t>
        <w:br/>
        <w:t>documento que cita como prueba y  es  posible  acceder  a  éste,  no  se  ve</w:t>
        <w:br/>
        <w:t>afectada  la  seguridad  jurídica  ni  el  equilibrio  procesal,  porque  es</w:t>
        <w:br/>
        <w:t>inmediatamente localizable por la Corte y por las otras partes[21]. En  este</w:t>
        <w:br/>
        <w:t>caso, no hubo oposición u observaciones de las otras partes  o  la  Comisión</w:t>
        <w:br/>
        <w:t>sobre el contenido y autenticidad de tales documentos.</w:t>
        <w:br/>
        <w:br/>
        <w:t>Con respecto a la  oportunidad  procesal  para  la  presentación  de  prueba</w:t>
        <w:br/>
        <w:t>documental, de conformidad con el artículo 57 del Reglamento, ésta debe  ser</w:t>
        <w:br/>
        <w:t>presentada, en general, junto con los escritos de sometimiento del caso,  de</w:t>
        <w:br/>
        <w:t>solicitudes y argumentos o en la contestación, según corresponda.  La  Corte</w:t>
        <w:br/>
        <w:t>recuerda que no es  admisible  la  prueba  remitida  fuera  de  las  debidas</w:t>
        <w:br/>
        <w:t>oportunidades procesales,  salvo  en  las  excepciones  establecidas  en  el</w:t>
        <w:br/>
        <w:t>referido artículo 57.2 del Reglamento, a saber,  fuerza  mayor,  impedimento</w:t>
        <w:br/>
        <w:t>grave o si se tratare de un hecho ocurrido con posterioridad a  los  citados</w:t>
        <w:br/>
        <w:t>momentos procesales.</w:t>
        <w:br/>
        <w:br/>
        <w:t>Al respecto, en relación  con  los  efectos  de  la  inadmisibilidad  de  la</w:t>
        <w:br/>
        <w:t>contestación  del  Estado  por  la  extemporaneidad  de  17   días   en   su</w:t>
        <w:br/>
        <w:t>presentación (supra párr. 6), cabe señalar que de acuerdo  con  el  artículo</w:t>
        <w:br/>
        <w:t>41.3 de su Reglamento,  “[l]a  Corte  podrá  considerar  aceptados  aquellos</w:t>
        <w:br/>
        <w:t>alegatos que no hayan sido expresamente negados y las  pretensiones  que  no</w:t>
        <w:br/>
        <w:t>hayan sido controvertidas”, sin que  ello  signifique  que  los  tendrá  por</w:t>
        <w:br/>
        <w:t>aceptados  automáticamente  en  todos  los  casos  en  donde  no   existiere</w:t>
        <w:br/>
        <w:t>oposición de una parte al respecto, y sin que exista una valoración  de  las</w:t>
        <w:br/>
        <w:t>circunstancias particulares del caso y del acervo probatorio  existente.  El</w:t>
        <w:br/>
        <w:t>silencio  del  demandado  o  su  contestación  elusiva  o   ambigua   pueden</w:t>
        <w:br/>
        <w:t>interpretarse como aceptación de los hechos del Informe de  Fondo,  mientras</w:t>
        <w:br/>
        <w:t>lo contrario no aparezca  de  los  autos  o  no  resulte  de  la  convicción</w:t>
        <w:br/>
        <w:t>judicial[22]. Sin embargo, la Corte puede permitir a las  partes  participar</w:t>
        <w:br/>
        <w:t>en ciertas actuaciones procesales, tomando en cuenta las  etapas  que  hayan</w:t>
        <w:br/>
        <w:t>caducado de acuerdo al momento procesal oportuno.</w:t>
        <w:br/>
        <w:br/>
        <w:t>En este sentido, el Estado tuvo la oportunidad procesal de participar en  la</w:t>
        <w:br/>
        <w:t>audiencia pública a través  del  interrogatorio  de  los  declarantes,  pudo</w:t>
        <w:br/>
        <w:t>responder a los cuestionamientos de los jueces de la Corte y  presentar  sus</w:t>
        <w:br/>
        <w:t>alegatos finales orales y escritos. Por  consiguiente,  la  Corte  considera</w:t>
        <w:br/>
        <w:t>que, dado la falta de contestación de la demanda, no serán valorados por  la</w:t>
        <w:br/>
        <w:t>Corte ningún alegato o prueba del Estado que  controvierta  los  hechos  del</w:t>
        <w:br/>
        <w:t>caso, su admisibilidad y la  acreditación  de  presuntas  víctimas,  por  no</w:t>
        <w:br/>
        <w:t>haber sido presentadas en el momento procesal oportuno  (artículo  41.1  del</w:t>
        <w:br/>
        <w:t>Reglamento).  Por  su   parte,   podrán   ser   valoradas   únicamente   las</w:t>
        <w:br/>
        <w:t>controversias de declaraciones rendidas por  affidávit  y  en  la  audiencia</w:t>
        <w:br/>
        <w:t>pública, los  alegatos  de  derecho  presentados  durante  la  misma  y  los</w:t>
        <w:br/>
        <w:t>alegatos finales escritos relacionados  con  alegatos  realizados  en  dicha</w:t>
        <w:br/>
        <w:t>audiencia, así como las respuestas y pruebas estrictamente relacionadas  con</w:t>
        <w:br/>
        <w:t>las preguntas de los jueces durante la audiencia.</w:t>
        <w:br/>
        <w:br/>
        <w:t>Por  otra  parte,  el  Estado  solicitó  que  se  declare  inadmisible   por</w:t>
        <w:br/>
        <w:t>extemporáneo el escrito  de  alegatos  finales  escritos  remitido  por  los</w:t>
        <w:br/>
        <w:t>representantes el 24 de julio de 2012, cuyo plazo  improrrogable  vencía  el</w:t>
        <w:br/>
        <w:t>23 de julio de 2012. Al respecto, la Corte observa que, de  acuerdo  con  el</w:t>
        <w:br/>
        <w:t>registro del servidor de correo electrónico de la Secretaría  de  la  Corte,</w:t>
        <w:br/>
        <w:t>el inicio del mensaje electrónico de los  representantes  que  anunciaba  la</w:t>
        <w:br/>
        <w:t>remisión de los alegatos finales escritos e incluía la lista de  anexos  fue</w:t>
        <w:br/>
        <w:t>recibido a las 23:35 horas del 23 de julio de 2012. Seguidamente,  otros  30</w:t>
        <w:br/>
        <w:t>anexos fueron recibidos entre esa hora y las 2:16 horas del 24 de  julio  de</w:t>
        <w:br/>
        <w:t>2012. El escrito de alegatos finales se recibió vía electrónica a las  00:24</w:t>
        <w:br/>
        <w:t>horas del mismo día. Al respecto,  la  Corte  considera  que  en  virtud  de</w:t>
        <w:br/>
        <w:t>tratarse de un procedimiento  internacional  con  la  remisión  de  un  gran</w:t>
        <w:br/>
        <w:t>volumen de información a través de medios electrónicos, de  conformidad  con</w:t>
        <w:br/>
        <w:t>los artículos  28  y  33  del  Reglamento  de  la  Corte  que  permite  esta</w:t>
        <w:br/>
        <w:t>modalidad, y siendo que el envío se comenzó a recibir  dentro  del  plazo  y</w:t>
        <w:br/>
        <w:t>prosiguió de manera ininterrumpida hasta las 2:16 horas de la madrugada,  en</w:t>
        <w:br/>
        <w:t>esta ocasión  la  Corte  admite  el  escrito  de  alegatos  finales  de  los</w:t>
        <w:br/>
        <w:t>representantes y sus anexos, por considerar que fueron recibidos dentro  del</w:t>
        <w:br/>
        <w:t>plazo estipulado por el artículo 28 del Reglamento de la Corte[23].</w:t>
        <w:br/>
        <w:br/>
        <w:t>Respecto de las solicitudes de los  representantes  y  el  Estado  sobre  la</w:t>
        <w:br/>
        <w:t>inadmisibilidad  de  argumentos  y  pruebas  adicionales  incluidos  en  los</w:t>
        <w:br/>
        <w:t>alegatos finales escritos de la  contraparte,  la  Corte  recuerda  que  los</w:t>
        <w:br/>
        <w:t>alegatos finales son esencialmente una  oportunidad  para  sistematizar  los</w:t>
        <w:br/>
        <w:t>argumentos de hecho y de derecho presentados oportunamente y  no  una  etapa</w:t>
        <w:br/>
        <w:t>para presentar nuevos hechos  y/o  argumentos  de  derecho  adicionales  por</w:t>
        <w:br/>
        <w:t>cuanto no podrían ser respondidos por las  otras  partes.  En  razón  de  lo</w:t>
        <w:br/>
        <w:t>anterior, la Corte estima que solamente serán considerados por la  Corte  en</w:t>
        <w:br/>
        <w:t>su  decisión  los  alegatos  finales  escritos   que   estén   estrictamente</w:t>
        <w:br/>
        <w:t>relacionados con prueba y alegatos de derecho ya  aportados  en  el  momento</w:t>
        <w:br/>
        <w:t>procesal oportuno  (supra  párr.  18),  o  la  prueba  para  mejor  resolver</w:t>
        <w:br/>
        <w:t>solicitada por un juez o la Corte, y en su caso, los supuestos  establecidos</w:t>
        <w:br/>
        <w:t>en el artículo 57 del Reglamento de la Corte, lo  cual,  de  ser  necesario,</w:t>
        <w:br/>
        <w:t>será indicado en la  Sentencia  en  el  apartado  que  corresponda.  Por  el</w:t>
        <w:br/>
        <w:t>contrario, será inadmisible todo alegato nuevo presentado  en  los  alegatos</w:t>
        <w:br/>
        <w:t>finales escritos por extemporáneos[24]. A tal efecto,  la  Corte  tomará  en</w:t>
        <w:br/>
        <w:t>cuenta las observaciones de las partes y el conjunto del  acervo  probatorio</w:t>
        <w:br/>
        <w:t>para valorar el referido escrito, de acuerdo  con  las  reglas  de  la  sana</w:t>
        <w:br/>
        <w:t>crítica.</w:t>
        <w:br/>
        <w:br/>
        <w:t>En  particular,  en  sus  alegatos  finales  escritos,  el  Estado   remitió</w:t>
        <w:br/>
        <w:t>documentos específicos para responder las preguntas de los jueces  así  como</w:t>
        <w:br/>
        <w:t>diversos  testimonios  y  decisiones   judiciales.   Por   su   parte,   los</w:t>
        <w:br/>
        <w:t>representantes remitieron documentos para responder  las  preguntas  de  los</w:t>
        <w:br/>
        <w:t>jueces en audiencia, prueba adicional, y realizaron  nuevas  solicitudes  de</w:t>
        <w:br/>
        <w:t>derecho y  reparaciones.  En  razón  de  lo  anterior,  respecto  de  dichos</w:t>
        <w:br/>
        <w:t>documentos y alegatos, solo serán admitidos aquellos remitidos a fin de  dar</w:t>
        <w:br/>
        <w:t>respuesta a las preguntas requeridas por los jueces en la audiencia.</w:t>
        <w:br/>
        <w:br/>
        <w:t>Por otra parte, la Corte observa que los representantes remitieron  con  sus</w:t>
        <w:br/>
        <w:t>alegatos  finales  escritos  comprobantes  de  gastos  relacionados  con  el</w:t>
        <w:br/>
        <w:t>litigio del presente  caso.  Al  respecto,  solamente  considerará  aquellos</w:t>
        <w:br/>
        <w:t>gastos que se refieran a solicitudes de costas  y  gastos  en  que  hubiesen</w:t>
        <w:br/>
        <w:t>incurrido con posterioridad a la presentación del escrito de  solicitudes  y</w:t>
        <w:br/>
        <w:t>argumentos.</w:t>
        <w:br/>
        <w:br/>
        <w:t xml:space="preserve">   2.                                                              Admisión</w:t>
        <w:br/>
        <w:t xml:space="preserve">      de las declaraciones de las presuntas víctimas y de la prueba</w:t>
        <w:br/>
        <w:t xml:space="preserve">      testimonial</w:t>
        <w:br/>
        <w:br/>
        <w:t>Respecto de las declaraciones  de  las  presuntas  víctimas  y  del  testigo</w:t>
        <w:br/>
        <w:t>rendidos mediante affidávit y durante la audiencia  pública,  la  Corte  las</w:t>
        <w:br/>
        <w:t>estima pertinentes sólo  en  aquello  que  se  ajusten  al  objeto  que  fue</w:t>
        <w:br/>
        <w:t>definido por el Presidente de la Corte en la  Resolución  mediante  la  cual</w:t>
        <w:br/>
        <w:t>ordenó recibirlos (supra párr. 8). Asimismo, conforme  a  la  jurisprudencia</w:t>
        <w:br/>
        <w:t>de este Tribunal, las declaraciones rendidas por las presuntas  víctimas  no</w:t>
        <w:br/>
        <w:t>pueden ser valoradas aisladamente sino dentro del conjunto  de  las  pruebas</w:t>
        <w:br/>
        <w:t>del proceso, ya que son útiles en  la  medida  en  que  pueden  proporcionar</w:t>
        <w:br/>
        <w:t>mayor información sobre las presuntas violaciones y sus consecuencias[25].</w:t>
        <w:br/>
        <w:br/>
        <w:br/>
        <w:br/>
        <w:t>V</w:t>
        <w:br/>
        <w:t>CONSIDERACIÓN PREVIA SOBRE LAS PRESUNTAS VÍCTIMAS</w:t>
        <w:br/>
        <w:br/>
        <w:br/>
        <w:br/>
        <w:t>A  continuación  la  Corte  analizará  las  siguientes  solicitudes  de  los</w:t>
        <w:br/>
        <w:t>representantes:   a)   ampliación   del   número   de   presuntas   víctimas</w:t>
        <w:br/>
        <w:t>sobrevivientes; b) ampliación del número  de  familiares  de  las  presuntas</w:t>
        <w:br/>
        <w:t>víctimas fallecidas, y c)  inclusión  de  los  familiares  de  las  víctimas</w:t>
        <w:br/>
        <w:t>sobrevivientes como presuntas víctimas,  a  fin  de  establecer  previamente</w:t>
        <w:br/>
        <w:t>quiénes serán considerados como presuntas víctimas en el presente  caso.  La</w:t>
        <w:br/>
        <w:t>Corte advierte que tanto la Comisión como los representantes  utilizaron  de</w:t>
        <w:br/>
        <w:t>forma  indistinta  diversos  nombres  o  seudónimos  para  referirse  a  las</w:t>
        <w:br/>
        <w:t>presuntas víctimas del caso. En virtud de lo anterior, en el Anexo A que  se</w:t>
        <w:br/>
        <w:t>incorpora a la presente Sentencia se encuentran los nombres  utilizados  por</w:t>
        <w:br/>
        <w:t>la  Corte  en  este  Fallo,  así  como  los  otros  nombres   o   seudónimos</w:t>
        <w:br/>
        <w:t>eventualmente utilizados en los documentos aportados por las partes.</w:t>
        <w:br/>
        <w:br/>
        <w:t>A. Alegatos</w:t>
        <w:br/>
        <w:br/>
        <w:t>La Comisión, en su Informe de Fondo, individualizó como  presuntas  víctimas</w:t>
        <w:br/>
        <w:t>a  siete  personas  fallecidas[26],  13  personas  sobrevivientes[27]  y  51</w:t>
        <w:br/>
        <w:t>familiares de las personas fallecidas. Por otra parte,  la  Comisión  indicó</w:t>
        <w:br/>
        <w:t>en su Informe de Fondo que  “los  representantes  remitieron  una  lista  de</w:t>
        <w:br/>
        <w:t>víctimas  heridas  en  las  cuales  incluyeron  los   nombres   de   Noclair</w:t>
        <w:br/>
        <w:t>Florvilien, Rose Marie Petit-Homme Estilien, Joseph Dol  y  Silvie  Felizor,</w:t>
        <w:br/>
        <w:t>así como siete personas “con nombre desconocido”. No obstante,  la  Comisión</w:t>
        <w:br/>
        <w:t>no contaba “con información en  el  expediente  sobre  dichas  víctimas,  ni</w:t>
        <w:br/>
        <w:t>sobre los hechos y violaciones alegadas respecto de ellas. En virtud  de  lo</w:t>
        <w:br/>
        <w:t>anterior, la Comisión no [pudo] analizar las circunstancias que aplicaron  a</w:t>
        <w:br/>
        <w:t>ellos dentro del […] Informe de Fondo”. Posteriormente, en  la  presentación</w:t>
        <w:br/>
        <w:t>del caso ante la Corte, la Comisión señaló que “al  momento  de  aprobar  el</w:t>
        <w:br/>
        <w:t>[I]nforme [No.] 174/10, delimitó el universo de  víctimas,  dejando  abierto</w:t>
        <w:br/>
        <w:t>en las recomendaciones la obligación  del  Estado  de  ubicar  a  las  demás</w:t>
        <w:br/>
        <w:t>víctimas de los hechos. Tras la aprobación del  [I]nforme  de  [F]ondo,  los</w:t>
        <w:br/>
        <w:t>peticionarios  remitieron  a  la  Comisión  un  listado  de   personas   que</w:t>
        <w:br/>
        <w:t>considera[ron]  como  parte  de  los  sobrevivientes  y  familiares  de  las</w:t>
        <w:br/>
        <w:t>víctimas   ejecutadas”.   Finalmente,   además   de   los   51    familiares</w:t>
        <w:br/>
        <w:t>individualizados de las personas fallecidas, la Comisión  indicó,  de  forma</w:t>
        <w:br/>
        <w:t>indeterminada, una serie de hijos, hermanos  y  una  pareja  como  presuntas</w:t>
        <w:br/>
        <w:t>víctimas[28].</w:t>
        <w:br/>
        <w:br/>
        <w:t>Los representantes señalaron como presuntas  víctimas  a  las  mismas  siete</w:t>
        <w:br/>
        <w:t>personas   fallecidas   indicadas   por   la   Comisión[29],   14   personas</w:t>
        <w:br/>
        <w:t>sobrevivientes[30], ocho personas referidas como “otras  víctimas  (personas</w:t>
        <w:br/>
        <w:t>no identificadas en el caso, pero nombradas ab initio por el Estado)”[31]  y</w:t>
        <w:br/>
        <w:t>104  familiares  individualizados  de  las   personas   sobrevivientes   y/o</w:t>
        <w:br/>
        <w:t>fallecidas[32].   Además,   con   respecto   a   los   sobrevivientes,   los</w:t>
        <w:br/>
        <w:t>representantes aclararon que existió una confusión respecto de tres  de  las</w:t>
        <w:br/>
        <w:t>cuatro personas mencionadas por la Comisión en su Informe de  Fondo  que  no</w:t>
        <w:br/>
        <w:t>fueron incluidas como víctimas por la alegada falta  de  información  (supra</w:t>
        <w:br/>
        <w:t>párr. 27). Al respecto, los representantes  aclararon  que  la  señora  Rose</w:t>
        <w:br/>
        <w:t>Marie   Petit-Homme   Estilien   es   también    conocida    como    Cecilia</w:t>
        <w:br/>
        <w:t>Petithomme/Estilien o Cecilia  Petit-Homme;  la  señora  Sylvie  Felizor  es</w:t>
        <w:br/>
        <w:t>también conocida como Sylvie Thermeus y  el  señor  Joseph  Dol  es  también</w:t>
        <w:br/>
        <w:t>conocido como Joseph Desravine  o  Maudire  Felizor.  Asimismo,  acreditaron</w:t>
        <w:br/>
        <w:t>como presunta víctima sobreviviente al señor Noclair Florvilien.  Sobre  los</w:t>
        <w:br/>
        <w:t>familiares de las  víctimas  fallecidas  anunciados  por  la  Comisión  como</w:t>
        <w:br/>
        <w:t>hijos,   hermanos   y   pareja,    los    representantes    individualizaron</w:t>
        <w:br/>
        <w:t>adicionalmente  a  cuatro  hermanos  del  señor  Máximo   Rubén   de   Jesús</w:t>
        <w:br/>
        <w:t>Espinal[33]  y  a  una   hermana   de   la   señora   Pardis   Fortilus[34].</w:t>
        <w:br/>
        <w:t>Adicionalmente,  indicaron  que  Sylvie  Felizor  es  a   su   vez   víctima</w:t>
        <w:br/>
        <w:t>sobreviviente  y  hermana  de  la  víctima  fallecida   Roselene   Thermeus.</w:t>
        <w:br/>
        <w:t>Finalmente, los representantes aclararon que Sonide Nora,  presunta  víctima</w:t>
        <w:br/>
        <w:t>sobreviviente, quien inicialmente había sido indicada como  menor  de  edad,</w:t>
        <w:br/>
        <w:t>ya había cumplido la mayoría de edad al momento de los hechos.</w:t>
        <w:br/>
        <w:br/>
        <w:t>C. Consideraciones de la Corte</w:t>
        <w:br/>
        <w:br/>
        <w:t xml:space="preserve">   1.</w:t>
        <w:br/>
        <w:t xml:space="preserve">      Solicitud de ampliación del número de presuntas víctimas</w:t>
        <w:br/>
        <w:t xml:space="preserve">      sobrevivientes</w:t>
        <w:br/>
        <w:br/>
        <w:t>La Corte resalta que, de conformidad con el artículo 35.1 del Reglamento  de</w:t>
        <w:br/>
        <w:t>la Corte, el informe al que se refiere el artículo 50 de la Convención  debe</w:t>
        <w:br/>
        <w:t>contener  “todos  los  hechos  supuestamente   violatorios,   inclusive   la</w:t>
        <w:br/>
        <w:t>identificación de las presuntas víctimas”. En este  sentido,  corresponde  a</w:t>
        <w:br/>
        <w:t>la Comisión y no a este Tribunal, identificar con precisión y en  la  debida</w:t>
        <w:br/>
        <w:t>oportunidad procesal a las presuntas víctimas en un caso ante la  Corte[35].</w:t>
        <w:br/>
        <w:t>No obstante, el artículo 35.2 del  Reglamento  establece  que  “[c]uando  se</w:t>
        <w:br/>
        <w:t>justificare que no fue posible identificar  a  alguna  o  algunas  presuntas</w:t>
        <w:br/>
        <w:t>víctimas de los hechos del  caso  por  tratarse  de  casos  de   violaciones</w:t>
        <w:br/>
        <w:t>masivas o  colectivas,  el  Tribunal  decidirá  en  su  oportunidad  si  las</w:t>
        <w:br/>
        <w:t>considera víctimas”.</w:t>
        <w:br/>
        <w:br/>
        <w:t>Al respecto, la Corte advierte que los  hechos  del  caso  versan  sobre  la</w:t>
        <w:br/>
        <w:t>presunta violación de derechos humanos en perjuicio de  personas  migrantes,</w:t>
        <w:br/>
        <w:t>entre los cuales algunos perdieron la vida, otros fueron heridos y,  además,</w:t>
        <w:br/>
        <w:t>otros fueron supuestamente detenidos y  expulsados  del  país.  Lo  anterior</w:t>
        <w:br/>
        <w:t>permite considerar que, por una parte, los  hechos  del  caso  tratan  sobre</w:t>
        <w:br/>
        <w:t>presuntas violaciones colectivas y, por otra, que la calidad  migratoria  de</w:t>
        <w:br/>
        <w:t>las  presuntas  víctimas  supuestamente  expulsadas  y   su   condición   de</w:t>
        <w:br/>
        <w:t>vulnerabilidad y marginalización  puede,  en  el  presente  caso,  presentar</w:t>
        <w:br/>
        <w:t>complejidades en su efectiva identificación y  determinación.  Asimismo,  la</w:t>
        <w:br/>
        <w:t>Corte observa que mediante comunicación de  21  de  septiembre  de  2010,  a</w:t>
        <w:br/>
        <w:t>solicitud de la Comisión, los representantes  remitieron  un  escrito  a  la</w:t>
        <w:br/>
        <w:t>Comisión, en el que señalaron que anexaban  una  lista  de  víctimas  y  sus</w:t>
        <w:br/>
        <w:t>familiares. En este escrito, afirmaron  que  con  motivo  de  la  expulsión,</w:t>
        <w:br/>
        <w:t>algunas víctimas fueron obligadas a mudarse de manera frecuente,  y  que  el</w:t>
        <w:br/>
        <w:t>terremoto ocurrido en Haití el 12 de enero  de  2010  generó  una  serie  de</w:t>
        <w:br/>
        <w:t>complicaciones técnicas para localizar y comunicarse con las  víctimas,  por</w:t>
        <w:br/>
        <w:t>lo que resultó imposible entregar  un  listado  completo  y  actualizado  de</w:t>
        <w:br/>
        <w:t>dichas  personas.  Ante  lo  anterior,  solicitaron  a   la   Comisión   que</w:t>
        <w:br/>
        <w:t>considerara dicha situación extraordinaria y, a causa de  la  fuerza  mayor,</w:t>
        <w:br/>
        <w:t>permitiera  presentar  un  listado  actualizado  de   víctimas   en   tiempo</w:t>
        <w:br/>
        <w:t>futuro[36].</w:t>
        <w:br/>
        <w:br/>
        <w:t>Por tanto, la Corte estima que este caso se enmarca dentro del supuesto  del</w:t>
        <w:br/>
        <w:t>artículo 35.2 del Reglamento. En razón de ello, la  Corte  considerará  como</w:t>
        <w:br/>
        <w:t>presuntas víctimas a aquellas personas anunciadas  por  la  Comisión  en  su</w:t>
        <w:br/>
        <w:t>Informe de Fondo (supra párr. 27), derivadas de la lista  remitida  por  los</w:t>
        <w:br/>
        <w:t>representantes en el trámite ante la Comisión (supra párr. 30).</w:t>
        <w:br/>
        <w:br/>
        <w:t>En este sentido, en relación con los señores y señoras  Noclair  Florvilien,</w:t>
        <w:br/>
        <w:t>Rose Marie Petit-Homme Estilien, Joseph Dol y Silvie  Felizor,  la  Comisión</w:t>
        <w:br/>
        <w:t>advirtió sobre la remisión de la lista  de  los  representantes  en  la  que</w:t>
        <w:br/>
        <w:t>incluían sus nombres (supra  párr.  27);  no  obstante,  sin  fundamentación</w:t>
        <w:br/>
        <w:t>específica, afirmó no contar con mayor  información  para  declararlos  como</w:t>
        <w:br/>
        <w:t>víctimas. Por otra parte,  a  solicitud  de  los  representantes,  el  señor</w:t>
        <w:br/>
        <w:t>Florvilien rindió declaración en audiencia ante la Corte sin que  el  Estado</w:t>
        <w:br/>
        <w:t>o la Comisión se opusieran a ello. Así, además de  la  referida  declaración</w:t>
        <w:br/>
        <w:t>en audiencia,  la  Corte  cuenta  con  material  probatorio  suficiente  que</w:t>
        <w:br/>
        <w:t>permite determinar que el señor Noclair Florvillien  estuvo  involucrado  en</w:t>
        <w:br/>
        <w:t>los hechos  del  presente  caso  y,  como  tal,  será  considerado  presunta</w:t>
        <w:br/>
        <w:t>víctima[37].</w:t>
        <w:br/>
        <w:br/>
        <w:t>Por otra parte, la Corte observa que los representantes  aclararon  que  las</w:t>
        <w:br/>
        <w:t>señoras Rose  Marie  Petit-Homme  Estilien,  Joseph  Dol  y  Silvie  Felizor</w:t>
        <w:br/>
        <w:t>corresponden a los seudónimos de las mismas personas  identificadas  por  la</w:t>
        <w:br/>
        <w:t>Comisión en su Informe de Fondo[38] (supra párr. 27),  y  de  este  modo  la</w:t>
        <w:br/>
        <w:t>situación no conlleva una ampliación de presuntas víctimas sobrevivientes.</w:t>
        <w:br/>
        <w:br/>
        <w:t>En relación con las ocho personas anunciadas por  los  representantes  y  la</w:t>
        <w:br/>
        <w:t>Comisión  como  “otras  víctimas  no   identificadas   en   el   caso   pero</w:t>
        <w:br/>
        <w:t>supuestamente nombradas ab initio por el Estado” (supra  párr.  28)[39],  la</w:t>
        <w:br/>
        <w:t>Corte advierte que no cuenta con información suficiente para  identificar  a</w:t>
        <w:br/>
        <w:t>dichas personas en esta etapa procesal,  en  virtud  de  que  dentro  de  la</w:t>
        <w:br/>
        <w:t>prueba remitida por las partes, no existe documento que  permita  determinar</w:t>
        <w:br/>
        <w:t>con claridad el nombre y calidades de las presuntas víctimas, al  igual  que</w:t>
        <w:br/>
        <w:t>su relación con los hechos del caso. Por lo  tanto,  no  serán  consideradas</w:t>
        <w:br/>
        <w:t>como presuntas víctimas en el presente fallo.</w:t>
        <w:br/>
        <w:br/>
        <w:t>De lo anterior, la Corte  declara  que  serán  considerados  como  presuntas</w:t>
        <w:br/>
        <w:t>víctimas sobrevivientes a las 13 personas identificadas por la  Comisión[40]</w:t>
        <w:br/>
        <w:t>y el señor Noclair Florvilien.</w:t>
        <w:br/>
        <w:br/>
        <w:t xml:space="preserve">                                                                   2.</w:t>
        <w:br/>
        <w:t xml:space="preserve">   Solicitud de ampliación del número de familiares de las presuntas</w:t>
        <w:br/>
        <w:t xml:space="preserve">   víctimas fallecidas</w:t>
        <w:br/>
        <w:br/>
        <w:t>La  Corte  observa  que,  además  de  los  51  familiares  de  las  personas</w:t>
        <w:br/>
        <w:t>fallecidas individualizados por la Comisión,  ésta  hizo  referencia  en  el</w:t>
        <w:br/>
        <w:t>párrafo 104 de su Informe de  Fondo  a  una  serie  de  “hijos,  hermanos  y</w:t>
        <w:br/>
        <w:t>parejas” de manera innominada e indeterminada junto a  los  nombres  de  los</w:t>
        <w:br/>
        <w:t>familiares individualizados.  Específicamente,  en  los  casos  de  Ilfaudia</w:t>
        <w:br/>
        <w:t>Dorzema, Jacqueline Maxime, Nadege Dorzema y Pardis  Fortilus,  la  Comisión</w:t>
        <w:br/>
        <w:t>hizo referencia a “hijos”. En los casos de Máximo Rubén  de  Jesús  Espinal,</w:t>
        <w:br/>
        <w:t>Nadege Dorzema y Pardis Fortilus, la Comisión hizo referencia a  “hermanos”.</w:t>
        <w:br/>
        <w:t>Finalmente, en el caso de Roselene Thermeus, la Comisión hizo  referencia  a</w:t>
        <w:br/>
        <w:t>una “pareja”. A su vez, los representantes precisaron  que  Sylvie  Felizor,</w:t>
        <w:br/>
        <w:t>quien es también presunta víctima  sobreviviente,  es  hermana  de  Roselene</w:t>
        <w:br/>
        <w:t>Thermeus, presunta víctima fallecida. Al respecto,  la  Corte  nota  que  al</w:t>
        <w:br/>
        <w:t>corroborar dicha información con las listas de  familiares  presentadas  por</w:t>
        <w:br/>
        <w:t>los representantes, se desprende que los representantes  individualizaron  a</w:t>
        <w:br/>
        <w:t>cuatro hermanos del señor Máximo Rubén de Jesús Espinal[41] y a una  hermana</w:t>
        <w:br/>
        <w:t>de la señora Pardis Fortilus[42]. Sin embargo,  en  el  caso  de  la  señora</w:t>
        <w:br/>
        <w:t>Fortilus, adicionaron a su vez a su madrastra[43],  sin  que  este  supuesto</w:t>
        <w:br/>
        <w:t>hubiera sido referido en el enunciado de  familiares  del  párrafo  104  del</w:t>
        <w:br/>
        <w:t>Informe de Fondo.  Por  lo  anterior,  ya  que  dichas  personas  no  fueron</w:t>
        <w:br/>
        <w:t>debidamente individualizadas por la Comisión en su Informe  de  Fondo,  solo</w:t>
        <w:br/>
        <w:t>podrán ser considerados como presuntas víctimas en el presente caso  los  51</w:t>
        <w:br/>
        <w:t>familiares que fueron identificados por la Comisión con precisión  y  en  la</w:t>
        <w:br/>
        <w:t>debida oportunidad procesal (infra Anexo A).</w:t>
        <w:br/>
        <w:br/>
        <w:t xml:space="preserve">   3. Solicitud de inclusión de los familiares de las víctimas</w:t>
        <w:br/>
        <w:t xml:space="preserve">   sobrevivientes como presuntas víctimas</w:t>
        <w:br/>
        <w:br/>
        <w:t>Los  representantes  incluyeron  en  su  listado   de   presuntas   víctimas</w:t>
        <w:br/>
        <w:t>presentado en el  escrito  de  solicitudes  y  argumentos  a  53  familiares</w:t>
        <w:br/>
        <w:t>adicionales de algunas presuntas víctimas sobrevivientes,  para  que  fueran</w:t>
        <w:br/>
        <w:t>consideradas como presuntas víctimas por su propio derecho  y  beneficiarios</w:t>
        <w:br/>
        <w:t>de  eventuales  reparaciones.  Sin  embargo,  ya  que  los   familiares   de</w:t>
        <w:br/>
        <w:t>sobrevivientes  no  fueron  considerados  como  presuntas  víctimas  por  la</w:t>
        <w:br/>
        <w:t>Comisión ni se alegaron como titulares o beneficiarios de algún  derecho  en</w:t>
        <w:br/>
        <w:t>controversia en el presente  caso,  en  aplicación  del  artículo  35.1  del</w:t>
        <w:br/>
        <w:t>Reglamento y la jurisprudencia de este Tribunal (supra párr. 29),  no  serán</w:t>
        <w:br/>
        <w:t>considerados como presuntas víctimas en el presente caso.</w:t>
        <w:br/>
        <w:br/>
        <w:br/>
        <w:br/>
        <w:t xml:space="preserve">                                     VI</w:t>
        <w:br/>
        <w:br/>
        <w:t xml:space="preserve">                               HECHOS PROBADOS</w:t>
        <w:br/>
        <w:br/>
        <w:br/>
        <w:br/>
        <w:t>A. Antecedentes contextuales</w:t>
        <w:br/>
        <w:br/>
        <w:t>Esta Corte ha constatado que las primeras grandes migraciones  de  haitianos</w:t>
        <w:br/>
        <w:t>hacia la República Dominicana ocurrieron durante el primer tercio del  siglo</w:t>
        <w:br/>
        <w:t>20, cuando alrededor de  100  mil  personas  se  trasladaron  a  los  campos</w:t>
        <w:br/>
        <w:t>azucareros de aquel país. Los ingenios dominicanos estuvieron en  un  primer</w:t>
        <w:br/>
        <w:t>momento bajo el control de empresas  privadas  y  después,  en  su  mayoría,</w:t>
        <w:br/>
        <w:t>pasaron  al  control  del  Consejo  Estatal  del  Azúcar.  Muchos  migrantes</w:t>
        <w:br/>
        <w:t>haitianos pasaron a vivir de forma permanente en  la  República  Dominicana,</w:t>
        <w:br/>
        <w:t>constituyeron familia en este país y ahora viven  con  sus  hijos  y  nietos</w:t>
        <w:br/>
        <w:t>(segunda y tercera  generación  de  dominicanos  de  ascendencia  haitiana),</w:t>
        <w:br/>
        <w:t>quienes nacieron y han vivido en la República Dominicana[44].</w:t>
        <w:br/>
        <w:br/>
        <w:t>Según distintas estimaciones, en República Dominicana viven entre 900.000  y</w:t>
        <w:br/>
        <w:t>1,2 millones de haitianos y  dominicanos  de  ascendencia  haitiana[45].  La</w:t>
        <w:br/>
        <w:t>población total de República Dominicana es de aproximadamente  8.5  millones</w:t>
        <w:br/>
        <w:t>de habitantes y, según el Observatorio Migrantes del  Caribe,  la  población</w:t>
        <w:br/>
        <w:t>extranjera registrada en el país hasta 2011 era de 292,737 personas, de  las</w:t>
        <w:br/>
        <w:t>cuales 247,468 eran haitianos y 45,269  eran  de  otras  nacionalidades[46].</w:t>
        <w:br/>
        <w:t>Dicha migración de personas haitianas se da  mayormente  en  virtud  de  las</w:t>
        <w:br/>
        <w:t>condiciones de  degradación  ambiental  y  la  pobreza  en  Haití  y  de  la</w:t>
        <w:br/>
        <w:t>esperanza de oportunidades laborales y mejores  condiciones  socioeconómicas</w:t>
        <w:br/>
        <w:t>en República Dominicana. Asimismo, muchos  de  los  haitianos  en  República</w:t>
        <w:br/>
        <w:t>Dominicana sufren  condiciones  de  pobreza,  marginalidad  derivada  de  su</w:t>
        <w:br/>
        <w:t>estatus legal y falta de oportunidades[47].</w:t>
        <w:br/>
        <w:br/>
        <w:t>En el presente caso, tanto la Comisión como los representantes alegaron  que</w:t>
        <w:br/>
        <w:t>los hechos ocurridos se enmarcaron en un contexto de  discriminación  contra</w:t>
        <w:br/>
        <w:t>personas haitianas en República Dominicana. Por su parte el  Estado  sostuvo</w:t>
        <w:br/>
        <w:t>que  de  los  hechos  del  caso  no  se  desprende  que  existió  un   trato</w:t>
        <w:br/>
        <w:t>discriminatorio. Al respecto, la Corte considera que para la resolución  del</w:t>
        <w:br/>
        <w:t>presente caso no es necesario hacer  un  pronunciamiento  sobre  el  alegado</w:t>
        <w:br/>
        <w:t>contexto  de  discriminación  estructural   que   existiría   en   República</w:t>
        <w:br/>
        <w:t>Dominicana respecto de personas haitianas o de  descendencia  haitiana.  Sin</w:t>
        <w:br/>
        <w:t>perjuicio de lo anterior, la Corte analizará en el Capítulo VII-5 si, en  el</w:t>
        <w:br/>
        <w:t>presente caso, existió una  discriminación  en  razón  de  la  condición  de</w:t>
        <w:br/>
        <w:t>migrantes de las presuntas víctimas, de conformidad con el artículo  1.1  de</w:t>
        <w:br/>
        <w:t>la Convención.</w:t>
        <w:br/>
        <w:br/>
        <w:br/>
        <w:br/>
        <w:br/>
        <w:t>Hechos del caso</w:t>
        <w:br/>
        <w:br/>
        <w:t xml:space="preserve">   1. Persecución e incidente</w:t>
        <w:br/>
        <w:br/>
        <w:t>El 16 de junio de 2000 un grupo de nacionales haitianos llegaron al  poblado</w:t>
        <w:br/>
        <w:t>de  Ouanamithe  (Wanament),  en  Haití,  donde  pasaron  la  noche.  Al  día</w:t>
        <w:br/>
        <w:t>siguiente cruzaron el Río Masacre y  diversos  matorrales,  adentrándose  en</w:t>
        <w:br/>
        <w:t>territorio dominicano[48], hasta a llegar a un lugar en la región  de  Santa</w:t>
        <w:br/>
        <w:t>María, donde fueron recibidos por un dominicano del cual se  desconocen  sus</w:t>
        <w:br/>
        <w:t>datos, en cuya  casa  pasaron  la  noche  y  recibieron  comida[49].  En  la</w:t>
        <w:br/>
        <w:t>madrugada  del  18  de  junio  de  2000,  un  camión  marca  Daihatsu  color</w:t>
        <w:br/>
        <w:t>amarillo[50], conducido por el señor Félix Antonio Núñez Peña,  en  compañía</w:t>
        <w:br/>
        <w:t>del señor Máximo Rubén de Jesús Espinal, ambos de  nacionalidad  dominicana,</w:t>
        <w:br/>
        <w:t>inició el trayecto a la ciudad de Santiago de los  Caballeros  en  República</w:t>
        <w:br/>
        <w:t>Dominicana[51],    transportando    a    aproximadamente    30    nacionales</w:t>
        <w:br/>
        <w:t>haitianos[52], entre ellos el menor de edad Roland Israel[53]  y  una  mujer</w:t>
        <w:br/>
        <w:t>embarazada, Sylvie Felizor[54]. Los nacionales haitianos se  encontraban  de</w:t>
        <w:br/>
        <w:t>cuclillas o sentados en la parte  trasera  del  camión,  cubiertos  por  una</w:t>
        <w:br/>
        <w:t>lona[55].</w:t>
        <w:br/>
        <w:br/>
        <w:t>El camión pasó por un primer puesto de  control  sin  ser  detenido[56].  Al</w:t>
        <w:br/>
        <w:t>llegar  a  un   segundo   puesto   de   control   ubicado   en   Botoncillo,</w:t>
        <w:br/>
        <w:t>aproximadamente a las 3:00 horas, los  militares  que  se  encontraban  allí</w:t>
        <w:br/>
        <w:t>realizaron señales para que el camión se detuviera; sin embargo,  éste  tomó</w:t>
        <w:br/>
        <w:t>una desviación y continuó su marcha con destino al poblado de Copey[57].</w:t>
        <w:br/>
        <w:br/>
        <w:t>Ante  tal  situación,  cuatro  militares  pertenecientes   al   Destacamento</w:t>
        <w:br/>
        <w:t>Operativo  de  Fuerza  Fronteriza  abordaron  su  patrulla  e  iniciaron  la</w:t>
        <w:br/>
        <w:t>persecución del camión amarillo. Tras recorrer entre 2 y  5  kilómetros,  la</w:t>
        <w:br/>
        <w:t>patrulla alcanzó al camión y realizó  cambio  de  luces  y  sonidos  con  la</w:t>
        <w:br/>
        <w:t>bocina con la intención de que el  camión  se  detuviera;  no  obstante,  el</w:t>
        <w:br/>
        <w:t>conductor del camión continuó su  marcha[58].  La  carretera  que  recorrían</w:t>
        <w:br/>
        <w:t>ambos vehículos era irregular y se tenía poca visibilidad con motivo  de  la</w:t>
        <w:br/>
        <w:t>oscuridad de la madrugada. De igual forma, dicho camión iba en zigzag a  una</w:t>
        <w:br/>
        <w:t>“velocidad considerable”. El conductor de la patrulla recorría esa ruta  por</w:t>
        <w:br/>
        <w:t>primera vez, y este vehículo se encontraba a una distancia aproximada  entre</w:t>
        <w:br/>
        <w:t>150 y 300 metros del camión[59].</w:t>
        <w:br/>
        <w:br/>
        <w:t>Los militares realizaron numerosos disparos con sus armas  de  reglamento  y</w:t>
        <w:br/>
        <w:t>un fusil M16 en  dirección  al  camión[60],  los  cuales  impactaron  en  su</w:t>
        <w:br/>
        <w:t>compuerta trasera y en la cabina, no así en sus neumáticos[61].  Durante  el</w:t>
        <w:br/>
        <w:t>tiroteo, fue herido de muerte el acompañante del conductor Máximo  Rubén  de</w:t>
        <w:br/>
        <w:t>Jesús Espinal, cuyo cuerpo salió expulsado  del  camión[62].  Los  militares</w:t>
        <w:br/>
        <w:t>que se encontraban en persecución observaron el  cuerpo  del  señor  Espinal</w:t>
        <w:br/>
        <w:t>caer del vehículo, sin embargo continuaron su marcha sin detenerse[63].</w:t>
        <w:br/>
        <w:br/>
        <w:t>Respecto de  los  disparos  contra  el  camión,  se  detallan  declaraciones</w:t>
        <w:br/>
        <w:t>contrapuestas.  El  chofer  del  camión  y   las   víctimas   sobrevivientes</w:t>
        <w:br/>
        <w:t>sostuvieron que los militares sabían que el  camión  transportaba  personas,</w:t>
        <w:br/>
        <w:t>puesto que la lona que los cubría se movía o se levantó, la noche era  clara</w:t>
        <w:br/>
        <w:t>y constantemente gritaban pidiendo ayuda[64]. Por su  parte,  los  militares</w:t>
        <w:br/>
        <w:t>manifestaron que la lona se encontraba fija, la zona era oscura y en  ningún</w:t>
        <w:br/>
        <w:t>momento escucharon gritos ni vieron movimiento debajo de la lona[65].</w:t>
        <w:br/>
        <w:br/>
        <w:t>Kilómetros más adelante, en la sección  de  Copey,  el  camión  se  volcó  a</w:t>
        <w:br/>
        <w:t>orillas de la carretera, y  algunas  personas  quedaron  atrapadas  bajo  el</w:t>
        <w:br/>
        <w:t>vehículo[66]. De acuerdo con el chofer del camión, la humedad de  la  sangre</w:t>
        <w:br/>
        <w:t>producto de la herida de bala  sufrida  por  el  señor  Espinal,  sumado  al</w:t>
        <w:br/>
        <w:t>nerviosismo del momento, generó que perdiera el control del  camión  en  una</w:t>
        <w:br/>
        <w:t>curva y se volcara el vehículo[67]. Cuando los militares cruzaron una  curva</w:t>
        <w:br/>
        <w:t>el conductor de la patrulla perdió el control de ésta e  impactó  al  camión</w:t>
        <w:br/>
        <w:t>que se había volcado previamente[68].</w:t>
        <w:br/>
        <w:br/>
        <w:t>El  chofer  y  las  víctimas  sobrevivientes  manifestaron  que  cuando  los</w:t>
        <w:br/>
        <w:t>militares llegaron al sitio de la  volcadura,  al  ver  que  varias  de  las</w:t>
        <w:br/>
        <w:t>personas  que  se  encontraban  en  el  camión  salieron  corriendo  por  el</w:t>
        <w:br/>
        <w:t>nerviosismo de la situación, comenzaron a dispararles[69].  Específicamente,</w:t>
        <w:br/>
        <w:t>el señor Núñez Peña manifestó  que  “aún  conserv[a]  la  imagen  aterradora</w:t>
        <w:br/>
        <w:t>[del] momento que una nacional haitiana que pretendía cruzar  una  alambrada</w:t>
        <w:br/>
        <w:t>[…]  fue  fusilada,  al  igual  que  otros  dos  nacionales  haitianos   que</w:t>
        <w:br/>
        <w:t>pretendían salir del escenario fueron asesinados”[70].  No  obstante,  según</w:t>
        <w:br/>
        <w:t>los testimonios de los militares, cuando éstos  arribaron  al  sitio  de  la</w:t>
        <w:br/>
        <w:t>volcadura, al ver que algunas de las  personas  que  se  encontraban  en  el</w:t>
        <w:br/>
        <w:t>camión comenzaron a huir, realizaron varios disparos al aire[71].</w:t>
        <w:br/>
        <w:br/>
        <w:t>Según la prueba del expediente, se desprende que durante la  persecución  al</w:t>
        <w:br/>
        <w:t>camión, como consecuencia  de  impactos  de  proyectil  de  arma  de  fuego,</w:t>
        <w:br/>
        <w:t>perdieron  la  vida  Fritz   Alce[72],   Ilfaudia   Dorzema[73]   y   Nadege</w:t>
        <w:br/>
        <w:t>Dorzema[74], todos  de  nacionalidad  haitiana,  y  Máximo  Rubén  de  Jesús</w:t>
        <w:br/>
        <w:t>Espinal[75], de nacionalidad dominicana. Durante la  volcadura  del  camión,</w:t>
        <w:br/>
        <w:t>falleció Jacqueline Maxime debido  a  un  trauma  en  tórax  y  abdomen[76].</w:t>
        <w:br/>
        <w:t>Asimismo, Pardis Fortilus y Roselene  Thermeus  fallecieron  en  función  de</w:t>
        <w:br/>
        <w:t>disparos realizados con posterioridad a  la  volcadura  del  camión[77].  De</w:t>
        <w:br/>
        <w:t>conformidad con los certificados médicos, la causa  de  muerte  de  seis  de</w:t>
        <w:br/>
        <w:t>ellos se debió a heridas  de  bala,  principalmente  en  la  cabeza,  tórax,</w:t>
        <w:br/>
        <w:t>abdomen y otras partes del cuerpo.</w:t>
        <w:br/>
        <w:br/>
        <w:t>De  igual  forma,  la  Corte  observa  que  el  Estado  señaló   que   tenía</w:t>
        <w:br/>
        <w:t>conocimiento  de  al  menos  13  personas  sobrevivientes   que   resultaron</w:t>
        <w:br/>
        <w:t>heridas[78].  Sin  embargo,  de  la  prueba  aportada,  el  Tribunal   logro</w:t>
        <w:br/>
        <w:t>acreditar a las siguientes 10 personas  sobrevivientes  heridas:  Rose-Marie</w:t>
        <w:br/>
        <w:t>Petit-Homme[79], Michel Françoise,  Noclair  Florvilien,  Joseph  Desravine,</w:t>
        <w:br/>
        <w:t>Joseph Pierre, Renaud Tima, Selafoi Pierre, Sylvie Felizor, Josier Maxime  y</w:t>
        <w:br/>
        <w:t>Sonide Nora[80]; y al menos  cuatro  otros  sobrevivientes:  Roland  Israel,</w:t>
        <w:br/>
        <w:t>Rose-Marie Dol, Winique Honorio y Alphonse Oremis (infra párrs. 54 y 55).</w:t>
        <w:br/>
        <w:br/>
        <w:t xml:space="preserve">   2. Reacción de las autoridades frente al incidente</w:t>
        <w:br/>
        <w:br/>
        <w:t>Dos militares fueron  en  busca  de  personal  médico[81]  y  posteriormente</w:t>
        <w:br/>
        <w:t>ordenaron  a  las  víctimas  sobrevivientes  levantar  el  camión   que   se</w:t>
        <w:br/>
        <w:t>encontraba  volcado.  Al  ver  que  no  podían  levantarlo,  los   militares</w:t>
        <w:br/>
        <w:t>procedieron a asistirles[82]. En seguida, los militares,  con  la  ayuda  de</w:t>
        <w:br/>
        <w:t>algunos sobrevivientes, sacaron  a  las  personas  que  aún  se  encontraban</w:t>
        <w:br/>
        <w:t>atrapadas debajo del vehículo y  separaron  a  los  muertos  y  heridos.  Se</w:t>
        <w:br/>
        <w:t>ordenó a los sobrevivientes subir a los muertos y a los heridos de  gravedad</w:t>
        <w:br/>
        <w:t>en  las  ambulancias  para  que  fueran  llevadas   al   Hospital   Regional</w:t>
        <w:br/>
        <w:t>Universitario José María Cabral y Báez, en la ciudad de Santiago[83].</w:t>
        <w:br/>
        <w:br/>
        <w:t>Algunas de las personas que fueron trasladadas al hospital manifestaron  que</w:t>
        <w:br/>
        <w:t>los tratamientos que recibieron fueron “escasos o nulos”[84].  Un  total  de</w:t>
        <w:br/>
        <w:t>nueve personas fueron trasladadas al hospital y  al  menos  cinco  de  ellas</w:t>
        <w:br/>
        <w:t>quedaron internadas, entre ellos  Joseph  Desravine,  Sonide  Nora,  Noclair</w:t>
        <w:br/>
        <w:t>Florvilien, Josier Maxime y Michel Françoise[85].  Sin  embargo,  los  datos</w:t>
        <w:br/>
        <w:t>personales de ellos no fueron registrados al momento de su ingreso o  egreso</w:t>
        <w:br/>
        <w:t>del hospital[86].</w:t>
        <w:br/>
        <w:br/>
        <w:t>El 19 de junio de 2000 los cuerpos de los seis haitianos  fallecidos  fueron</w:t>
        <w:br/>
        <w:t>inhumados en  una  fosa  común  en  Gurabo,  República  Dominicana[87].  Los</w:t>
        <w:br/>
        <w:t>familiares de algunos de los  muertos  realizaron  el  entierro[88].  No  se</w:t>
        <w:br/>
        <w:t>desprende de la información aportada a este caso cuál fue el destino que  se</w:t>
        <w:br/>
        <w:t>dio a la víctima dominicana.</w:t>
        <w:br/>
        <w:br/>
        <w:t>El 20 de junio de 2000 el Instituto Regional  de  Patología  Forense  emitió</w:t>
        <w:br/>
        <w:t>informes preliminares sobre la causa de la  muerte  de  siete  personas.  En</w:t>
        <w:br/>
        <w:t>dichos  informes  se  indicó  que  el   caso   se   refería   a   “haitianos</w:t>
        <w:br/>
        <w:t>ilegales”[89].</w:t>
        <w:br/>
        <w:br/>
        <w:t xml:space="preserve">   3. Detención y expulsión</w:t>
        <w:br/>
        <w:br/>
        <w:t>El 18 de junio de 2000, luego  de  la  volcadura  del  camión,  11  personas</w:t>
        <w:br/>
        <w:t>sobrevivientes fueron detenidas[90]. Siendo que no se  efectuó  un  registro</w:t>
        <w:br/>
        <w:t>oficial de la detención de todas las personas,  la  Corte  únicamente  tiene</w:t>
        <w:br/>
        <w:t>conocimiento de la identificación de las  siguientes  siete  personas:  Rose</w:t>
        <w:br/>
        <w:t>Marie Dol, Sylvie Felizor,  Rose-Marie  Petit-Homme,  Renaud  Tima,  Selafoi</w:t>
        <w:br/>
        <w:t>Pierre, Joseph Pierre y el menor Roland Israel, quienes fueron  llevadas  al</w:t>
        <w:br/>
        <w:t>Destacamento Operativo de Inteligencia Fronteriza en Montecristi[91].  Horas</w:t>
        <w:br/>
        <w:t>más tarde del mismo 18 de junio de 2000, los detenidos fueron llevados a  un</w:t>
        <w:br/>
        <w:t>cuartel militar en Dajabón.</w:t>
        <w:br/>
        <w:br/>
        <w:t>En el cuartel militar de Dajabón, agentes militares del  cuartel  amenazaron</w:t>
        <w:br/>
        <w:t>con obligarlos a trabajar en el campo o bien darles dinero a dichos  agentes</w:t>
        <w:br/>
        <w:t>a cambio de que éstos los llevaran a la frontera con  Haití.  En  respuesta,</w:t>
        <w:br/>
        <w:t>los detenidos hicieron una colecta de dinero para  dárselo  a  los  agentes,</w:t>
        <w:br/>
        <w:t>quienes en horas de la tarde del mismo día los trasladaron a  la  ciudad  de</w:t>
        <w:br/>
        <w:t>Ouanaminthe (Wanament), en Haití[92]. Según declaraciones  de  las  personas</w:t>
        <w:br/>
        <w:t>detenidas, éstas no fueron puestas  oficialmente  bajo  arresto,  no  fueron</w:t>
        <w:br/>
        <w:t>informadas de haber hecho  algo  prohibido  o  ilegal,  no  les  permitieron</w:t>
        <w:br/>
        <w:t>contactar a un  abogado,  o  a  la  embajada  haitiana  ni  a  ninguna  otra</w:t>
        <w:br/>
        <w:t>persona[93]. Asimismo, los hombres, mujeres y el menor haitianos  no  fueron</w:t>
        <w:br/>
        <w:t>separados durante su detención y tampoco hubo distinción  en  el  trato  que</w:t>
        <w:br/>
        <w:t>recibieron en virtud de su condición[94].</w:t>
        <w:br/>
        <w:br/>
        <w:t xml:space="preserve">   4. Sobre el proceso en la jurisdicción militar</w:t>
        <w:br/>
        <w:br/>
        <w:t>El 19 de junio de 2000 la  Secretaría  de  Estado  de  las  Fuerzas  Armadas</w:t>
        <w:br/>
        <w:t>ordenó a una Junta Mixta de Oficiales Generales de las Fuerzas  Armadas  dar</w:t>
        <w:br/>
        <w:t>inicio a la  investigación  “minuciosa  y  exhaustiva”  de  los  hechos  del</w:t>
        <w:br/>
        <w:t>caso[95].</w:t>
        <w:br/>
        <w:br/>
        <w:t>El 23 de junio de 2000 la Junta Mixta de Oficiales Generales de las  Fuerzas</w:t>
        <w:br/>
        <w:t>Armadas emitió  un  informe  sobre  los  hechos,  en  el  cual  constan  las</w:t>
        <w:br/>
        <w:t>declaraciones iniciales de los cuatro militares  que  actuaron  durante  los</w:t>
        <w:br/>
        <w:t>mismos, así como de una de  las  personas  sobrevivientes,  del  chofer  del</w:t>
        <w:br/>
        <w:t>camión, y de otro testigo. Mediante dicho informe, con base en  el  artículo</w:t>
        <w:br/>
        <w:t>3 del Código de Justicia de las Fuerzas Armadas (Ley No. 3.483 de 1953),  se</w:t>
        <w:br/>
        <w:t>remitió  a  los  militares  Ferison  LaGrange  Vargas,  Santiago  Florentino</w:t>
        <w:br/>
        <w:t>Castilla, Bernardo de Aza Nuñez y Johannes Paul Franco  Camacho  al  Consejo</w:t>
        <w:br/>
        <w:t>de Guerra de Primera Instancia Mixto de las Fuerzas  Armadas  y  la  Policía</w:t>
        <w:br/>
        <w:t>Nacional (en adelante “Consejo de Guerra de  Primera  Instancia”)  para  ser</w:t>
        <w:br/>
        <w:t>juzgados; asimismo, ordenó  que  los  civiles  Ruddy  Jimenez  Ortiz,  Félix</w:t>
        <w:br/>
        <w:t>Antonio Núñez Peña y Ramón A. Estevez Liriano, involucrados en  el  presunto</w:t>
        <w:br/>
        <w:t>tráfico de personas, fueran puestos a disposición de la justicia  ordinaria.</w:t>
        <w:br/>
        <w:t>Por otra  parte,  en  el  informe  se  enfatizó  que  debía  realizarse  una</w:t>
        <w:br/>
        <w:t>investigación adicional sobre la denuncia en el sentido de que militares  de</w:t>
        <w:br/>
        <w:t>la zona se dedicaban a la tarea  de  “recolectar  dinero  para  permitir  el</w:t>
        <w:br/>
        <w:t>tráfico de [personas] indocumentad[a]s”. Finalmente,  el  informe  recomendó</w:t>
        <w:br/>
        <w:t>que no se tomara acción jurisdiccional ni disciplinaria en perjuicio de  los</w:t>
        <w:br/>
        <w:t>soldados rasos Pedro María  Peña  Santos,  Fernando  Contreras  Alcantara  y</w:t>
        <w:br/>
        <w:t>Wilkins Siri Tejada, por “no haber incurrido en faltas”[96].</w:t>
        <w:br/>
        <w:br/>
        <w:t>El 13 de julio de  2000  la  Fiscalía  del  Consejo  de  Guerra  de  Primera</w:t>
        <w:br/>
        <w:t>Instancia presentó “auto introductivo” al Juez de  Instrucción  del  Consejo</w:t>
        <w:br/>
        <w:t>de Guerra de Primera Instancia, requiriendo el  juzgamiento  de  los  cuatro</w:t>
        <w:br/>
        <w:t>soldados “como presuntos autores del  crimen  de  homicidio  voluntario,  en</w:t>
        <w:br/>
        <w:t>perjuicio de los extintos Maximo Rubén de Jesus Espinal, dominicano,  y  los</w:t>
        <w:br/>
        <w:t>nacionales  haitianos  [Jacqueline  Maxime,  Roselene   Thermeus,   Ilfaudia</w:t>
        <w:br/>
        <w:t>Dorzema, Nadege Dorzema, Pardis Fortilus y Fritz Alce]; además  de  causarle</w:t>
        <w:br/>
        <w:t>heridas a (6) personas más, en violación de los artículos  295,  304  y  309</w:t>
        <w:br/>
        <w:t>del Código Penal”[97].  Dicho  auto  introductivo  no  individualizó  a  las</w:t>
        <w:br/>
        <w:t>personas heridas. Ese mismo  día  la  Fiscalía  del  Consejo  de  Guerra  de</w:t>
        <w:br/>
        <w:t>Primera Instancia requirió al Secretario de Estado de  las  Fuerzas  Armadas</w:t>
        <w:br/>
        <w:t>poner en prisión a los referidos militares acusados[98]. Sin embargo, de  la</w:t>
        <w:br/>
        <w:t>prueba presentada ante la Corte no se desprende que dicha  orden  haya  sido</w:t>
        <w:br/>
        <w:t>cumplida.</w:t>
        <w:br/>
        <w:br/>
        <w:t>El 21 de julio de  2000  la  Fiscalía  del  Consejo  de  Guerra  de  Primera</w:t>
        <w:br/>
        <w:t>Instancia dio traslado de la causa al Juez de  Instrucción  del  Consejo  de</w:t>
        <w:br/>
        <w:t>Guerra de Primera Instancia para la calificación del  caso[99].  Este  Juez,</w:t>
        <w:br/>
        <w:t>en  la  misma  fecha,  profirió   auto   de   apertura   del   proceso[100].</w:t>
        <w:br/>
        <w:t>Seguidamente, el 24 de julio de 2000, el referido  Juzgado  emitió  auto  de</w:t>
        <w:br/>
        <w:t>“providencia calificativa” en  el  cual  indicó  que  “existen  indicios  de</w:t>
        <w:br/>
        <w:t>culpabilidad serios, graves, precisos  y  concordantes  que  comprometen  la</w:t>
        <w:br/>
        <w:t>responsabilidad penal” por el delito de  homicidio  voluntario  atribuido  a</w:t>
        <w:br/>
        <w:t>los cuatro militares y ordenó el traslado del caso al Magistrado  Procurador</w:t>
        <w:br/>
        <w:t>Fiscal del Consejo de Guerra de Primera Instancia[101].</w:t>
        <w:br/>
        <w:br/>
        <w:t>El 28 de julio de 2000 la Fiscalía del Consejo de  Guerra  levantó  acta  de</w:t>
        <w:br/>
        <w:t>acusación contra los militares por la muerte de las  siete  víctimas  y  las</w:t>
        <w:br/>
        <w:t>heridas causadas a otras  seis  personas,  especificando  que  existían  las</w:t>
        <w:br/>
        <w:t>siguientes circunstancias atenuantes:  a)  los  agentes  se  encontraban  en</w:t>
        <w:br/>
        <w:t>servicio ordenado por un superior; b) tenían información de que  pasaría  un</w:t>
        <w:br/>
        <w:t>vehículo con cargamento de  drogas;  c)  el  vehículo  trató  de  evadir  el</w:t>
        <w:br/>
        <w:t>chequeo; d) los militares observaron que se lanzó a una persona del  camión,</w:t>
        <w:br/>
        <w:t>lo cual les hizo suponer que pasaba algo  grave,  y  e)  los  haitianos  que</w:t>
        <w:br/>
        <w:t>venían “de contrabando, […] sentados algunos y otros acostados  y  envueltos</w:t>
        <w:br/>
        <w:t>con una lona, como si fueran paquetes”[102].</w:t>
        <w:br/>
        <w:br/>
        <w:t>El 5 de marzo de 2004 el Consejo  de  Guerra  de  Primera  Instancia  emitió</w:t>
        <w:br/>
        <w:t>sentencia en el proceso penal militar contra  los  agentes  involucrados  en</w:t>
        <w:br/>
        <w:t>los hechos, en la cual se encontraron  culpables  de  homicidio  a  Santiago</w:t>
        <w:br/>
        <w:t>Florentino Castilla y Bernardo de Aza Núñez y se les condenó  a  cinco  años</w:t>
        <w:br/>
        <w:t>de prisión. En la misma providencia se encontró  culpable  por  homicidio  a</w:t>
        <w:br/>
        <w:t>Ferison LaGrange Vargas;  sin  embargo,  debido  a  “amplias  circunstancias</w:t>
        <w:br/>
        <w:t>atenuantes”, se  le  condenó  a  una  pena  de  30  días  de  suspensión  de</w:t>
        <w:br/>
        <w:t>funciones. Finalmente, Johannes  Paul  Franco  Camacho  fue  encontrado  “no</w:t>
        <w:br/>
        <w:t>culpable de los hechos” y se descargó “de toda responsabilidad penal”[103].</w:t>
        <w:br/>
        <w:br/>
        <w:t>El mismo día, los  militares  Santiago  Florentino  Castilla,  Bernardo  Aza</w:t>
        <w:br/>
        <w:t>Núñez y Ferison LaGrange  interpusieron  recursos  de  apelación  contra  la</w:t>
        <w:br/>
        <w:t>sentencia condenatoria[104].  A  través  de  un  fallo  de  27  de  mayo  de</w:t>
        <w:br/>
        <w:t>2005[105], el Consejo de Guerra de Apelación Mixto de las Fuerzas Armadas  y</w:t>
        <w:br/>
        <w:t>la  Policía  Nacional  determinó  como  “bueno  y   válido”   los   recursos</w:t>
        <w:br/>
        <w:t>interpuestos por Bernardo  de  Aza  Nuñez  y  Santiago  Florentino  Castilla</w:t>
        <w:br/>
        <w:t>contra la  sentencia  de  fecha  5  de  marzo  de  2004,  y  “modific[ó]  la</w:t>
        <w:br/>
        <w:t>preindicada Sentencia” y ordenó el descargo de  los  acusados  con  base  en</w:t>
        <w:br/>
        <w:t>“los  artículos  321  y  327  del  Código  Penal  Dominicano”[106].  No  hay</w:t>
        <w:br/>
        <w:t>constancia en el  expediente  respecto  de  la  resolución  del  recurso  de</w:t>
        <w:br/>
        <w:t>apelación interpuesto por el señor Ferison LaGrange Vargas.</w:t>
        <w:br/>
        <w:br/>
        <w:t xml:space="preserve">   5. Sobre el proceso tramitado en la jurisdicción ordinaria</w:t>
        <w:br/>
        <w:br/>
        <w:t>El 30 de septiembre de 2002 los señores Telusma Fortilus, Rosemond  Dorsala,</w:t>
        <w:br/>
        <w:t>Nerve  Fortilus,  Allce  Gyfanord,  Alce  Ruteau,  Mirat  Dorsema  y   Onora</w:t>
        <w:br/>
        <w:t>Thermeus, familiares de las personas fallecidas, presentaron  una  solicitud</w:t>
        <w:br/>
        <w:t>de constitución en parte civil ante el Juzgado de Instrucción  del  Distrito</w:t>
        <w:br/>
        <w:t>Judicial de Montecristi[107]. Este juzgado denegó la solicitud  por  existir</w:t>
        <w:br/>
        <w:t>un proceso sobre los mismos hechos ante la jurisdicción militar.</w:t>
        <w:br/>
        <w:br/>
        <w:t>El 12 de marzo de 2003 los mismos  familiares  de  las  personas  fallecidas</w:t>
        <w:br/>
        <w:t>presentaron una demanda ante la  Suprema  Corte  de  Justicia  de  República</w:t>
        <w:br/>
        <w:t>Dominicana (en  adelante,  “Suprema  Corte”)  solicitando  el  traslado  del</w:t>
        <w:br/>
        <w:t>conocimiento  del  caso  a  la  justicia  ordinaria[108].  En  este  recurso</w:t>
        <w:br/>
        <w:t>alegaron la lentitud del proceso, y la necesidad de  transparencia  procesal</w:t>
        <w:br/>
        <w:t>para garantizar los derechos de las víctimas  y  sus  familiares.  Frente  a</w:t>
        <w:br/>
        <w:t>esta solicitud, la Suprema Corte emitió resolución de 3 de  enero  de  2005,</w:t>
        <w:br/>
        <w:t>en la cual “rechaz[ó] la demanda de designación de juez” en  virtud  de  que</w:t>
        <w:br/>
        <w:t>la justicia  militar  había  conocido  el  trámite  primeramente[109].  Esta</w:t>
        <w:br/>
        <w:t>decisión confirmó la competencia de la jurisdicción militar sobre el caso.</w:t>
        <w:br/>
        <w:br/>
        <w:t>El 2  de  agosto  de  2007  “las  víctimas  y  sus  representantes  [fueron]</w:t>
        <w:br/>
        <w:t>informadas de la decisión de la Suprema Corte de Justicia con [r]elación  al</w:t>
        <w:br/>
        <w:t>[c]onflicto de [j]urisdicción”[110].</w:t>
        <w:br/>
        <w:br/>
        <w:br/>
        <w:br/>
        <w:t xml:space="preserve">                                     VII</w:t>
        <w:br/>
        <w:br/>
        <w:t xml:space="preserve">                             DERECHOS AFECTADOS</w:t>
        <w:br/>
        <w:br/>
        <w:br/>
        <w:br/>
        <w:t>La consideración de los hechos probados a la luz de las disposiciones de  la</w:t>
        <w:br/>
        <w:t>Convención lleva a  la  conclusión  de  que  en  el  presente  caso  se  han</w:t>
        <w:br/>
        <w:t>vulnerado los siguientes derechos:</w:t>
        <w:br/>
        <w:br/>
        <w:br/>
        <w:t xml:space="preserve">     • VII-1: Derechos a la vida y a la integridad personal (artículos  4  y</w:t>
        <w:br/>
        <w:t xml:space="preserve">       5), en relación con las obligaciones de  respetar  y  garantizar  los</w:t>
        <w:br/>
        <w:t xml:space="preserve">       derechos y el deber  de  adoptar  disposiciones  de  derecho  interno</w:t>
        <w:br/>
        <w:t xml:space="preserve">       (artículos 1 y 2);</w:t>
        <w:br/>
        <w:br/>
        <w:br/>
        <w:t xml:space="preserve">     • VII-2: Derechos a la libertad personal, a la libre  circulación  y  a</w:t>
        <w:br/>
        <w:t xml:space="preserve">       las garantías</w:t>
        <w:br/>
        <w:t xml:space="preserve">       judiciales (artículos 7, 22 y 8), en relación con  la  obligación  de</w:t>
        <w:br/>
        <w:t xml:space="preserve">       respetar los derechos (artículo 1);</w:t>
        <w:br/>
        <w:br/>
        <w:br/>
        <w:t xml:space="preserve">     • VII-3: Derechos a las garantías judiciales y a la protección judicial</w:t>
        <w:br/>
        <w:t xml:space="preserve">       (artículos 8 y 25) en relación con las  obligaciones  de  respetar  y</w:t>
        <w:br/>
        <w:t xml:space="preserve">       garantizar los derechos (artículo 1);</w:t>
        <w:br/>
        <w:br/>
        <w:br/>
        <w:t xml:space="preserve">     • VII-4: Deber de adoptar disposiciones de  derecho  interno  (artículo</w:t>
        <w:br/>
        <w:t xml:space="preserve">       2), aunque con posterioridad a los hechos del caso  se  ha  subsanado</w:t>
        <w:br/>
        <w:t xml:space="preserve">       para el futuro esa violación, y</w:t>
        <w:br/>
        <w:br/>
        <w:br/>
        <w:t xml:space="preserve">     • VII-5: Deber de respetar y garantizar los derechos sin discriminación</w:t>
        <w:br/>
        <w:t xml:space="preserve">       (artículo 1.1 en relación con los derechos anteriormente descritos).</w:t>
        <w:br/>
        <w:br/>
        <w:br/>
        <w:br/>
        <w:t>VII-1</w:t>
        <w:br/>
        <w:t>DERECHOS A LA VIDA Y A LA INTEGRIDAD PERSONAL</w:t>
        <w:br/>
        <w:br/>
        <w:br/>
        <w:br/>
        <w:t>En este capítulo, la Corte analizará los hechos del caso a  la  luz  de  los</w:t>
        <w:br/>
        <w:t>derechos a la vida y a la integridad personal, relacionados con el deber  de</w:t>
        <w:br/>
        <w:t>respetar  y  garantizar  los  derechos  sin   discriminación,   tomando   en</w:t>
        <w:br/>
        <w:t>consideración los estándares sobre uso de la fuerza aplicables  al  presente</w:t>
        <w:br/>
        <w:t>caso, así como las acciones posteriores  al  incidente  que  pudieran  haber</w:t>
        <w:br/>
        <w:t>vulnerado la integridad personal de las presuntas víctimas.</w:t>
        <w:br/>
        <w:br/>
        <w:br/>
        <w:t>A.                                                                  Alegatos</w:t>
        <w:br/>
        <w:br/>
        <w:br/>
        <w:br/>
        <w:t>La Comisión alegó que los agentes  de  la  fuerza  pública  pueden  utilizar</w:t>
        <w:br/>
        <w:t>legítimamente la fuerza en ejercicio de sus  funciones,  pero  que  ese  uso</w:t>
        <w:br/>
        <w:t>“debe ser excepcional, […] planeado  y  limitado  proporcionalmente  […]  de</w:t>
        <w:br/>
        <w:t>forma que solo procederán  a  us[arlo]  cuando  se  hayan  agotado  y  hayan</w:t>
        <w:br/>
        <w:t>fracasado todos los demás medios de control”. En este sentido,  los  agentes</w:t>
        <w:br/>
        <w:t>de las fuerzas armadas dominicanas hicieron uso excesivo  de  la  fuerza  en</w:t>
        <w:br/>
        <w:t>los hechos sucedidos el 18 de junio de 2000 objeto de este  caso  en  virtud</w:t>
        <w:br/>
        <w:t>que: i) en ningún momento las personas  que  se  encontraban  en  el  camión</w:t>
        <w:br/>
        <w:t>dispararon o pusieron en peligro la vida de las personas que viajaban en  la</w:t>
        <w:br/>
        <w:t>patrulla ni de otras personas; ii) el hecho de que huyera a  alta  velocidad</w:t>
        <w:br/>
        <w:t>no implicaba un peligro para la vida de los miembros de la patrulla ni  para</w:t>
        <w:br/>
        <w:t>terceros; iii) el hecho potencial de que traficaban drogas y no personas  no</w:t>
        <w:br/>
        <w:t>implicaba un peligro actual e inminente para la patrulla ni  para  terceros;</w:t>
        <w:br/>
        <w:t>iv) todos los impactos de bala del camión estaban  en  la  parte  trasera  y</w:t>
        <w:br/>
        <w:t>ninguno en las llantas, y  v)  cuatro  personas  murieron  a  causa  de  los</w:t>
        <w:br/>
        <w:t>impactos de bala al camión, una al volcarse y dos  personas  muertas  fueron</w:t>
        <w:br/>
        <w:t>disparadas por la espalda”.</w:t>
        <w:br/>
        <w:br/>
        <w:t>Asimismo, la Comisión destacó que “históricamente la frontera de  Haití  con</w:t>
        <w:br/>
        <w:t>la Republica Dominicana ha sido y sigue siendo un  paso  de  gran  flujo  de</w:t>
        <w:br/>
        <w:t>migrantes haitianos en  busca  de  trabajo,  lo  cual  es  una  práctica  de</w:t>
        <w:br/>
        <w:t>conocimiento de las autoridades dominicanas”. El Estado tenía  conocimiento,</w:t>
        <w:br/>
        <w:t>además, de que el camión en  el  cual  se  transportaban  los  haitianos  se</w:t>
        <w:br/>
        <w:t>dedicaba a este tipo de  actividades,  en  virtud  de  lo  cual  había  sido</w:t>
        <w:br/>
        <w:t>detenido anteriormente. Por esta  razón,  los  agentes  debieron  considerar</w:t>
        <w:br/>
        <w:t>razonablemente  la  probabilidad  de  que  en  el  camión  se  transportaran</w:t>
        <w:br/>
        <w:t>personas y no drogas.</w:t>
        <w:br/>
        <w:br/>
        <w:t>Además, la Comisión argumentó que “la situación de riesgo a la vida y  miedo</w:t>
        <w:br/>
        <w:t>vivida por las personas  sobrevivientes  de  los  hechos  y  quienes  fueron</w:t>
        <w:br/>
        <w:t>detenidas, aplica de la misma forma que en  el  caso  de  las  personas  que</w:t>
        <w:br/>
        <w:t>perdieron la vida, [en incumplimiento] del deber de respeto y garantía a  su</w:t>
        <w:br/>
        <w:t>integridad  personal,  […]  por  el  temor  que  es  razonable  inferir  que</w:t>
        <w:br/>
        <w:t>sintieron en  el  momento  de  la  persecución,  el  tiroteo,  la  ejecución</w:t>
        <w:br/>
        <w:t>extrajudicial y heridas de gravedad de varios de sus compañeros  […]  y  por</w:t>
        <w:br/>
        <w:t>las heridas que sufrieron ellos”. Agregó que el Estado también incumplió  el</w:t>
        <w:br/>
        <w:t>deber de garantizar tales derechos al no adelantar una  investigación  seria</w:t>
        <w:br/>
        <w:t>y diligente para esclarecer lo sucedido.</w:t>
        <w:br/>
        <w:br/>
        <w:t>La  Comisión  argumentó  asimismo  que  se  había  vulnerado  la  integridad</w:t>
        <w:br/>
        <w:t>personal de los sobrevivientes por la falta de entrega de los restos de  las</w:t>
        <w:br/>
        <w:t>personas fallecidas a sus familiares, lo cual constituye  un  sufrimiento  y</w:t>
        <w:br/>
        <w:t>angustia adicional  en  su  perjuicio.  Asimismo,  derivado  del  temor  que</w:t>
        <w:br/>
        <w:t>sintieron los sobrevivientes luego de  la  persecución,  balacera,  y  haber</w:t>
        <w:br/>
        <w:t>sido obligados a levantar los cuerpos  de  los  muertos  y  los  heridos  de</w:t>
        <w:br/>
        <w:t>gravedad, así como por haber sido detenidos por agentes estatales sin  saber</w:t>
        <w:br/>
        <w:t>su destino, ser llevados a dos centros  de  detención  sin  informarles  sus</w:t>
        <w:br/>
        <w:t>derechos, amenazarlos con obligarlos a llevar a  cabo  trabajos  forzosos  y</w:t>
        <w:br/>
        <w:t>sin brindarles garantías judiciales.</w:t>
        <w:br/>
        <w:br/>
        <w:t>Los representantes coincidieron con los alegatos de la Comisión y  agregaron</w:t>
        <w:br/>
        <w:t>que los militares pudieron  conocer  que  el  camión  transportaba  personas</w:t>
        <w:br/>
        <w:t>puesto que los habían visto al deprenderse la lona que los cubría,  y  según</w:t>
        <w:br/>
        <w:t>testimonios de los  vecinos  de  la  localidad,  indicaron  haber  escuchado</w:t>
        <w:br/>
        <w:t>gritos que provenían del  camión.  Agregaron  que  “el  Estado  debió  haber</w:t>
        <w:br/>
        <w:t>actuado con la mayor prudencia al ejecutar  las  operaciones  y  al  decidir</w:t>
        <w:br/>
        <w:t>proceder a la utilización de la fuerza” y debieron explorarse otras  maneras</w:t>
        <w:br/>
        <w:t>de detener el vehículo. La actividad de la fuerza pública fue  “groseramente</w:t>
        <w:br/>
        <w:t>negligente”, lo que dejó evidenciado el “despotismo  y  el  abuso  de  poder</w:t>
        <w:br/>
        <w:t>ejercido” por los agentes del Estado frente  a  un  clima  de  “xenofobia  y</w:t>
        <w:br/>
        <w:t>racismo instaurado a nivel institucional”, lo  que  permeo  en  el  contexto</w:t>
        <w:br/>
        <w:t>general de los hechos  acaecidos.  Adicionalmente,  “el  asesinato  de  [dos</w:t>
        <w:br/>
        <w:t>personas que se encontraban bajo el control del Estado], acentúa  el  título</w:t>
        <w:br/>
        <w:t>de masacre atribuido en este caso”.</w:t>
        <w:br/>
        <w:br/>
        <w:t>Respecto de las afectaciones a la integridad  personal,  los  representantes</w:t>
        <w:br/>
        <w:t>alegaron que “posteriormente a la persecución, las acciones de  los  agentes</w:t>
        <w:br/>
        <w:t>del Estado también  violaron  el  derecho  a  la  integridad  moral  de  los</w:t>
        <w:br/>
        <w:t>restantes sobrevivientes identificados en la causa”. Además, precisaron  que</w:t>
        <w:br/>
        <w:t>“las víctimas tuvieron que obedecer a  las  órdenes  que,  bajo  amenaza  de</w:t>
        <w:br/>
        <w:t>armas  de  fuego  –ciertamente  elocuente–,   impartieron   los   militares,</w:t>
        <w:br/>
        <w:t>accediendo  a  transportar  los  cuerpos  de  las  personas   fallecidas   y</w:t>
        <w:br/>
        <w:t>gravemente heridas a las ambulancias. Este tipo de conductas, obedece[n]  al</w:t>
        <w:br/>
        <w:t>concepto de abuso de autoridad impartido  por  los  militares  que  allí  se</w:t>
        <w:br/>
        <w:t>encontraban, puesto que ni siquiera tuvieron  en  cuenta  que  había  niños,</w:t>
        <w:br/>
        <w:t>mujeres embarazadas y que las personas fallecidas eran familiares  y  amigos</w:t>
        <w:br/>
        <w:t>de los sobrevivientes”. En especial, las situaciones  de  “Silvie  Thermeus,</w:t>
        <w:br/>
        <w:t>[quien] estaba embarazada de 16 semanas al momento  de  la  detención  y  no</w:t>
        <w:br/>
        <w:t>obstante la misma [permaneció] en el mismo  recinto  que  el  resto  de  los</w:t>
        <w:br/>
        <w:t>detenidos, sin  recibir  cuidados  diferenciados  en  atención  al  especial</w:t>
        <w:br/>
        <w:t>estado de gravidez. Asimismo, resulta repudiable la conducta  asumida  hacia</w:t>
        <w:br/>
        <w:t>Roland Israel […], quien al  momento  de  los  hechos  tenía  14  años,  [y]</w:t>
        <w:br/>
        <w:t>tampoco recibi[ó]  un  tratamiento  acorde  a  su  situación  de  particular</w:t>
        <w:br/>
        <w:t>vulnerabilidad”.</w:t>
        <w:br/>
        <w:br/>
        <w:t>Asimismo, los representantes indicaron que  los  familiares  también  vieron</w:t>
        <w:br/>
        <w:t>violentados su  derecho  a  la  integridad  moral  por  el  sufrimiento  que</w:t>
        <w:br/>
        <w:t>padecieron sus seres queridos, derivado de  la  impunidad  que  persiste  en</w:t>
        <w:br/>
        <w:t>cuanto  a  los  crímenes  cometidos  en  perjuicio  de  las  víctimas  y  la</w:t>
        <w:br/>
        <w:t>consecuente falta de reparación y, finalmente, por  la  no  repatriación  de</w:t>
        <w:br/>
        <w:t>los cuerpos que impidió que los  familiares  de  las  víctimas  hicieran  el</w:t>
        <w:br/>
        <w:t>duelo adecuado para su pérdida y el posterior entierro  de  los  cuerpos  en</w:t>
        <w:br/>
        <w:t>una fosa común en República Dominicana, para lo cual tampoco se facilitó  el</w:t>
        <w:br/>
        <w:t>ingreso de los familiares al territorio para que pudieran acudir al acto  de</w:t>
        <w:br/>
        <w:t>sepultura.</w:t>
        <w:br/>
        <w:br/>
        <w:t>El Estado alegó, en audiencia pública, que el único interés de los  miembros</w:t>
        <w:br/>
        <w:t>de la patrulla era detener un posible tráfico de drogas o armas  que,  según</w:t>
        <w:br/>
        <w:t>fuentes oficiales, ocurriría esa noche en la  frontera,  y  no  tuvieron  en</w:t>
        <w:br/>
        <w:t>ningún momento la intención de ocasionar daños a  la  integridad  física  de</w:t>
        <w:br/>
        <w:t>las  personas  que  ocupaban  el  camión.  Lo   anterior   “adquirió   mayor</w:t>
        <w:br/>
        <w:t>credibilidad por la actitud temeraria ante las autoridades de los  ocupantes</w:t>
        <w:br/>
        <w:t>del camión, al [no asumir] al mandato de las autoridades de detenerse”.  Más</w:t>
        <w:br/>
        <w:t>aún, los agentes ignoraban que ese camión transportaba personas  puesto  que</w:t>
        <w:br/>
        <w:t>estaban cubiertos con una lona, lo cual sumado a la falta de iluminación  de</w:t>
        <w:br/>
        <w:t>la carretera, la oscuridad de la noche y la  posición  en  la  cual  estaban</w:t>
        <w:br/>
        <w:t>acomodados los ocupantes, les impidieron ver con claridad el cargamento  del</w:t>
        <w:br/>
        <w:t>vehículo.</w:t>
        <w:br/>
        <w:br/>
        <w:t>Respecto de la integridad personal de los sobrevivientes, el  Estado  señaló</w:t>
        <w:br/>
        <w:t>en audiencia pública que “no existe vínculo causal […], entre  las  lesiones</w:t>
        <w:br/>
        <w:t>actuales de las presuntas víctimas y de lo que les pudo  haber  ocurrido  en</w:t>
        <w:br/>
        <w:t>el año 2000. Es importante  recordar  que  han  pasado  11  años  y  que  la</w:t>
        <w:br/>
        <w:t>presunta ceguera y demás afectaciones a la salud que  han  alegado  […]  las</w:t>
        <w:br/>
        <w:t>presuntas víctimas en las declaraciones [en audiencia],  no  guardan  ningún</w:t>
        <w:br/>
        <w:t>vínculo causal con lo que le pudo haber ocurrido hace once  años  o  por  lo</w:t>
        <w:br/>
        <w:t>menos no consta en el expediente”. Además, manifestaron que  al  no  existir</w:t>
        <w:br/>
        <w:t>animus no puede ser sustentada la intención de de  los  agentes  del  Estado</w:t>
        <w:br/>
        <w:t>frente a los hechos.</w:t>
        <w:br/>
        <w:br/>
        <w:br/>
        <w:t>B.</w:t>
        <w:br/>
        <w:t xml:space="preserve">    Consideraciones de la Corte</w:t>
        <w:br/>
        <w:br/>
        <w:t>A continuación, la Corte analizará los hechos del presente caso a la luz  de</w:t>
        <w:br/>
        <w:t>lo expresado en su jurisprudencia constante sobre el derecho  a  la  vida  e</w:t>
        <w:br/>
        <w:t>integridad  personal  en  relación  con  las  obligaciones  de   respeto   y</w:t>
        <w:br/>
        <w:t>garantía[111], y en materia de uso de la fuerza[112], a fin de  pronunciarse</w:t>
        <w:br/>
        <w:t>sobre la alegada violación de los referidos derechos.</w:t>
        <w:br/>
        <w:br/>
        <w:t>En  este  sentido,  la  Corte  toma  nota  de  los   diversos   instrumentos</w:t>
        <w:br/>
        <w:t>internacionales en la materia, y en particular  de  los  Principios  Básicos</w:t>
        <w:br/>
        <w:t>sobre el empleo de la fuerza y  de  armas  de  fuego  por  los  funcionarios</w:t>
        <w:br/>
        <w:t>encargados  de  hacer  cumplir  la  ley  y  del  Código  de  conducta   para</w:t>
        <w:br/>
        <w:t>funcionarios  encargados  de  hacer  cumplir  la  ley[113]   (en   adelante,</w:t>
        <w:br/>
        <w:t>“Principios  sobre  el  uso  de  la  fuerza”   y   “Código   de   conducta”,</w:t>
        <w:br/>
        <w:t>respectivamente). Sobre esa base, considera que en el análisis  del  uso  de</w:t>
        <w:br/>
        <w:t>la fuerza por parte de agentes del Estado se  deben  tomar  en  cuenta  tres</w:t>
        <w:br/>
        <w:t>momentos fundamentales[114]: a) las acciones preventivas;  b)  las  acciones</w:t>
        <w:br/>
        <w:t>concomitantes a los hechos, y c) las acciones posteriores a los hechos.</w:t>
        <w:br/>
        <w:br/>
        <w:t xml:space="preserve">   1.                                                              Acciones</w:t>
        <w:br/>
        <w:t xml:space="preserve">       preventivas: legalidad y excepcionalidad del uso de la fuerza en</w:t>
        <w:br/>
        <w:t xml:space="preserve">       relación con el deber de garantía</w:t>
        <w:br/>
        <w:br/>
        <w:t>De los hechos del caso y de la prueba aportada en el proceso ante la  Corte,</w:t>
        <w:br/>
        <w:t>se desprende que, para el momento de los  hechos,  República  Dominicana  no</w:t>
        <w:br/>
        <w:t>contaba con una legislación que estableciera los parámetros para el  uso  de</w:t>
        <w:br/>
        <w:t>la fuerza por parte de agentes del  Estado.  En  este  sentido,  durante  la</w:t>
        <w:br/>
        <w:t>audiencia pública la Corte solicitó al Estado el envío de la  reglamentación</w:t>
        <w:br/>
        <w:t>del uso de la fuerza y de armas de fuego por  parte  de  la  Policía  y  del</w:t>
        <w:br/>
        <w:t>Ejército o quien estuviere ejerciendo funciones de control migratorio en  la</w:t>
        <w:br/>
        <w:t>frontera, además de los protocolos y procedimientos de acción en  el  manejo</w:t>
        <w:br/>
        <w:t>de la frontera y  equipos  autorizados  por  ley.  Igualmente,  solicitó  al</w:t>
        <w:br/>
        <w:t>Estado las reglas e información sobre las prácticas y entrenamientos  de  la</w:t>
        <w:br/>
        <w:t>fuerza pública dominicana en lo que respecta al uso de la fuerza y armas  de</w:t>
        <w:br/>
        <w:t>fuego[115].  En  relación  con  lo  anterior,  el  Estado  remitió   algunos</w:t>
        <w:br/>
        <w:t>documentos supuestamente sobre el uso de la fuerza y de armas  de  fuego  de</w:t>
        <w:br/>
        <w:t>los cuales no se desprende un marco regulatorio adecuado sobre  el  tema  en</w:t>
        <w:br/>
        <w:t>la época de los hechos e inclusive en la actualidad[116].</w:t>
        <w:br/>
        <w:br/>
        <w:t>Esta Corte ha establecido con anterioridad que existe un  deber  del  Estado</w:t>
        <w:br/>
        <w:t>de adecuar su  legislación  nacional  y  de  “vigilar  que  sus  cuerpos  de</w:t>
        <w:br/>
        <w:t>seguridad, a quienes les está  atribuido  el  uso  de  la  fuerza  legítima,</w:t>
        <w:br/>
        <w:t>respeten  el  derecho  a  la  vida  de  quienes  se   encuentren   bajo   su</w:t>
        <w:br/>
        <w:t>jurisdicción”[117]. El Estado debe ser claro  al  momento  de  demarcar  las</w:t>
        <w:br/>
        <w:t>políticas internas tratándose del uso de  la  fuerza  y  buscar  estrategias</w:t>
        <w:br/>
        <w:t>para implementar los Principios sobre  empleo  de  la  fuerza  y  Código  de</w:t>
        <w:br/>
        <w:t>conducta[118]. En este sentido debe dotar a los agentes de  distintos  tipos</w:t>
        <w:br/>
        <w:t>de armas, municiones  y  equipos  de  protección  que  le  permitan  adecuar</w:t>
        <w:br/>
        <w:t>materialmente su reacción de forma proporcional a los hechos  en  que  deban</w:t>
        <w:br/>
        <w:t>intervenir, restringiendo en la mayor medida el uso  de  armas  letales  que</w:t>
        <w:br/>
        <w:t>puedan ocasionar lesión o muerte[119].</w:t>
        <w:br/>
        <w:br/>
        <w:t>A su vez, el Estado debe  realizar  capacitaciones  a  sus  agentes  con  la</w:t>
        <w:br/>
        <w:t>finalidad de que conozcan las disposiciones legales que permiten el  uso  de</w:t>
        <w:br/>
        <w:t>las armas de fuego y que tengan el entrenamiento adecuado  para  que  en  el</w:t>
        <w:br/>
        <w:t>evento en que deban decidir acerca de su uso posean los elementos de  juicio</w:t>
        <w:br/>
        <w:t>para hacerlo[120]. Más aún, frente a infracciones administrativas, como  las</w:t>
        <w:br/>
        <w:t>migratorias, el Estado debe asegurar una capacitación acorde para  enfrentar</w:t>
        <w:br/>
        <w:t>la calidad de  la  infracción  y  la  situación  de  vulnerabilidad  de  las</w:t>
        <w:br/>
        <w:t>personas migrantes.</w:t>
        <w:br/>
        <w:br/>
        <w:t>En razón de  lo  anterior,  el  Estado  no  cumplió  con  su  obligación  de</w:t>
        <w:br/>
        <w:t>garantizar los derechos a la vida y a la integridad  personal  mediante  una</w:t>
        <w:br/>
        <w:t>adecuada legislación sobre el uso  de  la  fuerza,  tampoco  demostró  haber</w:t>
        <w:br/>
        <w:t>brindado  capacitación  y  entrenamiento  en  la  materia  a   los   agentes</w:t>
        <w:br/>
        <w:t>encargados  de  hacer  cumplir  la  ley  y  en  específico  a  los   agentes</w:t>
        <w:br/>
        <w:t>involucrados en los hechos del caso (infra párr. 87), en  contravención  del</w:t>
        <w:br/>
        <w:t>deber de garantía de los derechos a la vida y a la integridad  personal,  en</w:t>
        <w:br/>
        <w:t>conexión con el artículo 1.1 y de adopción de medidas  de  derecho  interno,</w:t>
        <w:br/>
        <w:t>dispuesto en el artículo 2 de la Convención[121].</w:t>
        <w:br/>
        <w:br/>
        <w:t xml:space="preserve">   2.                                                              Acciones</w:t>
        <w:br/>
        <w:t xml:space="preserve">      concomitantes a los hechos: legalidad, necesidad y proporcionalidad</w:t>
        <w:br/>
        <w:t xml:space="preserve">      en relación con el deber de respeto.</w:t>
        <w:br/>
        <w:br/>
        <w:t>La Corte observa que  de  los  hechos  del  caso  se  acreditó  que  agentes</w:t>
        <w:br/>
        <w:t>dominicanos abrieron fuego indiscriminado contra un camión amarillo  que  no</w:t>
        <w:br/>
        <w:t>se detuvo en un puesto de control. Para ello,  persiguieron  el  camión  por</w:t>
        <w:br/>
        <w:t>varios kilómetros, realizando disparos que impactaron a las personas que  se</w:t>
        <w:br/>
        <w:t>transportaban en éste, lo cual provocó la muerte de cuatro personas. Con  la</w:t>
        <w:br/>
        <w:t>posterior volcadura del camión, perdió la vida otra  persona  y  varias  más</w:t>
        <w:br/>
        <w:t>corrieron para salvar sus vidas; momento en el  cual  los  agentes  abrieron</w:t>
        <w:br/>
        <w:t>fuego provocando la muerte adicional de dos personas.  En  virtud  de  dicho</w:t>
        <w:br/>
        <w:t>despliegue  de  fuerza  murieron  seis  nacionales  haitianos,  un  nacional</w:t>
        <w:br/>
        <w:t>dominicano y al menos 10 personas más resultaron heridas (supra párrs. 48  y</w:t>
        <w:br/>
        <w:t>49). De la prueba que obra en el expediente, no se desprende ningún  indicio</w:t>
        <w:br/>
        <w:t>de que los migrantes estuvieran armados o hubieran accionado algún  tipo  de</w:t>
        <w:br/>
        <w:t>agresión contra los agentes,  lo  cual  fue  confirmado  por  los  militares</w:t>
        <w:br/>
        <w:t>involucrados en los hechos[122] y el Estado no lo desvirtuó.</w:t>
        <w:br/>
        <w:br/>
        <w:t>Al respecto, la Corte considera que durante el desarrollo de  un  evento  de</w:t>
        <w:br/>
        <w:t>despliegue de la autoridad, los  agentes  estatales,  en  la  medida  de  lo</w:t>
        <w:br/>
        <w:t>posible, deben realizar una evaluación de la situación y un plan  de  acción</w:t>
        <w:br/>
        <w:t>previo a su intervención. En este  sentido,  los  Principios  básicos  sobre</w:t>
        <w:br/>
        <w:t>empleo de la fuerza establecen que “los  funcionarios  encargados  de  hacer</w:t>
        <w:br/>
        <w:t>cumplir la ley no emplearán armas de fuego contra  las  personas,  salvo  en</w:t>
        <w:br/>
        <w:t>defensa propia o de otras personas, en caso de peligro inminente  de  muerte</w:t>
        <w:br/>
        <w:t>o lesiones graves, o con el propósito de evitar la  comisión  de  un  delito</w:t>
        <w:br/>
        <w:t>particularmente grave que entrañe una seria amenaza para la vida, o  con  el</w:t>
        <w:br/>
        <w:t>objeto de detener  a  una  persona  que  represente  ese  peligro  y  oponga</w:t>
        <w:br/>
        <w:t>resistencia a su autoridad, o para impedir su fuga, y sólo en  caso  de  que</w:t>
        <w:br/>
        <w:t>resulten insuficientes medidas menos extremas para lograr dichos  objetivos.</w:t>
        <w:br/>
        <w:t>En todo caso, sólo se podrá hacer uso intencional de  armas  letales  cuando</w:t>
        <w:br/>
        <w:t>sea absolutamente inevitable para proteger una vida”[123].</w:t>
        <w:br/>
        <w:br/>
        <w:t>a) El uso de la fuerza en el caso</w:t>
        <w:br/>
        <w:br/>
        <w:t>A fin de observar las medidas de actuación en caso que resulte imperioso  el</w:t>
        <w:br/>
        <w:t>uso de la fuerza, ésta debe realizarse en  armonía  con  los  principios  de</w:t>
        <w:br/>
        <w:t>legalidad, absoluta necesidad y proporcionalidad:</w:t>
        <w:br/>
        <w:br/>
        <w:br/>
        <w:t xml:space="preserve">    i.</w:t>
        <w:br/>
        <w:t xml:space="preserve">       Legalidad: el uso de la  fuerza  debe  estar  dirigido  a  lograr  un</w:t>
        <w:br/>
        <w:t xml:space="preserve">       objetivo legítimo; en este caso detener el vehículo que  desacató  un</w:t>
        <w:br/>
        <w:t xml:space="preserve">       alto en un puesto  de  control.  Frente  a  ello,  la  legislación  y</w:t>
        <w:br/>
        <w:t xml:space="preserve">       entrenamiento  debían  prever  la  forma  de   actuación   en   dicha</w:t>
        <w:br/>
        <w:t xml:space="preserve">       situación[124], lo cual no existía en el presente caso  (supra  párr.</w:t>
        <w:br/>
        <w:t xml:space="preserve">       79).</w:t>
        <w:br/>
        <w:br/>
        <w:br/>
        <w:t xml:space="preserve">   ii.                                                              Absoluta</w:t>
        <w:br/>
        <w:t xml:space="preserve">       necesidad: es preciso verificar si existen otros  medios  disponibles</w:t>
        <w:br/>
        <w:t xml:space="preserve">       para tutelar la vida e integridad  de  la  persona  o  situación  que</w:t>
        <w:br/>
        <w:t xml:space="preserve">       pretende  proteger,  de  conformidad  con  las   circunstancias   del</w:t>
        <w:br/>
        <w:t xml:space="preserve">       caso[125]. El Tribunal Europeo ha señalado que no se  puede  concluir</w:t>
        <w:br/>
        <w:t xml:space="preserve">       que se acredite el requisito de “absoluta necesidad” para utilizar la</w:t>
        <w:br/>
        <w:t xml:space="preserve">       fuerza  contra  personas  que  no  representen  un  peligro  directo,</w:t>
        <w:br/>
        <w:t xml:space="preserve">       “inclusive cuando la falta del uso  de  la  fuerza  resultare  en  la</w:t>
        <w:br/>
        <w:t xml:space="preserve">       perdida de la oportunidad de captura”[126]. Si  bien  los  hechos  en</w:t>
        <w:br/>
        <w:t xml:space="preserve">       este caso, en teoría, se podrían encuadrar en el supuesto  de  oponer</w:t>
        <w:br/>
        <w:t xml:space="preserve">       resistencia a la autoridad e impedir la fuga, la Corte considera que,</w:t>
        <w:br/>
        <w:t xml:space="preserve">       aún cuando la abstención del uso de la fuerza  hubiera  permitido  la</w:t>
        <w:br/>
        <w:t xml:space="preserve">       huida de las personas objeto de la acción  estatal,  los  agentes  no</w:t>
        <w:br/>
        <w:t xml:space="preserve">       debieron emplear la  fuerza  letal  frente  a  las  personas  que  no</w:t>
        <w:br/>
        <w:t xml:space="preserve">       representaban una amenaza o peligro real o inminente de los agentes o</w:t>
        <w:br/>
        <w:t xml:space="preserve">       terceros. En consecuencia, dicho  acontecimiento  no  constituyó,  en</w:t>
        <w:br/>
        <w:t xml:space="preserve">       definitiva, una situación de absoluta necesidad.</w:t>
        <w:br/>
        <w:br/>
        <w:br/>
        <w:t xml:space="preserve">  iii.</w:t>
        <w:br/>
        <w:t xml:space="preserve">       Proporcionalidad: el nivel de fuerza utilizado debe ser acorde con el</w:t>
        <w:br/>
        <w:t xml:space="preserve">       nivel de resistencia ofrecido[127]. Así, los agentes deben aplicar un</w:t>
        <w:br/>
        <w:t xml:space="preserve">       criterio de uso diferenciado y progresivo de la fuerza,  determinando</w:t>
        <w:br/>
        <w:t xml:space="preserve">       el grado de cooperación, resistencia o agresión de parte  del  sujeto</w:t>
        <w:br/>
        <w:t xml:space="preserve">       al cual se pretende  intervenir  y  con  ello,  emplear  tácticas  de</w:t>
        <w:br/>
        <w:t xml:space="preserve">       negociación, control o uso de fuerza, según corresponda[128].</w:t>
        <w:br/>
        <w:br/>
        <w:t>En el presente caso quedó acreditado que, si bien el camión  no  atendió  la</w:t>
        <w:br/>
        <w:t>señal de la autoridad, lo cual generó una persecución temeraria,  en  ningún</w:t>
        <w:br/>
        <w:t>momento existió alguna agresión o ataque de parte de  las  personas  que  se</w:t>
        <w:br/>
        <w:t>encontraban en el camión. Por  el  contrario,  los  agentes  accionaron,  de</w:t>
        <w:br/>
        <w:t>manera indiscriminada, armas de alto calibre ocasionando heridos y  muertos.</w:t>
        <w:br/>
        <w:t>Algunos testimonios inclusive señalaron haber escuchado gritos  de  auxilio,</w:t>
        <w:br/>
        <w:t>así como se acreditó que un cuerpo cayó del vehículo en movimiento, sin  que</w:t>
        <w:br/>
        <w:t>nada de esto frenara la actuación militar (supra párr. 44)</w:t>
        <w:br/>
        <w:br/>
        <w:t>Al  respecto,  la  Corte  estima  que  la  proporcionalidad   está   también</w:t>
        <w:br/>
        <w:t>relacionada con la planeación de medidas  preventivas,  toda  vez  que  ésta</w:t>
        <w:br/>
        <w:t>comporta una evaluación de la razonabilidad  del  uso  de  la  fuerza.  Para</w:t>
        <w:br/>
        <w:t>ello, resulta útil analizar los hechos bajo estricto  escrutinio  a  fin  de</w:t>
        <w:br/>
        <w:t>determinar: a) si con la implementación de medios menos lesivos  se  podrían</w:t>
        <w:br/>
        <w:t>evitar las afectaciones, y b) si existió proporcionalidad entre  el  uso  de</w:t>
        <w:br/>
        <w:t>la fuerza y el daño que estaba encaminado a repeler[129].</w:t>
        <w:br/>
        <w:br/>
        <w:t>Respecto de los medios empleados, la Corte reitera que  los  Estados  tienen</w:t>
        <w:br/>
        <w:t>el  deber  de  planear  adecuadamente  la  actividad  de  sus  agentes  para</w:t>
        <w:br/>
        <w:t>minimizar el uso de la fuerza y las fatalidades que  se  pudieran  presentar</w:t>
        <w:br/>
        <w:t>(infra párr. 81). Al respecto, la Corte observa que en el presente  caso  se</w:t>
        <w:br/>
        <w:t>pudieron emplear medios menos lesivos para obtener el  control  de  tránsito</w:t>
        <w:br/>
        <w:t>que se pretendía  y  evitar  una  persecución  violenta[130];  por  ejemplo,</w:t>
        <w:br/>
        <w:t>mediante la instalación de controles de tránsito, a  través  de  barricadas,</w:t>
        <w:br/>
        <w:t>reductores de velocidad, poncha  llantas  y/o  cámaras  que  permitieran  el</w:t>
        <w:br/>
        <w:t>registro e identificación pacífica de los implicados y el mejor control  del</w:t>
        <w:br/>
        <w:t>flujo vehicular en  la  zona.  Principalmente,  medidas  acordes  al  factor</w:t>
        <w:br/>
        <w:t>cotidiano del tránsito de personas  migrantes  en  la  zona.  Más  aún,  del</w:t>
        <w:br/>
        <w:t>acervo  probatorio  se  desprende  que  el   mismo   camión   amarillo   que</w:t>
        <w:br/>
        <w:t>transportaba a las presuntas víctimas había sido detenido el 28 de marzo  de</w:t>
        <w:br/>
        <w:t>2000, meses antes de los hechos, por haber sido sorprendido  por  [agentes],</w:t>
        <w:br/>
        <w:t>transportando 50 nacionales  haitianos  indocumentados,  en  la  sección  de</w:t>
        <w:br/>
        <w:t>Santa María jurisdicción Montecristi[131].</w:t>
        <w:br/>
        <w:br/>
        <w:t>En definitiva, el Estado pudo prever medidas menos extremas para  lograr  el</w:t>
        <w:br/>
        <w:t>mismo objetivo. Inclusive, frente al supuesto tráfico de  estupefacientes  o</w:t>
        <w:br/>
        <w:t>armas, el Estado no demostró la implementación de un operativo  destinado  a</w:t>
        <w:br/>
        <w:t>tal efecto, por el contrario la  actividad  estatal  demostró  la  falta  de</w:t>
        <w:br/>
        <w:t>planeación,  capacitación  y  organización,  lo  que  resultó  en   acciones</w:t>
        <w:br/>
        <w:t>altamente  desproporcionadas  por  parte  de  los  agentes   militares.   Al</w:t>
        <w:br/>
        <w:t>respecto, este Tribunal ha considerado que “en todo caso de  uso  de  fuerza</w:t>
        <w:br/>
        <w:t>[por parte de agentes estatales] que haya producido la muerte o  lesiones  a</w:t>
        <w:br/>
        <w:t>una o más personas, corresponde al  Estado  la  obligación  de  proveer  una</w:t>
        <w:br/>
        <w:t>explicación satisfactoria y convincente de  lo  sucedido  y  desvirtuar  las</w:t>
        <w:br/>
        <w:t>alegaciones  sobre  su  responsabilidad,  mediante   elementos   probatorios</w:t>
        <w:br/>
        <w:t>adecuados”[132], lo cual no ha sido acreditado en el presente caso.</w:t>
        <w:br/>
        <w:br/>
        <w:t>Lo anterior evidencia en el caso la falta de una reglamentación clara  y  de</w:t>
        <w:br/>
        <w:t>una política pública de prevención del uso de la fuerza y de  implementación</w:t>
        <w:br/>
        <w:t>de medios de disuasión no letales con un equipo defensivo adecuado  para  el</w:t>
        <w:br/>
        <w:t>manejo de este tipo de situaciones[133] (supra párr. 80).</w:t>
        <w:br/>
        <w:br/>
        <w:t>En conclusión, no  se  acreditó  la  legalidad  ni  absoluta  necesidad  que</w:t>
        <w:br/>
        <w:t>motivara accionar la fuerza letal durante  la  persecución,  ya  que  no  se</w:t>
        <w:br/>
        <w:t>estaba repeliendo una agresión o peligro inminente[134]. Como  consecuencia,</w:t>
        <w:br/>
        <w:t>la grave situación ocasionada fue el resultado,  al  menos  negligente,  del</w:t>
        <w:br/>
        <w:t>uso desproporcionado de la fuerza imputable al Estado por el actuar  de  los</w:t>
        <w:br/>
        <w:t>funcionarios encargados de hacer cumplir la ley. Asimismo, la Corte  observa</w:t>
        <w:br/>
        <w:t>que en el contexto de discriminación contra migrantes, el uso de  la  fuerza</w:t>
        <w:br/>
        <w:t>desmedido en el  caso,  demostró  la  falta  de  implementación  de  medidas</w:t>
        <w:br/>
        <w:t>razonables y adecuadas para lidiar con esta situación en perjuicio  de  este</w:t>
        <w:br/>
        <w:t>grupo de personas haitianas.</w:t>
        <w:br/>
        <w:br/>
        <w:t xml:space="preserve">       b) Privación arbitraria de la vida</w:t>
        <w:br/>
        <w:br/>
        <w:t>La Corte ha establecido que cuando los agentes estatales emplean  la  fuerza</w:t>
        <w:br/>
        <w:t>ilegítima, excesiva o desproporcionada, como  en  el  presente  caso,  dando</w:t>
        <w:br/>
        <w:t>lugar a la pérdida de la vida, se considera una privación arbitraria  de  la</w:t>
        <w:br/>
        <w:t>misma[135]. Como consecuencia, las muertes de cuatro personas  por  disparos</w:t>
        <w:br/>
        <w:t>de arma de fuego, ocasionadas durante la  persecución  del  vehículo  (supra</w:t>
        <w:br/>
        <w:t>párr. 48), constituyen privaciones arbitrarias de la  vida,  atribuibles  al</w:t>
        <w:br/>
        <w:t>Estado en perjuicio de  Fritz  Alce,  Ilfaudia  Dorzema,  Nadege  Dorzema  y</w:t>
        <w:br/>
        <w:t>Máximo Rubén de Jesús Espinal.</w:t>
        <w:br/>
        <w:br/>
        <w:t xml:space="preserve">       c)</w:t>
        <w:br/>
        <w:t xml:space="preserve">   Ejecuciones extrajudiciales</w:t>
        <w:br/>
        <w:br/>
        <w:t>Adicionalmente, siendo que agentes del  Estado  dispararon  contra  personas</w:t>
        <w:br/>
        <w:t>que huían tratando de salvar sus vidas, luego de la  volcadura  del  camión,</w:t>
        <w:br/>
        <w:t>la Corte analizará las particularidades  y  consecuencias  de  este  segundo</w:t>
        <w:br/>
        <w:t>instante.</w:t>
        <w:br/>
        <w:br/>
        <w:t>De conformidad con la autopsia practicada a las señoras  Pardis  Fortilus  y</w:t>
        <w:br/>
        <w:t>Roselene  Thermeus,  éstas  recibieron  disparos   en   tórax,   abdomen   y</w:t>
        <w:br/>
        <w:t>espalda[136]. Lo anterior, también es corroborado por las  declaraciones  de</w:t>
        <w:br/>
        <w:t>diversos  testigos,  quienes  afirmaron  que  dichas   personas   recibieron</w:t>
        <w:br/>
        <w:t>disparos mientras huían (supra párrs. 47 y 48).</w:t>
        <w:br/>
        <w:br/>
        <w:t>Sobre  el  particular,  el  Relator  Especial  de  Naciones   Unidas   sobre</w:t>
        <w:br/>
        <w:t>Ejecuciones Extrajudiciales ha sostenido que existe  intencionalidad  cuando</w:t>
        <w:br/>
        <w:t>hay cierto grado de premeditación al generar una muerte, “en  la  medida  en</w:t>
        <w:br/>
        <w:t>que una decisión que se adopta por anticipado y que descarta la  posibilidad</w:t>
        <w:br/>
        <w:t>de ofrecer o aceptar la oportunidad de rendirse, determina la ilegalidad  de</w:t>
        <w:br/>
        <w:t>dichas operaciones”[137]. Es decir, que de las acciones emprendidas por  los</w:t>
        <w:br/>
        <w:t>agentes se puede derivar que no se permitió a las personas  la  rendición  y</w:t>
        <w:br/>
        <w:t>en su caso acciones graduales para lograr su  detención,  sino  que  por  el</w:t>
        <w:br/>
        <w:t>contrario se procedió a  utilizar  armas  letales  que  les  ocasionaron  la</w:t>
        <w:br/>
        <w:t>muerte.</w:t>
        <w:br/>
        <w:br/>
        <w:t>La Corte considera que, en el presente caso,  de  la  actuación  del  Estado</w:t>
        <w:br/>
        <w:t>frente a estas dos personas que corrían, se puede desprender la comisión  de</w:t>
        <w:br/>
        <w:t>ejecuciones extrajudiciales, derivadas del  empleo  deliberado  del  uso  de</w:t>
        <w:br/>
        <w:t>armas letales dirigidas  a  privarlas  de  la  vida,  máxime  su  estado  de</w:t>
        <w:br/>
        <w:t>indefensión, sin que estas representaran en definitiva una amenaza.</w:t>
        <w:br/>
        <w:br/>
        <w:t>Por las razones anteriores, la  Corte  concluye  que,  con  motivo  del  uso</w:t>
        <w:br/>
        <w:t>ilegítimo, innecesario y desproporcional de la fuerza, el  Estado  violó  el</w:t>
        <w:br/>
        <w:t>derecho a la vida dispuesto en el artículo 4.1 de  la  Convención  Americana</w:t>
        <w:br/>
        <w:t>sobre Derechos Humanos, en relación con el artículo 1.1 de la misma,  en  su</w:t>
        <w:br/>
        <w:t>dimensión de respeto, con motivo de la privación arbitraria de  la  vida  de</w:t>
        <w:br/>
        <w:t>Fritz Alce, Ilflaudia Dorzema, Nadege Dorzema, Jacqueline  Maxime  y  Máximo</w:t>
        <w:br/>
        <w:t>Rubén de Jesús Espinal. Asimismo, la  Corte  encuentra  responsabilidad  del</w:t>
        <w:br/>
        <w:t>Estado  por  la  ejecución  extrajudicial  de  Pardis  Fortilus  y  Roselene</w:t>
        <w:br/>
        <w:t>Thermeus en contravención de los mismos artículos.</w:t>
        <w:br/>
        <w:br/>
        <w:t xml:space="preserve">       d)</w:t>
        <w:br/>
        <w:t xml:space="preserve">   Afectaciones a la integridad personal de los sobrevivientes</w:t>
        <w:br/>
        <w:br/>
        <w:t>En este mismo sentido, la Corte encuentra que con motivo del despliegue  del</w:t>
        <w:br/>
        <w:t>uso ilegítimo, innecesario y desproporcionado de la fuerza, al  menos  otras</w:t>
        <w:br/>
        <w:t>cinco personas sobrevivientes fueron heridas con proyectil de arma de  fuego</w:t>
        <w:br/>
        <w:t>durante los hechos, a saber: Noclair Florvilien,  Joseph  Desvraine,  Sylvie</w:t>
        <w:br/>
        <w:t>Felizor, Michel Françoise y Sonide Nora.  Asimismo,  al  menos  otras  cinco</w:t>
        <w:br/>
        <w:t>personas fueron heridas con motivo del accidente automovilístico,  a  saber:</w:t>
        <w:br/>
        <w:t>Rose-Marie Petit-Home, Joseph Pierre, Renaud Tima, Selafoi Pierre, y  Josier</w:t>
        <w:br/>
        <w:t>Maxime.  Según  certificados  médicos,  dichas  víctimas  sufrieron  también</w:t>
        <w:br/>
        <w:t>afectaciones a su integridad psicofísica con motivo  de  los  hechos  (supra</w:t>
        <w:br/>
        <w:t>párr. 51). Por otra parte, los señores Honorio  Winique  y  Alphonse  Oremis</w:t>
        <w:br/>
        <w:t>también sobrevivieron a la persecución y al incidente  automovilístico[138].</w:t>
        <w:br/>
        <w:t>Por tanto, la Corte encuentra al Estado  responsable  de  la  violación  del</w:t>
        <w:br/>
        <w:t>deber de respetar el derecho  a  la  integridad  personal  dispuesto  en  el</w:t>
        <w:br/>
        <w:t>artículo 5.1 de la Convención, en relación con el artículo 1.1 de la  misma.</w:t>
        <w:br/>
        <w:t>Además, pese al conocimiento de esta situación, el Estado  no  individualizó</w:t>
        <w:br/>
        <w:t>en la investigación  a  las  personas  heridas,  por  lo  que  estos  hechos</w:t>
        <w:br/>
        <w:t>quedaron impunes (supra párr. 61), en contravención del  deber  de  garantía</w:t>
        <w:br/>
        <w:t>del derecho a la integridad personal.</w:t>
        <w:br/>
        <w:br/>
        <w:t xml:space="preserve">   3.                                                               Acciones</w:t>
        <w:br/>
        <w:t xml:space="preserve">      posteriores a los hechos: debida diligencia y humanidad</w:t>
        <w:br/>
        <w:t xml:space="preserve">      en relación con el deber de garantía del derecho a la vida y a</w:t>
        <w:br/>
        <w:t xml:space="preserve">      la integridad personal</w:t>
        <w:br/>
        <w:br/>
        <w:t>A  continuación,  la  Corte  analizará  los  alegatos  relacionados  con  la</w:t>
        <w:br/>
        <w:t>obligación de garantizar los derechos a la vida e  integridad  personal  sin</w:t>
        <w:br/>
        <w:t>discriminación,  a  través  de  los  siguientes  acápites:  a)   la   debida</w:t>
        <w:br/>
        <w:t>diligencia en las investigaciones; b) el trato a los  sobrevivientes,  y  c)</w:t>
        <w:br/>
        <w:t>el trato a las personas fallecidas.</w:t>
        <w:br/>
        <w:br/>
        <w:t>La Corte observa que, de conformidad con los Principios sobre el  Empleo  de</w:t>
        <w:br/>
        <w:t>la Fuerza, en caso de presentarse heridos luego del despliegue de la  misma,</w:t>
        <w:br/>
        <w:t>se les debe prestar y facilitar los  servicios  médicos  correspondientes  y</w:t>
        <w:br/>
        <w:t>notificar  lo  sucedido  lo  antes  posible  a  los   parientes   o   amigos</w:t>
        <w:br/>
        <w:t>íntimos[139]. Además, se debe proceder  con  la  rendición  de  informes  de</w:t>
        <w:br/>
        <w:t>situación, los cuales deberán tener supervisión administrativa  y  judicial.</w:t>
        <w:br/>
        <w:t>De igual forma, debe existir una investigación de  los  hechos  que  permita</w:t>
        <w:br/>
        <w:t>determinar el  grado  y  modo  de  la  participación  de  cada  uno  de  los</w:t>
        <w:br/>
        <w:t>interventores, sean materiales o intelectuales, y con ello,  establecer  las</w:t>
        <w:br/>
        <w:t>responsabilidades que puedan corresponder[140].</w:t>
        <w:br/>
        <w:br/>
        <w:t xml:space="preserve">       a)                                                             Debida</w:t>
        <w:br/>
        <w:t xml:space="preserve">            diligencia</w:t>
        <w:br/>
        <w:br/>
        <w:t>La prohibición general a los  agentes  del  Estado  de  privar  de  la  vida</w:t>
        <w:br/>
        <w:t>arbitrariamente  sería  ineficaz  si  no  existieran   procedimientos   para</w:t>
        <w:br/>
        <w:t>verificar la legalidad del uso letal  de  la  fuerza  ejercida  por  agentes</w:t>
        <w:br/>
        <w:t>estatales[141].  La  Corte  ha  entendido  que  la  obligación  general   de</w:t>
        <w:br/>
        <w:t>garantizar los derechos humanos consagrados en la Convención,  contenida  en</w:t>
        <w:br/>
        <w:t>el artículo 1.1 de la misma, contiene la obligación de investigar los  casos</w:t>
        <w:br/>
        <w:t>de violaciones del derecho sustantivo que debe  ser  amparado,  protegido  o</w:t>
        <w:br/>
        <w:t>garantizado[142]. Esta obligación general se ve especialmente  acentuada  en</w:t>
        <w:br/>
        <w:t>casos de uso de la fuerza letal. Una vez que se tenga  conocimiento  de  que</w:t>
        <w:br/>
        <w:t>sus agentes de seguridad han hecho uso de armas de fuego  con  consecuencias</w:t>
        <w:br/>
        <w:t>letales, el Estado está obligado a iniciar ex officio  y  sin  dilación  una</w:t>
        <w:br/>
        <w:t>investigación seria, independiente, imparcial y efectiva[143] (infra  párrs.</w:t>
        <w:br/>
        <w:t>183  a  186).  Esta  obligación  constituye  un   elemento   fundamental   y</w:t>
        <w:br/>
        <w:t>condicionante para la protección del derecho a la vida que se ve anulado  en</w:t>
        <w:br/>
        <w:t>esas situaciones[144].</w:t>
        <w:br/>
        <w:br/>
        <w:t>Asimismo, “en casos de ejecuciones extrajudiciales es  fundamental  que  los</w:t>
        <w:br/>
        <w:t>Estados investiguen efectivamente la privación  del  derecho  a  la  vida  y</w:t>
        <w:br/>
        <w:t>castiguen a todos sus responsables, especialmente cuando están  involucrados</w:t>
        <w:br/>
        <w:t>agentes estatales, ya que de no ser así se estarían creando,  dentro  de  un</w:t>
        <w:br/>
        <w:t>ambiente de impunidad, las condiciones para que se repitan estos hechos,  lo</w:t>
        <w:br/>
        <w:t>que es contrario  al  deber  de  respetar  y  garantizar  el  derecho  a  la</w:t>
        <w:br/>
        <w:t>vida[145]. Además, si los hechos violatorios a los derechos humanos  no  son</w:t>
        <w:br/>
        <w:t>investigados con seriedad, resultarían, en cierto modo, favorecidos  por  el</w:t>
        <w:br/>
        <w:t>poder público,  lo  que  compromete  la  responsabilidad  internacional  del</w:t>
        <w:br/>
        <w:t>Estado”[146].</w:t>
        <w:br/>
        <w:br/>
        <w:t>La Corte  observa  que  frente  a  los  hechos  del  presente  caso,  en  un</w:t>
        <w:br/>
        <w:t>comunicado de la Secretaría  de  las  Fuerzas  Armadas,  emitido  luego  del</w:t>
        <w:br/>
        <w:t>incidente, se anunció que “los militares actuaron en cumplimiento del  deber</w:t>
        <w:br/>
        <w:t>de vigilar y resguardar [su]  territorio”[147].  Asimismo,  meses  antes  el</w:t>
        <w:br/>
        <w:t>mismo camión amarillo  había  sido  detenido  con  personas  indocumentadas.</w:t>
        <w:br/>
        <w:t>Además, según prueba remitida en el expediente, el 16 de enero  de  2001  un</w:t>
        <w:br/>
        <w:t>camión que igualmente  transportaba  haitianos  fue  atacado  con  disparos,</w:t>
        <w:br/>
        <w:t>supuestamente  de  miembros  de  las  fuerzas  armadas  dominicanas,   hecho</w:t>
        <w:br/>
        <w:t>conocido como “la  matanza  de  Las  Coabas”[148].  Adicionalmente,  se  han</w:t>
        <w:br/>
        <w:t>reportado en prensa otros supuestos incidentes de uso excesivo de la  fuerza</w:t>
        <w:br/>
        <w:t>en contra de migrantes haitianos[149]. En particular, de conformidad con  el</w:t>
        <w:br/>
        <w:t>contexto del caso, notas de prensa, diversos testimonios y  la  querella  de</w:t>
        <w:br/>
        <w:t>los familiares en el fuero interno, el Estado debía  haber  investigado  los</w:t>
        <w:br/>
        <w:t>hechos tomando en cuenta  el  contexto  de  violencia  y  discriminación  en</w:t>
        <w:br/>
        <w:t>contra de este tipo de víctimas. Por el contrario,  el  Estado  no  demostró</w:t>
        <w:br/>
        <w:t>ante este Tribunal  razones  que  hubieran  justificado  dichas  actuaciones</w:t>
        <w:br/>
        <w:t>(supra párrs. 63 y 64).</w:t>
        <w:br/>
        <w:br/>
        <w:t>Más aún, el testigo y periodista Pedro Ureña manifestó que[150]:</w:t>
        <w:br/>
        <w:br/>
        <w:t xml:space="preserve">    [Como] corresponsal de la revista Suceso y Última Hora  al  momento  de</w:t>
        <w:br/>
        <w:t xml:space="preserve">    los hechos, [f]ue una de las primeras personas en llegar  al  lugar  de</w:t>
        <w:br/>
        <w:t xml:space="preserve">    los hechos. Este no es  el  primer  caso  que  se  da  entre  migrantes</w:t>
        <w:br/>
        <w:t xml:space="preserve">    haitianos y las fuerzas […] dominicanas. Este caso es uno entre  tantos</w:t>
        <w:br/>
        <w:t xml:space="preserve">    casos de persecución y discriminación que se da en contra de haitianos.</w:t>
        <w:br/>
        <w:t xml:space="preserve">    [Fue] testigo de cómo el jefe del DOIF dio la  orden  a  los  migrantes</w:t>
        <w:br/>
        <w:t xml:space="preserve">    sobrevivientes de trasladar los cuerpos  de  los  migrantes  heridos  o</w:t>
        <w:br/>
        <w:t xml:space="preserve">    fallecidos, […] sin la presencia de un  fiscal.  [L]os  heridos  y  los</w:t>
        <w:br/>
        <w:t xml:space="preserve">    muertos fueron arrogados en las ambulancias por los militares, como  si</w:t>
        <w:br/>
        <w:t xml:space="preserve">    éstos fueran objetos y sin importarles la gravedad de las  heridas  que</w:t>
        <w:br/>
        <w:t xml:space="preserve">    presentaban algunas  de  esas  personas.  [L]os  militares  tenían  una</w:t>
        <w:br/>
        <w:t xml:space="preserve">    actitud intimidadora y represiva hacia las víctimas […]  Los  militares</w:t>
        <w:br/>
        <w:t xml:space="preserve">    trataban de ocultar el incidente […] negaban el tiroteo. La  gente  del</w:t>
        <w:br/>
        <w:t xml:space="preserve">    lugar confirmó que los migrantes haitianos fueron atacados con armas de</w:t>
        <w:br/>
        <w:t xml:space="preserve">    alto calibre. [Se] dio cuenta que no había un interés de parte  de  las</w:t>
        <w:br/>
        <w:t xml:space="preserve">    autoridades dominicanas de preservar  la  escena  del  crimen  y  hacer</w:t>
        <w:br/>
        <w:t xml:space="preserve">    justicia. […] Las víctimas solo  recibieron  primeros  auxilios  y  sus</w:t>
        <w:br/>
        <w:t xml:space="preserve">    heridas  fueron  limpiadas   mínimamente.   […]   Las   investigaciones</w:t>
        <w:br/>
        <w:t xml:space="preserve">    realizadas fueron mal conducidas, nunca se hizo justicia a las víctimas</w:t>
        <w:br/>
        <w:t xml:space="preserve">    y nunca se [realizó] una averiguación seria para conocer el  fondo  del</w:t>
        <w:br/>
        <w:t xml:space="preserve">    caso. Escri[bió] un artículo sobre la indignación de los familiares  de</w:t>
        <w:br/>
        <w:t xml:space="preserve">    los muertos y heridos, así como la indignación del cónsul haitiano  por</w:t>
        <w:br/>
        <w:t xml:space="preserve">    los hechos ocurridos en Guayubin […]</w:t>
        <w:br/>
        <w:br/>
        <w:t>Asimismo,  en  razón  de  lo  antes   señalado,   la   efectividad   de   la</w:t>
        <w:br/>
        <w:t>investigación, ante la autoridad competente adquiere  particular  intensidad</w:t>
        <w:br/>
        <w:t>e importancia ante la gravedad de los hechos y el  contexto  del  caso[151].</w:t>
        <w:br/>
        <w:t>Este análisis se hace en el capítulo relativo a los artículos 8 y 25  de  la</w:t>
        <w:br/>
        <w:t>Convención (infra VII-3). Sin perjuicio de ello, la Corte  reitera  que,  de</w:t>
        <w:br/>
        <w:t>acuerdo con su jurisprudencia constante, la impunidad  que  persiste  en  el</w:t>
        <w:br/>
        <w:t>caso, la cual derivó en la denegación del acceso a la justicia (infra  párr.</w:t>
        <w:br/>
        <w:t>201), ocasiona una afectación a la integridad personal de los familiares  de</w:t>
        <w:br/>
        <w:t>las víctimas fallecidas[152]. En  casos  de  privaciones  colectivas  de  la</w:t>
        <w:br/>
        <w:t>vida, la Corte considera que  no  se  necesita  prueba  para  demostrar  las</w:t>
        <w:br/>
        <w:t>graves afectaciones a la  integridad  psíquica  de  los  familiares  de  las</w:t>
        <w:br/>
        <w:t>víctimas ejecutadas[153]. La Corte ha considerado violado el  derecho  a  la</w:t>
        <w:br/>
        <w:t>integridad psíquica y moral de los familiares de  las  víctimas  con  motivo</w:t>
        <w:br/>
        <w:t>del sufrimiento y angustia adicionales que éstos han  padecido  a  causa  de</w:t>
        <w:br/>
        <w:t>las actuaciones u omisiones posteriores de  las  autoridades  estatales  con</w:t>
        <w:br/>
        <w:t>respecto a esos hechos, debido a la ausencia de recursos  efectivos[154],  y</w:t>
        <w:br/>
        <w:t>la impunidad prolongada en el caso[155]. En este caso la Corte concluye  que</w:t>
        <w:br/>
        <w:t>se violó el artículo 5.1 de la Convención en perjuicio de los familiares  de</w:t>
        <w:br/>
        <w:t>las víctimas fallecidas y los sobrevivientes.</w:t>
        <w:br/>
        <w:br/>
        <w:t xml:space="preserve">       b)                                                           Trato  a</w:t>
        <w:br/>
        <w:t xml:space="preserve">      los sobrevivientes</w:t>
        <w:br/>
        <w:br/>
        <w:t>La Corte ha observado que luego de la persecución y  volcadura  del  camión,</w:t>
        <w:br/>
        <w:t>los  agentes  militares  requirieron  a  los  sobrevivientes   levantar   el</w:t>
        <w:br/>
        <w:t>vehículo, sacar y separar a los muertos y heridos, así como  subirlos  a  la</w:t>
        <w:br/>
        <w:t>ambulancia  (supra  párr.  50).  Algunos  de   los   sobrevivientes   fueron</w:t>
        <w:br/>
        <w:t>trasladados a un hospital. De acuerdo con las declaraciones  ofrecidas,  los</w:t>
        <w:br/>
        <w:t>heridos no  fueron  atendidos  debidamente  ni  registrados  al  momento  de</w:t>
        <w:br/>
        <w:t>ingresar al Hospital[156] (supra párr. 51).</w:t>
        <w:br/>
        <w:br/>
        <w:t>Josier Maxime señaló que “[mientras] estaba en el  hospital,  […]  no  [les]</w:t>
        <w:br/>
        <w:t>dieron ninguna atención. [Los] colocaron en un vehículo  con  un  militar  y</w:t>
        <w:br/>
        <w:t>[los] deportaron”[157]. Por otra parte, el señor Noclair  Florvilien  indicó</w:t>
        <w:br/>
        <w:t>en audiencia pública, respecto a la atención médica que recibió al  ingresar</w:t>
        <w:br/>
        <w:t>al hospital, que “parecí[a] que hasta los perros en es[os]  momentos  tenían</w:t>
        <w:br/>
        <w:t>mas valo[r] que [ellos]”[158].</w:t>
        <w:br/>
        <w:br/>
        <w:t>La Corte advierte que la atención médica en casos de  emergencias  debe  ser</w:t>
        <w:br/>
        <w:t>brindada en todo momento para los migrantes en situación irregular,  por  lo</w:t>
        <w:br/>
        <w:t>que los Estados deben proporcionar una atención sanitaria  integral  tomando</w:t>
        <w:br/>
        <w:t>en cuenta las necesidades de grupos vulnerables[159]. En  este  sentido,  el</w:t>
        <w:br/>
        <w:t>Estado debe garantizar que los bienes y servicios de salud  sean  accesibles</w:t>
        <w:br/>
        <w:t>a todos, en especial a los sectores  más  vulnerables  y  marginados  de  la</w:t>
        <w:br/>
        <w:t>población, sin discriminación por las condiciones prohibidas en el  artículo</w:t>
        <w:br/>
        <w:t>1.1 de la Convención[160].</w:t>
        <w:br/>
        <w:br/>
        <w:t>En el presente caso, quedó acreditado que nueve  personas  fueron  trasladas</w:t>
        <w:br/>
        <w:t>al Hospital Regional Universitario José María Cabral Báez, y al menos  cinco</w:t>
        <w:br/>
        <w:t>fueron internadas; no obstante, según consta de la declaración del  Director</w:t>
        <w:br/>
        <w:t>General de dicho hospital, las “personas haitianas no  fueron  recibidas  ni</w:t>
        <w:br/>
        <w:t>atendidas en ese hospital” (supra párrs. 50 y 51). No obstante,  durante  la</w:t>
        <w:br/>
        <w:t>audiencia pública el Estado afirmó haber brindado atención a los heridos  en</w:t>
        <w:br/>
        <w:t>tal hospital. Según declaraciones, algunos heridos salieron  por  su  propia</w:t>
        <w:br/>
        <w:t>cuenta del hospital, sin que se registrara ni siquiera  su  salida[161].  De</w:t>
        <w:br/>
        <w:t>lo anterior se desprende que la falta de registro de ingreso y egreso en  el</w:t>
        <w:br/>
        <w:t>centro de salud, la falta de atención médica en favor de las cinco  víctimas</w:t>
        <w:br/>
        <w:t>gravemente heridas, y la omisión de un  diagnóstico  sobre  su  situación  y</w:t>
        <w:br/>
        <w:t>prescripción de su tratamiento[162], denotan omisiones en  la  atención  que</w:t>
        <w:br/>
        <w:t>se debió brindar a los heridos para respetar y garantizar su  derecho  a  la</w:t>
        <w:br/>
        <w:t>integridad personal, en contravención del artículo 5.1 en  relación  con  el</w:t>
        <w:br/>
        <w:t>artículo 1.1 de la Convención.</w:t>
        <w:br/>
        <w:br/>
        <w:t>Por otra  parte,  la  Corte  observa  que  no  se  brindó  en  todo  momento</w:t>
        <w:br/>
        <w:t>protección especial a favor de Roland Israel, por su condición de  menor  de</w:t>
        <w:br/>
        <w:t>edad, y  tampoco  a  favor  de  Sylvie  Felizor,  quien  estaba  embarazada,</w:t>
        <w:br/>
        <w:t>situaciones que acentuaron la vulneración a  su  integridad  psico-física  y</w:t>
        <w:br/>
        <w:t>moral (supra párrs. 54 y 73).</w:t>
        <w:br/>
        <w:br/>
        <w:t xml:space="preserve">       c) Tratamiento a las personas fallecidas y sus cadáveres</w:t>
        <w:br/>
        <w:br/>
        <w:t>Según fue acreditado en el caso, las mismas víctimas  sobrevivientes  fueron</w:t>
        <w:br/>
        <w:t>quienes colocaron los cuerpos de sus  compañeros  fallecidos  dentro  de  la</w:t>
        <w:br/>
        <w:t>ambulancia[163]. Al respecto, Rose Marie Dol señaló que “[les] hicieron  que</w:t>
        <w:br/>
        <w:t>levantara[n] los muertos y que los pusiera[n] en ambulancias”[164].  Por  su</w:t>
        <w:br/>
        <w:t>parte, Joseph Desravine declaró que “los sobrevivientes […]  levantaron  los</w:t>
        <w:br/>
        <w:t>cuerpos de las personas fallecidas que se encontraban debajo  del  camión  y</w:t>
        <w:br/>
        <w:t>los acomodaron uno al lado del otro, sobre el suelo”[165].</w:t>
        <w:br/>
        <w:br/>
        <w:t>De las pruebas fotográficas que obran en el expediente, se advierte que  los</w:t>
        <w:br/>
        <w:t>cadáveres fueron depositados desordenadamente en el suelo de una  habitación</w:t>
        <w:br/>
        <w:t>de la morgue, con la ropa arrancada y  puestos  en  posiciones  que  podrían</w:t>
        <w:br/>
        <w:t>facilitar su descomposición acelerada[166].</w:t>
        <w:br/>
        <w:br/>
        <w:t>Asimismo, los cuerpos de los haitianos fallecidos fueron  inhumados  en  una</w:t>
        <w:br/>
        <w:t>fosa común (supra párr. 52). El nacional  dominicano  no  fue  enterrado  en</w:t>
        <w:br/>
        <w:t>dicha fosa. Acorde con la manifestación  de  una  de  las  víctimas,  Sonide</w:t>
        <w:br/>
        <w:t>Nora, “ellas mismas [enterraron] los cuerpos de los fallecidos en  una  fosa</w:t>
        <w:br/>
        <w:t>común en República Dominicana”[167]. Asimismo,  Vivandieu  Dorzema,  hermano</w:t>
        <w:br/>
        <w:t>de Nadege Dorzema, mencionó que “con gran  angustia  [...]  el  cava[ba]  la</w:t>
        <w:br/>
        <w:t>fosa común donde Nadege debía ser enterrada”[168].</w:t>
        <w:br/>
        <w:br/>
        <w:t>La  Corte  observa  que  los  cadáveres  aún  no  han  sido  repatriados  ni</w:t>
        <w:br/>
        <w:t>entregados a sus familiares. Con motivo de las  preguntas  de  la  Corte  en</w:t>
        <w:br/>
        <w:t>audiencia pública,  los  representantes  remitieron  información  sobre  los</w:t>
        <w:br/>
        <w:t>registros de entierro  de  las  víctimas  fallecidas  en  el  Cementerio  de</w:t>
        <w:br/>
        <w:t>Guarabo II el 18 de junio de 2000[169]. El  Estado  no  precisó  información</w:t>
        <w:br/>
        <w:t>sobre el destino actual de los cadáveres  y  las  acciones  para  su  debida</w:t>
        <w:br/>
        <w:t>entrega[170].</w:t>
        <w:br/>
        <w:br/>
        <w:t>Al respecto, la Corte ha establecido que el derecho  de  los  familiares  de</w:t>
        <w:br/>
        <w:t>las víctimas de  conocer  donde  se  encuentran  los  restos  de  sus  seres</w:t>
        <w:br/>
        <w:t>queridos constituye, además de  una  exigencia  del  derecho  a  conocer  la</w:t>
        <w:br/>
        <w:t>verdad, una medida de reparación  y,  por  lo  tanto  hace  nacer  el  deber</w:t>
        <w:br/>
        <w:t>correlativo para el Estado de satisfacer estas justas expectativas.  Recibir</w:t>
        <w:br/>
        <w:t>los cuerpos de las personas que fallecieron en  el  incidente  era  de  suma</w:t>
        <w:br/>
        <w:t>importancia para sus familiares, así como permitir sepultarlos de acuerdo  a</w:t>
        <w:br/>
        <w:t>sus  creencias  y  cerrar  el  proceso  de  duelo  que  vivieron   con   los</w:t>
        <w:br/>
        <w:t>hechos[171].</w:t>
        <w:br/>
        <w:br/>
        <w:t>Específicamente, los estándares internacionales exigen  que  la  entrega  de</w:t>
        <w:br/>
        <w:t>restos ocurra cuando la víctima esté claramente identificada, es decir,  una</w:t>
        <w:br/>
        <w:t>vez que se haya conseguido una  identificación  positiva.  Al  respecto,  el</w:t>
        <w:br/>
        <w:t>Protocolo de Minnesota establece que “el cuerpo debe  ser  identificado  por</w:t>
        <w:br/>
        <w:t>testigos confiables y otros métodos objetivos”[172].</w:t>
        <w:br/>
        <w:br/>
        <w:t>Esta Corte considera que el tratamiento que se le dio a los cuerpos  de  las</w:t>
        <w:br/>
        <w:t>personas fallecidas luego del incidente, al ser inhumados en fosas  comunes,</w:t>
        <w:br/>
        <w:t>sin ser claramente identificados ni entregados a sus familiares,  manifiesta</w:t>
        <w:br/>
        <w:t>un trato denigrante, en contravención del artículo 5.1, en relación  con  el</w:t>
        <w:br/>
        <w:t>artículo 1.1 de la Convención, en perjuicio de  las  personas  fallecidas  y</w:t>
        <w:br/>
        <w:t>sus familiares.</w:t>
        <w:br/>
        <w:br/>
        <w:br/>
        <w:br/>
        <w:t xml:space="preserve">                                    VII-2</w:t>
        <w:br/>
        <w:t xml:space="preserve">         DERECHO A LA LIBERTAD PERSONAL, A LAS GARANTIAS JUDICIALES</w:t>
        <w:br/>
        <w:t xml:space="preserve">                          Y A LA LIBRE CIRCULACIÓN</w:t>
        <w:br/>
        <w:br/>
        <w:br/>
        <w:br/>
        <w:t>En este capítulo la Corte resumirá los  alegatos  de  las  partes  y  de  la</w:t>
        <w:br/>
        <w:t>Comisión  Interamericana  sobre  la  alegada  violación  del  derecho  a  la</w:t>
        <w:br/>
        <w:t>libertad personal de 11 migrantes haitianos en  República  Dominicana.  Para</w:t>
        <w:br/>
        <w:t>ello, la Corte considerará los hechos a partir del momento en  el  cual  los</w:t>
        <w:br/>
        <w:t>migrantes haitianos fueron privados de libertad hasta su traslado  a  Haití,</w:t>
        <w:br/>
        <w:t>algunas horas más tarde (supra párrs. 54 y  55).  Posteriormente,  la  Corte</w:t>
        <w:br/>
        <w:t>analizará la alegada expulsión colectiva de los  migrantes  haitianos  a  la</w:t>
        <w:br/>
        <w:t>luz de las garantías del debido proceso, tanto en relación con la  condición</w:t>
        <w:br/>
        <w:t>de  migrantes  de  las  presuntas  víctimas,  como  de   procedimientos   de</w:t>
        <w:br/>
        <w:t>deportación y expulsión[173].</w:t>
        <w:br/>
        <w:br/>
        <w:t xml:space="preserve">           A. Derecho a la libertad personal</w:t>
        <w:br/>
        <w:br/>
        <w:t xml:space="preserve">                    1. Alegatos</w:t>
        <w:br/>
        <w:br/>
        <w:t>La Comisión Interamericana indicó  que  “en  el  expediente  consta  que  el</w:t>
        <w:br/>
        <w:t>Director de  Inteligencia  informó  que  el  día  de  los  hechos  había  11</w:t>
        <w:br/>
        <w:t>detenidos” y que el Comandante del Décimo Batallón  de  Infantería  confirmó</w:t>
        <w:br/>
        <w:t>que “fueron enviados a la oficina de  migración  para  ser  devueltos  a  su</w:t>
        <w:br/>
        <w:t>territorio”. Sin embargo la Comisión notó que “no existe prueba de que  esta</w:t>
        <w:br/>
        <w:t>detención reconocida hubiera sido registrada, ni que se les hubiera  abierto</w:t>
        <w:br/>
        <w:t>un proceso”. Asimismo, consideró una violación  al  derecho  a  la  libertad</w:t>
        <w:br/>
        <w:t>personal el hecho de  que  los  migrantes  detenidos  fueron  “llevados  por</w:t>
        <w:br/>
        <w:t>agentes estatales a Montecristi y posteriormente a una  prisión  militar  en</w:t>
        <w:br/>
        <w:t>Dajabón, en la cual los agentes les dijeron que  tenían  que  pagarles  para</w:t>
        <w:br/>
        <w:t>regresarlos a Haití o, de lo contrario, tendrían que trabajar  en  el  campo</w:t>
        <w:br/>
        <w:t>sembrando plátanos y arroz”.</w:t>
        <w:br/>
        <w:br/>
        <w:t>Por otra parte, la Comisión  sostuvo  que  “tampoco  existe  prueba  de  que</w:t>
        <w:br/>
        <w:t>dichas personas fueran informadas de los motivos de  su  detención,  de  los</w:t>
        <w:br/>
        <w:t>cargos en su contra, de que se les notificaran sus derechos legales, que  se</w:t>
        <w:br/>
        <w:t>les pusiera a disposición de un juez u otro funcionario  autorizado  por  la</w:t>
        <w:br/>
        <w:t>ley para ejercer funciones judiciales, ni que se les informara […] la  fecha</w:t>
        <w:br/>
        <w:t>para ser juzgados[,  y]  aún  asumiendo  que  los  detenidos  hubieran  sido</w:t>
        <w:br/>
        <w:t>enviados a la oficina de migración, los funcionarios de la misma  no  pueden</w:t>
        <w:br/>
        <w:t>ser considerados  como  jueces  o  funcionarios  autorizados  por  ley  para</w:t>
        <w:br/>
        <w:t>ejercer funciones judiciales. Tampoco existe prueba  de  que  los  detenidos</w:t>
        <w:br/>
        <w:t>hubieran sido informados de los recursos que tenían a su disposición ni  que</w:t>
        <w:br/>
        <w:t>se les permitiera exponer su situación sobre si buscaban  asilo,  refugio  o</w:t>
        <w:br/>
        <w:t>los motivos por los cuales se  encontraban  en  territorio  dominicano”.  En</w:t>
        <w:br/>
        <w:t>virtud de las anteriores consideraciones, la Comisión solicitó  a  la  Corte</w:t>
        <w:br/>
        <w:t>que declare que el Estado violó el derecho a la libertad personal,  previsto</w:t>
        <w:br/>
        <w:t>en el artículo 7 de la Convención Americana, en  relación  con  el  artículo</w:t>
        <w:br/>
        <w:t>1.1 del mismo instrumento, en perjuicio de Joseph  Pierre,  Selafoi  Pierre,</w:t>
        <w:br/>
        <w:t>Silvie Felizor, Roland Israel, Rose Marie  Dol,  Josier  Maxime,  Rose-Marie</w:t>
        <w:br/>
        <w:t>Petit-Homme,  Sonide  Nora,  Alphonse  Oremis,   Renaud   Tima   y   Honorio</w:t>
        <w:br/>
        <w:t>Winique[174].</w:t>
        <w:br/>
        <w:br/>
        <w:t>Los representantes coincidieron con la Comisión  Interamericana  respecto  a</w:t>
        <w:br/>
        <w:t>los alegatos sobre arrestos  y  detenciones  arbitrarias  de  los  haitianos</w:t>
        <w:br/>
        <w:t>sobrevivientes. Asimismo, afirmaron que,  “el  derecho  internacional  prevé</w:t>
        <w:br/>
        <w:t>que […] la restricción del derecho [a la libertad personal] debe  realizarse</w:t>
        <w:br/>
        <w:t>de acuerdo a los requisitos de legalidad y del criterio  restrictivo  en  la</w:t>
        <w:br/>
        <w:t>adopción de la medida”.</w:t>
        <w:br/>
        <w:br/>
        <w:t>Por otra parte, destacaron que el Estado “no pudo presentar  ninguna  prueba</w:t>
        <w:br/>
        <w:t>que  demostrara  que,  durante  la  noche  del  18  de  junio,  sus  agentes</w:t>
        <w:br/>
        <w:t>procedieron a la detención y el arresto de las víctimas siguiendo  un  orden</w:t>
        <w:br/>
        <w:t>legal, en aplicación de una ley. En efecto, ninguna de las víctimas ha  sido</w:t>
        <w:br/>
        <w:t>acusada formalmente”, y tampoco consta en las pruebas  disponibles  que  las</w:t>
        <w:br/>
        <w:t>presuntas  víctimas  detenidas  se  encontraran  en  estado  de  flagrancia.</w:t>
        <w:br/>
        <w:t>Además, “[n]inguna presunción de inocencia fue otorgada y  la  regla  de  la</w:t>
        <w:br/>
        <w:t>detención excepcional […] no  fue  respetada”.  Asimismo,  argumentaron  que</w:t>
        <w:br/>
        <w:t>“los motivos del arresto y detención de las mismas,  nunca  fueron  dados  a</w:t>
        <w:br/>
        <w:t>conocer por las autoridades que llevaron a cabo el operativo, ni  por  otros</w:t>
        <w:br/>
        <w:t>funcionarios del Estado dominicano”.  Las  víctimas,  “en  todo  momento  se</w:t>
        <w:br/>
        <w:t>mantuvieron incomunicadas con el  mundo  exterior,  [no]  fueron  informadas</w:t>
        <w:br/>
        <w:t>sobre la posibilidad de ser  puestas  ante  un  juez,  ni  se  les  permitió</w:t>
        <w:br/>
        <w:t>recurrir respecto a la legitimidad y legalidad de la  medida  que  determinó</w:t>
        <w:br/>
        <w:t>el arresto y detención del grupo”. Por lo anterior, solicitaron a  la  Corte</w:t>
        <w:br/>
        <w:t>que declare la violación del artículo 7 de la Convención Americana.</w:t>
        <w:br/>
        <w:br/>
        <w:t>El Estado no presentó alegatos específicos respecto a la  alegada  violación</w:t>
        <w:br/>
        <w:t>del artículo 7 de la Convención Americana.  No  obstante,  en  sus  alegatos</w:t>
        <w:br/>
        <w:t>finales  escritos,  sostuvo  que  las  presuntas  víctimas  “[p]ermanecieron</w:t>
        <w:br/>
        <w:t>[detenidas] en el país por espacio de unas cuantas horas, en virtud  de  que</w:t>
        <w:br/>
        <w:t>éstas ingresaron al territorio dominicano de forma indocumentada y en  horas</w:t>
        <w:br/>
        <w:t>de la madrugada, por lo que las mismas debieron aguardar a que se  iniciaran</w:t>
        <w:br/>
        <w:t>los trámites en horas laborables a los fines de ser devueltos a su  país  de</w:t>
        <w:br/>
        <w:t>origen, dada su condición  y  los  hechos  suscitados,  sin  que  en  ningún</w:t>
        <w:br/>
        <w:t>momento las mismas fueran objeto de maltrato ni vejamen alguno, y en  virtud</w:t>
        <w:br/>
        <w:t>del  Protocolo  de  Entendimiento  sobre  los  Mecanismos  de  Repatriación,</w:t>
        <w:br/>
        <w:t>suscrito entre la República Dominicana y Haití el 2 de diciembre de 1999”.</w:t>
        <w:br/>
        <w:br/>
        <w:t xml:space="preserve">    2.</w:t>
        <w:br/>
        <w:t>Consideraciones de la Corte</w:t>
        <w:br/>
        <w:br/>
        <w:t>En este acápite la Corte analizará la  detención,  y  consecuente  violación</w:t>
        <w:br/>
        <w:t>del derecho  a  la  libertad  personal,  alegados  por  la  Comisión  y  los</w:t>
        <w:br/>
        <w:t>representantes.  Las  alegadas  vulneraciones  a  las  garantías  judiciales</w:t>
        <w:br/>
        <w:t>establecidas en el artículo  8  de  la  Convención  en  virtud  del  estatus</w:t>
        <w:br/>
        <w:t>migratorio de las presuntas víctimas, serán  analizadas  juntamente  con  la</w:t>
        <w:br/>
        <w:t>prohibición de expulsión colectiva en el  siguiente  acápite  (infra  párrs.</w:t>
        <w:br/>
        <w:t>145 a 178). A este respecto, dado que la detención  se  realizó  dentro  del</w:t>
        <w:br/>
        <w:t>territorio dominicano y no en el ingreso a la frontera  (infra  párr.  151),</w:t>
        <w:br/>
        <w:t>momento en el cual se podría, en principio, retener  a  los  migrantes  para</w:t>
        <w:br/>
        <w:t>realizar un control de identificación[175], la Corte  analizará  la  alegada</w:t>
        <w:br/>
        <w:t>detención a la luz de los requisitos de excepcionalidad del  artículo  7  de</w:t>
        <w:br/>
        <w:t>la Convención Americana[176], y  no  como  una  privación  de  libertad  por</w:t>
        <w:br/>
        <w:t>razones de verificación de identidad y/o control fronterizo.</w:t>
        <w:br/>
        <w:br/>
        <w:t>En este sentido, la Corte ha señalado que el artículo  7  de  la  Convención</w:t>
        <w:br/>
        <w:t>Americana contiene una regulación general, dispuesta en el  primer  numeral,</w:t>
        <w:br/>
        <w:t>según la cual “[t]oda persona  tiene  el  derecho  a  la  libertad  y  a  la</w:t>
        <w:br/>
        <w:t>seguridad personales”, y otra regulación, de  carácter  específico,  que  se</w:t>
        <w:br/>
        <w:t>compone de garantías que  protegen  el  derecho  a  no  ser  privado  de  la</w:t>
        <w:br/>
        <w:t>libertad ilegalmente (art. 7.2) o arbitrariamente (art. 7.3), a conocer  las</w:t>
        <w:br/>
        <w:t>razones de la detención y los  cargos  formulados  en  contra  del  detenido</w:t>
        <w:br/>
        <w:t>(art. 7.4), al control judicial de la privación de la libertad (art. 7.5)  y</w:t>
        <w:br/>
        <w:t>a impugnar la legalidad de la detención (art. 7.6)[177]. Por  tanto,  en  lo</w:t>
        <w:br/>
        <w:t>concerniente a la obligación  general,  la  Corte  recuerda  que  “cualquier</w:t>
        <w:br/>
        <w:t>violación de los numerales 2 al 7 del artículo 7 de la Convención  acarreará</w:t>
        <w:br/>
        <w:t>necesariamente la violación del artículo 7.1 de la misma”[178].</w:t>
        <w:br/>
        <w:br/>
        <w:t>Con respecto a la garantía específica consagrada en el artículo  7.2  de  la</w:t>
        <w:br/>
        <w:t>Convención, la Corte reitera que la limitación de la  libertad  física,  así</w:t>
        <w:br/>
        <w:t>sea  por  un  período  breve,  inclusive  aquellas  con   meros   fines   de</w:t>
        <w:br/>
        <w:t>identificación,  debe  “ajustarse  estrictamente  a  lo  que  la  Convención</w:t>
        <w:br/>
        <w:t>Americana y la legislación interna establezcan al efecto, siempre  y  cuando</w:t>
        <w:br/>
        <w:t>ésta sea compatible con  la  Convención”[179].  Por  lo  tanto,  para  poder</w:t>
        <w:br/>
        <w:t>analizar la alegada violación al artículo 7.2, la Corte considera  necesario</w:t>
        <w:br/>
        <w:t>remitirse a las disposiciones legales y constitucionales  a  nivel  interno,</w:t>
        <w:br/>
        <w:t>“por lo que cualquier requisito establecido en éstas que  no  sea  cumplido,</w:t>
        <w:br/>
        <w:t>haría que la privación de libertad sea ilegal y contraria  a  la  Convención</w:t>
        <w:br/>
        <w:t>Americana”[180].</w:t>
        <w:br/>
        <w:br/>
        <w:t>Al respecto, el artículo 8.2  de  la  Constitución  Nacional  de  1994[181],</w:t>
        <w:br/>
        <w:t>vigente al momento de los hechos, disponía que:</w:t>
        <w:br/>
        <w:br/>
        <w:t xml:space="preserve">      […]</w:t>
        <w:br/>
        <w:br/>
        <w:t xml:space="preserve">      b. Nadie podrá ser reducido a prisión ni cohibido en su  libertad  sin</w:t>
        <w:br/>
        <w:t xml:space="preserve">      orden motivada y escrita de funcionario judicial competente, salvo  en</w:t>
        <w:br/>
        <w:t xml:space="preserve">      caso de flagrante delito.</w:t>
        <w:br/>
        <w:br/>
        <w:t xml:space="preserve">      c.  Toda  persona  privada  de  su  libertad  sin  causa  o  sin   las</w:t>
        <w:br/>
        <w:t xml:space="preserve">      formalidades legales, o fuera de los casos previstos  por  las  leyes,</w:t>
        <w:br/>
        <w:t xml:space="preserve">      será puesta inmediatamente en  libertad  a  requerimiento  suyo  o  de</w:t>
        <w:br/>
        <w:t xml:space="preserve">      cualquier persona.</w:t>
        <w:br/>
        <w:br/>
        <w:t xml:space="preserve">      d. Toda persona privada de su libertad será sometida  a  la  autoridad</w:t>
        <w:br/>
        <w:t xml:space="preserve">      judicial competente  dentro  de  las  cuarenta  y  ocho  horas  de  su</w:t>
        <w:br/>
        <w:t xml:space="preserve">      detención o puesta en libertad.</w:t>
        <w:br/>
        <w:br/>
        <w:t xml:space="preserve">      e. Todo arresto se dejará sin efecto o se elevará a prisión dentro  de</w:t>
        <w:br/>
        <w:t xml:space="preserve">      las cuarenta y ocho horas de haber sido sometido  el  arrestado  a  la</w:t>
        <w:br/>
        <w:t xml:space="preserve">      autoridad judicial  competente,  debiendo  notificarse  al  interesado</w:t>
        <w:br/>
        <w:t xml:space="preserve">      dentro del mismo plazo, la providencia que en efecto se dictare.</w:t>
        <w:br/>
        <w:br/>
        <w:t xml:space="preserve">      f. Queda terminantemente prohibido el traslado de  cualquier  detenido</w:t>
        <w:br/>
        <w:t xml:space="preserve">      de un establecimiento carcelario a otro  lugar  sin  orden  escrita  y</w:t>
        <w:br/>
        <w:t xml:space="preserve">      motivada de la autoridad judicial competente.</w:t>
        <w:br/>
        <w:br/>
        <w:t xml:space="preserve">      g. Toda persona que tenga bajo su guarda a un detenido estará obligada</w:t>
        <w:br/>
        <w:t xml:space="preserve">      a presentarlo tan pronto como se lo requiera la autoridad competente.</w:t>
        <w:br/>
        <w:br/>
        <w:t xml:space="preserve">      […]</w:t>
        <w:br/>
        <w:br/>
        <w:t>Por otra  parte,  al  momento  de  ocurrencia  de  los  hechos,  la  Ley  de</w:t>
        <w:br/>
        <w:t>Inmigración de 1939 regulaba el procedimiento de detención y deportación  de</w:t>
        <w:br/>
        <w:t>migrantes en su artículo 13[182]:</w:t>
        <w:br/>
        <w:br/>
        <w:t xml:space="preserve">      Los  siguientes  extranjeros  serán  arrestados  y   deportados   bajo</w:t>
        <w:br/>
        <w:t xml:space="preserve">      mandamiento del Secretario de Estado de Interior y Policía o  de  otro</w:t>
        <w:br/>
        <w:t xml:space="preserve">      funcionario designado por él para esos fines:</w:t>
        <w:br/>
        <w:t xml:space="preserve">      Cualquier extranjero que entre a la República […] por medio de  falsas</w:t>
        <w:br/>
        <w:t xml:space="preserve">      o engañosas declaraciones o  sin  la  inspección  y  admisión  de  las</w:t>
        <w:br/>
        <w:t xml:space="preserve">      Autoridades de Migración en uno de los puertos señalados de entrada.</w:t>
        <w:br/>
        <w:t xml:space="preserve">      […]</w:t>
        <w:br/>
        <w:t xml:space="preserve">      e) […] Ningún extranjero será deportado sin haber  sido  informado  de</w:t>
        <w:br/>
        <w:t xml:space="preserve">      los cargos específicos que motivan su deportación, ni sin que se  haya</w:t>
        <w:br/>
        <w:t xml:space="preserve">      dado una justa oportunidad para refutar dichos cargos de  acuerdo  con</w:t>
        <w:br/>
        <w:t xml:space="preserve">      el Reglamento de Migración No. 279 del 12 de mayo de  1939,  salvo  en</w:t>
        <w:br/>
        <w:t xml:space="preserve">      los casos en que la deportación haya sido dispuesta de acuerdo con  el</w:t>
        <w:br/>
        <w:t xml:space="preserve">      artículo 55, inciso 16[183] de la Constitución, o  en  los  casos  del</w:t>
        <w:br/>
        <w:t xml:space="preserve">      artículo 10 inciso 1ro[184] y del artículo 13 inciso  3ro[185]  de  la</w:t>
        <w:br/>
        <w:t xml:space="preserve">      presente ley.</w:t>
        <w:br/>
        <w:br/>
        <w:t>Asimismo, el Reglamento de Migración No. 279 del 12  de  mayo  de  1939[186]</w:t>
        <w:br/>
        <w:t>regulaba de la siguiente manera el procedimiento de deportación:</w:t>
        <w:br/>
        <w:br/>
        <w:t xml:space="preserve">      Los Inspectores de Migración y los Funcionarios que actúen como tales,</w:t>
        <w:br/>
        <w:t xml:space="preserve">      harán una investigación completa acerca de cualquier extranjero, todas</w:t>
        <w:br/>
        <w:t xml:space="preserve">      las veces que existan informes veraces o  hubiere  alguna  razón  para</w:t>
        <w:br/>
        <w:t xml:space="preserve">      creer que el extranjero se encuentra en la República en  violación  de</w:t>
        <w:br/>
        <w:t xml:space="preserve">      la Ley de  Migración.  Si  de  esta  investigación  resultara  que  el</w:t>
        <w:br/>
        <w:t xml:space="preserve">      extranjero amerite ser deportado, el Inspector de Migración solicitará</w:t>
        <w:br/>
        <w:t xml:space="preserve">      del Directorio General de Migración  un  mandamiento  de  arresto.  La</w:t>
        <w:br/>
        <w:t xml:space="preserve">      solicitud del mandamiento debe  expresar  los  hechos  y  mostrar  las</w:t>
        <w:br/>
        <w:t xml:space="preserve">      razones específicas por las cuales el extranjero apareciere  sujeto  a</w:t>
        <w:br/>
        <w:t xml:space="preserve">      ser deportado. Si el mandamiento de arresto se expidiere, el Inspector</w:t>
        <w:br/>
        <w:t xml:space="preserve">      de Migración, llamará al extranjero para ser  oído  sobre  los  cargos</w:t>
        <w:br/>
        <w:t xml:space="preserve">      expresados en el mandamiento de arresto.</w:t>
        <w:br/>
        <w:br/>
        <w:t xml:space="preserve">      La información relativa al extranjero se anotará en el formulario G-1,</w:t>
        <w:br/>
        <w:t xml:space="preserve">      al ser oído a menos  que  hubiere  sido  tomada  previamente.  […]  Si</w:t>
        <w:br/>
        <w:t xml:space="preserve">      ninguno de los cargos expresados en el mandamiento fuere admitido  por</w:t>
        <w:br/>
        <w:t xml:space="preserve">      el extranjero, se buscarán pruebas para apoyar los cargos, se  llamará</w:t>
        <w:br/>
        <w:t xml:space="preserve">      de nuevo al extranjero  y  se  le  dará  una  nueva  oportunidad  para</w:t>
        <w:br/>
        <w:t xml:space="preserve">      declarar,  así  como  para  introducir  pruebas  de  oposición  a   su</w:t>
        <w:br/>
        <w:t xml:space="preserve">      deportación. […]</w:t>
        <w:br/>
        <w:br/>
        <w:t>Ahora bien, según se determinó anteriormente (supra párrs. 54 y  55),  luego</w:t>
        <w:br/>
        <w:t>de la volcadura del camión, fueron  detenidas  11  personas  y  llevadas  al</w:t>
        <w:br/>
        <w:t>Destacamento Operativo de Inteligencia  Fronteriza  (DOIF)  en  Montecristi;</w:t>
        <w:br/>
        <w:t>horas más tarde fueron llevadas al cuartel militar de Dajabón, lugar  en  el</w:t>
        <w:br/>
        <w:t>cual los agentes militares les amenazaron con llevarlos  a  una  prisión,  y</w:t>
        <w:br/>
        <w:t>les señalaron que podrían trabajar en el campo o pagar dinero a los  agentes</w:t>
        <w:br/>
        <w:t>para ser devueltos  a  Haití.  Ante  esta  advertencia,  la  Corte  encontró</w:t>
        <w:br/>
        <w:t>probado (supra párr. 55)  que  los  detenidos  recolectaron  dinero,  se  lo</w:t>
        <w:br/>
        <w:t>dieron a los agentes militares, y en horas de la tarde del 18  de  junio  de</w:t>
        <w:br/>
        <w:t>2000 fueron trasladados al poblado de Quanaminthe  (Wanaminthe),  en  Haití.</w:t>
        <w:br/>
        <w:t>Al respecto, la Corte resalta que la referida privación de libertad  no  fue</w:t>
        <w:br/>
        <w:t>registrada o justificada formalmente  en  ninguna  oportunidad.  Además,  el</w:t>
        <w:br/>
        <w:t>traslado de los migrantes desde el DOIF de Montecristi  al  cuartel  militar</w:t>
        <w:br/>
        <w:t>de Dajabón no fue autorizado por orden  escrita  y  motivada,  y  en  ningún</w:t>
        <w:br/>
        <w:t>momento  los  detenidos  fueron  puestos  en  presencia  de  una   autoridad</w:t>
        <w:br/>
        <w:t>competente, en este caso el Inspector o el Director  General  de  Migración,</w:t>
        <w:br/>
        <w:t>como requería la Constitución vigente (supra párr. 127).</w:t>
        <w:br/>
        <w:br/>
        <w:t>Asimismo,  la  Corte  ha  sostenido  la  necesidad  de  garantizar   ciertos</w:t>
        <w:br/>
        <w:t>estándares  mínimos  que  deben  cumplirse  en  los  centros  de   detención</w:t>
        <w:br/>
        <w:t>policial[187],  en  particular,  es  preciso  que  exista  un  registro   de</w:t>
        <w:br/>
        <w:t>detenidos que permita controlar la legalidad  de  las  detenciones[188].  En</w:t>
        <w:br/>
        <w:t>relación  con  los  hechos  del  presente  caso,  la  Corte  nota  que   las</w:t>
        <w:br/>
        <w:t>autoridades  no  respetaron  la  obligación  de  consignar  la   información</w:t>
        <w:br/>
        <w:t>relativa a los extranjeros detenidos con el objeto  de  ser  deportados.  En</w:t>
        <w:br/>
        <w:t>esta medida, la ausencia de registro de dicha información en el  “formulario</w:t>
        <w:br/>
        <w:t>G-1” implicó un desconocimiento del contenido normativo  del  Reglamento  de</w:t>
        <w:br/>
        <w:t>Migración No. 279 (supra párr. 129). Por lo  anterior  el  Estado  violó  el</w:t>
        <w:br/>
        <w:t>artículo 7.2 de la Convención Americana en perjuicio  de  Rose-Marie  Petit-</w:t>
        <w:br/>
        <w:t>Homme, Joseph Pierre, Renaud Tima, Selafoi Pierre,  Sylvie  Felizor,  Roland</w:t>
        <w:br/>
        <w:t>Israel, y Rose Marie Dol (en adelante “las víctimas detenidas”).</w:t>
        <w:br/>
        <w:br/>
        <w:t>En relación con el artículo 7.4 de la Convención, la  Corte  ha  considerado</w:t>
        <w:br/>
        <w:t>que “se deben analizar los hechos bajo el derecho  interno  y  la  normativa</w:t>
        <w:br/>
        <w:t>convencional, puesto que la información de los ‘motivos  y  razones’  de  la</w:t>
        <w:br/>
        <w:t>detención debe darse  ‘cuando  ésta  se  produce’  y  dado  que  el  derecho</w:t>
        <w:br/>
        <w:t>contenido en aquella norma implica dos obligaciones: a)  la  información  en</w:t>
        <w:br/>
        <w:t>forma  oral  o  escrita  sobre  las  razones  de  la  detención,  y  b)   la</w:t>
        <w:br/>
        <w:t>notificación, por escrito, de los cargos”[189]. En este  sentido,  tanto  la</w:t>
        <w:br/>
        <w:t>Ley  como  el  Reglamento  de  Migración  vigentes  determinaban   que   los</w:t>
        <w:br/>
        <w:t>extranjeros detenidos con fines de  deportación  fueran  informados  de  las</w:t>
        <w:br/>
        <w:t>razones específicas por las cuales estarían sujetos  a  ser  deportados.  Al</w:t>
        <w:br/>
        <w:t>respecto, consta de las pruebas  aportadas  en  el  presente  caso,  que  en</w:t>
        <w:br/>
        <w:t>ningún momento durante la  privación  de  libertad,  estas  personas  fueron</w:t>
        <w:br/>
        <w:t>informadas sobre las razones y motivos  de  la  misma,  de  forma  verbal  o</w:t>
        <w:br/>
        <w:t>escrita. Adicionalmente, no existe documento que acredite que los  detenidos</w:t>
        <w:br/>
        <w:t>fueron comunicados por escrito sobre la existencia de algún  tipo  de  cargo</w:t>
        <w:br/>
        <w:t>en su contra, lo cual es contrario a  la  normativa  interna  vigente  a  la</w:t>
        <w:br/>
        <w:t>época de los hechos (supra párr. 128) y, por tanto, violó los artículos  7.2</w:t>
        <w:br/>
        <w:t>y 7.4 de la Convención Americana sobre Derechos Humanos en perjuicio de  las</w:t>
        <w:br/>
        <w:t>víctimas detenidas.</w:t>
        <w:br/>
        <w:br/>
        <w:t>Por otra parte, en cuanto a la  arbitrariedad  de  la  detención  a  que  se</w:t>
        <w:br/>
        <w:t>refiere el artículo 7.3 de  la  Convención,  la  Corte  ha  considerado  que</w:t>
        <w:br/>
        <w:t>“nadie puede ser  sometido  a  detención  o  encarcelamiento  por  causas  y</w:t>
        <w:br/>
        <w:t>métodos  que  –aún   calificados   de   legales–   puedan   reputarse   como</w:t>
        <w:br/>
        <w:t>incompatibles con el respeto a los derechos fundamentales del individuo  por</w:t>
        <w:br/>
        <w:t>ser,  entre  otras  cosas,  irrazonables,   imprevisibles,   o   faltos   de</w:t>
        <w:br/>
        <w:t>proporcionalidad”[190]. Por lo tanto, cualquier detención  debe  llevarse  a</w:t>
        <w:br/>
        <w:t>cabo no sólo de acuerdo a las disposiciones de  derecho  interno,  sino  que</w:t>
        <w:br/>
        <w:t>además es necesario que la “la ley interna,  el  procedimiento  aplicable  y</w:t>
        <w:br/>
        <w:t>los principios generales expresos o tácitos  correspondientes  sean,  en  sí</w:t>
        <w:br/>
        <w:t>mismos, compatibles con la Convención”[191]. Así, “no se debe  equiparar  el</w:t>
        <w:br/>
        <w:t>concepto de ‘arbitrariedad’ con el de  ‘contrario  a  ley’,  sino  que  debe</w:t>
        <w:br/>
        <w:t>interpretarse  de  manera  más  amplia  a  fin  de  incluir   elementos   de</w:t>
        <w:br/>
        <w:t>incorrección, injusticia e imprevisibilidad”[192].</w:t>
        <w:br/>
        <w:br/>
        <w:t>Al respecto, el Estado alegó que los detenidos  “permanecieron  en  el  país</w:t>
        <w:br/>
        <w:t>por [un] espacio de unas cuantas horas, en virtud de  que  éstos  ingresaron</w:t>
        <w:br/>
        <w:t>al territorio dominicano de forma indocumentada y en horas de la  madrugada,</w:t>
        <w:br/>
        <w:t>por lo que los mismos debieron aguardar a que se iniciaran los  trámites  en</w:t>
        <w:br/>
        <w:t>horas laborables a los fines de ser devueltos a  su  país  de  origen”.  Sin</w:t>
        <w:br/>
        <w:t>embargo, a partir de las declaraciones de las víctimas, la  Corte  nota  que</w:t>
        <w:br/>
        <w:t>las  autoridades  no  les  mantuvieron  detenidos  con   la   intención   de</w:t>
        <w:br/>
        <w:t>presentarlos ante un juez u otro funcionario  autorizado  por  la  ley  para</w:t>
        <w:br/>
        <w:t>ejercer funciones judiciales o con el  objetivo  de  formularles  cargos  de</w:t>
        <w:br/>
        <w:t>acuerdo a la normativa interna (supra párrs. 54 y 55). Así, del análisis  de</w:t>
        <w:br/>
        <w:t>las pruebas  allegadas  al  expediente,  este  Tribunal  considera  que  las</w:t>
        <w:br/>
        <w:t>detenciones no fueron llevadas a  cabo  con  la  finalidad  de  realizar  un</w:t>
        <w:br/>
        <w:t>procedimiento capaz de determinar las circunstancias y estatus jurídicos  de</w:t>
        <w:br/>
        <w:t>los detenidos, o mismo de realizar un procedimiento  migratorio  formal  con</w:t>
        <w:br/>
        <w:t>vistas  a  su  deportación  o  expulsión[193],  lo  que  las  convierten  en</w:t>
        <w:br/>
        <w:t>detenciones  con  fines  ilegítimos  y,  por  lo   tanto   arbitrarias,   en</w:t>
        <w:br/>
        <w:t>contravención del artículo  7.3  de  la  Convención,  en  perjuicio  de  las</w:t>
        <w:br/>
        <w:t>víctimas detenidas.</w:t>
        <w:br/>
        <w:br/>
        <w:t>Con respecto al artículo 7.5 de  la  Convención,  el  cual  dispone  que  la</w:t>
        <w:br/>
        <w:t>detención  debe  someterse  sin  demora  a  revisión  de  un  juez  u   otro</w:t>
        <w:br/>
        <w:t>funcionario autorizado por la ley  para  ejercer  funciones  judiciales,  la</w:t>
        <w:br/>
        <w:t>Corte ha considerado que “corresponde al juzgador  garantizar  los  derechos</w:t>
        <w:br/>
        <w:t>del detenido, autorizar la adopción de medidas  cautelares  o  de  coerción,</w:t>
        <w:br/>
        <w:t>cuando sea estrictamente necesario y procurar, en general, que se  trate  al</w:t>
        <w:br/>
        <w:t>detenido de manera consecuente con la presunción  de  inocencia”[194],  como</w:t>
        <w:br/>
        <w:t>una “garantía tendiente a  evitar  la  arbitrariedad  o  ilegalidad  de  las</w:t>
        <w:br/>
        <w:t>detenciones[195], así como a  garantizar  el  derecho  a  la  vida  y  a  la</w:t>
        <w:br/>
        <w:t>integridad personal”[196].</w:t>
        <w:br/>
        <w:br/>
        <w:t>La Corte ha establecido  que  la  “Convención  Americana  no  establece  una</w:t>
        <w:br/>
        <w:t>limitación al ejercicio de la garantía establecida en el artículo 7.5 de  la</w:t>
        <w:br/>
        <w:t>Convención con base a las causas o circunstancias por las que la persona  es</w:t>
        <w:br/>
        <w:t>retenida o detenida. Por lo tanto, en  virtud  del  principio  pro  persona,</w:t>
        <w:br/>
        <w:t>esta garantía debe ser satisfecha siempre que exista  una  retención  o  una</w:t>
        <w:br/>
        <w:t>detención de una persona a causa de su situación migratoria, conforme a  los</w:t>
        <w:br/>
        <w:t>principios  de  control  judicial  e  inmediación  procesal[197].  Para  que</w:t>
        <w:br/>
        <w:t>constituya un verdadero mecanismo de control frente a  detenciones  ilegales</w:t>
        <w:br/>
        <w:t>o arbitrarias, la revisión judicial debe realizarse sin demora  y  en  forma</w:t>
        <w:br/>
        <w:t>tal que garantice el cumplimiento de la  ley  y  el  goce  efectivo  de  los</w:t>
        <w:br/>
        <w:t>derechos del detenido, tomando  en  cuenta  la  especial  vulnerabilidad  de</w:t>
        <w:br/>
        <w:t>aquél[198]”.</w:t>
        <w:br/>
        <w:br/>
        <w:t>Asimismo la Corte considera que,  en  materia  migratoria,  “la  legislación</w:t>
        <w:br/>
        <w:t>interna debe asegurar que el funcionario autorizado por la ley para  ejercer</w:t>
        <w:br/>
        <w:t>funciones jurisdiccionales cumpla con las características  de  imparcialidad</w:t>
        <w:br/>
        <w:t>e independencia que deben  regir  a  todo  órgano  encargado  de  determinar</w:t>
        <w:br/>
        <w:t>derechos y obligaciones de las personas. En este sentido,  la  Corte  ya  ha</w:t>
        <w:br/>
        <w:t>establecido que dichas características no  solo  deben  corresponder  a  los</w:t>
        <w:br/>
        <w:t>órganos estrictamente  jurisdiccionales,  sino  que  las  disposiciones  del</w:t>
        <w:br/>
        <w:t>artículo 8.1 de la  Convención  se  aplican  también  a  las  decisiones  de</w:t>
        <w:br/>
        <w:t>órganos administrativos”[199]. Toda vez que, en relación con  esta  garantía</w:t>
        <w:br/>
        <w:t>corresponde al funcionario de migración la tarea de prevenir o  hacer  cesar</w:t>
        <w:br/>
        <w:t>las detenciones ilegales o arbitrarias[200], “es  imprescindible  que  dicho</w:t>
        <w:br/>
        <w:t>funcionario esté facultado para  poner  en  libertad  a  la  persona  si  su</w:t>
        <w:br/>
        <w:t>detención es ilegal o arbitraria”[201].</w:t>
        <w:br/>
        <w:br/>
        <w:t>Además, la Corte nota que la Constitución dominicana  de  1994,  vigente  al</w:t>
        <w:br/>
        <w:t>momento de la detención analizada,  disponía  en  su  artículo  8.2.d.  que:</w:t>
        <w:br/>
        <w:t>“[t]oda persona  privada  de  su  libertad  será  sometida  a  la  autoridad</w:t>
        <w:br/>
        <w:t>judicial competente dentro de las cuarenta y ocho horas de  su  detención  o</w:t>
        <w:br/>
        <w:t>puesta en libertad”[202].</w:t>
        <w:br/>
        <w:br/>
        <w:t>La Corte considera que, de acuerdo  con  lo  alegado  por  las  partes,  las</w:t>
        <w:br/>
        <w:t>detenciones tuvieron lugar por un período de tiempo inferior a las 48  horas</w:t>
        <w:br/>
        <w:t>correspondientes   al   plazo   constitucionalmente   establecido   por   el</w:t>
        <w:br/>
        <w:t>ordenamiento jurídico dominicano para la presentación del detenido ante  una</w:t>
        <w:br/>
        <w:t>autoridad judicial competente. No obstante lo  anterior,  los  migrantes  no</w:t>
        <w:br/>
        <w:t>fueron puestos en libertad en República Dominicana,  sino  que  los  agentes</w:t>
        <w:br/>
        <w:t>militares unilateralmente aplicaron la sanción  de  expulsión  sin  que  las</w:t>
        <w:br/>
        <w:t>víctimas hubieran sido puestas ante una autoridad competente  quien,  en  su</w:t>
        <w:br/>
        <w:t>caso, determinara su libertad, lo que resultó en la violación  del  artículo</w:t>
        <w:br/>
        <w:t>7.5 de la Convención Americana en perjuicio de las víctimas detenidas.</w:t>
        <w:br/>
        <w:br/>
        <w:t>Por otra parte, el artículo 7.6 de la Convención protege el derecho de  toda</w:t>
        <w:br/>
        <w:t>persona privada de la libertad a recurrir la legalidad de su detención  ante</w:t>
        <w:br/>
        <w:t>un juez o tribunal competente, a fin de que éste decida, sin  demora,  sobre</w:t>
        <w:br/>
        <w:t>la legalidad de  la  privación  de  libertad  y,  en  su  caso,  decrete  su</w:t>
        <w:br/>
        <w:t>libertad[203]. Al respecto, la Corte ha enfatizado  que  “la  autoridad  que</w:t>
        <w:br/>
        <w:t>debe decidir la legalidad del  arresto  o  detención  debe  ser  un  juez  o</w:t>
        <w:br/>
        <w:t>tribunal. Con ello la Convención está resguardando  que  el  control  de  la</w:t>
        <w:br/>
        <w:t>privación de la libertad debe ser judicial”[204].</w:t>
        <w:br/>
        <w:br/>
        <w:t>En relación con la naturaleza de tales recursos,  la  jurisprudencia  de  la</w:t>
        <w:br/>
        <w:t>Corte ha referido que  éstos  “no  solo  deben  existir  formalmente  en  la</w:t>
        <w:br/>
        <w:t>legislación sino que deben ser efectivos, esto es, cumplir con  el  objetivo</w:t>
        <w:br/>
        <w:t>de obtener sin demora una decisión sobre la legalidad del arresto  o  de  la</w:t>
        <w:br/>
        <w:t>detención”[205].</w:t>
        <w:br/>
        <w:br/>
        <w:t>En este sentido, la  Constitución  dominicana  vigente  al  momento  de  los</w:t>
        <w:br/>
        <w:t>hechos (supra párr. 127) disponía que[206]:</w:t>
        <w:br/>
        <w:br/>
        <w:t xml:space="preserve">    g. Toda persona que tenga bajo su guarda a un detenido estará  obligada</w:t>
        <w:br/>
        <w:t xml:space="preserve">    a presentarlo tan pronto como se lo requiera la  autoridad  competente.</w:t>
        <w:br/>
        <w:t xml:space="preserve">    La Ley de Habeas Corpus, determinará la manera de proceder sumariamente</w:t>
        <w:br/>
        <w:t xml:space="preserve">    para el cumplimiento de las prescripciones contenidas en las letras a),</w:t>
        <w:br/>
        <w:t xml:space="preserve">    b ), e), d), e), f) y g) y establecerá las sanciones que proceda.</w:t>
        <w:br/>
        <w:br/>
        <w:t>Por otra parte, la Corte observa que los  reglamentos  migratorios  vigentes</w:t>
        <w:br/>
        <w:t>al momento de los hechos (supra párrs. 128 y 129)  no  establecían  recursos</w:t>
        <w:br/>
        <w:t>para contestar la legalidad del arresto o de la  detención,  como  determina</w:t>
        <w:br/>
        <w:t>el  artículo  7.6  de  la  Convención,  sino   establecían   únicamente   la</w:t>
        <w:br/>
        <w:t>posibilidad del detenido de “refutar los cargos” de su deportación,  de  ser</w:t>
        <w:br/>
        <w:t>“oído sobre los cargos  expresados  en  el  mandamiento  de  arresto”  o  de</w:t>
        <w:br/>
        <w:t>“introducir pruebas de oposición a su deportación”. Al  respecto,  la  Corte</w:t>
        <w:br/>
        <w:t>ha señalado que el derecho protegido por el artículo 7.6  de  la  Convención</w:t>
        <w:br/>
        <w:t>“implica que el detenido efectivamente ejerza este derecho, en  el  supuesto</w:t>
        <w:br/>
        <w:t>de que pueda hacerlo y que el Estado efectivamente provea este recurso y  lo</w:t>
        <w:br/>
        <w:t>resuelva”[207].  No  obstante,  la  Corte  encuentra  que  en  vista  de  la</w:t>
        <w:br/>
        <w:t>expulsión expedita, las víctimas migrantes carecieron  de  toda  oportunidad</w:t>
        <w:br/>
        <w:t>para  accionar  un  recurso  adecuado  que  tutelara  la  legalidad  de   la</w:t>
        <w:br/>
        <w:t>detención.  Consecuentemente,  el  Estado  violó  el  artículo  7.6  de   la</w:t>
        <w:br/>
        <w:t>Convención en perjuicio de las víctimas detenidas</w:t>
        <w:br/>
        <w:br/>
        <w:t>En razón de los argumentos anteriormente expuestos, la Corte  considera  que</w:t>
        <w:br/>
        <w:t>la  detención  de  los  siete  migrantes  haitianos  no  cumplió   con   las</w:t>
        <w:br/>
        <w:t>disposiciones constitucionales y legislativas vigentes a  la  fecha  en  que</w:t>
        <w:br/>
        <w:t>ocurrieron los hechos, en virtud de que la detención no tuvo como  finalidad</w:t>
        <w:br/>
        <w:t>realizar un procedimiento capaz de determinar las circunstancias  y  estatus</w:t>
        <w:br/>
        <w:t>jurídicos de los detenidos, o mismo de realizar un procedimiento  migratorio</w:t>
        <w:br/>
        <w:t>formal  con  vistas  a  su  deportación  o  expulsión;  de  la  ausencia  de</w:t>
        <w:br/>
        <w:t>información oral o escrita sobre los motivos y razones de las detenciones  y</w:t>
        <w:br/>
        <w:t>de notificación escrita de los cargos a las víctimas.  Lo  anterior  implicó</w:t>
        <w:br/>
        <w:t>que el Estado violó el derecho a la  libertad  personal,  reconocido  en  el</w:t>
        <w:br/>
        <w:t>artículo 7.1, 7.2, 7.3, 7.4, 7.5 y 7.6 de la Convención, en relación con  la</w:t>
        <w:br/>
        <w:t>obligación de respetar los derechos, contenida en  el  artículo  1.1  de  la</w:t>
        <w:br/>
        <w:t>misma, en perjuicio de Rose-Marie Petit-Homme, Joseph Pierre,  Renaud  Tima,</w:t>
        <w:br/>
        <w:t>Selafoi Pierre, Sylvie Felizor, Roland Israel y Rose Marie Dol.</w:t>
        <w:br/>
        <w:br/>
        <w:t xml:space="preserve"> B. Libertad de circulación, expulsión colectiva y derecho a las  garantías</w:t>
        <w:br/>
        <w:t xml:space="preserve">    judiciales</w:t>
        <w:br/>
        <w:br/>
        <w:t>En el presente capítulo la Corte resumirá los alegatos de las  partes  y  de</w:t>
        <w:br/>
        <w:t>la Comisión  Interamericana  sobre  la  alegada  expulsión  colectiva  y  el</w:t>
        <w:br/>
        <w:t>derecho a las garantías judiciales. Seguidamente, a  fin  de  determinar  la</w:t>
        <w:br/>
        <w:t>alegada violación de las garantías del debido proceso y  de  la  prohibición</w:t>
        <w:br/>
        <w:t>de realizar expulsiones colectivas, la Corte evaluará los hechos del caso  a</w:t>
        <w:br/>
        <w:t>la luz de la normativa dominicana vigente al momento de  los  hechos  y  del</w:t>
        <w:br/>
        <w:t>derecho internacional y realizará consideraciones sobre:  a)  la  protección</w:t>
        <w:br/>
        <w:t>debida a migrantes; b) el debido proceso y  las  garantías  mínimas  de  los</w:t>
        <w:br/>
        <w:t>extranjeros  en  situaciones  de  privación  de  libertad,  de  expulsión  o</w:t>
        <w:br/>
        <w:t>deportación, y c) el contenido jurídico del artículo 22.9 de  la  Convención</w:t>
        <w:br/>
        <w:t>Americana sobre expulsiones colectivas.</w:t>
        <w:br/>
        <w:br/>
        <w:t xml:space="preserve">    1.                                                             Alegatos</w:t>
        <w:br/>
        <w:br/>
        <w:t>Los  representantes  alegaron  la  vulneración  del  artículo  22.9  de   la</w:t>
        <w:br/>
        <w:t>Convención  Americana  al  señalar  que  “[e]l  carácter  expeditivo  de  la</w:t>
        <w:br/>
        <w:t>expulsión [de las presuntas víctimas] dem[ostró] el indudable rechazo de  la</w:t>
        <w:br/>
        <w:t>República Dominicana a la posibilidad  de  que  las  personas  haitianas  se</w:t>
        <w:br/>
        <w:t>op[usieran]  legítimamente  a  la  medida   de   la   expulsión   colectiva,</w:t>
        <w:br/>
        <w:t>[asimismo], la imposibilidad fáctica de  presentar  un  habeas  corpus,  una</w:t>
        <w:br/>
        <w:t>solicitud de  estatus  de  refugiado,  asilo  o  cualquier  otra  medida  de</w:t>
        <w:br/>
        <w:t>protección  a  autoridades  competentes   [del   Estado]”.   Añadieron   que</w:t>
        <w:br/>
        <w:t>“contrariamente  a  la  normativa  internacional,  la   expulsión   de   las</w:t>
        <w:br/>
        <w:t>[presuntas víctimas fue] con carácter colectivo, toda  vez  que  las  mismas</w:t>
        <w:br/>
        <w:t>[fueron] transportadas a la frontera en grupo, sin que previamente  hubieran</w:t>
        <w:br/>
        <w:t>sido  individualizadas  para  la  valoración  particular  de  la   situación</w:t>
        <w:br/>
        <w:t>migratoria de cada  una”.  Así,  señalaron  que  la  deportación  colectiva,</w:t>
        <w:br/>
        <w:t>sumaria, sin previa  judicialización  o  individualización  va  en  “rotunda</w:t>
        <w:br/>
        <w:t>contravención al artículo 22.9” violando así “la  prohibición  de  expulsión</w:t>
        <w:br/>
        <w:t>colectiva de extranjeros”. Al respecto, concluyeron que la conducta  de  las</w:t>
        <w:br/>
        <w:t>autoridades dominicanas se fundó en “motivos de discriminación  y  xenofobia</w:t>
        <w:br/>
        <w:t>en perjuicio de las personas haitianas”.  Además,  señalaron  que  la  única</w:t>
        <w:br/>
        <w:t>información que recibieron las presuntas  víctimas  fue  que  debían  reunir</w:t>
        <w:br/>
        <w:t>todo el dinero que tuvieran para evitar ir a  prisión.  Por  estas  razones,</w:t>
        <w:br/>
        <w:t>los representantes alegaron que las presuntas víctimas fueron  extorsionadas</w:t>
        <w:br/>
        <w:t>y amenazadas por personal administrativo dominicano.</w:t>
        <w:br/>
        <w:br/>
        <w:t>Por las razones expuestas anteriormente, los representantes concluyeron  que</w:t>
        <w:br/>
        <w:t>el Estado violó los artículos 7, 8, 22.9 y 25 de la Convención Americana  en</w:t>
        <w:br/>
        <w:t>perjuicio de Cecilia Petit-Homme, Pierre Selafoi,  Sylvie  Therméus,  Joseph</w:t>
        <w:br/>
        <w:t>Pierre, Rose-Marie Dol, Roland Israel, Josue Maximus, Sonide Nora,  Alphonse</w:t>
        <w:br/>
        <w:t>Oremis, Renaud Tima y Winique Honorio.</w:t>
        <w:br/>
        <w:br/>
        <w:t>Por su parte, la Comisión  no  alegó  violación  del  artículo  22.9  de  la</w:t>
        <w:br/>
        <w:t>Convención, pero argumentó que el Estado violó el artículo 8  de  la  misma,</w:t>
        <w:br/>
        <w:t>señalando “que si  bien  muchas  garantías  judiciales  establecidas  en  el</w:t>
        <w:br/>
        <w:t>artículo 8 de la Convención Americana incorporan un lenguaje propio  de  los</w:t>
        <w:br/>
        <w:t>procesos penales, análogamente y  debido  a  las  consecuencias  que  pueden</w:t>
        <w:br/>
        <w:t>derivarse de los procesos migratorios, corresponde  la  aplicación  estricta</w:t>
        <w:br/>
        <w:t>de dichas garantías”. Asimismo, destacó “que los migrantes se encuentran  en</w:t>
        <w:br/>
        <w:t>situación de desigualdad real  que  puede  resultar  en  la  afectación  del</w:t>
        <w:br/>
        <w:t>debido proceso en  caso  de  que  no  se  adopten  medidas  especiales  para</w:t>
        <w:br/>
        <w:t>compensar la indefensión en que se encuentran”.</w:t>
        <w:br/>
        <w:br/>
        <w:t>El Estado no  se  refirió  a  las  alegadas  violaciones  de  las  garantías</w:t>
        <w:br/>
        <w:t>judiciales y protección judicial en relación con el proceso de expulsión,  o</w:t>
        <w:br/>
        <w:t>a la alegada expulsión colectiva de los migrantes haitianos.</w:t>
        <w:br/>
        <w:br/>
        <w:t xml:space="preserve">    2.</w:t>
        <w:br/>
        <w:t xml:space="preserve">    Consideraciones de la Corte</w:t>
        <w:br/>
        <w:br/>
        <w:t>En primer lugar la Corte observa que el alegato  de  la  supuesta  violación</w:t>
        <w:br/>
        <w:t>del artículo  22.9  de  la  Convención  fue  sostenido  únicamente  por  los</w:t>
        <w:br/>
        <w:t>representantes. Al respecto, la Corte recuerda que las  presuntas  víctimas,</w:t>
        <w:br/>
        <w:t>sus familiares o sus representantes pueden  invocar  derechos  distintos  de</w:t>
        <w:br/>
        <w:t>los comprendidos en el Informe  de  Fondo,  sobre  la  base  de  los  hechos</w:t>
        <w:br/>
        <w:t>presentados por ésta (supra párr. 5)[208].</w:t>
        <w:br/>
        <w:br/>
        <w:t>Por otra parte la Corte reitera  que,  según  la  prueba  aportada  por  las</w:t>
        <w:br/>
        <w:t>partes, el presente caso no se refiere a una expulsión o  rechazo  realizado</w:t>
        <w:br/>
        <w:t>por funcionarios migratorios en un puesto migratorio de  la  frontera  entre</w:t>
        <w:br/>
        <w:t>Haití y República Dominicana. Por el contrario, los  hechos  ocurrieron  más</w:t>
        <w:br/>
        <w:t>de 50 kilómetros dentro del  territorio  dominicano.  Así  lo  anterior,  la</w:t>
        <w:br/>
        <w:t>Corte considera que el Estado no justificó que existieran  razones  para  la</w:t>
        <w:br/>
        <w:t>expulsión de los migrantes  haitianos  del  territorio  dominicano  sin  que</w:t>
        <w:br/>
        <w:t>mediara un procedimiento formal que observara las garantías  individuales  a</w:t>
        <w:br/>
        <w:t>cada una de aquellas personas. En vista de lo anterior,  la  Corte  entiende</w:t>
        <w:br/>
        <w:t>necesario  realizar  las   siguientes   consideraciones   respecto   de   la</w:t>
        <w:br/>
        <w:t>prohibición de expulsiones colectivas, así como de las garantías del  debido</w:t>
        <w:br/>
        <w:t>proceso en procedimientos de deportación o expulsión.</w:t>
        <w:br/>
        <w:br/>
        <w:t xml:space="preserve">       a)</w:t>
        <w:br/>
        <w:t>Protección a migrantes</w:t>
        <w:br/>
        <w:br/>
        <w:t>De las obligaciones generales de respetar y garantizar los derechos  derivan</w:t>
        <w:br/>
        <w:t>deberes  especiales,  determinables   en   función   de   las   particulares</w:t>
        <w:br/>
        <w:t>necesidades de protección del sujeto de derecho, ya  sea  por  su  condición</w:t>
        <w:br/>
        <w:t>personal o por la situación específica en  que  se  encuentre[209].  A  este</w:t>
        <w:br/>
        <w:t>respecto, “los migrantes indocumentados o en situación  irregular  han  sido</w:t>
        <w:br/>
        <w:t>identificados como un grupo en situación de  vulnerabilidad[210],  pues  son</w:t>
        <w:br/>
        <w:t>los más expuestos a las violaciones potenciales o reales de sus  derechos  y</w:t>
        <w:br/>
        <w:t>sufren, a consecuencia de su situación, un nivel  elevado  de  desprotección</w:t>
        <w:br/>
        <w:t>de sus derechos”[211].</w:t>
        <w:br/>
        <w:br/>
        <w:t>Respecto a las consecuencias de dicha situación de vulnerabilidad, la  Corte</w:t>
        <w:br/>
        <w:t>ha considerado que “es de notar que  las  violaciones  de  derechos  humanos</w:t>
        <w:br/>
        <w:t>cometidas en contra de  los  migrantes  quedan  muchas  veces  en  impunidad</w:t>
        <w:br/>
        <w:t>debido, inter alia, a la existencia de factores  culturales  que  justifican</w:t>
        <w:br/>
        <w:t>estos hechos, a la falta de  acceso  a  las  estructuras  de  poder  en  una</w:t>
        <w:br/>
        <w:t>sociedad determinada, y a impedimentos  normativos  y  fácticos  que  tornan</w:t>
        <w:br/>
        <w:t>ilusorios un efectivo acceso a la justicia”[212].</w:t>
        <w:br/>
        <w:br/>
        <w:t>La Corte ha considerado que lo  anterior  “no  significa  que  no  se  pueda</w:t>
        <w:br/>
        <w:t>iniciar acción alguna contra las personas migrantes que no  cumplan  con  el</w:t>
        <w:br/>
        <w:t>ordenamiento  jurídico  estatal,  sino  que  al  adoptar  las  medidas   que</w:t>
        <w:br/>
        <w:t>correspondan, los Estados deben respetar sus derechos humanos  y  garantizar</w:t>
        <w:br/>
        <w:t>su ejercicio y goce a toda persona que se encuentre  bajo  su  jurisdicción,</w:t>
        <w:br/>
        <w:t>sin discriminación alguna por  su  regular  o  irregular  estancia  […].  Lo</w:t>
        <w:br/>
        <w:t>anterior es aún más relevante, si se tiene en cuenta que en el  “ámbito  del</w:t>
        <w:br/>
        <w:t>derecho  internacional  [se]  ha[n]  desarrollado  ciertos  límites   a   la</w:t>
        <w:br/>
        <w:t>aplicación de las políticas migratorias que imponen un apego estricto a  las</w:t>
        <w:br/>
        <w:t>garantías del debido proceso y al respeto de la dignidad humana,  cualquiera</w:t>
        <w:br/>
        <w:t>que sea la condición jurídica del migrante”[213].</w:t>
        <w:br/>
        <w:br/>
        <w:t>Por lo tanto, en el ejercicio de la facultad del  Estado  de  establecer  su</w:t>
        <w:br/>
        <w:t>política migratoria, debe tenerse plena observancia  de  la  prohibición  de</w:t>
        <w:br/>
        <w:t>expulsión colectiva de extranjeros contenida  en  el  artículo  22.9  de  la</w:t>
        <w:br/>
        <w:t>Convención  Americana,  y  de  las  consecuentes  garantías  intrínsecas   a</w:t>
        <w:br/>
        <w:t>procesos de expulsión o deportación de  extranjeros,  en  especial  aquellas</w:t>
        <w:br/>
        <w:t>derivadas de los derechos al debido proceso y la protección judicial.</w:t>
        <w:br/>
        <w:br/>
        <w:t xml:space="preserve">       b)                                                             Debido</w:t>
        <w:br/>
        <w:t>proceso en casos de deportación o expulsión</w:t>
        <w:br/>
        <w:br/>
        <w:t>La Corte ha indicado que el derecho al  debido  proceso,  consagrado  en  el</w:t>
        <w:br/>
        <w:t>artículo 8 de la Convención Americana, se refiere al conjunto de  requisitos</w:t>
        <w:br/>
        <w:t>que deben observarse en las instancias  procesales  a  efectos  de  que  las</w:t>
        <w:br/>
        <w:t>personas estén en condiciones de defender adecuadamente  sus  derechos  ante</w:t>
        <w:br/>
        <w:t>cualquier acto del Estado que pueda afectarlos[214].</w:t>
        <w:br/>
        <w:br/>
        <w:t>Asimismo, en su jurisprudencia constante, la Corte consideró que  el  elenco</w:t>
        <w:br/>
        <w:t>de garantías mínimas del debido proceso legal se aplica en la  determinación</w:t>
        <w:br/>
        <w:t>de derechos y obligaciones de orden “civil, laboral, fiscal o  de  cualquier</w:t>
        <w:br/>
        <w:t>otro carácter”[215].  Es  decir,  “cualquier  actuación  u  omisión  de  los</w:t>
        <w:br/>
        <w:t>órganos estatales dentro de un proceso, sea administrativo  sancionatorio  o</w:t>
        <w:br/>
        <w:t>jurisdiccional, debe respetar el debido proceso legal”[216].</w:t>
        <w:br/>
        <w:br/>
        <w:t>En la Opinión  Consultiva  sobre  el  Derecho  a  la  Información  sobre  la</w:t>
        <w:br/>
        <w:t>Asistencia Consular en el marco de las Garantías del Debido  Proceso  Legal,</w:t>
        <w:br/>
        <w:t>la Corte se refirió al alcance del derecho al debido proceso señalando que:</w:t>
        <w:br/>
        <w:br/>
        <w:t xml:space="preserve">      Para alcanzar sus objetivos, el proceso debe reconocer y resolver  los</w:t>
        <w:br/>
        <w:t xml:space="preserve">      factores de desigualdad real de quienes son llevados ante la justicia.</w:t>
        <w:br/>
        <w:t xml:space="preserve">      Es así como se atiende el principio de igualdad  ante  la  ley  y  los</w:t>
        <w:br/>
        <w:t xml:space="preserve">      tribunales y  a  la  correlativa  prohibición  de  discriminación.  La</w:t>
        <w:br/>
        <w:t xml:space="preserve">      presencia de condiciones de desigualdad real obliga a adoptar  medidas</w:t>
        <w:br/>
        <w:t xml:space="preserve">      de compensación que contribuyan a reducir o eliminar los obstáculos  y</w:t>
        <w:br/>
        <w:t xml:space="preserve">      deficiencias que impidan o reduzcan la defensa eficaz de  los  propios</w:t>
        <w:br/>
        <w:t xml:space="preserve">      intereses[217].</w:t>
        <w:br/>
        <w:br/>
        <w:t>En materia migratoria, por tanto, la Corte considera que el  debido  proceso</w:t>
        <w:br/>
        <w:t>debe  ser  garantizado  a  toda  persona  independientemente   del   estatus</w:t>
        <w:br/>
        <w:t>migratorio[218], ya que  “[e]l  amplio  alcance  de  la  intangibilidad  del</w:t>
        <w:br/>
        <w:t>debido proceso se aplica no  solo  ratione  materiae  sino  también  ratione</w:t>
        <w:br/>
        <w:t>personae sin discriminación alguna”[219]. Lo anterior quiere decir  que  “el</w:t>
        <w:br/>
        <w:t>debido proceso legal debe ser  reconocido  en  el  marco  de  las  garantías</w:t>
        <w:br/>
        <w:t>mínimas que se deben brindar  a  todo  migrante,  independientemente  de  su</w:t>
        <w:br/>
        <w:t>estatus migratorio”[220], con el objetivo de que  los  migrantes  tengan  la</w:t>
        <w:br/>
        <w:t>posibilidad de hacer valer sus derechos y defender sus  intereses  en  forma</w:t>
        <w:br/>
        <w:t>efectiva y en condiciones de igualdad procesal con otros justiciables[221].</w:t>
        <w:br/>
        <w:br/>
        <w:t xml:space="preserve">       c)</w:t>
        <w:br/>
        <w:t>Garantías mínimas al extranjero sujeto a expulsión o deportación</w:t>
        <w:br/>
        <w:br/>
        <w:t>En este sentido, los órganos internacionales de protección de  los  derechos</w:t>
        <w:br/>
        <w:t>humanos  coinciden  en  establecer  las  características  de  los   procesos</w:t>
        <w:br/>
        <w:t>llevados a cabo por los Estados con el objetivo de  expulsar  o  deportar  a</w:t>
        <w:br/>
        <w:t>extranjeros de su territorio.</w:t>
        <w:br/>
        <w:br/>
        <w:t>Al respecto, en el sistema universal de protección de los derechos  humanos,</w:t>
        <w:br/>
        <w:t>el Comité de Derechos Humanos, al  interpretar  el  artículo  13  del  Pacto</w:t>
        <w:br/>
        <w:t>Internacional de Derechos  Civiles  y  Políticos[222],  determinó  que  “los</w:t>
        <w:br/>
        <w:t>derechos  establecidos  en  [dicho]  artículo  13  sólo   protegen   a   los</w:t>
        <w:br/>
        <w:t>extranjeros que se encuentren lícitamente en  el  territorio  de  un  Estado</w:t>
        <w:br/>
        <w:t>Parte[.] No obstante, si la cuestión  controvertida  es  la  licitud  de  su</w:t>
        <w:br/>
        <w:t>entrada o permanencia, toda decisión a este respecto que  desemboque  en  su</w:t>
        <w:br/>
        <w:t>expulsión o deportación debe adaptarse con  arreglo  a  lo  previsto  en  el</w:t>
        <w:br/>
        <w:t>artículo 13”[223]; es decir, debe cumplir con las siguientes  garantías:  i)</w:t>
        <w:br/>
        <w:t>sólo podrá expulsarse a  un  extranjero  en  cumplimiento  de  una  decisión</w:t>
        <w:br/>
        <w:t>adoptada conforme a la  ley,  y  ii)  se  debe  facultar  al  extranjero  la</w:t>
        <w:br/>
        <w:t>posibilidad de: a) exponer las razones  que  lo  asistan  en  contra  de  su</w:t>
        <w:br/>
        <w:t>expulsión; b) someter su caso a revisión ante la autoridad competente, y  c)</w:t>
        <w:br/>
        <w:t>hacerse representar con tal fin ante ellas.</w:t>
        <w:br/>
        <w:br/>
        <w:t>Adicionalmente, la Comisión Africana de Derechos Humanos y  de  los  Pueblos</w:t>
        <w:br/>
        <w:t>ha considerado que[224]:</w:t>
        <w:br/>
        <w:br/>
        <w:t xml:space="preserve">      […] es inaceptable deportar a individuos sin darles la posibilidad  de</w:t>
        <w:br/>
        <w:t xml:space="preserve">      argumentar su caso ante las cortes nacionales competentes, ya que ello</w:t>
        <w:br/>
        <w:t xml:space="preserve">      es contrario al espíritu y texto de la Carta [Africana de los Derechos</w:t>
        <w:br/>
        <w:t xml:space="preserve">      Humanos y de los Pueblos] y del derecho internacional.</w:t>
        <w:br/>
        <w:br/>
        <w:t>En el mismo sentido, la Comisión de Derecho Internacional ha  expresado  que</w:t>
        <w:br/>
        <w:t>los extranjeros en situaciones como las del presente caso deben recibir  las</w:t>
        <w:br/>
        <w:t>siguientes  garantías  procesales:  i)  condiciones  mínimas  de   detención</w:t>
        <w:br/>
        <w:t>durante  el  procedimiento;  ii)  presentar  razones  en   contra   de   las</w:t>
        <w:br/>
        <w:t>expulsiones; iii) asistencia consular;  iv)  derecho  a  estar  representado</w:t>
        <w:br/>
        <w:t>ante autoridad competente; v) derecho a contar con  asistencia  gratuita  de</w:t>
        <w:br/>
        <w:t>un intérprete, y vi) derecho a ser notificado de la decisión de expulsión  y</w:t>
        <w:br/>
        <w:t>recurrirla[225].</w:t>
        <w:br/>
        <w:br/>
        <w:t>Por  otra  parte,  la  Corte  ya  había  resaltado  la  “importancia  de  la</w:t>
        <w:br/>
        <w:t>asistencia letrada en casos […] en que se trata de una  persona  extranjera,</w:t>
        <w:br/>
        <w:t>que puede no conocer el sistema legal del país y que  se  encuentra  en  una</w:t>
        <w:br/>
        <w:t>situación agravada de vulnerabilidad al encontrarse privada de libertad,  lo</w:t>
        <w:br/>
        <w:t>cual requiere que el Estado receptor tome en cuenta las particularidades  de</w:t>
        <w:br/>
        <w:t>su situación, para que goce de un acceso efectivo a la justicia en  términos</w:t>
        <w:br/>
        <w:t>igualitarios”[226].  Impedir  a   la   persona   sometida   a   un   proceso</w:t>
        <w:br/>
        <w:t>administrativo sancionatorio de contar  con  la  asistencia  de  su  abogado</w:t>
        <w:br/>
        <w:t>defensor es limitar severamente el derecho a la  defensa,  lo  que  ocasiona</w:t>
        <w:br/>
        <w:t>desequilibrio procesal y deja al individuo sin tutela  frente  al  ejercicio</w:t>
        <w:br/>
        <w:t>del poder punitivo[227]. Por lo tanto, en casos donde  la  consecuencia  del</w:t>
        <w:br/>
        <w:t>procedimiento migratorio pueda ser una privación de la libertad de  carácter</w:t>
        <w:br/>
        <w:t>punitivo, –como en el presente caso lo era  la  expulsión–,  “la  asistencia</w:t>
        <w:br/>
        <w:t>jurídica gratuita se vuelve un imperativo del interés de la justicia”[228].</w:t>
        <w:br/>
        <w:br/>
        <w:t>Adicionalmente, la Corte ha sostenido,  en  relación  con  el  acceso  a  la</w:t>
        <w:br/>
        <w:t>asistencia consular, que en los casos de migrantes que  se  enfrentan  a  un</w:t>
        <w:br/>
        <w:t>procedimiento de privación de la libertad debe recalcarse que:</w:t>
        <w:br/>
        <w:br/>
        <w:t xml:space="preserve">      [l]os extranjeros detenidos en un medio social y jurídico diferente de</w:t>
        <w:br/>
        <w:t xml:space="preserve">      los suyos, y muchas veces con un idioma que  desconocen,  experimentan</w:t>
        <w:br/>
        <w:t xml:space="preserve">      una condición de  particular  vulnerabilidad,  que  el  derecho  a  la</w:t>
        <w:br/>
        <w:t xml:space="preserve">      información sobre la asistencia consular,  enmarcado  en  el  universo</w:t>
        <w:br/>
        <w:t xml:space="preserve">      conceptual de los derechos humanos, busca  remediar  de  modo  tal  de</w:t>
        <w:br/>
        <w:t xml:space="preserve">      asegurar que la persona extranjera detenida disfrute de  un  verdadero</w:t>
        <w:br/>
        <w:t xml:space="preserve">      acceso a la justicia, se beneficie  de  un  debido  proceso  legal  en</w:t>
        <w:br/>
        <w:t xml:space="preserve">      condiciones de igualdad con quienes no afrontan  esas  desventajas,  y</w:t>
        <w:br/>
        <w:t xml:space="preserve">      goce de condiciones de detención compatibles con el respeto  debido  a</w:t>
        <w:br/>
        <w:t xml:space="preserve">      la dignidad de las personas[229].</w:t>
        <w:br/>
        <w:br/>
        <w:t>En este sentido, para garantizar los  derechos  del  debido  proceso  de  la</w:t>
        <w:br/>
        <w:t>persona extranjera detenida, la Corte ha indicado que  deben  asegurarse  al</w:t>
        <w:br/>
        <w:t>menos tres elementos de la misma garantía: i) el derecho  a  ser  notificado</w:t>
        <w:br/>
        <w:t>de sus derechos bajo la Convención de Viena[230], lo  cual  debe  realizarse</w:t>
        <w:br/>
        <w:t>en conjunto con sus obligaciones bajo el artículo 7.4 de la Convención;  ii)</w:t>
        <w:br/>
        <w:t>el  derecho  de  acceso  efectivo  a  la  comunicación  con  el  funcionario</w:t>
        <w:br/>
        <w:t>consular, y iii) el derecho a la asistencia misma[231].</w:t>
        <w:br/>
        <w:br/>
        <w:t>Además, la Corte recuerda que las normas migratorias vigentes al momento  de</w:t>
        <w:br/>
        <w:t>los hechos en República Dominicana (supra párrs. 128 y 129),  disponían  que</w:t>
        <w:br/>
        <w:t>“[n]ingún extranjero será deportado sin haber sido informado de  los  cargos</w:t>
        <w:br/>
        <w:t>específicos que motivan su deportación, ni sin que se haya  dado  una  justa</w:t>
        <w:br/>
        <w:t>oportunidad para refutar dichos cargos”[232], y que ante  la  existencia  de</w:t>
        <w:br/>
        <w:t>“informes veraces”  de  que  un  extranjero  se  encuentre  en  el  país  en</w:t>
        <w:br/>
        <w:t>violación de la Ley de Migración, el Inspector de Migración “solicitará  […]</w:t>
        <w:br/>
        <w:t>un mandamiento de arresto[, el cual] debe expresar los hechos y mostrar  las</w:t>
        <w:br/>
        <w:t>razones específicas por las cuales el extranjero  apareciere  sujeto  a  ser</w:t>
        <w:br/>
        <w:t>deportado. Si el mandamiento  de  arresto  se  expidiere,  el  Inspector  de</w:t>
        <w:br/>
        <w:t>Migración, llamará al extranjero para ser oído sobre los  cargos  expresados</w:t>
        <w:br/>
        <w:t>en el mandamiento  de  arresto”.  Asimismo,  “[s]i  ninguno  de  los  cargos</w:t>
        <w:br/>
        <w:t>expresados en el mandamiento fuere admitido por el extranjero,  se  buscarán</w:t>
        <w:br/>
        <w:t>pruebas para apoyar los cargos, se llamará de nuevo al extranjero  y  se  le</w:t>
        <w:br/>
        <w:t>dará una nueva oportunidad para declarar, así como para  introducir  pruebas</w:t>
        <w:br/>
        <w:t>de oposición a su deportación”[233]. Adicionalmente, la Corte encuentra  que</w:t>
        <w:br/>
        <w:t>el instrumento que regulaba los procedimientos de repatriación de  migrantes</w:t>
        <w:br/>
        <w:t>haitianos al momento de los hechos era el Protocolo de  Entendimiento  sobre</w:t>
        <w:br/>
        <w:t>los Mecanismos de Repatriación entre la República Dominicana y la  República</w:t>
        <w:br/>
        <w:t>de Haití de 1999. Según dicho documento[234]:</w:t>
        <w:br/>
        <w:br/>
        <w:br/>
        <w:br/>
        <w:br/>
        <w:br/>
        <w:br/>
        <w:br/>
        <w:t xml:space="preserve">      […]</w:t>
        <w:br/>
        <w:br/>
        <w:t xml:space="preserve">      d) Las autoridades dominicanas de  migración  reconocen  los  Derechos</w:t>
        <w:br/>
        <w:t xml:space="preserve">      Humanos inherentes a los repatriados […].</w:t>
        <w:br/>
        <w:br/>
        <w:t xml:space="preserve">      e)  Las  autoridades  dominicanas  migratorias   entregarán   a   cada</w:t>
        <w:br/>
        <w:t xml:space="preserve">      repatriado una copia del formulario individual que contiene  la  orden</w:t>
        <w:br/>
        <w:t xml:space="preserve">      de su repatriación.</w:t>
        <w:br/>
        <w:br/>
        <w:t xml:space="preserve">      f) Las autoridades dominicanas de migración se comprometen a comunicar</w:t>
        <w:br/>
        <w:t xml:space="preserve">      previamente,  dentro  de  un  plazo  razonable,  a   las   autoridades</w:t>
        <w:br/>
        <w:t xml:space="preserve">      diplomáticas o  consulares  haitianas  acreditadas  en  el  territorio</w:t>
        <w:br/>
        <w:t xml:space="preserve">      dominicano, las listas de personas en proceso  de  repatriación.  Esas</w:t>
        <w:br/>
        <w:t xml:space="preserve">      autoridades podrán ejercer su función de asistencia consular.</w:t>
        <w:br/>
        <w:br/>
        <w:t xml:space="preserve">      […]</w:t>
        <w:br/>
        <w:br/>
        <w:br/>
        <w:br/>
        <w:br/>
        <w:br/>
        <w:t xml:space="preserve">       d)</w:t>
        <w:br/>
        <w:t>Expulsión colectiva</w:t>
        <w:br/>
        <w:br/>
        <w:t>El artículo 22.9 de la Convención Americana establece que:</w:t>
        <w:br/>
        <w:br/>
        <w:t xml:space="preserve">    “Es prohibida la expulsión colectiva de extranjeros”.</w:t>
        <w:br/>
        <w:br/>
        <w:t>La Corte ha resaltado que garantizar el contenido del artículo  22  “es  una</w:t>
        <w:br/>
        <w:t>condición indispensable para el libre desarrollo de la persona”[235].</w:t>
        <w:br/>
        <w:br/>
        <w:t>En este sentido, es relevante observar que varios  tratados  internacionales</w:t>
        <w:br/>
        <w:t>de derechos humanos son consistentes en prohibir las expulsiones  colectivas</w:t>
        <w:br/>
        <w:t>en términos similares a la Convención Americana[236].</w:t>
        <w:br/>
        <w:br/>
        <w:t>En el marco del sistema interamericano de protección  de  derechos  humanos,</w:t>
        <w:br/>
        <w:t>la Corte considera que el carácter “colectivo” de una expulsión implica  una</w:t>
        <w:br/>
        <w:t>decisión que no  desarrolla  un  análisis  objetivo  de  las  circunstancias</w:t>
        <w:br/>
        <w:t>individuales de cada extranjero, y por ende recae en  arbitrariedad.  En  el</w:t>
        <w:br/>
        <w:t>mismo sentido, el Tribunal Europeo de Derechos Humanos  ha  determinado  que</w:t>
        <w:br/>
        <w:t>una expulsión colectiva de extranjeros es[237]:</w:t>
        <w:br/>
        <w:br/>
        <w:t xml:space="preserve">      Cualquier [decisión] tomada por autoridad competente que obligue a los</w:t>
        <w:br/>
        <w:t xml:space="preserve">      extranjeros como grupo a abandonar el país, excepto cuando tal  medida</w:t>
        <w:br/>
        <w:t xml:space="preserve">      sea tomada luego de o en base a un examen razonable y objetivo de  los</w:t>
        <w:br/>
        <w:t xml:space="preserve">      casos particulares de cada extranjero del grupo.</w:t>
        <w:br/>
        <w:br/>
        <w:t>Asimismo, consonante con lo anterior, el solo número de  extranjeros  objeto</w:t>
        <w:br/>
        <w:t>de  decisiones  de  expulsión  no  es  el  criterio  fundamental   para   la</w:t>
        <w:br/>
        <w:t>caracterización de una expulsión colectiva[238].</w:t>
        <w:br/>
        <w:br/>
        <w:t>En el mismo sentido, el Comité de Naciones Unidas sobre  la  Eliminación  de</w:t>
        <w:br/>
        <w:t>la Discriminación Racial ha señalado en su Recomendación General No. 30  que</w:t>
        <w:br/>
        <w:t>los Estados Partes de  la  Convención  Internacional  sobre  Eliminación  de</w:t>
        <w:br/>
        <w:t>Todas las Formas de Discriminación Racial deben:</w:t>
        <w:br/>
        <w:br/>
        <w:t xml:space="preserve">      Garantizar que los no ciudadanos no  serán  objeto  de  una  expulsión</w:t>
        <w:br/>
        <w:t xml:space="preserve">      colectiva, en particular cuando no haya garantías suficientes  de  que</w:t>
        <w:br/>
        <w:t xml:space="preserve">      se han tenido en cuenta las circunstancias personales de cada  una  de</w:t>
        <w:br/>
        <w:t xml:space="preserve">      las personas afectadas[239].</w:t>
        <w:br/>
        <w:br/>
        <w:t>Además, la Oficina del Alto Comisionado de  las  Naciones  Unidas  para  los</w:t>
        <w:br/>
        <w:t>Derechos Humanos, en  su  informe  sobre  derechos  de  los  no  ciudadanos,</w:t>
        <w:br/>
        <w:t>destacó que:</w:t>
        <w:br/>
        <w:br/>
        <w:t xml:space="preserve">      el procedimiento de expulsión  de  un  grupo  de  no  ciudadanos  debe</w:t>
        <w:br/>
        <w:t xml:space="preserve">      apoyarse   en   suficientes   garantías   que   demuestren   que   las</w:t>
        <w:br/>
        <w:t xml:space="preserve">      circunstancias personales de cada uno de esos no ciudadanos  afectados</w:t>
        <w:br/>
        <w:t xml:space="preserve">      han sido genuina e individualmente tenidas en cuenta[240].</w:t>
        <w:br/>
        <w:br/>
        <w:t>En vista de lo anterior, en atención tanto a la  normativa  interna  vigente</w:t>
        <w:br/>
        <w:t>en República Dominicana como al derecho internacional, se desprende  que  un</w:t>
        <w:br/>
        <w:t>proceso que pueda resultar en la expulsión o deportación de  un  extranjero,</w:t>
        <w:br/>
        <w:t>debe ser individual, de modo a  evaluar  las  circunstancias  personales  de</w:t>
        <w:br/>
        <w:t>cada  sujeto  y  cumplir  con  la  prohibición  de  expulsiones  colectivas.</w:t>
        <w:br/>
        <w:t>Asimismo, dicho procedimiento no debe discriminar en razón de  nacionalidad,</w:t>
        <w:br/>
        <w:t>color, raza, sexo, lengua, religión, opinión política, origen social u  otro</w:t>
        <w:br/>
        <w:t>estatus[241], y ha de observar las siguientes garantías mínimas en  relación</w:t>
        <w:br/>
        <w:t>con el extranjero:</w:t>
        <w:br/>
        <w:br/>
        <w:t xml:space="preserve">     i) ser informado expresa y formalmente de los cargos en su contra y  de</w:t>
        <w:br/>
        <w:t xml:space="preserve">        los motivos de la expulsión o  deportación[242].  Esta  notificación</w:t>
        <w:br/>
        <w:t xml:space="preserve">        debe incluir información sobre sus derechos, tales como:</w:t>
        <w:br/>
        <w:br/>
        <w:t xml:space="preserve">          a. la posibilidad de exponer sus razones y oponerse a  los  cargos</w:t>
        <w:br/>
        <w:t xml:space="preserve">             en su contra[243];</w:t>
        <w:br/>
        <w:br/>
        <w:t xml:space="preserve">          b.    la   posibilidad   de   solicitar   y   recibir   asistencia</w:t>
        <w:br/>
        <w:t xml:space="preserve">             consular[244],  asesoría  legal[245]  y,  de  ser   el   caso,</w:t>
        <w:br/>
        <w:t xml:space="preserve">             traducción o interpretación[246];</w:t>
        <w:br/>
        <w:br/>
        <w:t xml:space="preserve">    ii) en caso de decisión desfavorable, debe tener derecho  a  someter  su</w:t>
        <w:br/>
        <w:t xml:space="preserve">        caso a revisión ante la autoridad competente y presentarse ante ella</w:t>
        <w:br/>
        <w:t xml:space="preserve">        para tal fin[247], y</w:t>
        <w:br/>
        <w:br/>
        <w:t xml:space="preserve">   iii) la eventual  expulsión  solo  podrá  efectuarse  tras  una  decisión</w:t>
        <w:br/>
        <w:t xml:space="preserve">        fundamentada conforme a la ley y debidamente notificada[248].</w:t>
        <w:br/>
        <w:br/>
        <w:t xml:space="preserve">       e)</w:t>
        <w:br/>
        <w:t xml:space="preserve">    Conclusiones</w:t>
        <w:br/>
        <w:br/>
        <w:t>De lo expuesto  se  desprende  que  la  expulsión  de  los  nueve  migrantes</w:t>
        <w:br/>
        <w:t>haitianos no siguió los estándares internacionales  en  la  materia  ni  los</w:t>
        <w:br/>
        <w:t>procedimientos previstos en la  normativa  interna.  No  se  respeto  a  los</w:t>
        <w:br/>
        <w:t>migrantes haitianos ninguna de las garantías mínimas que  les  correspondían</w:t>
        <w:br/>
        <w:t>como extranjeros. Por tanto, la Corte  considera  que  República  Dominicana</w:t>
        <w:br/>
        <w:t>violó el derecho al debido proceso y las garantías judiciales,  previsto  en</w:t>
        <w:br/>
        <w:t>el artículo 8.1 de la Convención Americana, en relación con el artículo  1.1</w:t>
        <w:br/>
        <w:t>del mismo  instrumento,  en  perjuicio  de  Rose-Marie  Petit-Homme,  Joseph</w:t>
        <w:br/>
        <w:t>Pierre, Renaud Tima, Selafoi Pierre, Sylvie  Felizor,  Roland  Israel,  Rose</w:t>
        <w:br/>
        <w:t>Marie Dol, Josier Maxime y Sonide Nora[249].</w:t>
        <w:br/>
        <w:br/>
        <w:t>Asimismo,  la  Corte  constata  que  no   se   observaron   los   requisitos</w:t>
        <w:br/>
        <w:t>establecidos  tanto  por  la  legislación  dominicana  y  el  Protocolo   de</w:t>
        <w:br/>
        <w:t>Entendimiento entre Haití  y  República  Dominicana,  como  por  el  derecho</w:t>
        <w:br/>
        <w:t>internacional, durante la expulsión de los nueve migrantes  haitianos.  Esta</w:t>
        <w:br/>
        <w:t>actuación corrobora la conclusión del  Relator  Especial  sobre  las  formas</w:t>
        <w:br/>
        <w:t>contemporáneas  de  racismo,  discriminación  racial,  xenofobia  y   formas</w:t>
        <w:br/>
        <w:t>conexas de intolerancia, y la Experta Independiente sobre cuestiones de  las</w:t>
        <w:br/>
        <w:t>minorías sobre la existencia de expulsiones injustificadas y violatorias  de</w:t>
        <w:br/>
        <w:t>los derechos de migrantes haitianos considerados ilegales  por  funcionarios</w:t>
        <w:br/>
        <w:t>estatales[250].</w:t>
        <w:br/>
        <w:br/>
        <w:t>En vista de lo anterior, la  Corte  concluye  que  el  Estado  trató  a  los</w:t>
        <w:br/>
        <w:t>migrantes  como  un  grupo,  sin  individualizarlos  o   darles   un   trato</w:t>
        <w:br/>
        <w:t>diferenciado como ser humano  y  tomando  en  consideración  sus  eventuales</w:t>
        <w:br/>
        <w:t>necesidades de protección. Lo anterior representó una  expulsión  colectiva,</w:t>
        <w:br/>
        <w:t>en  contravención  del  artículo  22.9  de  la  Convención  Americana  sobre</w:t>
        <w:br/>
        <w:t>Derechos Humanos, en relación con la obligación de  respetar  los  derechos,</w:t>
        <w:br/>
        <w:t>establecida en el artículo 1.1 de  la  misma,  en  perjuicio  de  Rose-Marie</w:t>
        <w:br/>
        <w:t>Petit-Homme, Joseph Pierre, Renaud Tima,  Selafoi  Pierre,  Sylvie  Felizor,</w:t>
        <w:br/>
        <w:t>Roland Israel, Rose Marie Dol, Josier Maxime y Sonide Nora.</w:t>
        <w:br/>
        <w:br/>
        <w:br/>
        <w:br/>
        <w:br/>
        <w:t>VII-3</w:t>
        <w:br/>
        <w:t>DERECHO A LAS GARANTÍAS JUDICIALES Y A LA PROTECCIÓN JUDICIAL</w:t>
        <w:br/>
        <w:br/>
        <w:br/>
        <w:br/>
        <w:t>En primer lugar, la Corte resumirá los alegatos de las  partes  relacionados</w:t>
        <w:br/>
        <w:t>con la actuación de la jurisdicción militar y la impunidad  de  los  hechos.</w:t>
        <w:br/>
        <w:t>Seguidamente,  la  Corte  procederá  a  realizar   algunas   consideraciones</w:t>
        <w:br/>
        <w:t>generales sobre  los  derechos  a  las  garantías  judiciales  y  protección</w:t>
        <w:br/>
        <w:t>judicial, y posteriormente se pronunciará  sobre  la  alegada  violación  de</w:t>
        <w:br/>
        <w:t>estos derechos dentro de los trámites adelantados ante la  justicia  militar</w:t>
        <w:br/>
        <w:t>dominicana.</w:t>
        <w:br/>
        <w:br/>
        <w:t>A.                                                                 Alegatos</w:t>
        <w:br/>
        <w:br/>
        <w:t>La  Comisión  señaló  que  la  jurisdicción  militar  es  incompetente  para</w:t>
        <w:br/>
        <w:t>investigar los hechos en el presente caso puesto  que  ésta  debe  aplicarse</w:t>
        <w:br/>
        <w:t>“únicamente cuando se atente contra bienes jurídicos penales castrenses,  en</w:t>
        <w:br/>
        <w:t>ocasión de las particulares funciones de defensa y seguridad del  Estado,  y</w:t>
        <w:br/>
        <w:t>nunca para investigar violaciones de derechos humanos”. Asimismo,  consideró</w:t>
        <w:br/>
        <w:t>que el tribunal militar no fue imparcial ni independiente  en  el  ejercicio</w:t>
        <w:br/>
        <w:t>de sus funciones  por  diversos  hechos  como:  a)  la  falta  de  acceso  y</w:t>
        <w:br/>
        <w:t>participación de los familiares de las víctimas y de  los  sobrevivientes  a</w:t>
        <w:br/>
        <w:t>la  investigación;  b)  solo  se  tomaran  declaraciones  de  los  militares</w:t>
        <w:br/>
        <w:t>involucrados, del conductor del vehículo y de uno de los sobrevivientes;  c)</w:t>
        <w:br/>
        <w:t>los militares involucrados se encuentran en libertad a pesar de  haber  sido</w:t>
        <w:br/>
        <w:t>identificados y haber admitido que dispararon el día de los hechos;  d)  las</w:t>
        <w:br/>
        <w:t>falencias en la protección de la  escena  del  crimen,  en  las  pruebas  de</w:t>
        <w:br/>
        <w:t>balística y en las autopsias sobre los cadáveres;  e)  la  investigación  no</w:t>
        <w:br/>
        <w:t>estableció si el uso de la fuerza atendió a  los  principios  de  legalidad,</w:t>
        <w:br/>
        <w:t>necesidad  y  proporcionalidad,  y  f)  “las   ejecuciones   arbitrarias   y</w:t>
        <w:br/>
        <w:t>extrajudiciales,  así  como  las  heridas  con  arma   de   fuego   de   los</w:t>
        <w:br/>
        <w:t>sobrevivientes  no  pueden  ser  consideradas  delito   de   función,   sino</w:t>
        <w:br/>
        <w:t>violaciones graves a los derechos humanos, y por tanto la  investigación  de</w:t>
        <w:br/>
        <w:t>los hechos […] debió adelantarse en el fuero  ordinario”.  Por  otra  parte,</w:t>
        <w:br/>
        <w:t>República Dominicana no ha brindado una  explicación  satisfactoria  de  los</w:t>
        <w:br/>
        <w:t>hechos, ni ha desvirtuado con base en elementos probatorios las  alegaciones</w:t>
        <w:br/>
        <w:t>sobre su responsabilidad, y por lo tanto violó  los  artículos  8  y  25  en</w:t>
        <w:br/>
        <w:t>relación con el artículo 1.1 de la Convención.</w:t>
        <w:br/>
        <w:br/>
        <w:t>Los  representantes  señalaron  que  el   Estado   no   ha   realizado   una</w:t>
        <w:br/>
        <w:t>investigación exhaustiva, seria e imparcial en relación con los  hechos  del</w:t>
        <w:br/>
        <w:t>presente  caso.  Agregaron  que  los  tribunales  militares  carecen  de  la</w:t>
        <w:br/>
        <w:t>independencia e  imparcialidad  necesarias  para  investigar  y  juzgar  las</w:t>
        <w:br/>
        <w:t>violaciones de derechos  humanos  cometidas  por  miembros  de  las  fuerzas</w:t>
        <w:br/>
        <w:t>armadas.  Asimismo,  indicaron  que  el  hecho  de  no  haber  existido  una</w:t>
        <w:br/>
        <w:t>investigación ante el fuero ordinario perpetua un  clima  de  impunidad,  lo</w:t>
        <w:br/>
        <w:t>que resulta violatorio de los artículos 8 y 25 de  la  Convención  Americana</w:t>
        <w:br/>
        <w:t>en relación con el artículo 1.1 de la misma.</w:t>
        <w:br/>
        <w:br/>
        <w:t>El Estado afirmó en sus alegatos finales escritos que “ha  cumplido  con  su</w:t>
        <w:br/>
        <w:t>obligación de investigar  los  hechos  del  caso.  Las  investigaciones  […]</w:t>
        <w:br/>
        <w:t>respondieron a un criterio  fundamentado  en  imparcialidad,  objetividad  y</w:t>
        <w:br/>
        <w:t>búsqueda  de  la  verdad.  De  igual  manera,  fueron  apoderadas  tanto  la</w:t>
        <w:br/>
        <w:t>jurisdicción […] ordinaria como la  jurisdicción  […]  militar,  procediendo</w:t>
        <w:br/>
        <w:t>las mismas a llevar a cabo las  investigaciones  de  lugar,  conocimiento  y</w:t>
        <w:br/>
        <w:t>posterior decisión de cada caso”.  Asimismo,  el  Estado  alegó  durante  la</w:t>
        <w:br/>
        <w:t>audiencia pública que, de “conformidad con  el  artículo  8  del  Código  de</w:t>
        <w:br/>
        <w:t>Justicia  de  las  Fuerzas  Armadas  las  víctimas  pudieron   percibir   el</w:t>
        <w:br/>
        <w:t>resarcimiento económico […] ante la jurisdicción civil ordinaria”.</w:t>
        <w:br/>
        <w:br/>
        <w:t>B.</w:t>
        <w:br/>
        <w:t>Consideraciones de la Corte</w:t>
        <w:br/>
        <w:br/>
        <w:t>La Corte ha  determinado  anteriormente  que  existe  un  deber  general  de</w:t>
        <w:br/>
        <w:t>garantía derivado del artículo 1.1 de  la  Convención  Americana  y  que  se</w:t>
        <w:br/>
        <w:t>encuentra estrechamente relacionado con las demás obligaciones  establecidas</w:t>
        <w:br/>
        <w:t>en este  instrumento[251].  La  obligación  de  investigar  los  hechos  que</w:t>
        <w:br/>
        <w:t>constituyen violaciones de derechos humanos hace parte de  las  obligaciones</w:t>
        <w:br/>
        <w:t>derivadas  del  deber  de  garantizar  los  derechos   consagrados   en   la</w:t>
        <w:br/>
        <w:t>Convención[252].</w:t>
        <w:br/>
        <w:br/>
        <w:t>En  efecto,   dicho   deber   jurídico   fundamental   comprende   “prevenir</w:t>
        <w:br/>
        <w:t>razonablemente las violaciones de derechos humanos e  investigar  seriamente</w:t>
        <w:br/>
        <w:t>con los medios a su alcance las violaciones que  se  hayan  cometido  dentro</w:t>
        <w:br/>
        <w:t>del ámbito de su  jurisdicción”,  de  manera  que  se  pueda  identificar  y</w:t>
        <w:br/>
        <w:t>sancionar  a  los  perpetradores  de  la   violación   y   reparar   a   las</w:t>
        <w:br/>
        <w:t>víctimas[253].</w:t>
        <w:br/>
        <w:br/>
        <w:t>Esas funciones deben estar a cargo  de  jueces  que  sean  independientes  e</w:t>
        <w:br/>
        <w:t>imparciales en el conocimiento de las violaciones de derechos  humanos.  Por</w:t>
        <w:br/>
        <w:t>esta razón, debe garantizarse que los jueces “no tengan un interés  directo,</w:t>
        <w:br/>
        <w:t>una posición tomada, una preferencia por alguna de las partes y  que  no  se</w:t>
        <w:br/>
        <w:t>encuentren involucrados en la controversia”[254].</w:t>
        <w:br/>
        <w:br/>
        <w:t>De conformidad  con  las  consideraciones  anteriores,  este  Tribunal  debe</w:t>
        <w:br/>
        <w:t>determinar si en el presente caso el Estado ha incurrido  en  violaciones  a</w:t>
        <w:br/>
        <w:t>los  derechos  a  las  garantías  judiciales  y  a  la  protección  judicial</w:t>
        <w:br/>
        <w:t>consagrados en los artículos 2, 8 y 25 de la Convención, en relación con  el</w:t>
        <w:br/>
        <w:t>artículo 1.1 de este instrumento, teniendo en cuenta  que  la  investigación</w:t>
        <w:br/>
        <w:t>de los hechos y la decisión final de absolver a los  presuntos  responsables</w:t>
        <w:br/>
        <w:t>estuvo exclusivamente a cargo de órganos de la jurisdicción militar.</w:t>
        <w:br/>
        <w:br/>
        <w:t xml:space="preserve">    1.                                                                   La</w:t>
        <w:br/>
        <w:t xml:space="preserve">         jurisdicción militar no puede ser el fuero competente en materia de</w:t>
        <w:br/>
        <w:t xml:space="preserve">         derechos humanos</w:t>
        <w:br/>
        <w:br/>
        <w:t>En un Estado democrático de derecho, la justicia penal  militar  ha  de  ser</w:t>
        <w:br/>
        <w:t>restrictiva y  excepcional  de  manera  que  se  aplique  únicamente  en  la</w:t>
        <w:br/>
        <w:t>protección de bienes jurídicos especiales,  de  carácter  castrense,  y  que</w:t>
        <w:br/>
        <w:t>hayan sido vulnerados por miembros de las fuerzas militares en el  ejercicio</w:t>
        <w:br/>
        <w:t>de sus funciones[255]. Asimismo, es jurisprudencia constante de  esta  Corte</w:t>
        <w:br/>
        <w:t>que la jurisdicción militar no es el fuero competente para investigar y,  en</w:t>
        <w:br/>
        <w:t>su caso, juzgar y  sancionar  a  los  autores  de  violaciones  de  derechos</w:t>
        <w:br/>
        <w:t>humanos, sino que el procesamiento de los responsables  corresponde  siempre</w:t>
        <w:br/>
        <w:t>a la  justicia  ordinaria[256].  Esta  conclusión  se  aplica  a  todas  las</w:t>
        <w:br/>
        <w:t>violaciones de derechos humanos.</w:t>
        <w:br/>
        <w:br/>
        <w:t>Esta jurisprudencia constante  de  la  Corte  también  ha  señalado  que  la</w:t>
        <w:br/>
        <w:t>jurisdicción  militar  no  satisface  los  requisitos  de  independencia   e</w:t>
        <w:br/>
        <w:t>imparcialidad establecidos en la Convención[257]. En  particular,  la  Corte</w:t>
        <w:br/>
        <w:t>ha advertido que cuando los funcionarios de la  jurisdicción  penal  militar</w:t>
        <w:br/>
        <w:t>que tienen a su cargo la investigación de los hechos  son  miembros  de  las</w:t>
        <w:br/>
        <w:t>fuerzas armadas en servicio activo, no están en  condiciones  de  rendir  un</w:t>
        <w:br/>
        <w:t>dictamen independiente e imparcial[258].</w:t>
        <w:br/>
        <w:br/>
        <w:t>De igual forma, la Corte ha establecido  que  los  recursos  ante  el  fuero</w:t>
        <w:br/>
        <w:t>militar no son efectivos para resolver casos de  graves  violaciones  a  los</w:t>
        <w:br/>
        <w:t>derechos humanos y mucho menos para  establecer  la  verdad,  juzgar  a  los</w:t>
        <w:br/>
        <w:t>responsables y reparar a las víctimas, puesto  que  no  pueden  considerarse</w:t>
        <w:br/>
        <w:t>efectivos  aquellos  recursos  que  por  diversas  circunstancias   resulten</w:t>
        <w:br/>
        <w:t>ilusorios, como cuando existe una carencia de independencia e  imparcialidad</w:t>
        <w:br/>
        <w:t>del órgano judicial.</w:t>
        <w:br/>
        <w:br/>
        <w:t>En  el  presente  caso,  las  privaciones  arbitrarias  de  la   vida,   las</w:t>
        <w:br/>
        <w:t>ejecuciones extrajudiciales y las heridas  a  los  sobrevivientes  haitianos</w:t>
        <w:br/>
        <w:t>cometidas por personal militar son actos que no  guardan,  en  ningún  caso,</w:t>
        <w:br/>
        <w:t>relación con la disciplina o la misión castrense. Por el  contrario,  dichos</w:t>
        <w:br/>
        <w:t>actos afectaron bienes jurídicos tutelados por el derecho  penal  interno  y</w:t>
        <w:br/>
        <w:t>la Convención Americana, como  la  vida  y  la  integridad  personal  (supra</w:t>
        <w:br/>
        <w:t>párrs.  97  y  98).  Es  evidente  que  tales  conductas  son   abiertamente</w:t>
        <w:br/>
        <w:t>contrarias a los deberes de respeto y protección de los derechos humanos  y,</w:t>
        <w:br/>
        <w:t>por lo tanto, se encuentran excluidas de la competencia de  la  jurisdicción</w:t>
        <w:br/>
        <w:t>militar.</w:t>
        <w:br/>
        <w:br/>
        <w:t>Como en  casos  anteriores[259],  la  Corte  ha  considerado  que,  ante  la</w:t>
        <w:br/>
        <w:t>conclusión de que la justicia penal militar no  resulta  competente,  no  es</w:t>
        <w:br/>
        <w:t>necesario pronunciarse respecto de  otros  alegatos  sobre  independencia  o</w:t>
        <w:br/>
        <w:t>imparcialidad del fuero militar o la eventual violación de otros  parámetros</w:t>
        <w:br/>
        <w:t>de los derechos a las garantías judiciales y a la  protección  judicial.  No</w:t>
        <w:br/>
        <w:t>obstante,  la  Corte  considera  necesario  hacer  notar  algunas   de   las</w:t>
        <w:br/>
        <w:t>irregularidades en el proceso que derivaron en la impunidad en el caso.</w:t>
        <w:br/>
        <w:br/>
        <w:t>En este sentido la Corte observa,  inter  alia,  que:  a)  la  investigación</w:t>
        <w:br/>
        <w:t>estuvo a cargo de funcionarios y jueces militares (supra párr. 56 a 62);  b)</w:t>
        <w:br/>
        <w:t>no existen registros de informe alguno de balística; c) no  se  permitió  la</w:t>
        <w:br/>
        <w:t>participación de las presuntas víctimas en  el  proceso;  d)  el  Estado  no</w:t>
        <w:br/>
        <w:t>individualizó en la investigación a las personas heridas, por lo  que  tales</w:t>
        <w:br/>
        <w:t>hechos quedaron impunes (supra párr. 58); e) de la  prueba  presentada  ante</w:t>
        <w:br/>
        <w:t>la Corte no se desprende que la solicitud de encarcelamiento  en  contra  de</w:t>
        <w:br/>
        <w:t>los militares acusados  haya  sido  cumplida  (supra  párr.  58),  y  f)  la</w:t>
        <w:br/>
        <w:t>investigación no estableció si el uso de la fuerza atendió a los  principios</w:t>
        <w:br/>
        <w:t>de legalidad, necesidad y proporcionalidad.</w:t>
        <w:br/>
        <w:br/>
        <w:t>Asimismo, con respecto a las decisiones judiciales adoptadas, la Corte  nota</w:t>
        <w:br/>
        <w:t>que la sentencia del Consejo de Guerra de Apelación  Mixto  que  absolvió  a</w:t>
        <w:br/>
        <w:t>los  tres  militares  que  habían  sido  condenados  en  primera  instancia,</w:t>
        <w:br/>
        <w:t>simplemente ordenó el “descargo” de los acusados con base en  los  artículos</w:t>
        <w:br/>
        <w:t>321 y 327 del Código Penal Dominicano. Al respecto, la Corte observa que  el</w:t>
        <w:br/>
        <w:t>artículo 321 se refiere a causales de excusación del  delito  de  homicidio,</w:t>
        <w:br/>
        <w:t>si éste ha sido precedido de “provocación,  amenazas  o  violencias  graves”</w:t>
        <w:br/>
        <w:t>(supra párr. 62). En el presente caso, quedó acreditado que las víctimas  en</w:t>
        <w:br/>
        <w:t>ningún momento ofrecieron cualquier resistencia o peligro a  los  militares,</w:t>
        <w:br/>
        <w:t>un hecho confirmado por los propios militares  durante  los  interrogatorios</w:t>
        <w:br/>
        <w:t>llevados a cabo durante la investigación de los  hechos  (supra  párr.  83).</w:t>
        <w:br/>
        <w:t>Por otra parte, la Corte  destaca  que  el  artículo  327  referido  por  el</w:t>
        <w:br/>
        <w:t>Consejo de Guerra de Apelación Mixto en su sentencia,  había  sido  derogado</w:t>
        <w:br/>
        <w:t>por la Ley 24-97 del 28 de enero de 1997 (supra párr. 62).</w:t>
        <w:br/>
        <w:br/>
        <w:t>Adicionalmente, la Corte encontró probado que el Juzgado de Instrucción  del</w:t>
        <w:br/>
        <w:t>Distrito Judicial de Montecristi denegó la solicitud de  los  familiares  de</w:t>
        <w:br/>
        <w:t>personas fallecidas de 30 de septiembre de 2002 para  que  se  iniciara  una</w:t>
        <w:br/>
        <w:t>investigación  en  la  jurisdicción  ordinaria  (supra  párrs.  63  y   64).</w:t>
        <w:br/>
        <w:t>Asimismo, la decisión de la Suprema Corte de Justicia de 3 de enero de  2005</w:t>
        <w:br/>
        <w:t>rechazó la demanda de  designación  de  juez  solicitando  el  traslado  del</w:t>
        <w:br/>
        <w:t>conocimiento  a  la  justicia  ordinaria  en  desconocimiento  del  estándar</w:t>
        <w:br/>
        <w:t>convencional que  restringe  la  jurisdicción  militar.  En  atención  a  lo</w:t>
        <w:br/>
        <w:t>anterior, la Corte considera que ambas decisiones judiciales  obstaculizaron</w:t>
        <w:br/>
        <w:t>la participación de los familiares de las personas fallecidas en su  calidad</w:t>
        <w:br/>
        <w:t>de víctimas.</w:t>
        <w:br/>
        <w:br/>
        <w:t>Por otro lado, la Corte recuerda que el principio de “cosa juzgada”  implica</w:t>
        <w:br/>
        <w:t>la intangibilidad de una sentencia sólo cuando se llega a ésta  respetándose</w:t>
        <w:br/>
        <w:t>el debido proceso de acuerdo a la jurisprudencia  de  este  Tribunal  en  la</w:t>
        <w:br/>
        <w:t>materia[260]. Específicamente en relación con la figura de la cosa  juzgada,</w:t>
        <w:br/>
        <w:t>la Corte ha precisado que el principio ne bis in idem no  resulta  aplicable</w:t>
        <w:br/>
        <w:t>cuando el procedimiento que culmina con el sobreseimiento de la causa  o  la</w:t>
        <w:br/>
        <w:t>absolución del responsable de  una  violación  a  los  derechos  humanos,  y</w:t>
        <w:br/>
        <w:t>sustrae  al  acusado  de  su  responsabilidad   penal,   no   es   instruido</w:t>
        <w:br/>
        <w:t>independiente o imparcialmente de  conformidad  con  las  debidas  garantías</w:t>
        <w:br/>
        <w:t>procesales, o cuando no hay la intención real de someter  al  responsable  a</w:t>
        <w:br/>
        <w:t>la acción de la justicia[261].</w:t>
        <w:br/>
        <w:br/>
        <w:t>Asimismo, la Corte considera que se presenta el  fenómeno  de  cosa  juzgada</w:t>
        <w:br/>
        <w:t>“aparente” cuando del análisis fáctico es evidente que la investigación,  el</w:t>
        <w:br/>
        <w:t>procedimiento  y  las  decisiones   judiciales   no   pretendían   realmente</w:t>
        <w:br/>
        <w:t>esclarecer los hechos sino obtener la absolución de los imputados y  también</w:t>
        <w:br/>
        <w:t>que los funcionarios judiciales carecían de los requisitos de  independencia</w:t>
        <w:br/>
        <w:t>e imparcialidad[262].</w:t>
        <w:br/>
        <w:br/>
        <w:t>En el presente caso, la aplicación de causales improcedentes en la  decisión</w:t>
        <w:br/>
        <w:t>del Consejo  de  Guerra  de  Apelación  (supra  párr.  193)  resultó  en  la</w:t>
        <w:br/>
        <w:t>sustracción de los presuntos responsables de la  acción  de  la  justicia  y</w:t>
        <w:br/>
        <w:t>dejó los hechos del caso en la impunidad.  Adicionalmente,  la  intervención</w:t>
        <w:br/>
        <w:t>del  fuero  militar  en  la  investigación  de  los  hechos  contravino  los</w:t>
        <w:br/>
        <w:t>parámetros de excepcionalidad y restricción que la  caracterizan  e  implicó</w:t>
        <w:br/>
        <w:t>la aplicación de un  fuero  personal  que  operó  sin  tomar  en  cuenta  la</w:t>
        <w:br/>
        <w:t>naturaleza de  los  actos  involucrados.  Ambas  circunstancias  violan  las</w:t>
        <w:br/>
        <w:t>exigencias de la justicia y los derechos de las  víctimas,  de  lo  cual  la</w:t>
        <w:br/>
        <w:t>Corte concluye que la decisión del Consejo de Guerra de Apelación  no  puede</w:t>
        <w:br/>
        <w:t>ser considerada como un obstáculo legal a la promoción de  la  acción  penal</w:t>
        <w:br/>
        <w:t>ni como sentencia firme[263].</w:t>
        <w:br/>
        <w:br/>
        <w:t>Esta conclusión resulta válida en el  presente  caso  aún  cuando  el  hecho</w:t>
        <w:br/>
        <w:t>estaba en la  etapa  de  investigación  por  parte  de  la  Junta  Mixta  de</w:t>
        <w:br/>
        <w:t>Investigación Militar. Como se desprende  de  los  criterios  señalados,  la</w:t>
        <w:br/>
        <w:t>incompatibilidad de la Convención Americana con la  intervención  del  fuero</w:t>
        <w:br/>
        <w:t>militar en este tipo de casos no se refiere únicamente al acto de juzgar,  a</w:t>
        <w:br/>
        <w:t>cargo de un tribunal, sino fundamentalmente a la propia investigación,  dado</w:t>
        <w:br/>
        <w:t>que su actuación constituye el inicio y el  presupuesto  necesario  para  la</w:t>
        <w:br/>
        <w:t>posterior  intervención  de  un  tribunal  incompetente.  Con  base  en   lo</w:t>
        <w:br/>
        <w:t>anterior, la  Corte  concluye  que  el  Estado  violó  los  derechos  a  las</w:t>
        <w:br/>
        <w:t>garantías judiciales y a la protección judicial, previstos en los  artículos</w:t>
        <w:br/>
        <w:t>8.1 y 25.1 de la Convención Americana, en relación con el  artículo  1.1  de</w:t>
        <w:br/>
        <w:t>la misma, en perjuicio de los familiares de las personas  fallecidas  (infra</w:t>
        <w:br/>
        <w:t>Anexo A).</w:t>
        <w:br/>
        <w:br/>
        <w:t xml:space="preserve">    2.</w:t>
        <w:br/>
        <w:t>Impunidad de los infractores y acceso a la justicia</w:t>
        <w:br/>
        <w:br/>
        <w:t>La Corte ha señalado que del artículo 8 de la Convención  se  desprende  que</w:t>
        <w:br/>
        <w:t>las víctimas de violaciones de derechos humanos,  o  sus  familiares,  deben</w:t>
        <w:br/>
        <w:t>contar con amplias posibilidades de ser oídos y actuar  en  los  respectivos</w:t>
        <w:br/>
        <w:t>procesos, tanto en la procuración del esclarecimiento de los  hechos  y  del</w:t>
        <w:br/>
        <w:t>castigo  de  los  responsables,  como  en  la   búsqueda   de   una   debida</w:t>
        <w:br/>
        <w:t>reparación[264]. En este sentido, la Corte ha señalado que  en  un  caso  de</w:t>
        <w:br/>
        <w:t>ejecución  extrajudicial  los  derechos   afectados   corresponden   a   los</w:t>
        <w:br/>
        <w:t>familiares de la víctima fallecida, quienes son la parte  interesada  en  la</w:t>
        <w:br/>
        <w:t>búsqueda de justicia y a quienes el Estado debe proveer  recursos  efectivos</w:t>
        <w:br/>
        <w:t>para garantizarles el acceso a la justicia, la investigación y, en su  caso,</w:t>
        <w:br/>
        <w:t>la eventual sanción de los responsables y  la  reparación  integral  de  las</w:t>
        <w:br/>
        <w:t>consecuencias de las violaciones[265].</w:t>
        <w:br/>
        <w:br/>
        <w:t>Asimismo, la Corte ha destacado reiteradamente que,</w:t>
        <w:br/>
        <w:br/>
        <w:t xml:space="preserve">      […] cuando los tribunales militares conocen de actos constitutivos  de</w:t>
        <w:br/>
        <w:t xml:space="preserve">      violaciones  a  derechos  humanos  en  contra   de   civiles   ejercen</w:t>
        <w:br/>
        <w:t xml:space="preserve">      jurisdicción   no   solamente   respecto   del   imputado,   el   cual</w:t>
        <w:br/>
        <w:t xml:space="preserve">      necesariamente  debe  ser  una  persona  con  estatus  de  militar  en</w:t>
        <w:br/>
        <w:t xml:space="preserve">      situación de actividad, sino también sobre  la  víctima  civil,  quien</w:t>
        <w:br/>
        <w:t xml:space="preserve">      tiene derecho a participar en el proceso penal no sólo para efectos de</w:t>
        <w:br/>
        <w:t xml:space="preserve">      la respectiva reparación del daño sino también  para  hacer  efectivos</w:t>
        <w:br/>
        <w:t xml:space="preserve">      sus derechos a la verdad y a la justicia  […].  En  tal  sentido,  las</w:t>
        <w:br/>
        <w:t xml:space="preserve">      víctimas de violaciones a derechos humanos  y  sus  familiares  tienen</w:t>
        <w:br/>
        <w:t xml:space="preserve">      derecho a que tales violaciones sean  conocidas  y  resueltas  por  un</w:t>
        <w:br/>
        <w:t xml:space="preserve">      tribunal competente, de conformidad con el debido proceso y el  acceso</w:t>
        <w:br/>
        <w:t xml:space="preserve">      a la justicia. La importancia del sujeto pasivo trasciende  la  esfera</w:t>
        <w:br/>
        <w:t xml:space="preserve">      del ámbito militar, ya que se encuentran involucrados bienes jurídicos</w:t>
        <w:br/>
        <w:t xml:space="preserve">      propios del régimen ordinario[266].</w:t>
        <w:br/>
        <w:br/>
        <w:t>De la prueba que obra en el expediente,  la  Corte  nota  que  la  normativa</w:t>
        <w:br/>
        <w:t>vigente al momento  de  los  hechos  y  su  aplicación  por  los  tribunales</w:t>
        <w:br/>
        <w:t>internos no excluía los hechos del caso de la  jurisdicción  militar  (infra</w:t>
        <w:br/>
        <w:t>párr. 209). Asimismo, tanto el Juzgado de Instrucción del Distrito  Judicial</w:t>
        <w:br/>
        <w:t>de Montecristi como la Suprema Corte de  Justicia  rechazaron  dos  recursos</w:t>
        <w:br/>
        <w:t>interpuestos por los familiares de las víctimas fallecidas para que el  caso</w:t>
        <w:br/>
        <w:t>fuera investigado y juzgado por la jurisdicción ordinaria (supra  párrs.  63</w:t>
        <w:br/>
        <w:t>y 64). En el mismo sentido, la Corte  destaca  que  el  procedimiento  penal</w:t>
        <w:br/>
        <w:t>militar no permitía la participación de  los  familiares  de  las  víctimas,</w:t>
        <w:br/>
        <w:t>visto que el artículo 8 de la  Ley  No.  3.483  disponía  que  “nadie  puede</w:t>
        <w:br/>
        <w:t>constituirse en parte civil ante los tribunales  militares”[267].  Por  otra</w:t>
        <w:br/>
        <w:t>parte, la Corte constata que las heridas  producidas  a  los  sobrevivientes</w:t>
        <w:br/>
        <w:t>haitianos no fueron investigadas o juzgadas  por  parte  del  Estado  (supra</w:t>
        <w:br/>
        <w:t>párr. 98) y que pasados más de 12 años  de  ocurridos  los  hechos,  ninguna</w:t>
        <w:br/>
        <w:t>persona ha sido condenada y los hechos se  encuentran  en  total  impunidad.</w:t>
        <w:br/>
        <w:t>Todo lo anterior privó a los familiares de las víctimas fallecidas y  a  los</w:t>
        <w:br/>
        <w:t>sobrevivientes heridos del acceso a la justicia y violó  el  derecho  a  las</w:t>
        <w:br/>
        <w:t>garantías judiciales y a la protección judicial, previstos en los  artículos</w:t>
        <w:br/>
        <w:t>8.1 y 25.1 de la Convención Americana sobre Derechos  Humanos,  en  relación</w:t>
        <w:br/>
        <w:t>con el artículo 1.1 del mismo instrumento en su perjuicio (infra Anexo A).</w:t>
        <w:br/>
        <w:br/>
        <w:br/>
        <w:br/>
        <w:t>VII-4</w:t>
        <w:br/>
        <w:t>DEBER DE ADOPTAR DISPOSICIONES DE DERECHO INTERNO</w:t>
        <w:br/>
        <w:br/>
        <w:br/>
        <w:br/>
        <w:t>A continuación, la Corte analizará los alegatos sobre el  deber  de  adoptar</w:t>
        <w:br/>
        <w:t>disposiciones de derecho interno y las reformas  legislativas  implementadas</w:t>
        <w:br/>
        <w:t>en República Dominicana, con el fin de determinar si en el presente caso  se</w:t>
        <w:br/>
        <w:t>configuró una violación de la referida obligación estatal.</w:t>
        <w:br/>
        <w:br/>
        <w:t>A.                                                                 Alegatos</w:t>
        <w:br/>
        <w:br/>
        <w:t>La Comisión observó que  la  norma  que  establecía  la  competencia  de  la</w:t>
        <w:br/>
        <w:t>jurisdicción militar para el conocimiento del caso  era  amplia  y  permitía</w:t>
        <w:br/>
        <w:t>incluir cualquier actividad desarrollada por un militar en servicio,  puesto</w:t>
        <w:br/>
        <w:t>que no determinaba “claramente y sin ambigüedad cuáles  [eran]  los  delitos</w:t>
        <w:br/>
        <w:t>considerados dentro de la función militar estableciendo la relación  directa</w:t>
        <w:br/>
        <w:t>y próxima con dicha función o con la afectación de bienes jurídicos  propios</w:t>
        <w:br/>
        <w:t>del orden castrense”.  Asimismo,  señaló  que  no  existía  otra  norma  que</w:t>
        <w:br/>
        <w:t>detallara o explicara con mayor claridad el tema,  por  lo  cual  el  Estado</w:t>
        <w:br/>
        <w:t>violó el artículo 2 en relación con los artículos 8 y 25 de la Convención.</w:t>
        <w:br/>
        <w:br/>
        <w:t>Los  representantes  coincidieron  con  la  Comisión  con  respecto   a   la</w:t>
        <w:br/>
        <w:t>ambigüedad de la legislación dominicana  que  no  especificaba  los  delitos</w:t>
        <w:br/>
        <w:t>considerados dentro de la función militar, y  alegaron  que  por  la  simple</w:t>
        <w:br/>
        <w:t>existencia de las normas imperantes para la época en  República  Dominicana,</w:t>
        <w:br/>
        <w:t>y que permitieron el juzgamiento de violaciones de derechos humanos  por  la</w:t>
        <w:br/>
        <w:t>justicia militar, el Estado violó “los artículos 8 y 25  de  la  Convención,</w:t>
        <w:br/>
        <w:t>en relación con los artículos 1.1 y 2 de la  misma”.  Por  otra  parte,  los</w:t>
        <w:br/>
        <w:t>representantes  alegaron  la  violación  de  los  mismos  artículos  de   la</w:t>
        <w:br/>
        <w:t>Convención porque  el  Estado  no  suprimió  las  normas  que  violarían  la</w:t>
        <w:br/>
        <w:t>Convención y por no haber realizado un control  de  convencionalidad  de  la</w:t>
        <w:br/>
        <w:t>legislación dominicana pertinente en su momento.</w:t>
        <w:br/>
        <w:br/>
        <w:t>El Estado señaló  en  sus  alegatos  finales  orales  y  escritos  que,  con</w:t>
        <w:br/>
        <w:t>posterioridad a los hechos del presente caso, se han adelantado  cambios  en</w:t>
        <w:br/>
        <w:t>la legislación nacional, como la aprobación de la Ley No.  76-02,  el  2  de</w:t>
        <w:br/>
        <w:t>julio de 2002, que instituyó el Código Procesal Penal. Esta  norma  modificó</w:t>
        <w:br/>
        <w:t>“el artículo 3 de la Ley especial No. 3483 de 13 de febrero del  año  1953”,</w:t>
        <w:br/>
        <w:t>la cual había servido de soporte legal para juzgar  a  los  miembros  de  la</w:t>
        <w:br/>
        <w:t>patrulla actuante ante la jurisdicción Militar. Según el  Estado,  la  nueva</w:t>
        <w:br/>
        <w:t>Ley establece la  competencia  única  y  exclusivamente  de  los  tribunales</w:t>
        <w:br/>
        <w:t>penales  militares  para  conocer  de  infracciones  de  tipo  disciplinario</w:t>
        <w:br/>
        <w:t>puramente militar, por lo cual las conductas tipificadas como tipos  penales</w:t>
        <w:br/>
        <w:t>cometidas por militares serán de conocimiento de la jurisdicción ordinaria.</w:t>
        <w:br/>
        <w:br/>
        <w:t>Además, el Estado señaló que, obedeciendo al mandato del artículo  2  de  la</w:t>
        <w:br/>
        <w:t>Convención, en enero de  2010  se  modificó  el  texto  de  la  Constitución</w:t>
        <w:br/>
        <w:t>Nacional Dominicana, cuyo artículo 254 ahora establece que  la  jurisdicción</w:t>
        <w:br/>
        <w:t>militar solo puede conocer de casos relacionados con infracciones  militares</w:t>
        <w:br/>
        <w:t>previstas en las leyes sobre la materia, y que las fuerzas  armadas  tendrán</w:t>
        <w:br/>
        <w:t>un  régimen  disciplinario  militar  aplicable  a  aquellas  faltas  que  no</w:t>
        <w:br/>
        <w:t>constituyan infracciones del régimen penal militar.</w:t>
        <w:br/>
        <w:br/>
        <w:t>B.</w:t>
        <w:br/>
        <w:t>Consideraciones de la Corte</w:t>
        <w:br/>
        <w:br/>
        <w:t>La Corte reitera que el  artículo  2  (Deber  de  Adoptar  Disposiciones  de</w:t>
        <w:br/>
        <w:t>Derecho Interno) de la Convención Americana contempla el  deber  general  de</w:t>
        <w:br/>
        <w:t>los Estados Partes de adecuar su derecho interno a las disposiciones  de  la</w:t>
        <w:br/>
        <w:t>misma para  garantizar  los  derechos  en  ella  consagrados.  La  Corte  ha</w:t>
        <w:br/>
        <w:t>establecido  que  dicho  deber  implica  la  adopción  de  medidas  en   dos</w:t>
        <w:br/>
        <w:t>vertientes. Por una parte,  la  supresión  de  las  normas  y  prácticas  de</w:t>
        <w:br/>
        <w:t>cualquier naturaleza que entrañen violación a las garantías previstas en  la</w:t>
        <w:br/>
        <w:t>Convención. Por otra, la expedición de normas y el desarrollo  de  prácticas</w:t>
        <w:br/>
        <w:t>conducentes a la efectiva observancia de dichas garantías[268].</w:t>
        <w:br/>
        <w:br/>
        <w:t>Respecto al deber de adoptar medidas legislativas o de  otro  carácter  para</w:t>
        <w:br/>
        <w:t>garantizar el pleno ejercicio y goce de los derechos humanos consagrados  en</w:t>
        <w:br/>
        <w:t>la Convención, este Tribunal ha establecido que no basta que la  legislación</w:t>
        <w:br/>
        <w:t>nacional determine las causas y competencias de  los  tribunales  militares,</w:t>
        <w:br/>
        <w:t>si no que mas allá de  esta  disposición,  la  legislación  debe  establecer</w:t>
        <w:br/>
        <w:t>claramente quiénes  son  militares,  cuáles  son  las  conductas  delictivas</w:t>
        <w:br/>
        <w:t>típicas en el especial ámbito militar, determinar la antijuridicidad  de  la</w:t>
        <w:br/>
        <w:t>conducta ilícita a través de  la  descripción  de  la  lesión  o  puesta  en</w:t>
        <w:br/>
        <w:t>peligro  de  bienes  jurídicos  militares  gravemente   atacados,   que   se</w:t>
        <w:br/>
        <w:t>justifique el  ejercicio  del  poder  punitivo  militar,  y  especificar  la</w:t>
        <w:br/>
        <w:t>correspondiente sanción[269].</w:t>
        <w:br/>
        <w:br/>
        <w:t>En primer lugar, la Corte observa que la  intervención  de  la  jurisdicción</w:t>
        <w:br/>
        <w:t>militar se basó en el artículo 3 de la Ley No. 3483 de 1953,  que  instituyó</w:t>
        <w:br/>
        <w:t>el Código de  Justicia  de  las  Fuerzas  Armadas,  el  cual  establecía  lo</w:t>
        <w:br/>
        <w:t>siguiente:</w:t>
        <w:br/>
        <w:br/>
        <w:t xml:space="preserve">      Artículo 3</w:t>
        <w:br/>
        <w:br/>
        <w:t xml:space="preserve">      Las jurisdicciones militares  son  competentes  para  conocer  de  las</w:t>
        <w:br/>
        <w:t xml:space="preserve">      infracciones especiales de orden militar previstas en el libro segundo</w:t>
        <w:br/>
        <w:t xml:space="preserve">      del presente Código, salvo las excepciones en él establecidas.</w:t>
        <w:br/>
        <w:br/>
        <w:t xml:space="preserve">      Serán juzgados por las jurisdicciones militares  las  infracciones  de</w:t>
        <w:br/>
        <w:t xml:space="preserve">      toda especie cometidas por militares o asimilados  en  los  cuarteles,</w:t>
        <w:br/>
        <w:t xml:space="preserve">      campamentos y cualesquiera otros recintos o establecimientos militares</w:t>
        <w:br/>
        <w:t xml:space="preserve">      o navales, o a bordo de buques o aeronaves del Estado.</w:t>
        <w:br/>
        <w:br/>
        <w:t xml:space="preserve">      Son  también  de  competencia  de  las  jurisdicciones  militares  las</w:t>
        <w:br/>
        <w:t xml:space="preserve">      infracciones cometidas por militares en el ejercicio de sus funciones,</w:t>
        <w:br/>
        <w:t xml:space="preserve">      sean cual fuere el lugar donde fueren cometidas. […]</w:t>
        <w:br/>
        <w:br/>
        <w:t xml:space="preserve">      Todos los demás crímenes,  delitos  o  contravenciones  cometidos  por</w:t>
        <w:br/>
        <w:t xml:space="preserve">      militares o asimilados serán juzgados por  tribunales  ordinarios,  en</w:t>
        <w:br/>
        <w:t xml:space="preserve">      conformidad  con  las  disposiciones  del  Código   de   Procedimiento</w:t>
        <w:br/>
        <w:t xml:space="preserve">      Criminal, del Código Penal y de las Leyes penales de derecho común.</w:t>
        <w:br/>
        <w:br/>
        <w:t>Al respecto, la Corte observa que la disposición  del  referido  artículo  3</w:t>
        <w:br/>
        <w:t>del Código de Justicia de las Fuerzas Armadas (supra párr. 57),  vigente  en</w:t>
        <w:br/>
        <w:t>el año 2000, operaba como una regla y no como una excepción,  característica</w:t>
        <w:br/>
        <w:t>ésta última  indispensable  de  la  jurisdicción  militar  para  encontrarse</w:t>
        <w:br/>
        <w:t>conforme con los estándares establecidos por esta Corte[270]. En su  informe</w:t>
        <w:br/>
        <w:t>sobre la volcadura del camión de 23 de julio de  2000,  la  Junta  Mixta  de</w:t>
        <w:br/>
        <w:t>Investigación justificó la competencia de la jurisdicción militar  con  base</w:t>
        <w:br/>
        <w:t>en el referido artículo 3.  Dicho  informe  fue  entonces  remitido  por  el</w:t>
        <w:br/>
        <w:t>Secretario de las Fuerzas  Armadas  al  Fiscal  del  Consejo  de  Guerra  de</w:t>
        <w:br/>
        <w:t>Primera instancia y sirvió como base del auto introductorio ante el  Consejo</w:t>
        <w:br/>
        <w:t>de Guerra de Primera Instancia (supra párr. 59).</w:t>
        <w:br/>
        <w:br/>
        <w:t>Posteriormente, en el año 2005, la Suprema  Corte  de  República  Dominicana</w:t>
        <w:br/>
        <w:t>confirmó la competencia del fuero militar utilizando como justificativa  los</w:t>
        <w:br/>
        <w:t>artículos 28 de la Ley No. 834 de 15  de  julio  de  1978[271],  y  382  del</w:t>
        <w:br/>
        <w:t>Código de Procedimiento Criminal de 1884[272]. Es decir,  la  Suprema  Corte</w:t>
        <w:br/>
        <w:t>no analizó las referidas normas y el artículo 3 de la Ley  No.  3.483  a  la</w:t>
        <w:br/>
        <w:t>luz de la Convención Americana y de la jurisprudencia constante de la  Corte</w:t>
        <w:br/>
        <w:t>Interamericana, desde el Caso  Durand  y  Ugarte[273],  sobre  la  falta  de</w:t>
        <w:br/>
        <w:t>competencia de la jurisdicción penal  militar  para  juzgar  violaciones  de</w:t>
        <w:br/>
        <w:t>derechos humanos y el alcance restrictivo y excepcional que  debe  tener  en</w:t>
        <w:br/>
        <w:t>los Estados que aún la conserven. Además, es  importante  señalar  que  esta</w:t>
        <w:br/>
        <w:t>Corte ya había establecido que, en razón del  bien  jurídico  lesionado,  la</w:t>
        <w:br/>
        <w:t>jurisdicción militar no es el fuero competente  para  investigar  y,  en  su</w:t>
        <w:br/>
        <w:t>caso, juzgar y sancionar a los autores de violaciones de  derechos  humanos,</w:t>
        <w:br/>
        <w:t>y que en el fuero militar sólo se puede juzgar a militares  activos  por  la</w:t>
        <w:br/>
        <w:t>comisión de delitos o faltas que por su  propia  naturaleza  atenten  contra</w:t>
        <w:br/>
        <w:t>bienes jurídicos propios del orden militar[274]. En atención a lo  anterior,</w:t>
        <w:br/>
        <w:t>la Corte concluye  que  tanto  las  actuaciones  los  militares  durante  la</w:t>
        <w:br/>
        <w:t>investigación y el procesamiento del caso ante el fuero  militar,  así  como</w:t>
        <w:br/>
        <w:t>de   los   tribunales   internos   ordinarios,   representaron   un    claro</w:t>
        <w:br/>
        <w:t>incumplimiento de la obligación contenida en el artículo 2 de la  Convención</w:t>
        <w:br/>
        <w:t>Americana, en conexión con los artículos 8 y 25 del mismo instrumento.</w:t>
        <w:br/>
        <w:br/>
        <w:t xml:space="preserve">    1.                                                             Reformas</w:t>
        <w:br/>
        <w:t>legislativas</w:t>
        <w:br/>
        <w:br/>
        <w:t>El Estado ha informado a esta Corte sobre cambios  operados  en  las  normas</w:t>
        <w:br/>
        <w:t>constitucionales y legislativas entre los años 2002 y 2010.</w:t>
        <w:br/>
        <w:br/>
        <w:t>En el  plano  legislativo,  el  Código  Procesal  Penal  de  2002  prevé  lo</w:t>
        <w:br/>
        <w:t>siguiente[275]:</w:t>
        <w:br/>
        <w:br/>
        <w:t xml:space="preserve">      Art.  57.-  Es  de  la  competencia  exclusiva  y  universal  de   las</w:t>
        <w:br/>
        <w:t xml:space="preserve">      jurisdicciones penales el conocimiento y fallo de todas las acciones y</w:t>
        <w:br/>
        <w:t xml:space="preserve">      omisiones punibles previstas en el Código Penal y  en  la  legislación</w:t>
        <w:br/>
        <w:t xml:space="preserve">      penal especial, y la ejecución de sus sentencias y resoluciones, según</w:t>
        <w:br/>
        <w:t xml:space="preserve">      lo establece este código.</w:t>
        <w:br/>
        <w:br/>
        <w:t xml:space="preserve">      Las normas de procedimiento establecidas en este código se  aplican  a</w:t>
        <w:br/>
        <w:t xml:space="preserve">      la investigación, conocimiento y fallo de cualquier hecho punible, sin</w:t>
        <w:br/>
        <w:t xml:space="preserve">      importar su naturaleza ni la persona imputada, incluyendo los miembros</w:t>
        <w:br/>
        <w:t xml:space="preserve">      de las Fuerzas Armadas y la Policía Nacional, aun  cuando  los  hechos</w:t>
        <w:br/>
        <w:t xml:space="preserve">      punibles que les son atribuidos hayan sido cometidos en  el  ejercicio</w:t>
        <w:br/>
        <w:t xml:space="preserve">      de sus funciones y  sin  perjuicio  de  las  facultades  estrictamente</w:t>
        <w:br/>
        <w:t xml:space="preserve">      disciplinarias de los cuerpos a los que pertenecen. […]</w:t>
        <w:br/>
        <w:br/>
        <w:t>La referida norma del nuevo Código Procesal Penal fue complementada  con  la</w:t>
        <w:br/>
        <w:t>aprobación de la Ley No. 278/2004, de  23  de  agosto  de  2004,  sobre  “la</w:t>
        <w:br/>
        <w:t>Implementación del Proceso Penal instituido  por  la  Ley  No.  76-02”[276].</w:t>
        <w:br/>
        <w:t>Esta Ley, en su artículo 15, determina que:</w:t>
        <w:br/>
        <w:br/>
        <w:t xml:space="preserve">      Artículo  15.  Derogatorias.   Quedan   derogadas,   con   todas   sus</w:t>
        <w:br/>
        <w:t xml:space="preserve">      modificaciones  y  disposiciones   complementarias,   las   siguientes</w:t>
        <w:br/>
        <w:t xml:space="preserve">      disposiciones legales:</w:t>
        <w:br/>
        <w:br/>
        <w:t xml:space="preserve">      […]</w:t>
        <w:br/>
        <w:br/>
        <w:t xml:space="preserve">      13. Todas las normas procesales referidas al enjuiciamiento  penal  de</w:t>
        <w:br/>
        <w:t xml:space="preserve">      los miembros de la  Policía  Nacional  y/o  de  las  Fuerzas  Armadas,</w:t>
        <w:br/>
        <w:t xml:space="preserve">      contenidas en el Código de Justicia Policial contenido en la  Ley  No.</w:t>
        <w:br/>
        <w:t xml:space="preserve">      285 del 29 de junio de 1966 y en el Código de Justicia de las  Fuerzas</w:t>
        <w:br/>
        <w:t xml:space="preserve">      Armadas, contenido en la Ley No. 3483 del 13 de Febrero de 1953 y  sus</w:t>
        <w:br/>
        <w:t xml:space="preserve">      respectivas modificaciones, así como cualquier otra ley que establezca</w:t>
        <w:br/>
        <w:t xml:space="preserve">      normas  en  este  sentido.  Todo  sin  perjuicio  de  las   facultades</w:t>
        <w:br/>
        <w:t xml:space="preserve">      disciplinarias conferidas a los  órganos  internos  de  las  referidas</w:t>
        <w:br/>
        <w:t xml:space="preserve">      instituciones.</w:t>
        <w:br/>
        <w:br/>
        <w:br/>
        <w:br/>
        <w:br/>
        <w:t xml:space="preserve">      Quedan  igualmente  derogadas  y  abrogadas  todas  las  disposiciones</w:t>
        <w:br/>
        <w:t xml:space="preserve">      legales, así como todas las normas  procesales  penales  previstas  en</w:t>
        <w:br/>
        <w:t xml:space="preserve">      leyes especiales, que sean contrarias a esta ley.</w:t>
        <w:br/>
        <w:br/>
        <w:t>En el mismo  sentido,  la  Constitución  Nacional  de  2010  dispone  en  su</w:t>
        <w:br/>
        <w:t>artículo 254 que “[l]a jurisdicción  militar  sólo  tiene  competencia  para</w:t>
        <w:br/>
        <w:t>conocer de las infracciones  militares  previstas  en  las  leyes  sobre  la</w:t>
        <w:br/>
        <w:t>materia. Las  Fuerzas  Armadas  tendrán  un  régimen  disciplinario  militar</w:t>
        <w:br/>
        <w:t>aplicable a aquellas faltas que  no  constituyan  infracciones  del  régimen</w:t>
        <w:br/>
        <w:t>penal militar”[277]. Además, el  Reglamento  Militar  Disciplinario  de  las</w:t>
        <w:br/>
        <w:t>Fuerzas Armadas, adoptado mediante el Decreto No. 2/08, de 2008, dispone  lo</w:t>
        <w:br/>
        <w:t>siguiente:</w:t>
        <w:br/>
        <w:br/>
        <w:t xml:space="preserve">      Artículo 52. - Los  hechos  cometidos  por  miembros  de  las  Fuerzas</w:t>
        <w:br/>
        <w:t xml:space="preserve">      Armadas, que constituyan crímenes y  delitos,  serán  del  ámbito  del</w:t>
        <w:br/>
        <w:t xml:space="preserve">      Derecho Penal ordinario o militar  y  por  tanto,  serán  conocidos  y</w:t>
        <w:br/>
        <w:t xml:space="preserve">      sancionados por los organismos competentes, conforme  a  las  leyes  y</w:t>
        <w:br/>
        <w:t xml:space="preserve">      disposiciones vigentes.</w:t>
        <w:br/>
        <w:br/>
        <w:t xml:space="preserve">    2. Conclusiones</w:t>
        <w:br/>
        <w:br/>
        <w:t>La Corte recuerda que el artículo 2 de la Convención Americana establece  la</w:t>
        <w:br/>
        <w:t>obligación general de todo Estado Parte de adecuar su derecho interno a  las</w:t>
        <w:br/>
        <w:t>disposiciones de la misma para garantizar los derechos en ella  reconocidos,</w:t>
        <w:br/>
        <w:t>lo cual implica que las medidas de derecho  interno  han  de  ser  efectivas</w:t>
        <w:br/>
        <w:t>(principio de effet utile)[278]. Por lo tanto, la Corte  reitera  que  a  la</w:t>
        <w:br/>
        <w:t>época de los hechos el  Estado  incumplió  la  obligación  contenida  en  el</w:t>
        <w:br/>
        <w:t>artículo 2 de la Convención Americana, en conexión con los artículos 8 y  25</w:t>
        <w:br/>
        <w:t>del mismo instrumento.</w:t>
        <w:br/>
        <w:br/>
        <w:t>Sin embargo, los cambios normativos operados en República  Dominicana  entre</w:t>
        <w:br/>
        <w:t>los años 2002 y 2010 determinan la competencia de la jurisdicción  ordinaria</w:t>
        <w:br/>
        <w:t>para juzgar a delitos cometidos  por  personal  militar,  y  por  otro  lado</w:t>
        <w:br/>
        <w:t>establecen la excepcionalidad  de  la  jurisdicción  militar  exclusivamente</w:t>
        <w:br/>
        <w:t>para  las  faltas  disciplinarias  e  infracciones  de  orden  estrictamente</w:t>
        <w:br/>
        <w:t>militar. Por  tanto,  la  Corte  concluye  que  con  la  actual  legislación</w:t>
        <w:br/>
        <w:t>dominicana el Estado ha subsanado  su  deber  de  adoptar  disposiciones  de</w:t>
        <w:br/>
        <w:t>derecho interno, previsto en el artículo 2 de la Convención Americana.</w:t>
        <w:br/>
        <w:br/>
        <w:br/>
        <w:br/>
        <w:t>VII-5</w:t>
        <w:br/>
        <w:t>DEBER DE RESPETAR Y GARANTIZAR LOS DERECHOS</w:t>
        <w:br/>
        <w:t>SIN DISCRIMINACIÓN</w:t>
        <w:br/>
        <w:br/>
        <w:br/>
        <w:br/>
        <w:t>A continuación, la Corte expondrá los alegatos sobre igualdad ante la ley  y</w:t>
        <w:br/>
        <w:t>no discriminación, así como sobre la supuesta violación  del  reconocimiento</w:t>
        <w:br/>
        <w:t>de la personalidad jurídica, para determinar  si  en  el  presente  caso  se</w:t>
        <w:br/>
        <w:t>configura la violación de los  artículos  1.1,  3  y  24  de  la  Convención</w:t>
        <w:br/>
        <w:t>Americana.</w:t>
        <w:br/>
        <w:br/>
        <w:t>A. Alegatos</w:t>
        <w:br/>
        <w:br/>
        <w:t>La Comisión alegó que, en la época en que ocurrieron los hechos, existía  en</w:t>
        <w:br/>
        <w:t>República Dominicana un contexto de  racismo,  discriminación  y  “prácticas</w:t>
        <w:br/>
        <w:t>antihatianas”. La Comisión consideró que  “el  uso  excesivo  de  la  fuerza</w:t>
        <w:br/>
        <w:t>utilizada por agentes estatales, que tuvo como consecuencia las  ejecuciones</w:t>
        <w:br/>
        <w:t>extrajudiciales y las heridas de las víctimas haitianas, la total  impunidad</w:t>
        <w:br/>
        <w:t>en que se mantienen [los] hechos, así como la  expulsión  del  país  de  las</w:t>
        <w:br/>
        <w:t>víctimas sin brindar acceso a  las  garantías  judiciales  y  de  protección</w:t>
        <w:br/>
        <w:t>judicial son en sí mismos contrarios con  los  artículos  24  y  1.1  de  la</w:t>
        <w:br/>
        <w:t>Convención Americana”. La Comisión argumentó que se  vulneró  la  integridad</w:t>
        <w:br/>
        <w:t>personal de los sobrevivientes por la falta de entrega de los restos de  las</w:t>
        <w:br/>
        <w:t>personas fallecidas a sus familiares, lo cual constituye  un  sufrimiento  y</w:t>
        <w:br/>
        <w:t>angustia adicional en su perjuicio. Asimismo, se vulneró  este  derecho  por</w:t>
        <w:br/>
        <w:t>el temor  que  sintieron  los  sobrevivientes  luego  de  la  persecución  y</w:t>
        <w:br/>
        <w:t>balacera y haber sido obligados a levantar los cuerpos de los muertos y  los</w:t>
        <w:br/>
        <w:t>heridos  de  gravedad,  y  además  por  haber  sido  detenidos  por  agentes</w:t>
        <w:br/>
        <w:t>estatales sin saber su destino, ser llevados a dos centros de detención  sin</w:t>
        <w:br/>
        <w:t>informarles sus  derechos,  amenazarlos  con  obligarlos  a  llevar  a  cabo</w:t>
        <w:br/>
        <w:t>trabajos forzosos y sin brindarles garantías judiciales.</w:t>
        <w:br/>
        <w:br/>
        <w:t>Los representantes coincidieron con los alegatos  de  la  Comisión  respecto</w:t>
        <w:br/>
        <w:t>que lo ocurrido se presentó bajo un contexto generalizado de  discriminación</w:t>
        <w:br/>
        <w:t>estructural que se encuentra instalado en República Dominicana,  ya  que  la</w:t>
        <w:br/>
        <w:t>masacre es el resultado de un ambiente  de  racismo  hacia  los  inmigrantes</w:t>
        <w:br/>
        <w:t>haitianos, tolerado por el Estado.</w:t>
        <w:br/>
        <w:br/>
        <w:t>Agregaron  que,  en  general  las  víctimas  fueron  sometidas  a  actos  de</w:t>
        <w:br/>
        <w:t>violencia y  de  marginación  por  parte  de  los  agentes  del  Estado,  en</w:t>
        <w:br/>
        <w:t>distintos  momentos:  i)  durante   la   persecución   y   las   ejecuciones</w:t>
        <w:br/>
        <w:t>extrajudiciales, por parte de los  militares;  ii)  durante  el  proceso  de</w:t>
        <w:br/>
        <w:t>deportación de los sobrevivientes,  las  expulsiones  fueron  ejecutadas  de</w:t>
        <w:br/>
        <w:t>manera  sumaria  y  en  grupo,  sin  ofrecer  la  posibilidad  de  presentar</w:t>
        <w:br/>
        <w:t>argumentos en su favor, por lo que tampoco hubo  una  individualización  por</w:t>
        <w:br/>
        <w:t>tratarse de nacionales haitianos; iii) en el  tratamiento  de  las  víctimas</w:t>
        <w:br/>
        <w:t>fallecidas, ya que  los  cuerpos  fueron  inhumados  en  una  fosa  común  a</w:t>
        <w:br/>
        <w:t>excepción  del  nacional  dominicano,  que  según  los  representantes   fue</w:t>
        <w:br/>
        <w:t>entregado a sus familiares, por lo cual  concluyeron  que  la  “única  razón</w:t>
        <w:br/>
        <w:t>manifiesta en relación con la conducta de las  autoridades  dominicanas,  se</w:t>
        <w:br/>
        <w:t>fund[ó] en motivos  de  discriminación  y  xenofobia  en  perjuicio  de  las</w:t>
        <w:br/>
        <w:t>personas haitianas”, ya que los militares se guiaron del “color de  la  piel</w:t>
        <w:br/>
        <w:t>negra” y que por esa razón, serían  “inmigrantes  ilegales”,  tal  como  fue</w:t>
        <w:br/>
        <w:t>destacado en múltiples documentos ofrecidos por el  propio  Estado;  iv)  la</w:t>
        <w:br/>
        <w:t>Suprema Corte rechazó trasferir la jurisdicción de la esfera  militar  a  la</w:t>
        <w:br/>
        <w:t>ordinaria para juzgar a los responsables, cuando se tiene la  constancia  de</w:t>
        <w:br/>
        <w:t>que en al menos un caso similar, una  víctima  dominicana  pudo  lograr  por</w:t>
        <w:br/>
        <w:t>parte de la Corte Supremo el  envío  de  su  expediente  de  los  tribunales</w:t>
        <w:br/>
        <w:t>militares a los civiles[279], y v) en la investigación y hasta el  veredicto</w:t>
        <w:br/>
        <w:t>absolutorio de quienes resultaron responsables.</w:t>
        <w:br/>
        <w:br/>
        <w:t>Sobre la base de los mismos razonamientos, los  representantes  alegaron  la</w:t>
        <w:br/>
        <w:t>violación  del  derecho  al  reconocimiento  de  la  personalidad  jurídica,</w:t>
        <w:br/>
        <w:t>reconocido en el artículo 3 de la Convención Americana, ya que “sin lugar  a</w:t>
        <w:br/>
        <w:t>dudas el Estado dominicano les  ha  desconocido  en  términos  absolutos  la</w:t>
        <w:br/>
        <w:t>posibilidad de  ser  titular  de  deberes  y  derechos  fundamentales”.  Los</w:t>
        <w:br/>
        <w:t>representantes concluyeron que todas  estas  circunstancias  tuvieron  lugar</w:t>
        <w:br/>
        <w:t>“sin ninguna formalidad. No tenían nombre,  ni  siquiera  número.  Para  las</w:t>
        <w:br/>
        <w:t>autoridades dominicanas estas víctimas no debían existir”.</w:t>
        <w:br/>
        <w:br/>
        <w:t>El Estado expresó en la audiencia que, acorde a los hechos del  caso  no  se</w:t>
        <w:br/>
        <w:t>desprende del expediente que  haya  existido  un  trato  discriminatorio  en</w:t>
        <w:br/>
        <w:t>perjuicio de las víctimas  haitianas.  Señaló  que  no  existe  un  contexto</w:t>
        <w:br/>
        <w:t>estructural e institucionalizado de discriminación racial o  por  origen  en</w:t>
        <w:br/>
        <w:t>contra de los haitianos o de  sus  descendientes.   Además,  afirmó  que  en</w:t>
        <w:br/>
        <w:t>ningún momento se tuvo la intención  de  ocasionar  daños  a  la  integridad</w:t>
        <w:br/>
        <w:t>física de quienes ocupaban el camión durante la persecución. En general  los</w:t>
        <w:br/>
        <w:t>haitianos indocumentados en ningún momento reciben tratos  discriminatorios,</w:t>
        <w:br/>
        <w:t>racistas o de algún otro  tipo  que  tienda  a  vejarlos  por  su  condición</w:t>
        <w:br/>
        <w:t>migratoria. Aseguró que el 90% de los nacionales haitianos  que  radican  en</w:t>
        <w:br/>
        <w:t>República Dominicana lo hacen de manera  ilegal  y  sin  embargo  el  Estado</w:t>
        <w:br/>
        <w:t>dominicano “ha venido tendiendo la mano amiga  a  los  nacionales  haitianos</w:t>
        <w:br/>
        <w:t>desde el punto de vista económico así como en lo laboral y social”.</w:t>
        <w:br/>
        <w:br/>
        <w:t>B.</w:t>
        <w:br/>
        <w:t>Consideraciones de la Corte</w:t>
        <w:br/>
        <w:br/>
        <w:t>La Corte ha establecido que el artículo 1.1 de la Convención  es  una  norma</w:t>
        <w:br/>
        <w:t>de carácter general, cuyo contenido se extiende a  todas  las  disposiciones</w:t>
        <w:br/>
        <w:t>del tratado, ya que dispone la obligación de los Estados Partes de  respetar</w:t>
        <w:br/>
        <w:t>y garantizar el pleno y libre ejercicio de los derechos  y  libertades  allí</w:t>
        <w:br/>
        <w:t>reconocidos “sin discriminación alguna”. Es decir, cualquiera sea el  origen</w:t>
        <w:br/>
        <w:t>o  la  forma  que  asuma,  todo  tratamiento  que  pueda   ser   considerado</w:t>
        <w:br/>
        <w:t>discriminatorio  respecto  del  ejercicio  de  cualquiera  de  los  derechos</w:t>
        <w:br/>
        <w:t>garantizados en la Convención es per se incompatible con la  misma[280].  El</w:t>
        <w:br/>
        <w:t>incumplimiento   por   el    Estado,    mediante    cualquier    tratamiento</w:t>
        <w:br/>
        <w:t>discriminatorio, de la obligación  general  de  respetar  y  garantizar  los</w:t>
        <w:br/>
        <w:t>derechos humanos, le genera responsabilidad internacional[281]. Es por  ello</w:t>
        <w:br/>
        <w:t>que existe  un  vínculo  indisoluble  entre  la  obligación  de  respetar  y</w:t>
        <w:br/>
        <w:t>garantizar  los  derechos  humanos  y  el  principio  de   igualdad   y   no</w:t>
        <w:br/>
        <w:t>discriminación[282].</w:t>
        <w:br/>
        <w:br/>
        <w:t>El principio de la protección igualitaria y efectiva de la ley y  de  la  no</w:t>
        <w:br/>
        <w:t>discriminación constituye un dato sobresaliente en  el  sistema  tutelar  de</w:t>
        <w:br/>
        <w:t>los    derechos    humanos    consagrado    en    numerosos     instrumentos</w:t>
        <w:br/>
        <w:t>internacionales[283] y desarrollado por la doctrina y jurisprudencia. En  la</w:t>
        <w:br/>
        <w:t>actual etapa  de  la  evolución  del  derecho  internacional,  el  principio</w:t>
        <w:br/>
        <w:t>fundamental de igualdad y no discriminación ha ingresado en el  dominio  del</w:t>
        <w:br/>
        <w:t>jus cogens. Sobre él  descansa  el  andamiaje  jurídico  del  orden  público</w:t>
        <w:br/>
        <w:t>nacional e internacional y permean todo el ordenamiento jurídico[284].</w:t>
        <w:br/>
        <w:br/>
        <w:t>Ahora bien, refiriéndose a los artículos 1.1  y  24  de  la  Convención,  la</w:t>
        <w:br/>
        <w:t>Corte ha indicado que “la diferencia entre los dos artículos radica  en  que</w:t>
        <w:br/>
        <w:t>la obligación general del artículo 1.1 se refiere al  deber  del  Estado  de</w:t>
        <w:br/>
        <w:t>respetar y garantizar ‘sin discriminación’ los  derechos  contenidos  en  la</w:t>
        <w:br/>
        <w:t>Convención Americana. [E]n otras palabras, si un  Estado  discrimina  en  el</w:t>
        <w:br/>
        <w:t>respeto o garantía de un derecho convencional, violaría el  artículo  1.1  y</w:t>
        <w:br/>
        <w:t>el derecho sustantivo en cuestión. Si por el contrario la discriminación  se</w:t>
        <w:br/>
        <w:t>refiere a una protección desigual de la ley interna,  violaría  el  artículo</w:t>
        <w:br/>
        <w:t>24”[285].</w:t>
        <w:br/>
        <w:br/>
        <w:t>En el  presente  caso,  como  las  partes  no  evidenciaron  una  protección</w:t>
        <w:br/>
        <w:t>desigual de la ley interna, la Corte no se pronunciará sobre el artículo  24</w:t>
        <w:br/>
        <w:t>de la Convención. En el mismo sentido, la Corte  observa  que  los  alegatos</w:t>
        <w:br/>
        <w:t>referentes al artículo 3 de la Convención no corresponden propiamente  a  la</w:t>
        <w:br/>
        <w:t>jurisprudencia  de  la  Corte  en  relación  con  el  derecho   personalidad</w:t>
        <w:br/>
        <w:t>jurídica[286], sino al análisis del artículo 1.1  de  la  misma.  Por  ende,</w:t>
        <w:br/>
        <w:t>este Tribunal analizará los distintos hechos alegados a la luz del  artículo</w:t>
        <w:br/>
        <w:t>1.1 de la Convención.</w:t>
        <w:br/>
        <w:br/>
        <w:t xml:space="preserve">      1.</w:t>
        <w:br/>
        <w:t>Discriminación en el presente caso</w:t>
        <w:br/>
        <w:br/>
        <w:t>La  Corte  reitera  que,  respecto  del  alegato  de  la  Comisión   y   los</w:t>
        <w:br/>
        <w:t>representantes sobre un contexto de discriminación estructural en  República</w:t>
        <w:br/>
        <w:t>Dominicana contra personas haitianas  o  de  descendencia  haitiana,  en  el</w:t>
        <w:br/>
        <w:t>presente caso no corresponde pronunciarse al respecto (supra párr.  40).  No</w:t>
        <w:br/>
        <w:t>obstante, la Corte analizará si  en  el  asunto  concreto  existieron  actos</w:t>
        <w:br/>
        <w:t>discriminatorios  contra  las  víctimas  del  caso  por  su   condición   de</w:t>
        <w:br/>
        <w:t>migrantes, de conformidad con el artículo 1.1 de la Convención.</w:t>
        <w:br/>
        <w:br/>
        <w:t>Al respecto, esta  Corte  reconoce  la  dificultad  de  demostrar  casos  de</w:t>
        <w:br/>
        <w:t>perjuicio racial por parte de quienes son objeto de discriminación,  por  lo</w:t>
        <w:br/>
        <w:t>que coincide con el Tribunal Europeo en el sentido que, en ciertos casos  de</w:t>
        <w:br/>
        <w:t>violaciones a derechos humanos motivados por discriminación, la carga de  la</w:t>
        <w:br/>
        <w:t>prueba también recae en el Estado, quien tiene  el  control  de  los  medios</w:t>
        <w:br/>
        <w:t>para aclarar hechos ocurridos dentro de su territorio[287].</w:t>
        <w:br/>
        <w:br/>
        <w:t>Tomando en cuenta el contexto del caso, los alegatos de  las  partes  y  los</w:t>
        <w:br/>
        <w:t>capítulos  precedentes,   se   han   analizado   diversas   situaciones   de</w:t>
        <w:br/>
        <w:t>vulnerabilidad  en  contra  de  las  víctimas  haitianas,  en  razón  de  su</w:t>
        <w:br/>
        <w:t>condición  de  migrantes  irregulares   (supra   capítulos   VII-1   y   2),</w:t>
        <w:br/>
        <w:t>específicamente, derivado de la  violencia  desplegada  y  el  trato  a  los</w:t>
        <w:br/>
        <w:t>sobrevivientes y personas fallecidas.</w:t>
        <w:br/>
        <w:br/>
        <w:t>Al respecto, la  Convención  Americana  establece  en  el  artículo  1.1  el</w:t>
        <w:br/>
        <w:t>respeto y garantía de los derechos reconocidos en ella, “sin  discriminación</w:t>
        <w:br/>
        <w:t>alguna por motivos de raza, color […] origen  nacional  o  social,  posición</w:t>
        <w:br/>
        <w:t>económica […] o cualquier otra condición social”.  Asimismo,  la  Convención</w:t>
        <w:br/>
        <w:t>Internacional sobre  Eliminación  de  todas  las  formas  de  Discriminación</w:t>
        <w:br/>
        <w:t>racial define a la discriminación como:</w:t>
        <w:br/>
        <w:br/>
        <w:t xml:space="preserve">      […] toda distinción, exclusión, restricción o  preferencia  basada  en</w:t>
        <w:br/>
        <w:t xml:space="preserve">      motivos de raza, color, linaje u origen nacional o  étnico  que  tenga</w:t>
        <w:br/>
        <w:t xml:space="preserve">      por objeto o por resultado anular o menoscabar el reconocimiento, goce</w:t>
        <w:br/>
        <w:t xml:space="preserve">      o ejercicio en condiciones de igualdad,  de  los  derechos  humanos  y</w:t>
        <w:br/>
        <w:t xml:space="preserve">      libertades fundamentales en las esferas política,  económica,  social,</w:t>
        <w:br/>
        <w:t xml:space="preserve">      cultural o en cualquier otra esfera de la vida pública[288].</w:t>
        <w:br/>
        <w:br/>
        <w:t>En este sentido, el Relator sobre discriminación y la Experta  Independiente</w:t>
        <w:br/>
        <w:t>sobre minorías, ambos de  Naciones  Unidas,  así  como  diversos  organismos</w:t>
        <w:br/>
        <w:t>internacionales, se han pronunciado  respecto  de  prácticas  históricas  de</w:t>
        <w:br/>
        <w:t>discriminación en República Dominicana, que se manifiestan  en  el  trato  a</w:t>
        <w:br/>
        <w:t>los migrantes irregulares y en el ejercicio de sus derechos[289].</w:t>
        <w:br/>
        <w:br/>
        <w:t>En cuanto a los derechos de los  migrantes,  el  Tribunal  recuerda  que  es</w:t>
        <w:br/>
        <w:t>permisible  que  el  Estado  otorgue  un  trato  distinto  a  los  migrantes</w:t>
        <w:br/>
        <w:t>documentados en relación con los  migrantes  indocumentados,  o  bien  entre</w:t>
        <w:br/>
        <w:t>migrantes y nacionales, siempre que ese  trato  sea  razonable,  objetivo  y</w:t>
        <w:br/>
        <w:t>proporcional y no lesione derechos humanos[290]. Ejemplo de ello  puede  ser</w:t>
        <w:br/>
        <w:t>establecer mecanismos de control para la  entrada  y  salida  de  migrantes,</w:t>
        <w:br/>
        <w:t>pero  siempre  asegurando  el  debido   proceso   y   la   dignidad   humana</w:t>
        <w:br/>
        <w:t>independientemente de su condición migratoria[291].</w:t>
        <w:br/>
        <w:br/>
        <w:t>En este sentido, la Corte recuerda  que  el  derecho  internacional  de  los</w:t>
        <w:br/>
        <w:t>derechos humanos no  sólo  prohíbe  políticas  y  prácticas  deliberadamente</w:t>
        <w:br/>
        <w:t>discriminatorias, sino también aquellas  cuyo  impacto  sea  discriminatorio</w:t>
        <w:br/>
        <w:t>contra ciertas categorías de personas, aun cuando  no  se  pueda  probar  la</w:t>
        <w:br/>
        <w:t>intención discriminatoria[292].</w:t>
        <w:br/>
        <w:br/>
        <w:t>La  Corte  estima  que  una  violación  del  derecho  a  la  igualdad  y  no</w:t>
        <w:br/>
        <w:t>discriminación  se   produce   también   ante   situaciones   y   casos   de</w:t>
        <w:br/>
        <w:t>discriminación  indirecta  reflejada  en  el  impacto  desproporcionado   de</w:t>
        <w:br/>
        <w:t>normas, acciones, políticas o en  otras  medidas  que,  aún  cuando  sean  o</w:t>
        <w:br/>
        <w:t>parezcan ser neutrales en su formulación, o tengan un alcance general  y  no</w:t>
        <w:br/>
        <w:t>diferenciado,   produzcan   efectos   negativos    para    ciertos    grupos</w:t>
        <w:br/>
        <w:t>vulnerables[293]. Tal concepto de discriminación indirecta también  ha  sido</w:t>
        <w:br/>
        <w:t>reconocido, entre  otros  órganos,  por  el  Tribunal  Europeo  de  Derechos</w:t>
        <w:br/>
        <w:t>Humanos, el cual ha establecido que cuando una  política  general  o  medida</w:t>
        <w:br/>
        <w:t>tiene un efecto desproporcionado perjudicial en un  grupo  particular  puede</w:t>
        <w:br/>
        <w:t>ser considerada discriminatoria aún si no  fue  dirigida  específicamente  a</w:t>
        <w:br/>
        <w:t>ese grupo[294].</w:t>
        <w:br/>
        <w:br/>
        <w:t>Además, la Corte ha señalado que “los Estados deben abstenerse  de  realizar</w:t>
        <w:br/>
        <w:t>acciones que de cualquier manera vayan dirigidas, directa o  indirectamente,</w:t>
        <w:br/>
        <w:t>a crear situaciones de discriminación de jure o de facto”[295]. Los  Estados</w:t>
        <w:br/>
        <w:t>están obligados  “a  adoptar  medidas  positivas  para  revertir  o  cambiar</w:t>
        <w:br/>
        <w:t>situaciones discriminatorias existentes en sus sociedades, en  perjuicio  de</w:t>
        <w:br/>
        <w:t>determinado grupo de personas. Esto implica el deber especial de  protección</w:t>
        <w:br/>
        <w:t>que el Estado debe ejercer  con  respecto  de  actuaciones  y  prácticas  de</w:t>
        <w:br/>
        <w:t>terceros  que,  bajo  su  tolerancia  o  aquiescencia,  creen,  mantengan  o</w:t>
        <w:br/>
        <w:t>favorezcan las situaciones discriminatorias”[296]. El incumplimiento por  el</w:t>
        <w:br/>
        <w:t>Estado, mediante cualquier tratamiento  discriminatorio,  de  la  obligación</w:t>
        <w:br/>
        <w:t>general  de  respetar  y  garantizar  los  derechos   humanos,   le   genera</w:t>
        <w:br/>
        <w:t>responsabilidad internacional[297].</w:t>
        <w:br/>
        <w:br/>
        <w:t xml:space="preserve">    2.</w:t>
        <w:br/>
        <w:t>Conclusiones</w:t>
        <w:br/>
        <w:br/>
        <w:t>Por tanto la Corte observa  que,  en  el  presente  caso,  la  situación  de</w:t>
        <w:br/>
        <w:t>especial vulnerabilidad de los migrantes haitianos se debió, inter alia,  a:</w:t>
        <w:br/>
        <w:t>i) la falta  de  medidas  preventivas  para  enfrentar  de  manera  adecuada</w:t>
        <w:br/>
        <w:t>situaciones relacionadas con el control migratorio en la frontera  terrestre</w:t>
        <w:br/>
        <w:t>con Haití y en consideración de  su  situación  de  vulnerabilidad;  ii)  la</w:t>
        <w:br/>
        <w:t>violencia desplegada a través del uso ilegítimo  y  desproporcionado  de  la</w:t>
        <w:br/>
        <w:t>fuerza en  contra  de  personas  migrantes  desarmadas;  iii)  la  falta  de</w:t>
        <w:br/>
        <w:t>investigación con motivo de dicha violencia, la  falta  de  declaraciones  y</w:t>
        <w:br/>
        <w:t>participación de las víctimas en el proceso penal  y  la  impunidad  de  los</w:t>
        <w:br/>
        <w:t>hechos;  iv)  las  detenciones  y  expulsión  colectiva  sin   las   debidas</w:t>
        <w:br/>
        <w:t>garantías; v) la falta de una atención y tratamiento médico adecuado  a  las</w:t>
        <w:br/>
        <w:t>víctimas heridas, y vi) el tratamiento  denigrante  a  los  cadáveres  y  la</w:t>
        <w:br/>
        <w:t>falta de su entrega a los familiares.</w:t>
        <w:br/>
        <w:br/>
        <w:t>Todo  lo  anterior  evidencia  que,  en  el  presente  caso,   existió   una</w:t>
        <w:br/>
        <w:t>discriminación de facto en  perjuicio  de  las  víctimas  del  caso  por  su</w:t>
        <w:br/>
        <w:t>condición de migrantes, lo cual derivó en una marginalización en el goce  de</w:t>
        <w:br/>
        <w:t>los derechos que la Corte declaró violados en esta Sentencia. Por tanto,  la</w:t>
        <w:br/>
        <w:t>Corte concluye que el Estado no respetó ni garantizó  los  derechos  de  los</w:t>
        <w:br/>
        <w:t>migrantes haitianos sin discriminación, en contravención  del  artículo  1.1</w:t>
        <w:br/>
        <w:t>de la Convención Americana en relación con los artículos  2,  4,  5,  7,  8,</w:t>
        <w:br/>
        <w:t>22.9 y 25 de la misma.</w:t>
        <w:br/>
        <w:br/>
        <w:br/>
        <w:br/>
        <w:t>VIII</w:t>
        <w:br/>
        <w:t>REPARACIONES</w:t>
        <w:br/>
        <w:t>(Aplicación del artículo 63.1 de la Convención Americana)</w:t>
        <w:br/>
        <w:br/>
        <w:br/>
        <w:br/>
        <w:t>Sobre la base  de  lo  dispuesto  en  el  artículo  63.1  de  la  Convención</w:t>
        <w:br/>
        <w:t>Americana[298], la Corte ha indicado que toda violación  de  una  obligación</w:t>
        <w:br/>
        <w:t>internacional que  haya  producido  daño  comporta  el  deber  de  repararlo</w:t>
        <w:br/>
        <w:t>adecuadamente[299] y que esa disposición recoge  una  norma  consuetudinaria</w:t>
        <w:br/>
        <w:t>que  constituye  uno   de   los   principios   fundamentales   del   Derecho</w:t>
        <w:br/>
        <w:t>Internacional contemporáneo sobre responsabilidad de un Estado[300].</w:t>
        <w:br/>
        <w:br/>
        <w:t>En consideración de las violaciones a la Convención Americana declaradas  en</w:t>
        <w:br/>
        <w:t>los capítulos anteriores, la Corte procederá  a  analizar  las  pretensiones</w:t>
        <w:br/>
        <w:t>presentadas por la Comisión y los representantes, a la luz de los  criterios</w:t>
        <w:br/>
        <w:t>fijados en la jurisprudencia de la Corte en relación  con  la  naturaleza  y</w:t>
        <w:br/>
        <w:t>alcance de la obligación de reparar, con el objeto de disponer  las  medidas</w:t>
        <w:br/>
        <w:t>dirigidas a reparar los daños ocasionados a las víctimas[301].</w:t>
        <w:br/>
        <w:br/>
        <w:t>Este Tribunal ha establecido que  “las  reparaciones  deben  tener  un  nexo</w:t>
        <w:br/>
        <w:t>causal con los hechos  del  caso,  las  violaciones  declaradas,  los  daños</w:t>
        <w:br/>
        <w:t>acreditados, así  como  las  medidas  solicitadas  para  reparar  los  daños</w:t>
        <w:br/>
        <w:t>respectivos. Por lo tanto, la Corte deberá observar dicha concurrencia  para</w:t>
        <w:br/>
        <w:t>pronunciarse debidamente y conforme a derecho”[302].</w:t>
        <w:br/>
        <w:br/>
        <w:t>La Corte estima que con motivo de la denegación de justicia en perjuicio  de</w:t>
        <w:br/>
        <w:t>víctimas  de  graves  violaciones  a  derechos  humanos  se  presentan   una</w:t>
        <w:br/>
        <w:t>diversidad de afectaciones tanto en la esfera individual como colectiva.  En</w:t>
        <w:br/>
        <w:t>este sentido, resulta evidente que las víctimas de una impunidad  prolongada</w:t>
        <w:br/>
        <w:t>sufran distintas afectaciones  por  la  búsqueda  de  justicia  no  sólo  de</w:t>
        <w:br/>
        <w:t>carácter material, sino también  otros  sufrimientos  y  daños  de  carácter</w:t>
        <w:br/>
        <w:t>psicológico, físico y en su  proyecto  de  vida,  así  como  otras  posibles</w:t>
        <w:br/>
        <w:t>alteraciones en sus relaciones sociales y la dinámica de sus  familias[303].</w:t>
        <w:br/>
        <w:br/>
        <w:br/>
        <w:t>La Corte  ha  considerado  la  necesidad  de  otorgar  diversas  medidas  de</w:t>
        <w:br/>
        <w:t>reparación, a fin de resarcir los daños de manera integral, por lo  que,  en</w:t>
        <w:br/>
        <w:t>el presente caso, además de las compensaciones pecuniarias, las  medidas  de</w:t>
        <w:br/>
        <w:t>satisfacción, restitución y  garantías  de  no  repetición  tienen  especial</w:t>
        <w:br/>
        <w:t>relevancia   por   la   gravedad   de   las   afectaciones   y   los   daños</w:t>
        <w:br/>
        <w:t>ocasionados[304].</w:t>
        <w:br/>
        <w:br/>
        <w:t xml:space="preserve">   A. Parte Lesionada</w:t>
        <w:br/>
        <w:br/>
        <w:t>La Corte reitera que se considera  parte  lesionada,  en  los  términos  del</w:t>
        <w:br/>
        <w:t>artículo 63.1 de la Convención, a quien ha  sido  declarado  víctima  de  la</w:t>
        <w:br/>
        <w:t>violación de algún derecho consagrado en la misma. Por lo tanto, esta  Corte</w:t>
        <w:br/>
        <w:t>considera como “parte lesionada” a aquellas personas referidas en  el  Anexo</w:t>
        <w:br/>
        <w:t>A, quienes en su carácter de víctimas de las violaciones declaradas en  esta</w:t>
        <w:br/>
        <w:t>Sentencia, serán consideradas  beneficiarias  de  las  reparaciones  que  la</w:t>
        <w:br/>
        <w:t>Corte ordene.</w:t>
        <w:br/>
        <w:br/>
        <w:t xml:space="preserve"> B. Obligación de investigar los hechos e  identificar,  juzgar  y,  en  su</w:t>
        <w:br/>
        <w:t xml:space="preserve">    caso, sancionar a los responsables</w:t>
        <w:br/>
        <w:br/>
        <w:t xml:space="preserve">      1. Reapertura de la investigación y determinación de responsabilidades</w:t>
        <w:br/>
        <w:t xml:space="preserve">         individuales</w:t>
        <w:br/>
        <w:br/>
        <w:t>La Comisión solicitó a la Corte que ordene  al  Estado  llevar  a  cabo  una</w:t>
        <w:br/>
        <w:t>investigación en el fuero  ordinario,  y  conducir  las  investigaciones  de</w:t>
        <w:br/>
        <w:t>manera imparcial, efectiva y dentro de un plazo razonable con el  objeto  de</w:t>
        <w:br/>
        <w:t>esclarecer  los  hechos  en  forma  completa,  identificar  a  los   autores</w:t>
        <w:br/>
        <w:t>intelectuales  y  materiales  e  imponer  las  sanciones  que  correspondan.</w:t>
        <w:br/>
        <w:t>Asimismo, la Comisión solicitó que se ordene al Estado disponer las  medidas</w:t>
        <w:br/>
        <w:t>administrativas disciplinarias  o  penales  correspondientes  frente  a  las</w:t>
        <w:br/>
        <w:t>acciones u omisiones de los funcionarios estatales que  contribuyeron  a  la</w:t>
        <w:br/>
        <w:t>denegación de justicia e impunidad en la que se encuentran  los  hechos  del</w:t>
        <w:br/>
        <w:t>caso y establecer un mecanismo que facilite la  identificación  completa  de</w:t>
        <w:br/>
        <w:t>víctimas heridas, así como de los familiares de las victimas ejecutadas.</w:t>
        <w:br/>
        <w:br/>
        <w:t>Los representantes solicitaron que se ordene al  Estado  iniciar  una  nueva</w:t>
        <w:br/>
        <w:t>investigación  penal  efectiva  por  las  instancias  judiciales  ordinarias</w:t>
        <w:br/>
        <w:t>(civiles)  de  los  hechos  del  caso  y  adoptar  medidas  administrativas,</w:t>
        <w:br/>
        <w:t>disciplinarias o penales correspondientes frente a las acciones u  omisiones</w:t>
        <w:br/>
        <w:t>de los funcionarios estatales que contribuyeron a la denegación de  justicia</w:t>
        <w:br/>
        <w:t>e impunidad en la que se encuentran los hechos del caso.</w:t>
        <w:br/>
        <w:br/>
        <w:t>El Estado indicó en audiencia pública, y reafirmó en sus  alegatos  finales,</w:t>
        <w:br/>
        <w:t>que “ha cumplido con su obligación de investigar los hechos  del  caso.  Las</w:t>
        <w:br/>
        <w:t>investigaciones  emprendidas  por  el  Estado  respondieron  a  un  criterio</w:t>
        <w:br/>
        <w:t>fundamentado en imparcialidad, objetividad y  búsqueda  de  la  verdad.  […]</w:t>
        <w:br/>
        <w:t>Agotadas estas fases en los tribunales penales, sigue pendiente  por  cursar</w:t>
        <w:br/>
        <w:t>en  los  tribunales  civiles  de  nuestro  país  la   reclamación   de   las</w:t>
        <w:br/>
        <w:t>indemnizaciones en  favor  de  las  víctimas,  presuntos  agraviados  y  sus</w:t>
        <w:br/>
        <w:t>causahabientes por los presuntos daños recibidos”.</w:t>
        <w:br/>
        <w:br/>
        <w:t>En el capítulo VII-3, este Tribunal determinó  que  el  Estado  incurrió  en</w:t>
        <w:br/>
        <w:t>violaciones a los derechos a las garantías judiciales y protección  judicial</w:t>
        <w:br/>
        <w:t>y, al momento de los hechos, también del deber de adoptar  disposiciones  de</w:t>
        <w:br/>
        <w:t>derecho interno, consagrados en el artículo 2 de la Convención, en  relación</w:t>
        <w:br/>
        <w:t>con los artículos 8 y 25 de la misma. De forma específica, consideró que  la</w:t>
        <w:br/>
        <w:t>intervención del fuero militar en la investigación, juzgamiento y  posterior</w:t>
        <w:br/>
        <w:t>absolución de los acusados contrarió los  parámetros  de  excepcionalidad  y</w:t>
        <w:br/>
        <w:t>restricción que lo  caracterizan  e  implicó  una  aplicación  de  un  fuero</w:t>
        <w:br/>
        <w:t>personal  que  operó  sin  tomar  en  cuenta  la  naturaleza  de  los  actos</w:t>
        <w:br/>
        <w:t>involucrados (supra párrs. 198 y 201). En razón de ello, la  Corte  recuerda</w:t>
        <w:br/>
        <w:t>que  en  casos  de  graves  violaciones  a  los  derechos  humanos[305]  una</w:t>
        <w:br/>
        <w:t>sentencia  absolutoria  que  constituya  cosa  juzgada  aparente  no   puede</w:t>
        <w:br/>
        <w:t>constituir un obstáculo  para  la  reapertura  de  la  investigación  o  del</w:t>
        <w:br/>
        <w:t>proceso (supra párrs. 195 a 198)[306].</w:t>
        <w:br/>
        <w:br/>
        <w:t>Como consecuencia de lo anterior, este Tribunal dispone que el  Estado  debe</w:t>
        <w:br/>
        <w:t>adoptar las siguientes medidas:</w:t>
        <w:br/>
        <w:br/>
        <w:t xml:space="preserve">     a) reabrir  la  investigación  de  todos  los  hechos  y  antecedentes</w:t>
        <w:br/>
        <w:t xml:space="preserve">        relacionados en el presente caso en la jurisdicción ordinaria,  con</w:t>
        <w:br/>
        <w:t xml:space="preserve">        el fin de individualizar, juzgar y, en su caso, sancionar  a  todos</w:t>
        <w:br/>
        <w:t xml:space="preserve">        los responsables de los hechos del caso. El Estado debe  dirigir  y</w:t>
        <w:br/>
        <w:t xml:space="preserve">        concluir las investigaciones y procesos  pertinentes  en  un  plazo</w:t>
        <w:br/>
        <w:t xml:space="preserve">        razonable;</w:t>
        <w:br/>
        <w:br/>
        <w:t xml:space="preserve">     b) remover todos los obstáculos que impidan la debida investigación de</w:t>
        <w:br/>
        <w:t xml:space="preserve">        los hechos  en  los  respectivos  procesos,  a  fin  de  evitar  la</w:t>
        <w:br/>
        <w:t xml:space="preserve">        repetición de lo ocurrido en circunstancias como las  del  presente</w:t>
        <w:br/>
        <w:t xml:space="preserve">        caso[307]. En este sentido,  en  casos  de  graves  violaciones  de</w:t>
        <w:br/>
        <w:t xml:space="preserve">        derechos humanos, como lo son en el presente caso  las  ejecuciones</w:t>
        <w:br/>
        <w:t xml:space="preserve">        extrajudiciales (supra párrs. 93 a 97), el Estado no podrá  aplicar</w:t>
        <w:br/>
        <w:t xml:space="preserve">        leyes de amnistía ni argumentar prescripción,  irretroactividad  de</w:t>
        <w:br/>
        <w:t xml:space="preserve">        la ley penal, cosa juzgada, ni el principio  non  bis  in  idem,  o</w:t>
        <w:br/>
        <w:t xml:space="preserve">        cualquier excluyente similar de responsabilidad, para excusarse  de</w:t>
        <w:br/>
        <w:t xml:space="preserve">        esta obligación[308];</w:t>
        <w:br/>
        <w:br/>
        <w:t xml:space="preserve">     c) asegurarse que  los  distintos  órganos  del  sistema  de  justicia</w:t>
        <w:br/>
        <w:t xml:space="preserve">        involucrados  en  el  caso  cuenten  con  los  recursos  humanos  y</w:t>
        <w:br/>
        <w:t xml:space="preserve">        materiales  necesarios  para  desempeñar  sus  tareas   de   manera</w:t>
        <w:br/>
        <w:t xml:space="preserve">        adecuada,  independiente  e  imparcial  y  que  las  personas   que</w:t>
        <w:br/>
        <w:t xml:space="preserve">        participen en la investigación, entre ellas  víctimas,  testigos  y</w:t>
        <w:br/>
        <w:t xml:space="preserve">        operadores de  justicia,  cuenten  con  las  debidas  garantías  de</w:t>
        <w:br/>
        <w:t xml:space="preserve">        seguridad[309], de traslado para rendir  declaraciones,  y  que  se</w:t>
        <w:br/>
        <w:t xml:space="preserve">        abstengan de actos que impliquen obstrucción  para  la  marcha  del</w:t>
        <w:br/>
        <w:t xml:space="preserve">        proceso investigativo, y</w:t>
        <w:br/>
        <w:br/>
        <w:t xml:space="preserve">     d)  asegurar  el  pleno  acceso  y  capacidad   de   actuar   de   los</w:t>
        <w:br/>
        <w:t xml:space="preserve">        sobrevivientes y familiares de las víctimas en todas las etapas  de</w:t>
        <w:br/>
        <w:t xml:space="preserve">        esta investigación, de acuerdo con la ley interna y las  normas  de</w:t>
        <w:br/>
        <w:t xml:space="preserve">        la Convención Americana.  Adicionalmente,  los  resultados  de  los</w:t>
        <w:br/>
        <w:t xml:space="preserve">        procesos deberán ser públicamente divulgados para que  la  sociedad</w:t>
        <w:br/>
        <w:t xml:space="preserve">        conozca  los   hechos   objeto   del   caso,   así   como   a   sus</w:t>
        <w:br/>
        <w:t xml:space="preserve">        responsables[310].</w:t>
        <w:br/>
        <w:br/>
        <w:t xml:space="preserve">      2. Identificación  y  repatriación  de  los  restos  mortales  de  las</w:t>
        <w:br/>
        <w:t xml:space="preserve">         víctimas fallecidas</w:t>
        <w:br/>
        <w:br/>
        <w:t>Los representantes solicitaron a la Corte que ordene  al  Estado  dominicano</w:t>
        <w:br/>
        <w:t>asegurar la repatriación de los restos de  las  víctimas  fallecidas  a  los</w:t>
        <w:br/>
        <w:t>familiares. La Comisión Interamericana no se refirió sobre este aspecto.</w:t>
        <w:br/>
        <w:br/>
        <w:t>El Estado aportó documentos  según  los  cuales  las  autoridades  estatales</w:t>
        <w:br/>
        <w:t>ignoran el destino final de los restos mortales de las víctimas  fallecidas.</w:t>
        <w:br/>
        <w:br/>
        <w:br/>
        <w:t>La Corte concluyó que el derecho  de  los  familiares  de  las  víctimas  de</w:t>
        <w:br/>
        <w:t>conocer  los  restos  de  sus  seres  queridos  constituye,  además  de  una</w:t>
        <w:br/>
        <w:t>exigencia del derecho a conocer la verdad, una medida de reparación,  y  por</w:t>
        <w:br/>
        <w:t>lo tanto hace nacer el deber correlativo para el Estado de satisfacer  estas</w:t>
        <w:br/>
        <w:t>justas expectativas. La falta de identificación y entrega de  los  restos  a</w:t>
        <w:br/>
        <w:t>sus  familiares,  manifestó  un  trato  denigrante  y  discriminatorio,   en</w:t>
        <w:br/>
        <w:t>contravención de los artículos 5.1 y 1.1 de la Convención, en  perjuicio  de</w:t>
        <w:br/>
        <w:t>las personas fallecidas y sus familiares (supra párr. 117).</w:t>
        <w:br/>
        <w:br/>
        <w:t>Por tanto, la Corte dispone que el Estado, en el plazo de un año  contado  a</w:t>
        <w:br/>
        <w:t>partir de la notificación de la presente  Sentencia,  deberá  determinar  el</w:t>
        <w:br/>
        <w:t>paradero de los cuerpos y, previa comprobación  genética  de  filiación,  de</w:t>
        <w:br/>
        <w:t>común acuerdo  con  sus  familiares  o  representantes,  estos  deberán  ser</w:t>
        <w:br/>
        <w:t>repatriados a Haití y entregados  a  sus  familiares,  asumiendo  el  Estado</w:t>
        <w:br/>
        <w:t>tales gastos y, en su caso, los gastos fúnebres[311].</w:t>
        <w:br/>
        <w:br/>
        <w:t xml:space="preserve"> C. Medidas de reparación integral: rehabilitación, satisfacción y</w:t>
        <w:br/>
        <w:t xml:space="preserve">    garantías de no repetición</w:t>
        <w:br/>
        <w:br/>
        <w:t>La  jurisprudencia  internacional,  y  en  particular  de   la   Corte,   ha</w:t>
        <w:br/>
        <w:t>establecido reiteradamente que la Sentencia  puede  constituir  per  se  una</w:t>
        <w:br/>
        <w:t>forma de reparación[312]. No obstante, considerando las  circunstancias  del</w:t>
        <w:br/>
        <w:t>caso y las afectaciones a las víctimas derivadas de las  violaciones  de  la</w:t>
        <w:br/>
        <w:t>Convención Americana declaradas en su perjuicio, la Corte estima  pertinente</w:t>
        <w:br/>
        <w:t>determinar las siguientes medidas de reparación.</w:t>
        <w:br/>
        <w:br/>
        <w:t xml:space="preserve">   1. Rehabilitación</w:t>
        <w:br/>
        <w:br/>
        <w:t xml:space="preserve">      a) Asistencia médica y psicológica a las víctimas</w:t>
        <w:br/>
        <w:br/>
        <w:t>La Comisión solicitó a la  Corte  que  disponga  reparar  adecuadamente  las</w:t>
        <w:br/>
        <w:t>violaciones de derechos humanos declaradas en su informe de fondo, tanto  en</w:t>
        <w:br/>
        <w:t>el aspecto material como moral, incluyendo la implementación de un  programa</w:t>
        <w:br/>
        <w:t>adecuado de atención psicosocial a los sobrevivientes.</w:t>
        <w:br/>
        <w:br/>
        <w:t>Los  representantes  solicitaron   que   se   indemnice   a   las   víctimas</w:t>
        <w:br/>
        <w:t>sobrevivientes por los gastos médicos y psicológicos  que  deberán  incurrir</w:t>
        <w:br/>
        <w:t>en el futuro.</w:t>
        <w:br/>
        <w:br/>
        <w:t>El Estado no se refirió a esta forma de reparación.</w:t>
        <w:br/>
        <w:br/>
        <w:t>La Corte consideró que, con motivo del trato denigrante en perjuicio de  los</w:t>
        <w:br/>
        <w:t>sobrevivientes,  el  Estado  violó  el  derecho  a  la  integridad  personal</w:t>
        <w:br/>
        <w:t>consagrado en el artículo 5.1 de la Convención (supra párr. 109).</w:t>
        <w:br/>
        <w:br/>
        <w:t>Asimismo, la Corte estima, como lo ha hecho  en  otros  casos[313],  que  es</w:t>
        <w:br/>
        <w:t>preciso disponer una medida de reparación que brinde una  atención  adecuada</w:t>
        <w:br/>
        <w:t>a los padecimientos  psicológicos  y  físicos  sufridos  por  las  víctimas,</w:t>
        <w:br/>
        <w:t>derivadas de las violaciones establecidas en el presente Fallo. Con  el  fin</w:t>
        <w:br/>
        <w:t>de  contribuir  a  la  reparación  de  estos  daños,  la  Corte  dispone  la</w:t>
        <w:br/>
        <w:t>obligación a cargo del Estado de brindar gratuitamente y de forma  inmediata</w:t>
        <w:br/>
        <w:t>el tratamiento médico y  psicológico  que  requieran  las  víctimas,  previo</w:t>
        <w:br/>
        <w:t>consentimiento informado y por el tiempo  que  sea  necesario,  incluida  la</w:t>
        <w:br/>
        <w:t>provisión gratuita de medicamentos. En el caso de que las  víctimas  residan</w:t>
        <w:br/>
        <w:t>en República Dominicana, el tratamiento médico y psicológico debe  brindarse</w:t>
        <w:br/>
        <w:t>por personal e instituciones  estatales[314].  Si  el  Estado  careciera  de</w:t>
        <w:br/>
        <w:t>ellas, deberá recurrir a instituciones  privadas  o  de  la  sociedad  civil</w:t>
        <w:br/>
        <w:t>especializadas[315]. Dicho tratamiento se deberá otorgar, en  la  medida  de</w:t>
        <w:br/>
        <w:t>las  posibilidades,  en  los  centros   más   cercanos   a   su   lugar   de</w:t>
        <w:br/>
        <w:t>residencia[316].</w:t>
        <w:br/>
        <w:br/>
        <w:t>Al  proveer   dicho   tratamiento   se   deben   considerar,   además,   las</w:t>
        <w:br/>
        <w:t>circunstancias y necesidades particulares de cada víctima, de manera que  se</w:t>
        <w:br/>
        <w:t>les brinden tratamientos familiares e individuales, según lo que se  acuerde</w:t>
        <w:br/>
        <w:t>con cada una de ellas y después de una evaluación individual[317].</w:t>
        <w:br/>
        <w:br/>
        <w:t>Sin embargo, en el  caso  de  que  las  víctimas  no  residan  en  República</w:t>
        <w:br/>
        <w:t>Dominicana, la Corte considera pertinente determinar que en el supuesto  que</w:t>
        <w:br/>
        <w:t>las víctimas soliciten atención  médica  o  psicológica,  el  Estado  deberá</w:t>
        <w:br/>
        <w:t>otorgar a las víctimas sobrevivientes, quienes fueron heridas,  la  cantidad</w:t>
        <w:br/>
        <w:t>de US$ 7,500.00 (siete mil y quiñentos dólares  de  los  Estados  Unidos  de</w:t>
        <w:br/>
        <w:t>América) y a los demás sobrevivientes la cantidad de US$ 3,500.00 (tres  mil</w:t>
        <w:br/>
        <w:t>quiñentos dólares de los Estados Unidos de América), ambos por  concepto  de</w:t>
        <w:br/>
        <w:t>gastos por tratamiento médico y psicológico, para que puedan  recibir  dicha</w:t>
        <w:br/>
        <w:t>atención en la localidad donde residan[318].</w:t>
        <w:br/>
        <w:br/>
        <w:t xml:space="preserve">        2. Satisfacción</w:t>
        <w:br/>
        <w:br/>
        <w:t xml:space="preserve">   a) Publicación y difusión de la Sentencia</w:t>
        <w:br/>
        <w:br/>
        <w:t>Los representantes solicitaron publicar esta sentencia en  español,  francés</w:t>
        <w:br/>
        <w:t>y creole en un periódico  de  mayor  distribución  así  como  en  la  Gaceta</w:t>
        <w:br/>
        <w:t>Oficial. La Comisión  y  el  Estado  no  se  refirieron  a  esta  medida  de</w:t>
        <w:br/>
        <w:t>reparación.</w:t>
        <w:br/>
        <w:br/>
        <w:t>La Corte dispone, como lo ha  hecho  en  otros  casos[319],  que  el  Estado</w:t>
        <w:br/>
        <w:t>publique el resumen oficial de  la  presente  Sentencia,  elaborado  por  la</w:t>
        <w:br/>
        <w:t>Corte, en el plazo de seis meses, contado a partir de la notificación de  la</w:t>
        <w:br/>
        <w:t>presente Sentencia, en las siguientes modalidades: a) por una sola  vez,  en</w:t>
        <w:br/>
        <w:t>el Diario Oficial de República Dominicana;  b)  por  una  sola  vez,  en  un</w:t>
        <w:br/>
        <w:t>diario  de  amplia  circulación  nacional  de  República  Dominicana,  y  c)</w:t>
        <w:br/>
        <w:t>traducido al francés y al creole, y  publicado  por  una  sola  vez,  en  un</w:t>
        <w:br/>
        <w:t>diario de amplia  circulación  nacional  de  Haití.  Asimismo,  la  presente</w:t>
        <w:br/>
        <w:t>Sentencia, en su integridad, deberá permanecer disponible por un período  de</w:t>
        <w:br/>
        <w:t>un año, en un sitio web oficial de República Dominicana.</w:t>
        <w:br/>
        <w:br/>
        <w:t xml:space="preserve">   b) Reconocimiento de responsabilidad internacional y disculpas públicas</w:t>
        <w:br/>
        <w:br/>
        <w:t>Los representantes solicitaron que el Estado realice  un  reconocimiento  de</w:t>
        <w:br/>
        <w:t>responsabilidad por las violaciones de los derechos humanos de las  víctimas</w:t>
        <w:br/>
        <w:t>y de sus familiares y que pida disculpas  públicas  a  las  víctimas  y  sus</w:t>
        <w:br/>
        <w:t>familiares. La Comisión y el Estado no se refirieron a esta medida.</w:t>
        <w:br/>
        <w:br/>
        <w:t>La Corte estima que, con el fin de reparar el daño causado a las víctimas  y</w:t>
        <w:br/>
        <w:t>de evitar que hechos como los de  este  caso  se  repitan[320],  corresponde</w:t>
        <w:br/>
        <w:t>disponer que  el  Estado  realice  un  acto  público  de  reconocimiento  de</w:t>
        <w:br/>
        <w:t>responsabilidad internacional en relación con los hechos del presente  caso.</w:t>
        <w:br/>
        <w:t>En dicho acto se deberá hacer  referencia  a  las  violaciones  de  derechos</w:t>
        <w:br/>
        <w:t>humanos declaradas en la presente Sentencia. El acto deberá llevarse a  cabo</w:t>
        <w:br/>
        <w:t>mediante una ceremonia  pública  en  presencia  de  altos  funcionarios  del</w:t>
        <w:br/>
        <w:t>Estado, incluyendo de la esfera militar y del DOIF, y de  las  víctimas  del</w:t>
        <w:br/>
        <w:t>presente  caso.  El  Estado  deberá  acordar  con   las   víctimas   o   sus</w:t>
        <w:br/>
        <w:t>representantes  la  modalidad   de   cumplimento   del   acto   público   de</w:t>
        <w:br/>
        <w:t>reconocimiento, así como las particularidades que se requieran,  tales  como</w:t>
        <w:br/>
        <w:t>el lugar –pudiendo realizarse en el Consulado  de  República  Dominicana  en</w:t>
        <w:br/>
        <w:t>Haití – y la fecha para su realización[321]. Para  ello,  el  Estado  cuenta</w:t>
        <w:br/>
        <w:t>con el plazo de seis meses, contado  a  partir  de  la  notificación  de  la</w:t>
        <w:br/>
        <w:t>presente Sentencia.</w:t>
        <w:br/>
        <w:br/>
        <w:t xml:space="preserve">     3. Garantías de no repetición</w:t>
        <w:br/>
        <w:br/>
        <w:t>La Corte recuerda que el Estado debe prevenir la recurrencia de  violaciones</w:t>
        <w:br/>
        <w:t>a los derechos humanos como las descritas en este caso y, por ello,  adoptar</w:t>
        <w:br/>
        <w:t>todas las medidas  legales,  administrativas  y  de  otra  índole  que  sean</w:t>
        <w:br/>
        <w:t>necesarias para hacer efectivo el ejercicio  de  los  derechos[322]  de  los</w:t>
        <w:br/>
        <w:t>migrantes, de  conformidad  con  las  obligaciones  de  respeto  y  garantía</w:t>
        <w:br/>
        <w:t>dispuestas en los artículos 1.1 y 2 de la Convención[323].</w:t>
        <w:br/>
        <w:br/>
        <w:t xml:space="preserve">      a) Medidas de capacitación para funcionarios públicos  en  materia  de</w:t>
        <w:br/>
        <w:t xml:space="preserve">         derechos humanos</w:t>
        <w:br/>
        <w:br/>
        <w:t>La Comisión solicitó a la Corte que disponga adoptar las medidas  necesarias</w:t>
        <w:br/>
        <w:t>para evitar que en el futuro se  produzcan  hechos  similares,  conforme  al</w:t>
        <w:br/>
        <w:t>deber de prevención y garantía de los derechos  humanos  reconocidos  en  la</w:t>
        <w:br/>
        <w:t>Convención Americana. En particular, implementar  programas  permanentes  de</w:t>
        <w:br/>
        <w:t>derechos humanos en las escuelas de formación de las Fuerzas  Armadas  y  de</w:t>
        <w:br/>
        <w:t>la Policía Nacional, en especial sobre el uso excesivo de la fuerza y  sobre</w:t>
        <w:br/>
        <w:t>el principio de no discriminación.  En  igual  sentido,  los  representantes</w:t>
        <w:br/>
        <w:t>solicitaron que el Estado realice, en el plazo de un año,  capacitaciones  a</w:t>
        <w:br/>
        <w:t>agentes de las  fuerzas  armadas  y  policiales,  agentes  responsables  del</w:t>
        <w:br/>
        <w:t>control de  la  frontera  y  agentes  encargados  de  la  administración  de</w:t>
        <w:br/>
        <w:t>justicia en cuanto a los derechos humanos de los migrantes,  el  uso  de  la</w:t>
        <w:br/>
        <w:t>fuerza y el principio de no-discriminación.</w:t>
        <w:br/>
        <w:br/>
        <w:t>El Estado no se pronunció al respecto.</w:t>
        <w:br/>
        <w:br/>
        <w:t>La eficacia y el impacto de la implementación de los programas de  educación</w:t>
        <w:br/>
        <w:t>en derechos humanos a los funcionarios  públicos  es  crucial  para  generar</w:t>
        <w:br/>
        <w:t>garantías de no repetición de hechos como los del presente caso[324].  Ahora</w:t>
        <w:br/>
        <w:t>bien, visto que se acreditó la responsabilidad internacional del Estado  por</w:t>
        <w:br/>
        <w:t>la violación de los artículos 1.1, 2, 4, 5, 7, 8, 25 y  22.9,  todos  de  la</w:t>
        <w:br/>
        <w:t>Convención  Americana,  esta  Corte  considera  importante  fortalecer   las</w:t>
        <w:br/>
        <w:t>capacidades institucionales de los órganos a cargo de respetar y  garantizar</w:t>
        <w:br/>
        <w:t>dichos derechos  humanos,  mediante  la  capacitación  de  miembros  de  las</w:t>
        <w:br/>
        <w:t>Fuerzas Armadas, agentes de  control  fronterizo  y  agentes  encargados  de</w:t>
        <w:br/>
        <w:t>procedimientos migratorios, a fin de evitar que hechos como  los  analizados</w:t>
        <w:br/>
        <w:t>en el presente caso se repitan[325].</w:t>
        <w:br/>
        <w:br/>
        <w:t>Dentro de dichos programas, el Estado deberá referirse a  la  jurisprudencia</w:t>
        <w:br/>
        <w:t>de la Corte en la materia y, en especial, a los estándares dispuestos en  la</w:t>
        <w:br/>
        <w:t>presente Sentencia, incluyendo los instrumentos internacionales  aplicables,</w:t>
        <w:br/>
        <w:t>de los que República Dominicana es parte. Los rubros de  las  capacitaciones</w:t>
        <w:br/>
        <w:t>deberán versar, en lo concerniente a cada autoridad,  sobre  los  siguientes</w:t>
        <w:br/>
        <w:t>temas: a) el uso de la fuerza por  parte  de  agentes  encargados  de  hacer</w:t>
        <w:br/>
        <w:t>cumplir  la   Ley,   de   acuerdo   con   los   principios   de   legalidad,</w:t>
        <w:br/>
        <w:t>proporcionalidad, necesidad, y excepcionalidad, así como  los  criterios  de</w:t>
        <w:br/>
        <w:t>uso diferenciado y progresivo de la fuerza.  Asimismo,  sobre  las  acciones</w:t>
        <w:br/>
        <w:t>preventivas adoptadas por el Estado, y  las  acciones  concomitantes  y  con</w:t>
        <w:br/>
        <w:t>posterioridad  al  incidente;   b)   el   principio   de   igualdad   y   no</w:t>
        <w:br/>
        <w:t>discriminación, aplicado  especialmente  a  personas  migrantes  y  con  una</w:t>
        <w:br/>
        <w:t>perspectiva de género y protección a la infancia, y c) el debido proceso  en</w:t>
        <w:br/>
        <w:t>la detención y deportación de migrantes  irregulares,  de  acuerdo  con  los</w:t>
        <w:br/>
        <w:t>estándares establecidos en este Fallo. Adicionalmente,  para  cumplir  tales</w:t>
        <w:br/>
        <w:t>objetivos y tratándose de un sistema  de  formación  continua,  dicho  curso</w:t>
        <w:br/>
        <w:t>debe ser impartido de forma permanente[326]. A tal efecto, el Estado  deberá</w:t>
        <w:br/>
        <w:t>presentar un informe  anual  durante  tres  años  consecutivos,  en  el  que</w:t>
        <w:br/>
        <w:t>indique las acciones que se han realizado con tal fin.</w:t>
        <w:br/>
        <w:br/>
        <w:t xml:space="preserve">      b) Campaña sobre derechos de los migrantes</w:t>
        <w:br/>
        <w:br/>
        <w:t>La Comisión solicitó la adopción  de  medidas  necesarias  para  evitar  que</w:t>
        <w:br/>
        <w:t>estos hechos se produzcan en el futuro. De igual forma,  los  representantes</w:t>
        <w:br/>
        <w:t>solicitaron, dentro de las garantías de no repetición, que  se  ordenara  la</w:t>
        <w:br/>
        <w:t>capacitación en relación con el  principio  de  no  discriminación.  Por  su</w:t>
        <w:br/>
        <w:t>parte, el Estado indicó en audiencia pública que no se desprende  ni  existe</w:t>
        <w:br/>
        <w:t>prueba que  confirme  trato  discriminatorio  alguno  en  perjuicio  de  las</w:t>
        <w:br/>
        <w:t>supuestas víctimas ni contra los nacionales dominicanos.</w:t>
        <w:br/>
        <w:br/>
        <w:t>En vista de la acreditación de responsabilidad por parte del  Estado  de  un</w:t>
        <w:br/>
        <w:t>patrón de discriminación contra personas migrantes en República  Dominicana,</w:t>
        <w:br/>
        <w:t>la Corte estima pertinente que el  Estado  realice  una  campaña  en  medios</w:t>
        <w:br/>
        <w:t>públicos  sobre  los  derechos  de  las  personas  migrantes   regulares   e</w:t>
        <w:br/>
        <w:t>irregulares en el territorio dominicano en los términos de lo  dispuesto  en</w:t>
        <w:br/>
        <w:t>el Fallo. A tal efecto, el Estado deberá presentar un informe anual  durante</w:t>
        <w:br/>
        <w:t>tres años consecutivos, en el que indique las acciones que se han  realizado</w:t>
        <w:br/>
        <w:t>con tal fin.</w:t>
        <w:br/>
        <w:br/>
        <w:t xml:space="preserve">      c) Adopción de medidas de derecho interno</w:t>
        <w:br/>
        <w:br/>
        <w:t xml:space="preserve">        i. Uso de la fuerza</w:t>
        <w:br/>
        <w:br/>
        <w:t>Tal como fue acreditado en  el  párrafo  82  de  esta  Sentencia,  la  Corte</w:t>
        <w:br/>
        <w:t>declaró que el Estado dominicano no cumplió su obligación de garantizar  los</w:t>
        <w:br/>
        <w:t>derechos a la  vida  y  a  la  integridad  personal  mediante  una  adecuada</w:t>
        <w:br/>
        <w:t>legislación sobre el uso de la fuerza, en violación del  deber  de  garantía</w:t>
        <w:br/>
        <w:t>de los derechos a la vida y a la integridad personal y del artículo 2 de  la</w:t>
        <w:br/>
        <w:t>Convención.</w:t>
        <w:br/>
        <w:br/>
        <w:t>La Corte recuerda que el Estado debe prevenir la recurrencia de  violaciones</w:t>
        <w:br/>
        <w:t>a los derechos humanos como las ocurridas en el presente caso  y,  por  eso,</w:t>
        <w:br/>
        <w:t>adoptar todas las medidas legales, administrativas  y  de  otra  índole  que</w:t>
        <w:br/>
        <w:t>sean necesarias para evitar que hechos similares vuelvan  a  ocurrir  en  el</w:t>
        <w:br/>
        <w:t>futuro, en cumplimiento de sus deberes  de  prevención  y  garantía  de  los</w:t>
        <w:br/>
        <w:t>derechos  fundamentales  reconocidos  por  la   Convención   Americana.   En</w:t>
        <w:br/>
        <w:t>particular, de conformidad con el artículo 2 de  la  Convención,  el  Estado</w:t>
        <w:br/>
        <w:t>tiene el deber de adoptar las medidas  necesarias  para  hacer  efectivo  el</w:t>
        <w:br/>
        <w:t>ejercicio de los derechos y libertades reconocidos en la Convención[327].</w:t>
        <w:br/>
        <w:br/>
        <w:t>En  particular,  el  Estado  deberá,  en  un  plazo  razonable,  adecuar  su</w:t>
        <w:br/>
        <w:t>legislación interna a la Convención Americana, incorporando  los  estándares</w:t>
        <w:br/>
        <w:t>internacionales sobre el uso de la fuerza por  los  funcionarios  encargados</w:t>
        <w:br/>
        <w:t>de aplicar  la  ley[328],  de  acuerdo  con  los  principios  de  legalidad,</w:t>
        <w:br/>
        <w:t>proporcionalidad, necesidad y excepcionalidad, así  como  los  criterios  de</w:t>
        <w:br/>
        <w:t>uso diferenciado  y  progresivo  de  la  fuerza.  Dicha  legislación  deberá</w:t>
        <w:br/>
        <w:t>contener las especificaciones señaladas en el capítulo VII-1 de la  presente</w:t>
        <w:br/>
        <w:t>Sentencia.</w:t>
        <w:br/>
        <w:br/>
        <w:t xml:space="preserve">         ii.</w:t>
        <w:br/>
        <w:t xml:space="preserve">             Jurisdicción Militar</w:t>
        <w:br/>
        <w:br/>
        <w:t>La Comisión solicitó a la Corte que ordene al  Estado  adoptar  las  medidas</w:t>
        <w:br/>
        <w:t>legislativas o de otro carácter  necesarias  para  que  el  artículo  3  del</w:t>
        <w:br/>
        <w:t>Código Penal Militar sea compatible con la Convención  Americana  y  con  la</w:t>
        <w:br/>
        <w:t>jurisprudencia de la Corte.</w:t>
        <w:br/>
        <w:br/>
        <w:t>Al respecto, los  representantes  solicitaron  las  siguientes  medidas:  a)</w:t>
        <w:br/>
        <w:t>abrogar las leyes internas relativas  a  la  atribución  de  jurisdicción  a</w:t>
        <w:br/>
        <w:t>tribunales militares por casos relativos a  alegaciones  de  violaciones  de</w:t>
        <w:br/>
        <w:t>derechos humanos cometidas por miembros de las fuerzas armadas;  b)  adoptar</w:t>
        <w:br/>
        <w:t>nuevas leyes que atribuyan  claramente  jurisdicción  a  tribunales  civiles</w:t>
        <w:br/>
        <w:t>ordinarios por dichas situaciones,  y  c)  adoptar  leyes  que  prohíban  la</w:t>
        <w:br/>
        <w:t>práctica de deportación colectiva y  que  las  autoridades  estatales  dejen</w:t>
        <w:br/>
        <w:t>inmediatamente dicha práctica.</w:t>
        <w:br/>
        <w:br/>
        <w:t>Por su parte, el Estado manifestó en  audiencia  pública  que  ha  realizado</w:t>
        <w:br/>
        <w:t>importantes modificaciones en  el  sistema  judicial,  tanto  en  las  leyes</w:t>
        <w:br/>
        <w:t>adjetivas como en la propia Constitución de la República.</w:t>
        <w:br/>
        <w:br/>
        <w:t>En los párrafos 211 y 216 de la  presente  Sentencia  la  Corte  declaró  la</w:t>
        <w:br/>
        <w:t>violación del artículo 2 de la Convención por  que  la  legislación  vigente</w:t>
        <w:br/>
        <w:t>que regulaba la jurisdicción militar al  momento  de  los  hechos  violó  la</w:t>
        <w:br/>
        <w:t>Convención Americana. No obstante, tal como fue referido en el párrafo  217,</w:t>
        <w:br/>
        <w:t>el Estado ha realizado diversos cambios legislativos entre los años  2002  y</w:t>
        <w:br/>
        <w:t>2010, con  los  cuales  se  determinó  la  competencia  de  la  jurisdicción</w:t>
        <w:br/>
        <w:t>ordinaria para juzgar delitos cometidos por personal militar,  estableciendo</w:t>
        <w:br/>
        <w:t>la  excepcionalidad   de   la   jurisdicción   militar   para   las   faltas</w:t>
        <w:br/>
        <w:t>disciplinarias e infracciones de orden estrictamente militar. En  virtud  de</w:t>
        <w:br/>
        <w:t>ello, la Corte concluyó que con la actual legislación dominicana se  subsanó</w:t>
        <w:br/>
        <w:t>la contravención a los artículos 2, 8 y 25 de la Convención Americana.  Como</w:t>
        <w:br/>
        <w:t>consecuencia, no es procedente ordenar una  medida  de  reparación  en  este</w:t>
        <w:br/>
        <w:t>aspecto.</w:t>
        <w:br/>
        <w:br/>
        <w:t xml:space="preserve"> D. Indemnización Compensatoria</w:t>
        <w:br/>
        <w:br/>
        <w:t xml:space="preserve">        1. Daño material e inmaterial</w:t>
        <w:br/>
        <w:br/>
        <w:t>La Comisión solicitó a la Corte que fijara  una  medida  de  reparación  por</w:t>
        <w:br/>
        <w:t>medio de la cual se pueda reparar adecuadamente las violaciones de  derechos</w:t>
        <w:br/>
        <w:t>humanos declaradas en su Informe de Fondo tanto en el aspecto material  como</w:t>
        <w:br/>
        <w:t>moral.</w:t>
        <w:br/>
        <w:br/>
        <w:t>Los representantes solicitaron que  se  tome  en  cuenta  la  edad  de  cada</w:t>
        <w:br/>
        <w:t>víctima al momento de la muerte, su esperanza de vida  y  su  sueldo  (o  el</w:t>
        <w:br/>
        <w:t>sueldo  mínimo  para  cada  tipo  de  trabajador).  Asimismo,  en  aras   de</w:t>
        <w:br/>
        <w:t>determinar la pérdida de ingresos , indicaron que las  víctimas  tenían  una</w:t>
        <w:br/>
        <w:t>esperanza de vida de 70 años y  que  el  salario  mínimo  en  Haití  era  de</w:t>
        <w:br/>
        <w:t>aproximadamente US$ 624,00 por año, mientras  que  en  República  Dominicana</w:t>
        <w:br/>
        <w:t>era de aproximadamente US$ 2.900,00 por año. En relación  con  las  víctimas</w:t>
        <w:br/>
        <w:t>sobrevivientes, los representantes  indicaron  que  estas  han  sufrido  una</w:t>
        <w:br/>
        <w:t>pérdida de productividad en su trabajo y, por ende, solicitaron que se  fije</w:t>
        <w:br/>
        <w:t>el nivel de incapacidad a la producción laboral a una tasa de  75%.  También</w:t>
        <w:br/>
        <w:t>solicitaron que de acuerdo a la jurisprudencia de la Corte al  respecto,  se</w:t>
        <w:br/>
        <w:t>debería indemnizar a las víctimas por los bienes que les fueron  confiscados</w:t>
        <w:br/>
        <w:t>o destruidos por agentes del  Estado[329].  Finalmente,  los  representantes</w:t>
        <w:br/>
        <w:t>solicitaron a la Corte, tanto para las  víctimas  sobrevivientes  como  para</w:t>
        <w:br/>
        <w:t>las fallecidas, ordenar un pago mínimo de US$ 80.000,00  para  cada  víctima</w:t>
        <w:br/>
        <w:t>por daño inmaterial[330].</w:t>
        <w:br/>
        <w:br/>
        <w:t>El Estado no se pronunció al respecto.</w:t>
        <w:br/>
        <w:br/>
        <w:t>La Corte ha desarrollado en su jurisprudencia el concepto de  daño  material</w:t>
        <w:br/>
        <w:t>y los supuestos en que corresponde indemnizarlo. Esta Corte  ha  establecido</w:t>
        <w:br/>
        <w:t>que el daño material supone “la pérdida o detrimento de los ingresos de  las</w:t>
        <w:br/>
        <w:t>víctimas,  los  gastos  efectuados  con  motivo  de   los   hechos   y   las</w:t>
        <w:br/>
        <w:t>consecuencias de carácter pecuniario que  tengan  un  nexo  causal  con  los</w:t>
        <w:br/>
        <w:t>hechos del caso”[331].</w:t>
        <w:br/>
        <w:br/>
        <w:t>Por otra parte, esta Corte considera que la indemnización  por  concepto  de</w:t>
        <w:br/>
        <w:t>pérdida de ingresos comprende los ingresos que habría percibido  la  víctima</w:t>
        <w:br/>
        <w:t>fallecida  durante  su  vida  probable.  Sin   embargo,   producto   de   su</w:t>
        <w:br/>
        <w:t>fallecimiento, el monto se  entrega  a  sus  familiares.  En  cuanto  a  las</w:t>
        <w:br/>
        <w:t>víctimas fallecidas, si bien no se  han  comprobado  los  ingresos  que  las</w:t>
        <w:br/>
        <w:t>víctimas dejaron de percibir en razón de las violaciones declaradas en  esta</w:t>
        <w:br/>
        <w:t>Sentencia, se verificaron algunos indicios[332] que permiten desprender  que</w:t>
        <w:br/>
        <w:t>las víctimas fallecidas  hubieran  podido  desarrollar  alguna  actividad  u</w:t>
        <w:br/>
        <w:t>oficio remunerado[333] a lo largo de su vida probable.  Por  estas  razones,</w:t>
        <w:br/>
        <w:t>la Corte determina otorgar en equidad la cantidad  de  US$  10.000,00  (diez</w:t>
        <w:br/>
        <w:t>mil dólares de los Estados Unidos de América) por concepto de daño  material</w:t>
        <w:br/>
        <w:t>en favor de cada una de las siete víctimas fallecidas (supra párr. 97).</w:t>
        <w:br/>
        <w:br/>
        <w:t>En cuanto a las víctimas  sobrevivientes,  esta  Corte  ha  manifestado,  en</w:t>
        <w:br/>
        <w:t>relación con el daño material en  el  supuesto  de  víctimas  sobrevivientes</w:t>
        <w:br/>
        <w:t>heridas, que el cálculo de la indemnización  debe  tener  en  cuenta,  entre</w:t>
        <w:br/>
        <w:t>otros factores, el tiempo que  éstas  permanecieron  sin  trabajar[334].  Al</w:t>
        <w:br/>
        <w:t>respecto, de la prueba aportada no se precisó de forma concreta el plazo  en</w:t>
        <w:br/>
        <w:t>que las víctimas sobrevivientes se han encontrado impedidas de trabajar  con</w:t>
        <w:br/>
        <w:t>motivo de los hechos  del  presente  caso.  Por  tanto,  la  Corte  fija  la</w:t>
        <w:br/>
        <w:t>cantidad de US$ 3.500,00 (tres mil  y  quinientos  dólares  de  los  Estados</w:t>
        <w:br/>
        <w:t>Unidos de América) por concepto de daño material a favor de las 10  víctimas</w:t>
        <w:br/>
        <w:t>sobrevivientes, quienes fueron heridas (supra  párr.  98)  por  considerarla</w:t>
        <w:br/>
        <w:t>adecuada en términos de equidad. Dicha cantidad deberá serles  entregada  en</w:t>
        <w:br/>
        <w:t>el plazo de un año, contado a partir de la notificación de la Sentencia.</w:t>
        <w:br/>
        <w:br/>
        <w:t>Por su parte, la Corte ha desarrollado en su jurisprudencia el  concepto  de</w:t>
        <w:br/>
        <w:t>daño inmaterial y  ha  establecido  que  éste  puede  comprender  tanto  los</w:t>
        <w:br/>
        <w:t>sufrimientos y las aflicciones  causados  a  la  víctima  directa  y  a  sus</w:t>
        <w:br/>
        <w:t>allegados, el menoscabo de valores muy  significativos  para  las  personas,</w:t>
        <w:br/>
        <w:t>así como las alteraciones, de carácter no pecuniario, en las condiciones  de</w:t>
        <w:br/>
        <w:t>existencia de la víctima o su familia[335].</w:t>
        <w:br/>
        <w:br/>
        <w:t>En ese sentido, la Corte  considera,  tal  como  lo  ha  señalado  en  otros</w:t>
        <w:br/>
        <w:t>casos[336], que el daño inmaterial infligido a  las  víctimas  fallecidas  y</w:t>
        <w:br/>
        <w:t>sobrevivientes resulta evidente, pues es propio de la naturaleza humana  que</w:t>
        <w:br/>
        <w:t>toda  persona  sometida  a  hechos  similares  a  los  del  presente   caso,</w:t>
        <w:br/>
        <w:t>experimente  un  profundo  sufrimiento,  angustia,  terror,   impotencia   e</w:t>
        <w:br/>
        <w:t>inseguridad, por lo que este daño no  requiere  pruebas[337].  Asimismo,  en</w:t>
        <w:br/>
        <w:t>cuanto a  los  familiares  de  tales  víctimas,  la  Corte  reitera  que  el</w:t>
        <w:br/>
        <w:t>sufrimiento ocasionado a la víctima “se extiende a los miembros más  íntimos</w:t>
        <w:br/>
        <w:t>de la familia, en especial aquellos  que  estuvieron  en  contacto  afectivo</w:t>
        <w:br/>
        <w:t>estrecho con  la  víctima”[338].  Además,  la  Corte  ha  estimado  que  los</w:t>
        <w:br/>
        <w:t>sufrimientos o muerte de una persona acarrean a sus hijas, hijos, cónyuge  o</w:t>
        <w:br/>
        <w:t>compañera y compañero, madre y padre un daño inmaterial, por lo cual  no  es</w:t>
        <w:br/>
        <w:t>necesario demostrarlo[339].</w:t>
        <w:br/>
        <w:br/>
        <w:t>Basándose en su jurisprudencia, y teniendo en cuenta las circunstancias  del</w:t>
        <w:br/>
        <w:t>presente caso, las violaciones cometidas, el sufrimiento causado, el  tiempo</w:t>
        <w:br/>
        <w:t>transcurrido,  la  denegación  de  justicia,  así  como  el  cambio  en  sus</w:t>
        <w:br/>
        <w:t>condiciones de vida, los efectos probados en la integridad personal  de  los</w:t>
        <w:br/>
        <w:t>familiares  de  las  víctimas,  la  discriminación  sufrida  y   las   demás</w:t>
        <w:br/>
        <w:t>consecuencias de orden  no  pecuniario  que  sufrieron,  la  Corte  fija  en</w:t>
        <w:br/>
        <w:t>equidad las siguientes cantidades  en  dólares  de  los  Estados  Unidos  de</w:t>
        <w:br/>
        <w:t>América, en favor de las víctimas, como indemnización por concepto  de  daño</w:t>
        <w:br/>
        <w:t>inmaterial[340]:</w:t>
        <w:br/>
        <w:br/>
        <w:t xml:space="preserve">   a) Respecto  de  las  siete  víctimas  fallecidas,  la  cantidad  de  US$</w:t>
        <w:br/>
        <w:t xml:space="preserve">      20.000,00 (veinte mil dólares de los Estados Unidos de  América),  los</w:t>
        <w:br/>
        <w:t xml:space="preserve">      cuales deberán ser entregados a los derechohabientes de acuerdo  a  lo</w:t>
        <w:br/>
        <w:t xml:space="preserve">      establecido en el párrafo 298 de la presente sentencia;</w:t>
        <w:br/>
        <w:br/>
        <w:t xml:space="preserve">   b) Respecto de las 10 víctimas  sobrevivientes  que  fueron  heridas,  la</w:t>
        <w:br/>
        <w:t xml:space="preserve">      cantidad de US$ 16.500,00 (dieciséis mil  quinientos  dólares  de  los</w:t>
        <w:br/>
        <w:t xml:space="preserve">      Estados Unidos de América);</w:t>
        <w:br/>
        <w:br/>
        <w:t xml:space="preserve">   c) Respecto de las cuatro víctimas sobrevivientes no heridas, la cantidad</w:t>
        <w:br/>
        <w:t xml:space="preserve">      de US$ 10.000,00  (diez mil dólares de los Estados Unidos de América);</w:t>
        <w:br/>
        <w:br/>
        <w:t xml:space="preserve">   d) Respecto de Sylvie Felizor, quien estaba embarazada al momento de  los</w:t>
        <w:br/>
        <w:t xml:space="preserve">      hechos, y de Roland Israel, quien  era  menor  de  edad,  la  cantidad</w:t>
        <w:br/>
        <w:t xml:space="preserve">      adicional de US$ 2.000,00 (dos mil dólares de los  Estados  Unidos  de</w:t>
        <w:br/>
        <w:t xml:space="preserve">      América), y</w:t>
        <w:br/>
        <w:br/>
        <w:t xml:space="preserve">   e) Respecto de los familiares de las  víctimas  fallecidas,  la  cantidad</w:t>
        <w:br/>
        <w:t xml:space="preserve">      adicional de US$ 7.000,00 (siete mil dólares de los Estados Unidos  de</w:t>
        <w:br/>
        <w:t xml:space="preserve">      América) a cada hijo/hija, padre, madre, conyugué  o  compañero/a;  de</w:t>
        <w:br/>
        <w:t xml:space="preserve">      US$ 5.000,00 (cinco mil dólares de los Estados Unidos  de  América)  a</w:t>
        <w:br/>
        <w:t xml:space="preserve">      cada hermano/hermana y una abuela de la víctima (Ver Anexo A).</w:t>
        <w:br/>
        <w:br/>
        <w:t>La distribución de los montos indicados en los párrafos  284  a  288  inciso</w:t>
        <w:br/>
        <w:t>a), se deberán distribuir dentro  del  plazo  de  un  año  a  partir  de  la</w:t>
        <w:br/>
        <w:t>notificación de la presente Sentencia, de la siguiente forma:</w:t>
        <w:br/>
        <w:br/>
        <w:t xml:space="preserve">   a) el cincuenta por ciento (50%) de la indemnización  se  repartirá,  por</w:t>
        <w:br/>
        <w:t xml:space="preserve">      partes iguales, entre los hijos de la víctima. Si uno o varios de  los</w:t>
        <w:br/>
        <w:t xml:space="preserve">      hijos hubieren fallecido  ya,  la  parte  que  le  o  les  corresponda</w:t>
        <w:br/>
        <w:t xml:space="preserve">      acrecerá a las de los demás hijos de la misma víctima;</w:t>
        <w:br/>
        <w:br/>
        <w:t xml:space="preserve">   b) el cincuenta por ciento (50%) de la indemnización deberá ser entregada</w:t>
        <w:br/>
        <w:t xml:space="preserve">      a quien fuera él o la cónyuge, o la compañera o  compañero  permanente</w:t>
        <w:br/>
        <w:t xml:space="preserve">      de la víctima, al momento de la muerte de ésta;</w:t>
        <w:br/>
        <w:br/>
        <w:t xml:space="preserve">   c) en el evento que no existieren familiares en alguna de las  categorías</w:t>
        <w:br/>
        <w:t xml:space="preserve">      definidas  en  los  literales  anteriores,  el  monto  correspondiente</w:t>
        <w:br/>
        <w:t xml:space="preserve">      acrecerá a la parte que le corresponda a la otra categoría;</w:t>
        <w:br/>
        <w:br/>
        <w:t xml:space="preserve">   d) en el caso de que la víctima no tuviere hijos ni cónyuge ni  compañera</w:t>
        <w:br/>
        <w:t xml:space="preserve">      permanente, la indemnización del daño material se les entregará a  sus</w:t>
        <w:br/>
        <w:t xml:space="preserve">      padres; y</w:t>
        <w:br/>
        <w:br/>
        <w:t xml:space="preserve">   e) en el evento que no existieren familiares en alguna o algunas  de  las</w:t>
        <w:br/>
        <w:t xml:space="preserve">      categorías definidas en los  literales  anteriores,  la  indemnización</w:t>
        <w:br/>
        <w:t xml:space="preserve">      deberá ser pagada a los herederos de acuerdo con el derecho sucesorio.</w:t>
        <w:br/>
        <w:br/>
        <w:t>E. Costas y Gastos</w:t>
        <w:br/>
        <w:br/>
        <w:t>En su escrito de solicitudes y argumentos, los representantes  indicaron  un</w:t>
        <w:br/>
        <w:t>total de US$ 215.912,99 en gastos y costas incurridos desde el año  2000  en</w:t>
        <w:br/>
        <w:t>la  asistencia  de  las  víctimas,  la  investigación  de  los  hechos,   la</w:t>
        <w:br/>
        <w:t>representación judicial ante  las  instancias  internas  e  internacionales,</w:t>
        <w:br/>
        <w:t>entre otros[341].</w:t>
        <w:br/>
        <w:br/>
        <w:t>Considerando lo anterior, en  los  alegatos  finales  escritos,  la  Clínica</w:t>
        <w:br/>
        <w:t>Internacional  de  Defensa  de  los   Derechos   Humanos   presentó   gastos</w:t>
        <w:br/>
        <w:t>adicionales por un monto de US$ 88.547,00[342]. Asimismo el Centro  Cultural</w:t>
        <w:br/>
        <w:t>Dominico Haitiano expuso sus gastos en un monto de  US$  14.102,89[343],  en</w:t>
        <w:br/>
        <w:t>tanto que el Grupo de ayuda a refugiados y repatriados solicitó el  pago  de</w:t>
        <w:br/>
        <w:t>US$ 25.537,14[344].</w:t>
        <w:br/>
        <w:br/>
        <w:t>La Corte reitera que,  conforme  a  su  jurisprudencia[345],  las  costas  y</w:t>
        <w:br/>
        <w:t>gastos hacen parte del concepto de reparación, toda  vez  que  la  actividad</w:t>
        <w:br/>
        <w:t>desplegada por las víctimas con el fin de obtener justicia,  tanto  a  nivel</w:t>
        <w:br/>
        <w:t>nacional como internacional, implican erogaciones que deben ser  compensadas</w:t>
        <w:br/>
        <w:t>cuando la responsabilidad internacional del  Estado  es  declarada  mediante</w:t>
        <w:br/>
        <w:t>una sentencia condenatoria.</w:t>
        <w:br/>
        <w:br/>
        <w:t>En cuanto a su reembolso, corresponde al Tribunal apreciar prudentemente  su</w:t>
        <w:br/>
        <w:t>alcance, el cual comprende los gastos generados ante las autoridades  de  la</w:t>
        <w:br/>
        <w:t>jurisdicción interna, así como los generados en el curso  del  proceso  ante</w:t>
        <w:br/>
        <w:t>la Corte, teniendo en cuenta las  circunstancias  del  caso  concreto  y  la</w:t>
        <w:br/>
        <w:t>naturaleza de la jurisdicción internacional de protección  de  los  derechos</w:t>
        <w:br/>
        <w:t>humanos. Esta apreciación puede ser realizada con base en  el  principio  de</w:t>
        <w:br/>
        <w:t>equidad y tomando en cuenta los gastos señalados  por  las  partes,  siempre</w:t>
        <w:br/>
        <w:t>que su quantum sea razonable.</w:t>
        <w:br/>
        <w:br/>
        <w:t>La Corte ha señalado reiteradamente que “las pretensiones de las víctimas  o</w:t>
        <w:br/>
        <w:t>sus representantes para  las  costos  y  gastos,  y  la  evidencia  que  las</w:t>
        <w:br/>
        <w:t>sostenga, debe  ser  presentada  a  la  Corte  en  la  primera  ocasión  del</w:t>
        <w:br/>
        <w:t>procedimiento que se les concede, es decir, en los  alegatos  y  argumentos,</w:t>
        <w:br/>
        <w:t>sin perjuicio de las reclamaciones van a actualizar en una fecha  posterior,</w:t>
        <w:br/>
        <w:t>para tener en cuenta los nuevos costos y gastos que se hayan generado en  el</w:t>
        <w:br/>
        <w:t>procedimiento ante este Tribunal”[346].</w:t>
        <w:br/>
        <w:br/>
        <w:t>En el presente caso, la Corte observa que  en  los  anexos  a  los  alegatos</w:t>
        <w:br/>
        <w:t>finales de los representantes,  éstos  presentaron  información  relativa  a</w:t>
        <w:br/>
        <w:t>erogaciones monetarias  y  actuaciones  realizadas  con  anterioridad  a  la</w:t>
        <w:br/>
        <w:t>presentación del escrito de solicitudes  y  argumentos,  de  modo  que  ésta</w:t>
        <w:br/>
        <w:t>información se encuentra extemporáneas  de  acuerdo  con  la  jurisprudencia</w:t>
        <w:br/>
        <w:t>recién expuesta (supra párr. 24).</w:t>
        <w:br/>
        <w:br/>
        <w:t>Asimismo, la Corte reitera que no es suficiente la  remisión  de  documentos</w:t>
        <w:br/>
        <w:t>probatorios, sino que se requiere que las  partes  hagan  una  argumentación</w:t>
        <w:br/>
        <w:t>que relacione la prueba con el hecho que se considera representado,  y  que,</w:t>
        <w:br/>
        <w:t>al tratarse de alegados desembolsos económicos, se establezcan con  claridad</w:t>
        <w:br/>
        <w:t>los rubros y la justificación de los mismos[347].</w:t>
        <w:br/>
        <w:br/>
        <w:t>En el presente  caso,  la  prueba  aportada  por  los  representantes  y  la</w:t>
        <w:br/>
        <w:t>argumentación correspondiente, no permite una justificación completa de  los</w:t>
        <w:br/>
        <w:t>montos solicitados. No obstante, si se  comprobaron  ciertos  gastos  en  el</w:t>
        <w:br/>
        <w:t>litigio del caso.  Específicamente,  gastos  para  asistir  a  la  audiencia</w:t>
        <w:br/>
        <w:t>pública del caso, celebrada en la sede de la Corte, así como gastos  por  la</w:t>
        <w:br/>
        <w:t>remisión de sus escritos, entre otros, durante el  proceso  ante  la  Corte.</w:t>
        <w:br/>
        <w:t>Teniendo en cuenta lo anterior, la Corte fija en equidad la cantidad de  US$</w:t>
        <w:br/>
        <w:t>25.000,00 (veinte y cinco mil dólares de  los  Estados  Unidos  de  América)</w:t>
        <w:br/>
        <w:t>para Clínica internacional de Defensa de los Derechos Humanos  de  la  UQAM;</w:t>
        <w:br/>
        <w:t>US$ 17.000,00 (diecisiete mil dólares de  los  Estados  Unidos  de  América)</w:t>
        <w:br/>
        <w:t>para el Grupo de Apoyo a los  Repatriados  y  Refugiados,  y  US$  16.000,00</w:t>
        <w:br/>
        <w:t>(dieciséis mil dólares de los  Estados  Unidos  de  América)  en  favor  del</w:t>
        <w:br/>
        <w:t>Centro  Cultural  Domínico  Haitiano.  Además,  dichos  montos  deberán  ser</w:t>
        <w:br/>
        <w:t>entregados a cada institución dentro del plazo de un año  contado  a  partir</w:t>
        <w:br/>
        <w:t>de la notificación del  presente  Fallo.  En  la  etapa  de  supervisión  de</w:t>
        <w:br/>
        <w:t>cumplimiento de la presente Sentencia, la Corte podrá disponer el  reembolso</w:t>
        <w:br/>
        <w:t>por  parte  del  Estado  a  la  víctima  o  sus  representantes  de   gastos</w:t>
        <w:br/>
        <w:t>posteriores razonables y debidamente comprobados.</w:t>
        <w:br/>
        <w:br/>
        <w:t xml:space="preserve"> F. Reintegro de los gastos al Fondo de Asistencia Legal de Víctimas</w:t>
        <w:br/>
        <w:br/>
        <w:t>Los representantes  solicitaron  a  la  Corte  un  total  de  US$  25.300,00</w:t>
        <w:br/>
        <w:t>(veinticinco mil trescientos dólares de los Estados Unidos de  América)  del</w:t>
        <w:br/>
        <w:t>Fondo de Asistencia Legal para solventar los  costos  del  litigio  ante  la</w:t>
        <w:br/>
        <w:t>Corte Interamericana.</w:t>
        <w:br/>
        <w:br/>
        <w:t>Mediante Resolución del Presidente de la Corte de 1 de  diciembre  de  2011,</w:t>
        <w:br/>
        <w:t>se autorizó el Fondo para facilitar la presencia de dos  presuntas  víctimas</w:t>
        <w:br/>
        <w:t>y un representante durante la  audiencia  pública  del  caso,  sumado  a  la</w:t>
        <w:br/>
        <w:t>presentación de una declaración  por  affidavit.  De  este  modo,  el  monto</w:t>
        <w:br/>
        <w:t>erogado fue de US$ 5.972,21 (cinco mil novecientos setenta y dos dólares  de</w:t>
        <w:br/>
        <w:t>los Estados Unidos de América, con veintiún centavos).</w:t>
        <w:br/>
        <w:br/>
        <w:t>Al respecto, el Estado no remitió observaciones.</w:t>
        <w:br/>
        <w:br/>
        <w:t>En razón de las violaciones declaradas en la presente  Sentencia,  la  Corte</w:t>
        <w:br/>
        <w:t>ordena al Estado el reintegro a dicho Fondo por la cantidad de US$  5.972,21</w:t>
        <w:br/>
        <w:t>(cinco mil novecientos setenta y  dos  dólares  de  los  Estados  Unidos  de</w:t>
        <w:br/>
        <w:t>América, con veintiún  centavos)  por  los  gastos  incurridos.  Este  monto</w:t>
        <w:br/>
        <w:t>deberá ser reintegrado a la Corte Interamericana  en  el  plazo  de  noventa</w:t>
        <w:br/>
        <w:t>días, contados a partir de la notificación del presente Fallo.</w:t>
        <w:br/>
        <w:br/>
        <w:t xml:space="preserve"> G. Modalidades de cumplimiento de los pagos ordenados</w:t>
        <w:br/>
        <w:br/>
        <w:t>El Estado deberá efectuar el pago de las  indemnizaciones  por  concepto  de</w:t>
        <w:br/>
        <w:t>daño material e inmaterial y el reintegro de costas  y  gastos  establecidos</w:t>
        <w:br/>
        <w:t>en la presente  Sentencia  directamente  a  las  personas  y  organizaciones</w:t>
        <w:br/>
        <w:t>indicadas en la misma, dentro del plazo de un año, contado a  partir  de  la</w:t>
        <w:br/>
        <w:t>notificación  del  presente  Fallo,  en  los  términos  de  los   siguientes</w:t>
        <w:br/>
        <w:t>párrafos.</w:t>
        <w:br/>
        <w:br/>
        <w:t>En caso de que los beneficiarios hayan fallecido o fallezcan  antes  de  que</w:t>
        <w:br/>
        <w:t>les sea entregada la indemnización respectiva, se  aplicaran  los  criterios</w:t>
        <w:br/>
        <w:t>establecidos en el párrafo 289 de la presente sentencia.</w:t>
        <w:br/>
        <w:br/>
        <w:t>El Estado debe cumplir sus  obligaciones  monetarias  mediante  el  pago  en</w:t>
        <w:br/>
        <w:t>dólares de los Estados Unidos de América. Si por causas  atribuibles  a  los</w:t>
        <w:br/>
        <w:t>beneficiarios de las indemnizaciones  o  a  sus  derechohabientes  no  fuese</w:t>
        <w:br/>
        <w:t>posible el pago de las cantidades determinadas dentro  del  plazo  indicado,</w:t>
        <w:br/>
        <w:t>el Estado consignará dichos montos a su favor en una  cuenta  o  certificado</w:t>
        <w:br/>
        <w:t>de depósito en una institución financiera dominicana  solvente,  en  dólares</w:t>
        <w:br/>
        <w:t>estadounidenses,  y  en  las  condiciones  financieras  más  favorables  que</w:t>
        <w:br/>
        <w:t>permitan la legislación  y  la  práctica  bancaria.  Si  no  se  reclama  la</w:t>
        <w:br/>
        <w:t>indemnización  correspondiente  una  vez  transcurridos   diez   años,   las</w:t>
        <w:br/>
        <w:t>cantidades serán devueltas al Estado con los intereses devengados.</w:t>
        <w:br/>
        <w:br/>
        <w:t>Las cantidades asignadas en la presente Sentencia como indemnización y  como</w:t>
        <w:br/>
        <w:t>reintegro de costas y gastos deberán  ser  entregadas  a  las  pe  rsonas  y</w:t>
        <w:br/>
        <w:t>organizaciones indicadas en forma íntegra,  conforme  a  lo  establecido  en</w:t>
        <w:br/>
        <w:t>esta Sentencia, sin reducciones derivadas de eventuales cargas fiscales.</w:t>
        <w:br/>
        <w:br/>
        <w:t>En caso de que el Estado incurriera en mora, deberá pagar un  interés  sobre</w:t>
        <w:br/>
        <w:t>la cantidad adeudada correspondiente al interés  bancario  moratorio  en  la</w:t>
        <w:br/>
        <w:t>República Dominicana.</w:t>
        <w:br/>
        <w:br/>
        <w:br/>
        <w:br/>
        <w:br/>
        <w:br/>
        <w:br/>
        <w:br/>
        <w:t>IX</w:t>
        <w:br/>
        <w:t>PUNTOS RESOLUTIVOS</w:t>
        <w:br/>
        <w:br/>
        <w:br/>
        <w:br/>
        <w:t>Por tanto,</w:t>
        <w:br/>
        <w:br/>
        <w:br/>
        <w:br/>
        <w:t>LA CORTE</w:t>
        <w:br/>
        <w:br/>
        <w:br/>
        <w:br/>
        <w:t>DECLARA,</w:t>
        <w:br/>
        <w:br/>
        <w:br/>
        <w:br/>
        <w:t>por unanimidad, que:</w:t>
        <w:br/>
        <w:br/>
        <w:br/>
        <w:t>El Estado es responsable por la violación del derecho a la vida,  reconocido</w:t>
        <w:br/>
        <w:t>en el artículo 4.1 de la Convención Americana  sobre  Derechos  Humanos,  en</w:t>
        <w:br/>
        <w:t>relación con el artículo  1.1  de  la  misma,  en  perjuicio  de  Jacqueline</w:t>
        <w:br/>
        <w:t>Maxime, Fritz Alce, Roselene Thermeus, Ilfaudia  Dorzema,  Máximo  Rubén  de</w:t>
        <w:br/>
        <w:t>Jesús Espinal, Pardis Fortilus y Nadege Dorzema,  en  los  términos  de  los</w:t>
        <w:br/>
        <w:t>párrafos 83 a 97 de la presente Sentencia.</w:t>
        <w:br/>
        <w:br/>
        <w:t>El Estado es responsable por  la  violación  del  derecho  a  la  integridad</w:t>
        <w:br/>
        <w:t>personal, reconocido en el artículo 5.1 de  la  Convención  Americana  sobre</w:t>
        <w:br/>
        <w:t>Derechos Humanos, en relación con el artículo 1.1 del mismo instrumento,  en</w:t>
        <w:br/>
        <w:t>perjuicio de Noclair Florvilien, Joseph Desvraine,  Sylvie  Felizor,  Michel</w:t>
        <w:br/>
        <w:t>Françoise, Sonide Nora, Rose-Marie Petit-Home, Joseph Pierre,  Renaud  Tima,</w:t>
        <w:br/>
        <w:t>Selafoi Pierre, Josier Maxime, Alphonse Oremis y  Honorio  Winique,  en  los</w:t>
        <w:br/>
        <w:t>términos del párrafo 98 de la presente Sentencia.</w:t>
        <w:br/>
        <w:br/>
        <w:t>El Estado es responsable por la violación de los derechos  a  la  integridad</w:t>
        <w:br/>
        <w:t>personal reconocido en el artículo 5.1  de  la  Convención  Americana  sobre</w:t>
        <w:br/>
        <w:t>Derechos Humanos, en relación con el artículo 1.1 del mismo instrumento,  en</w:t>
        <w:br/>
        <w:t>perjuicio de Jacqueline Maxime,  Fritz  Alce,  Roselene  Thermeus,  Ilfaudia</w:t>
        <w:br/>
        <w:t>Dorzema, Máximo Rubén de Jesús Espinal, Pardis Fortilus y Nadege  Dorzema  y</w:t>
        <w:br/>
        <w:t>sus familiares, indicados en el Anexo A del presente Fallo, en los  términos</w:t>
        <w:br/>
        <w:t>de los párrafos 99 a 117 de la presente Sentencia.</w:t>
        <w:br/>
        <w:br/>
        <w:t>El Estado es  responsable  por  la  violación  del  derecho  a  la  libertad</w:t>
        <w:br/>
        <w:t>personal, reconocido en el artículo 7.1, 7.2, 7.3, 7.4,  7.5  y  7.6  de  la</w:t>
        <w:br/>
        <w:t>Convención Americana sobre Derechos Humanos, en  relación  con  el  artículo</w:t>
        <w:br/>
        <w:t>1.1 de la misma, en perjuicio  de  Rose-Marie  Petit-Homme,  Joseph  Pierre,</w:t>
        <w:br/>
        <w:t>Renaud Tima, Selafoi Pierre, Sylvie Felizor,  Roland  Israel  y  Rose  Marie</w:t>
        <w:br/>
        <w:t>Dol, en los términos de los párrafos 124 a 144 de la presente Sentencia.</w:t>
        <w:br/>
        <w:br/>
        <w:t>El Estado es responsable por la violación de los derechos  a  las  garantías</w:t>
        <w:br/>
        <w:t>judiciales y de libre circulación, reconocidos en los artículos 8.1  y  22.9</w:t>
        <w:br/>
        <w:t>de la Convención Americana  sobre  Derechos  Humanos,  en  relación  con  el</w:t>
        <w:br/>
        <w:t>artículo 1.1 del mismo instrumento, en perjuicio de Rose-Marie  Petit-Homme,</w:t>
        <w:br/>
        <w:t>Joseph Pierre, Renaud Tima, Selafoi Pierre, Sylvie Felizor,  Roland  Israel,</w:t>
        <w:br/>
        <w:t>Rose Marie Dol, Josier  Maxime  y  Sonide  Nora,  en  los  términos  de  los</w:t>
        <w:br/>
        <w:t>párrafos 150 a 178 de la presente Sentencia.</w:t>
        <w:br/>
        <w:br/>
        <w:t>El Estado es responsable por la violación de los derechos  a  las  garantías</w:t>
        <w:br/>
        <w:t>judiciales y a la protección judicial, reconocidos en los  artículos  8.1  y</w:t>
        <w:br/>
        <w:t>25.1 de la Convención Americana sobre Derechos Humanos, en relación  con  el</w:t>
        <w:br/>
        <w:t>artículo 1.1 de la misma, en perjuicio  de  las  víctimas  indicadas  en  el</w:t>
        <w:br/>
        <w:t>Anexo A del presente Fallo, en los términos de los párrafos 183 a 201 de  la</w:t>
        <w:br/>
        <w:t>presente Sentencia.</w:t>
        <w:br/>
        <w:br/>
        <w:t>El Estado es responsable por la violación de la  obligación  de  adecuar  su</w:t>
        <w:br/>
        <w:t>derecho interno, establecida en el artículo 2  de  la  Convención  Americana</w:t>
        <w:br/>
        <w:t>sobre Derechos Humanos, en relación con los artículos 4.1, 8 y 25 del  mismo</w:t>
        <w:br/>
        <w:t>instrumento, en los términos de los párrafos 82 y 207 a 217 de  la  presente</w:t>
        <w:br/>
        <w:t>Sentencia.</w:t>
        <w:br/>
        <w:br/>
        <w:t>El Estado incumplió  con  el  deber  de  no  discriminar,  contenido  en  el</w:t>
        <w:br/>
        <w:t>artículo 1.1 de la Convención Americana sobre Derechos Humanos, en  relación</w:t>
        <w:br/>
        <w:t>con los derechos reconocidos en los artículos 2, 4, 5, 7, 8, 22.9  y  25  de</w:t>
        <w:br/>
        <w:t>la misma, en los  términos  de  los  párrafos  224  a  238  de  la  presente</w:t>
        <w:br/>
        <w:t>Sentencia.</w:t>
        <w:br/>
        <w:br/>
        <w:t>La  Corte  estimó  que  no  procede  pronunciarse  respecto  de  la  alegada</w:t>
        <w:br/>
        <w:t>violación de los derechos a la personalidad  jurídica  e  igualdad  ante  la</w:t>
        <w:br/>
        <w:t>ley, reconocidos en los artículos 3 y 24 de la Convención, en  los  términos</w:t>
        <w:br/>
        <w:t>del párrafo 227 de la presente Sentencia.</w:t>
        <w:br/>
        <w:br/>
        <w:br/>
        <w:br/>
        <w:t>Y DISPONE</w:t>
        <w:br/>
        <w:br/>
        <w:br/>
        <w:t>por unanimidad, que:</w:t>
        <w:br/>
        <w:br/>
        <w:t xml:space="preserve">     1. Esta Sentencia constituye per se una forma de reparación.</w:t>
        <w:br/>
        <w:br/>
        <w:t xml:space="preserve">     2. El Estado debe reabrir la investigación de los hechos del  caso,  a</w:t>
        <w:br/>
        <w:t xml:space="preserve">        fin de individualizar, juzgar y, en su caso, sancionar a todos  los</w:t>
        <w:br/>
        <w:t xml:space="preserve">        responsables de tales hechos, en los términos de los párrafos 248 y</w:t>
        <w:br/>
        <w:t xml:space="preserve">        249 de la presente Sentencia.</w:t>
        <w:br/>
        <w:br/>
        <w:t xml:space="preserve">     3. El Estado debe  determinar  el  paradero  de  los  cuerpos  de  las</w:t>
        <w:br/>
        <w:t xml:space="preserve">        personas fallecidas, repatriarlos y entregárselos a sus familiares,</w:t>
        <w:br/>
        <w:t xml:space="preserve">        en el plazo de un año a partir de la notificación de la  Sentencia,</w:t>
        <w:br/>
        <w:t xml:space="preserve">        en los términos de los párrafos 252 y 253 de la presente Sentencia.</w:t>
        <w:br/>
        <w:br/>
        <w:br/>
        <w:t xml:space="preserve">     4. El Estado debe brindar el  tratamiento  médico  y  psicológico  que</w:t>
        <w:br/>
        <w:t xml:space="preserve">        requieran las víctimas, de forma inmediata y por el tiempo que  sea</w:t>
        <w:br/>
        <w:t xml:space="preserve">        necesario, en los términos de los párrafos 258 a 261 de la presente</w:t>
        <w:br/>
        <w:t xml:space="preserve">        Sentencia.</w:t>
        <w:br/>
        <w:br/>
        <w:br/>
        <w:t xml:space="preserve">     5. El Estado debe realizar las publicaciones  que  se  indican  en  el</w:t>
        <w:br/>
        <w:t xml:space="preserve">        párrafo 263 del presente Fallo, en el plazo de seis meses contado a</w:t>
        <w:br/>
        <w:t xml:space="preserve">        partir de la notificación de la Sentencia.</w:t>
        <w:br/>
        <w:br/>
        <w:br/>
        <w:t xml:space="preserve">     6. El Estado debe  realizar  un  acto  público  de  reconocimiento  de</w:t>
        <w:br/>
        <w:t xml:space="preserve">        responsabilidad internacional y disculpas públicas, en el plazo  de</w:t>
        <w:br/>
        <w:t xml:space="preserve">        seis meses contado a partir de la notificación de la Sentencia,  en</w:t>
        <w:br/>
        <w:t xml:space="preserve">        los términos del párrafo 265 de la presente Sentencia.</w:t>
        <w:br/>
        <w:br/>
        <w:br/>
        <w:t xml:space="preserve">     7. El Estado debe implementar los programas de capacitación dispuestos</w:t>
        <w:br/>
        <w:t xml:space="preserve">        en el párrafo 269 del presente Fallo, destinado a  funcionarios  de</w:t>
        <w:br/>
        <w:t xml:space="preserve">        las Fuerzas  Armadas,  agentes  de  control  fronterizo  y  agentes</w:t>
        <w:br/>
        <w:t xml:space="preserve">        encargados de procedimientos migratorios, de forma permanente y  en</w:t>
        <w:br/>
        <w:t xml:space="preserve">        los términos del párrafo  270  de  la  presente  Sentencia.  A  tal</w:t>
        <w:br/>
        <w:t xml:space="preserve">        efecto, el Estado deberá presentar un informe  anual  durante  tres</w:t>
        <w:br/>
        <w:t xml:space="preserve">        años consecutivos, en el  que  indique  las  acciones  que  se  han</w:t>
        <w:br/>
        <w:t xml:space="preserve">        realizado con tal fin.</w:t>
        <w:br/>
        <w:br/>
        <w:br/>
        <w:t xml:space="preserve">     8. El Estado debe realizar una campaña en medios de comunicación sobre</w:t>
        <w:br/>
        <w:t xml:space="preserve">        los derechos de las personas migrantes regulares e irregulares,  en</w:t>
        <w:br/>
        <w:t xml:space="preserve">        el territorio dominicano. A tal efecto, el Estado deberá  presentar</w:t>
        <w:br/>
        <w:t xml:space="preserve">        un informe anual durante tres años consecutivos, en el que  indique</w:t>
        <w:br/>
        <w:t xml:space="preserve">        las acciones que se han realizado con tal fin, en los términos  del</w:t>
        <w:br/>
        <w:t xml:space="preserve">        párrafo 272 de la presente Sentencia.</w:t>
        <w:br/>
        <w:br/>
        <w:br/>
        <w:t xml:space="preserve">     9.  El  Estado  debe,  dentro  de  un  plazo  razonable,  adecuar   su</w:t>
        <w:br/>
        <w:t xml:space="preserve">        legislación interna sobre el uso de la fuerza por los  funcionarios</w:t>
        <w:br/>
        <w:t xml:space="preserve">        encargados de aplicar la ley en los términos de los párrafos 274  y</w:t>
        <w:br/>
        <w:t xml:space="preserve">        275 de la presente Sentencia.</w:t>
        <w:br/>
        <w:br/>
        <w:br/>
        <w:t xml:space="preserve">    10. El Estado deberá pagar las cantidades fijadas en los párrafos  284,</w:t>
        <w:br/>
        <w:t xml:space="preserve">        285, 288, 297 y 301  de  la  presente  Sentencia  por  concepto  de</w:t>
        <w:br/>
        <w:t xml:space="preserve">        indemnizaciones por daño material e inmaterial,  por  reintegro  de</w:t>
        <w:br/>
        <w:t xml:space="preserve">        costas y gastos, así como por  reintegro  al  Fondo  de  Asistencia</w:t>
        <w:br/>
        <w:t xml:space="preserve">        Legal de Víctimas, en los términos de los párrafos 283 a 306 de  la</w:t>
        <w:br/>
        <w:t xml:space="preserve">        presente Sentencia, en el plazo de un año contado a  partir  de  la</w:t>
        <w:br/>
        <w:t xml:space="preserve">        notificación de la misma.</w:t>
        <w:br/>
        <w:br/>
        <w:t xml:space="preserve">    11. El Estado debe, dentro del plazo de un año contado a partir  de  la</w:t>
        <w:br/>
        <w:t xml:space="preserve">        notificación de esta Sentencia, rendir al Tribunal un informe sobre</w:t>
        <w:br/>
        <w:t xml:space="preserve">        las medidas adoptadas para cumplir con la misma.</w:t>
        <w:br/>
        <w:br/>
        <w:br/>
        <w:t xml:space="preserve">    12. La Corte supervisará el cumplimiento íntegro de esta Sentencia,  en</w:t>
        <w:br/>
        <w:t xml:space="preserve">        ejercicio de sus atribuciones y  en  cumplimiento  de  sus  deberes</w:t>
        <w:br/>
        <w:t xml:space="preserve">        conforme a la Convención Americana sobre Derechos Humanos,  y  dará</w:t>
        <w:br/>
        <w:t xml:space="preserve">        por concluido el presente caso una vez  que  el  Estado  haya  dado</w:t>
        <w:br/>
        <w:t xml:space="preserve">        cabal cumplimiento a lo dispuesto en la misma.</w:t>
        <w:br/>
        <w:br/>
        <w:br/>
        <w:t>Redactada en español e inglés, haciendo fe  el  texto  en  español,  en  San</w:t>
        <w:br/>
        <w:t>José, Costa Rica, el 24 de octubre de 2012.</w:t>
        <w:br/>
        <w:br/>
        <w:br/>
        <w:br/>
        <w:br/>
        <w:t xml:space="preserve">                             Diego García-Sayán</w:t>
        <w:br/>
        <w:t xml:space="preserve">                                 Presidente</w:t>
        <w:br/>
        <w:br/>
        <w:br/>
        <w:br/>
        <w:br/>
        <w:t>Manuel                  E.                  Ventura                   Robles</w:t>
        <w:br/>
        <w:t xml:space="preserve">            Leonardo A. Franco</w:t>
        <w:br/>
        <w:br/>
        <w:br/>
        <w:br/>
        <w:br/>
        <w:t>Margarette                           May                            Macaulay</w:t>
        <w:br/>
        <w:t xml:space="preserve">          Alberto Pérez Pérez</w:t>
        <w:br/>
        <w:br/>
        <w:br/>
        <w:br/>
        <w:br/>
        <w:br/>
        <w:t xml:space="preserve">                             Eduardo Vio Grossi</w:t>
        <w:br/>
        <w:br/>
        <w:br/>
        <w:br/>
        <w:br/>
        <w:br/>
        <w:t xml:space="preserve">                          Pablo Saavedra Alessandri</w:t>
        <w:br/>
        <w:t xml:space="preserve">                                 Secretario</w:t>
        <w:br/>
        <w:br/>
        <w:br/>
        <w:t>Comuníquese y ejecútese,</w:t>
        <w:br/>
        <w:br/>
        <w:br/>
        <w:br/>
        <w:t xml:space="preserve">                                                          Diego García-Sayán</w:t>
        <w:br/>
        <w:t xml:space="preserve">                                                                  Presidente</w:t>
        <w:br/>
        <w:br/>
        <w:br/>
        <w:br/>
        <w:br/>
        <w:t>Pablo Saavedra Alessandri</w:t>
        <w:br/>
        <w:t xml:space="preserve">        Secretario</w:t>
        <w:br/>
        <w:br/>
        <w:br/>
        <w:br/>
        <w:br/>
        <w:br/>
        <w:br/>
        <w:t>-----------------------</w:t>
        <w:br/>
        <w:t>[1] De  conformidad  con  el  artículo  19.1  del  Reglamento  de  la  Corte</w:t>
        <w:br/>
        <w:t>Interamericana aplicable al presente caso (infra nota 2), que establece  que</w:t>
        <w:br/>
        <w:t>“[e]n los casos a que hace  referencia  el  artículo  44  de  la  Convención</w:t>
        <w:br/>
        <w:t>Americana,  los  Jueces  no  podrán  participar   en   su   conocimiento   y</w:t>
        <w:br/>
        <w:t>deliberación, cuando sean nacionales del Estado demandado”, la Jueza  Rhadys</w:t>
        <w:br/>
        <w:t>Abreu Blondet, de nacionalidad dominicana, no participó  en  la  tramitación</w:t>
        <w:br/>
        <w:t>del presente caso ni en la deliberación y firma de esta Sentencia.</w:t>
        <w:br/>
        <w:br/>
        <w:t>[2]</w:t>
        <w:br/>
        <w:t>Reglamento de la Corte aprobado por la Corte en su LXXXV  Período  Ordinario</w:t>
        <w:br/>
        <w:t>de Sesiones celebrado del 16 al 28 de noviembre de 2009.</w:t>
        <w:br/>
        <w:br/>
        <w:t>[3]                                                                       En</w:t>
        <w:br/>
        <w:t>adelante  se  designa  a  las  tres  instituciones   indicadas   como   “los</w:t>
        <w:br/>
        <w:t>representantes”.</w:t>
        <w:br/>
        <w:br/>
        <w:t>[4]                                                                 Illiodor</w:t>
        <w:br/>
        <w:t>Dorzema, Rose Fortilus, Nathalie Guerrier, Antoniette  Saint  Phar,  Loubens</w:t>
        <w:br/>
        <w:t>Fortilus, Lifaite Alcé, Franceau Alcé, Jacques Wana Maxime,  Ecléus  Maxime,</w:t>
        <w:br/>
        <w:t>Wilson Lamour, Tinacie Jean, Lamercie Estimable, Rose  Dol,  Rosulma  Mireil</w:t>
        <w:br/>
        <w:t>Florvilien, Rony Beauvil, Jheffly Alcé,  Louna  Beauvil,  Génecine  Felizor,</w:t>
        <w:br/>
        <w:t>Jolina  Georce,  Lona  Beauvil,  Kernelus  Guerrier,  Roseline  Jean   Mary,</w:t>
        <w:br/>
        <w:t>Wikenson Franco, Stephanie  Franco,  Jose  Radhames  Peralta  Espinal,  Jose</w:t>
        <w:br/>
        <w:t>Leonel Peralta Espinal, Amariliz Mercedes  Peralta  Espinal  y  Carmen  Rosa</w:t>
        <w:br/>
        <w:t>Peralta Espinal (expediente de anexos al escrito de solicitudes,  argumentos</w:t>
        <w:br/>
        <w:t>y pruebas, tomo V, folios 2628, 2629, 2630, 2631, 2632,  2633,  2634,  2635,</w:t>
        <w:br/>
        <w:t>2637, 2639, 2640, 2641, 2643, 2644, 2648,  2649,  2650,  2651,  2652,  2653,</w:t>
        <w:br/>
        <w:t>2654, 2656 y 2659, respectivamente).</w:t>
        <w:br/>
        <w:br/>
        <w:t>[5]                                                                   Sonide</w:t>
        <w:br/>
        <w:t>Nora,  Rose-Marie  Petit-Homme,  Sylvie   Felizor,   Renaud   Tima,   Joseph</w:t>
        <w:br/>
        <w:t>Desravine,  Selafoi  Pierre,  Joseph  Pierre,  Josier   Maxime   y   Noclair</w:t>
        <w:br/>
        <w:t>Florvilien (expediente de anexos al escrito  de  solicitudes,  argumentos  y</w:t>
        <w:br/>
        <w:t>pruebas, tomo V, folios 2638, 2639, 2642, 2645, 2646,  2647,  2655,  2657  y</w:t>
        <w:br/>
        <w:t>2658, respectivamente).</w:t>
        <w:br/>
        <w:br/>
        <w:t>[6]                                                                     Cfr.</w:t>
        <w:br/>
        <w:t>Resolución del Presidente de la Corte.  Caso  Nadege  Dorzema  y  otros  Vs.</w:t>
        <w:br/>
        <w:t>República Dominicana.  Fondo  de  Asistencia  Legal  de  Víctimas  de  1  de</w:t>
        <w:br/>
        <w:t>diciembre           de            2011.            Disponible            en:</w:t>
        <w:br/>
        <w:t>http://www.corteidh.or.cr/docs/fondo_victimas/nadege_fv_11.pdf.</w:t>
        <w:br/>
        <w:br/>
        <w:t>[7]                                                                 A   esta</w:t>
        <w:br/>
        <w:t>audiencia comparecieron: a)  por  la  Comisión  Interamericana:  Rosa  María</w:t>
        <w:br/>
        <w:t>Ortiz, Comisionada, Karla Quintana Osuna, especialista de la Secretaría;  b)</w:t>
        <w:br/>
        <w:t>por los representantes: Bernard Duhaime, Clínica  Internacional  de  Defensa</w:t>
        <w:br/>
        <w:t>de los Derechos Humanos de la Université  du  Quebec  a  Montreal  (CIDDHU);</w:t>
        <w:br/>
        <w:t>Natalia Lippman Mazzaglia,  CIDDHU;  Christopher  Campbell-Duruflé,  CIDDHU;</w:t>
        <w:br/>
        <w:t>Colette Lespinasse, Grupo de Apoyo a los Repatriados  y  Refugiados  (GARR);</w:t>
        <w:br/>
        <w:t>Antonio Pol Emil, Centro Cultural Dominico-Haitiano (CCDH); Roberto  Antuan,</w:t>
        <w:br/>
        <w:t>CCDH; Amarilis Espinal, CCDH, y Manuel de Jesús  Dandre,  intérprete,  y  c)</w:t>
        <w:br/>
        <w:t>por el Estado: Néstor Cerón Suero, Embajador de la República  Dominicana  en</w:t>
        <w:br/>
        <w:t>Costa Rica, Asesor; Bernardo Ureña Bueno, Procurador General Adjunto de  las</w:t>
        <w:br/>
        <w:t>Fuerzas Armadas, Agente; Jose Marcos Iglesias Iñigo,  Agente  Permanente  de</w:t>
        <w:br/>
        <w:t>la República Dominicana ante la Corte IDH, Agente Alterno,  y  Jose  Casado-</w:t>
        <w:br/>
        <w:t>Liberato, Abogado Analista de Derechos  Humanos  para  asuntos  de  la  OEA,</w:t>
        <w:br/>
        <w:t>Asesor.</w:t>
        <w:br/>
        <w:br/>
        <w:t>[8]                                                                     Cfr.</w:t>
        <w:br/>
        <w:t>Resolución del Presidente de la Corte. Caso  Nadege  Dorzema  Vs.  República</w:t>
        <w:br/>
        <w:t>Dominicana.     31     de     mayo     de     2012.      Disponible      en:</w:t>
        <w:br/>
        <w:t>http://www.corteidh.or.cr/docs/asuntos/nadege_31_05_12.pdf.</w:t>
        <w:br/>
        <w:br/>
        <w:t>[9]                                                                       El</w:t>
        <w:br/>
        <w:t>escrito del Centro de Estudios Legales  y  Sociales  (CELS)  fue  presentado</w:t>
        <w:br/>
        <w:t>fuera del plazo, por lo que fue declarado extemporáneo.</w:t>
        <w:br/>
        <w:br/>
        <w:t>[10]                                                                Suscrito</w:t>
        <w:br/>
        <w:t>por el señor Miguel Angel Ramiro Avilés.</w:t>
        <w:br/>
        <w:br/>
        <w:t>[11]                                                                Suscrito</w:t>
        <w:br/>
        <w:t>por los señores y señoras Cesare Romano, Juan Pablo  Albán,  Juan  M.  Amaya</w:t>
        <w:br/>
        <w:t>Castro, Donald K. Anton, Freya Baetens,  Caroline  Bettinger  López,  Nerina</w:t>
        <w:br/>
        <w:t>Boschiero, Matthew E. B. Brotmann, Bartram S.  Brown,  David  James  Cantor,</w:t>
        <w:br/>
        <w:t>Gabriella Citroni, Niccolò A. Figà Talamanca, Stefan Kirchner,  Konstantinos</w:t>
        <w:br/>
        <w:t>D. Magliveras, Nathan Mill‐López, Nerina Boschiero, Matthew E. B.  Brotmann,</w:t>
        <w:br/>
        <w:t>Bartram  S.  Brown,  David  James  Cantor,  Gabriella  Citroni,  Niccolò  A.</w:t>
        <w:br/>
        <w:t>Figà‐Talamanca, Stefan Kirchner, Konstantinos D. Magliveras, Nathan  Miller,</w:t>
        <w:br/>
        <w:t>Jacqueline M. Nolan‐Haley, Manfred Nowak, Belén Olmos  Giupponi,  Jordan  J.</w:t>
        <w:br/>
        <w:t>Paust, Cristina Ponce, Miguel Ángel  Ramiro  Avilés,  Margherita  Salvadori,</w:t>
        <w:br/>
        <w:t>Jaume Saura, Tullio Scovazzi, Anna Spain y Matthew Zagor.</w:t>
        <w:br/>
        <w:br/>
        <w:t>[12] Suscrito  por  los  señores  y  señoras  Dimitrina  Petrova,  Catherine</w:t>
        <w:br/>
        <w:t>Casserley, Schona Jolly, Christopher Milsom y Catriona Stirling.</w:t>
        <w:br/>
        <w:br/>
        <w:t>[13]                                                                Suscrito</w:t>
        <w:br/>
        <w:t>por los señores y señoras Guy  S.  Goodwin-Gill,  Caroline  Bettinger-López,</w:t>
        <w:br/>
        <w:t>David Abraham, Perveeen Ali, David C. Baluarte, Jon  Bauer,  Faisal  Bhabha,</w:t>
        <w:br/>
        <w:t>Lauren Carasik, Jessica Chicco, George E. Edwards, Martin S. Flaherty,  Mary</w:t>
        <w:br/>
        <w:t>M. Gundrum,  Anjum  Gupta,  Barbara  E.  Harrell-Bond,  Chester  D.  Hooper,</w:t>
        <w:br/>
        <w:t>Cornelius Hurley, Deena R. Hurwitz, Francisco  J.  Rivera  Juaristi,  Daniel</w:t>
        <w:br/>
        <w:t>Kanstroom, Harvey Kaplan, Gil Loescher, Karen Pita Loor,  Miram  H.  Martom,</w:t>
        <w:br/>
        <w:t>Michelle McKinley, Fabiano L. de  Menezes,  Jennifer  Moore,  Karen  Musalo,</w:t>
        <w:br/>
        <w:t>Salima  Namusobya,  Obiora  Chinedu  Okafor,  Aaron  Marr   Page,   Marselha</w:t>
        <w:br/>
        <w:t>Gonçalves Margerin, Robert D. Sloane, Tom Syring y Deborah M. Weissman.</w:t>
        <w:br/>
        <w:br/>
        <w:t>[14]                                                                Suscrito</w:t>
        <w:br/>
        <w:t>por los señores y señoras Boris de León  Reyes,  Presidente  de  COLADIC-RD,</w:t>
        <w:br/>
        <w:t>Paola C. Pelletier Quiñones, Coordinadora de diciembre de 2011  a  marzo  de</w:t>
        <w:br/>
        <w:t>2012 y Ansel Patricia Sierra Ferreira, Coordinadora  de  abril  a  junio  de</w:t>
        <w:br/>
        <w:t>2012, y con la colaboración y redacción de Emmanuel  Adolfo  Moreta  Fermín,</w:t>
        <w:br/>
        <w:t>Fernando Roedán Hernández, Francisco José Batlle Pérez, Joey  Nuñez,  Mariel</w:t>
        <w:br/>
        <w:t>Ortega de los Santos y Raimy Ivonne Reyes Reyes.</w:t>
        <w:br/>
        <w:br/>
        <w:t>[15]                                                                    Cfr.</w:t>
        <w:br/>
        <w:t>Caso de la “Panel Blanca” (Paniagua Morales y otros) Vs.  Guatemala.  Fondo.</w:t>
        <w:br/>
        <w:t>Sentencia de 8 de marzo de 1998. Serie C No. 37, párrs. 69  al  76,  y  Caso</w:t>
        <w:br/>
        <w:t>Masacres  de  Río  Negro  Vs.  Guatemala.   Excepción   Preliminar,   Fondo,</w:t>
        <w:br/>
        <w:t>Reparaciones y Costas. Sentencia de 4 de septiembre de  2012.  Serie  C  No.</w:t>
        <w:br/>
        <w:t>250, párr. 40.</w:t>
        <w:br/>
        <w:br/>
        <w:t>[16]                                                                    Cfr.</w:t>
        <w:br/>
        <w:t>Caso de la “Panel Blanca” (Paniagua Morales y otros) Vs.  Guatemala,  supra,</w:t>
        <w:br/>
        <w:t>párr. 76, y Caso Masacres de Río Negro Vs. Guatemala, supra, párr. 40.</w:t>
        <w:br/>
        <w:br/>
        <w:t>[17]                                                                     Los</w:t>
        <w:br/>
        <w:t>objetos  de  todas  estas  declaraciones  se  encuentran   establecidos   en</w:t>
        <w:br/>
        <w:t>Resolución del Presidente de la Corte de 31 de mayo de 2012, supra nota 8.</w:t>
        <w:br/>
        <w:br/>
        <w:t>[18]                                                                    Cfr.</w:t>
        <w:br/>
        <w:t>Caso Velásquez Rodríguez Vs. Honduras. Fondo. Sentencia de 29  de  julio  de</w:t>
        <w:br/>
        <w:t>1988. Serie C No. 4, párr. 140, y Caso Masacres de Río Negro Vs.  Guatemala,</w:t>
        <w:br/>
        <w:t>supra, párr. 40.</w:t>
        <w:br/>
        <w:br/>
        <w:t>[19]                                                                 Escrito</w:t>
        <w:br/>
        <w:t>de  solicitudes,  argumentos  y  escrito  de   alegatos   finales   escritos</w:t>
        <w:br/>
        <w:t>(expediente de fondo, folios 293 a 296 y 1100 a 1107).</w:t>
        <w:br/>
        <w:br/>
        <w:t>[20]                                                                    Cfr.</w:t>
        <w:br/>
        <w:t>Caso Velásquez Rodríguez. Fondo, supra nota 10,  párr.  146,  y  Caso  Vélez</w:t>
        <w:br/>
        <w:t>Restrepo  y  Familiares  Vs.   Colombia.   Excepción   Preliminare,   Fondo,</w:t>
        <w:br/>
        <w:t>Reparaciones y Costas. Sentencia de 3 de septiembre de  2012.  Serie  C  No.</w:t>
        <w:br/>
        <w:t>248, párr. 62.</w:t>
        <w:br/>
        <w:br/>
        <w:t>[21]                                                                    Cfr.</w:t>
        <w:br/>
        <w:t>Caso Escué Zapata Vs. Colombia. Fondo, Reparaciones y Costas.  Sentencia  de</w:t>
        <w:br/>
        <w:t>4 de julio de 2007. Serie C No. 165, párr.  26,  y  Caso  Vélez  Restrepo  y</w:t>
        <w:br/>
        <w:t>Familiares Vs. Colombia, supra, párr. 63.</w:t>
        <w:br/>
        <w:br/>
        <w:t>[22]                                                                    Cfr.</w:t>
        <w:br/>
        <w:t>Caso Velásquez Rodríguez Vs. Honduras. Fondo, supra nota  18,  párr.  138  y</w:t>
        <w:br/>
        <w:t>Caso González Medina  Vs  República  Dominicana.  Excepciones  Preliminares,</w:t>
        <w:br/>
        <w:t>Fondo, Reparaciones y Costas. Serie C No. 240, párr. 73.</w:t>
        <w:br/>
        <w:br/>
        <w:t>[23]                                                                    Cfr.</w:t>
        <w:br/>
        <w:t>Caso de la “Panel Blanca” (Paniagua Morales y otros) Vs.  Guatemala,  supra,</w:t>
        <w:br/>
        <w:t>párrs. 37 y 39; Caso de las Masacres  de  Ituango  Vs.  Colombia.  Excepción</w:t>
        <w:br/>
        <w:t>Preliminar, Fondo, Reparaciones y Costas. Sentencia de 1 de julio  de  2006.</w:t>
        <w:br/>
        <w:t>Serie C No. 148, párr. 117; Caso Kimel vs. Argentina. Fondo, Reparaciones  y</w:t>
        <w:br/>
        <w:t>Costas. Sentencia de 2 de mayo de 2008. Serie C  No.  177,  párr.  12;  Caso</w:t>
        <w:br/>
        <w:t>Reverón Trujillo Vs. Venezuela. Excepción Preliminar, Fondo, Reparaciones  y</w:t>
        <w:br/>
        <w:t>Costas. Sentencia de 30 de junio de 2009, Serie C No. 197, párr. 13, y  Caso</w:t>
        <w:br/>
        <w:t>Escué  Zapata  Vs.  Colombia.  Resolución  de  la  Corte  Interamericana  de</w:t>
        <w:br/>
        <w:t>Derechos Humanos de 20 de diciembre de 2006, Considerando décimo.</w:t>
        <w:br/>
        <w:br/>
        <w:t>[24]                                                                   Salvo</w:t>
        <w:br/>
        <w:t>los supuestos del artículo 43 del Reglamento de la Corte.</w:t>
        <w:br/>
        <w:br/>
        <w:t>[25]                                                                    Cfr.</w:t>
        <w:br/>
        <w:t>Caso Loayza Tamayo Vs. Perú. Fondo. Sentencia de 17 de septiembre  de  1997.</w:t>
        <w:br/>
        <w:t>Serie C No. 33, párr. 43, y  Caso  Masacres  de  Río  Negro  Vs.  Guatemala,</w:t>
        <w:br/>
        <w:t>supra, párr. 43.</w:t>
        <w:br/>
        <w:br/>
        <w:t>[26]</w:t>
        <w:br/>
        <w:t>“Jacqueline Maxime, Fritz  Alce  (Gemilord),  Roselene  Theremeus,  Ilfaudia</w:t>
        <w:br/>
        <w:t>Dorzema, Máximo Rubén de Jesús Espinal, Pardis Fortilus  y  Nadege  Dorzema”</w:t>
        <w:br/>
        <w:t>(expediente de fondo, tomo I, folio 34).</w:t>
        <w:br/>
        <w:br/>
        <w:t>[27]                                                                 “Joseph</w:t>
        <w:br/>
        <w:t>Pierre, Selafoi Pierre, Silvie Therméus,  Roland  Israel,  Rose  Marie  Dol,</w:t>
        <w:br/>
        <w:t>Josué Maxime, Michel Florantin,  Cecilia  Petithome/Estilien,  Sonide  Nora,</w:t>
        <w:br/>
        <w:t>Alphonse Oremis, Renaud Timat, Honorio Winique y  Joseph  Devraine  (también</w:t>
        <w:br/>
        <w:t>conocido como Maudire Felizor)” (expediente de fondo,  tomo  I,  folio  34).</w:t>
        <w:br/>
        <w:t>Por otra parte, cabe señalar que la presunta víctima Michel  Francoise,  fue</w:t>
        <w:br/>
        <w:t>considerada  por  la  Comisión  como  una  de  las  personas  que  sufrieron</w:t>
        <w:br/>
        <w:t>menoscabo a su integridad  personal,  sin  embargo,  omitió  incluirle  como</w:t>
        <w:br/>
        <w:t>víctima dentro  de  los  párrafos  conclusivos  de  las  violaciones  a  los</w:t>
        <w:br/>
        <w:t>artículos 7, 5.1, 5.2, 8 y 25 de la Convención Americana,  sin  que  mediare</w:t>
        <w:br/>
        <w:t>justificación al respecto (expediente de fondo, tomo I, folios  6,  20,  23,</w:t>
        <w:br/>
        <w:t>59 y 65).</w:t>
        <w:br/>
        <w:br/>
        <w:t>[28]                                                                En   los</w:t>
        <w:br/>
        <w:t>casos de Ilfaudia  Dorzema,  Jacqueline  Maxime,  Nadege  Dorzema  y  Pardis</w:t>
        <w:br/>
        <w:t>Fortilus, la Comisión hizo referencia a un numero indeterminado de  “hijos”.</w:t>
        <w:br/>
        <w:t>De igual forma, en los casos  de  Máximo  Rubén  de  Jesús  Espinal,  Nadege</w:t>
        <w:br/>
        <w:t>Dorzema y Pardis Fortilus, la Comisión  hizo  referencia  a  “hermanos”  sin</w:t>
        <w:br/>
        <w:t>determinar sus  nombres  ni  cuantos  serían.  Finalmente,  en  el  caso  de</w:t>
        <w:br/>
        <w:t>Roselene Thermeus, la Comisión hizo referencia a una pareja  sin  determinar</w:t>
        <w:br/>
        <w:t>su nombre (expediente de fondo, tomo I,  folios  34  y  35).  Asimismo,  ver</w:t>
        <w:br/>
        <w:t>escritos de los representantes a la Comisión de  17  de  setiembre  de  2010</w:t>
        <w:br/>
        <w:t>(presentado vía correo electrónico el 21 de setiembre de 2010) y  de  20  de</w:t>
        <w:br/>
        <w:t>octubre de 2010 (expediente de anexos al informe  de  fondo,  folios  101  a</w:t>
        <w:br/>
        <w:t>1004 y 1055 a 1064).</w:t>
        <w:br/>
        <w:br/>
        <w:t>[29]</w:t>
        <w:br/>
        <w:t>“Jacqueline Maxime, Fritz  Alice  (Gemilord),  Roselene  Thermeus,  Ilfaudia</w:t>
        <w:br/>
        <w:t>Dorzema, Máximo Rubén  Jesús  Espinal,  Pardis  Fortilus  y  Nadge  Dorzema”</w:t>
        <w:br/>
        <w:t>(expediente de fondo, tomo I, folio 192).</w:t>
        <w:br/>
        <w:br/>
        <w:t>[30]                                                                 “Joseph</w:t>
        <w:br/>
        <w:t>Pierre, Celafoi Pierre, Joseph Desravine, Renaud Tima, Noclair Flor  Vilien,</w:t>
        <w:br/>
        <w:t>Sylvie Felizor, Roland Israel, Rose Marie Petit-Homme,  Sonide  Nora,  Josué</w:t>
        <w:br/>
        <w:t>Maxime, Alphonse Oremis, Honorio Winique, Rose Marie Dol y  Michel  Forentin</w:t>
        <w:br/>
        <w:t>(o Françoise)” (expediente de fondo, tomo I, folios 192 y 193).</w:t>
        <w:br/>
        <w:br/>
        <w:t>[31]                                                                    Crf.</w:t>
        <w:br/>
        <w:t>Oficio del Jefe de la Policía Nacional  de  20  de  junio  de  2000:  “Favio</w:t>
        <w:br/>
        <w:t>Patra, Ninaza Popele, Antonio Torres, Michel Marilin,  Alfonso  Ajise,  Jose</w:t>
        <w:br/>
        <w:t>Luis, Manuel Bldimir y Zuñidla Neiba” (expediente de fondo,  tomo  I,  folio</w:t>
        <w:br/>
        <w:t>193; expediente de anexos al escrito de solicitudes y argumentos, tomo  III,</w:t>
        <w:br/>
        <w:t>folios 2778 y 2779).</w:t>
        <w:br/>
        <w:br/>
        <w:t>[32]   Escrito de solicitudes y alegatos (expediente de fondo, folios 193  a</w:t>
        <w:br/>
        <w:t>196).</w:t>
        <w:br/>
        <w:br/>
        <w:t>[33]</w:t>
        <w:br/>
        <w:t>“Amarilis Mercedes, Carmen Rosa, Jose Leonel y  Jose  Radhames”  (expediente</w:t>
        <w:br/>
        <w:t>de fondo, tomo I, folio 194).</w:t>
        <w:br/>
        <w:br/>
        <w:t>[34]                                                                   “Rose</w:t>
        <w:br/>
        <w:t>Fortilus” (expediente de fondo, tomo I, folio 194).</w:t>
        <w:br/>
        <w:br/>
        <w:t>[35]                                                                    Cfr.</w:t>
        <w:br/>
        <w:t>Caso de las Masacres de Ituango Vs. Colombia. Excepción  Preliminar,  Fondo,</w:t>
        <w:br/>
        <w:t>Reparaciones y Costas. Sentencia de 1 de julio de 2006.  Serie  C  No.  148,</w:t>
        <w:br/>
        <w:t>párr. 98, y Caso  Furlan  y  familiares.  Excepciones  Preliminares,  Fondo,</w:t>
        <w:br/>
        <w:t>Reparaciones y Costas. Sentencia de 31 de agosto de 2012. Serie C  No.  246,</w:t>
        <w:br/>
        <w:t>párr. 277.</w:t>
        <w:br/>
        <w:br/>
        <w:t>[36]   Escrito de 21 de septiembre de 2010 (expediente de anexos al  informe</w:t>
        <w:br/>
        <w:t>de fondo, folios 1001 y 1002).</w:t>
        <w:br/>
        <w:br/>
        <w:t>[37]                                                                    Cfr.</w:t>
        <w:br/>
        <w:t>Declaración rendida por Noclair Florvilien durante la Audiencia Pública  del</w:t>
        <w:br/>
        <w:t>presente caso celebrada el 21 de junio de  2012.  Ver  también:  Declaracion</w:t>
        <w:br/>
        <w:t>jurada rendida por Noclair Florvilien el 8  de  julio  de  2011;  evaluacion</w:t>
        <w:br/>
        <w:t>médica de Noclair Florvilien del 9 de julio de 2011; evaluacion  psicológica</w:t>
        <w:br/>
        <w:t>de Noclair Florvilien del 9  de  julio  de  2011  y  declaracion  jurada  de</w:t>
        <w:br/>
        <w:t>Noclair Florvilien del 9 de julio de 2011 (expediente de anexos  al  escrito</w:t>
        <w:br/>
        <w:t>de  solicitudes  y   argumentos,   folios   2687,   2969,   2986   y   3095,</w:t>
        <w:br/>
        <w:t>respectivamente).</w:t>
        <w:br/>
        <w:br/>
        <w:t>[38]                                                                 También</w:t>
        <w:br/>
        <w:t>conocidas como  Cecilia  Petithomme/Estilien,  Joseph  Desravine  o  Maudire</w:t>
        <w:br/>
        <w:t>Felizor y Silvie Thermeus, respectivamente.</w:t>
        <w:br/>
        <w:br/>
        <w:t>[39]  “Favio Patra, Nianza Popele, Antonio Torres, Michel  Marilin,  Alfonso</w:t>
        <w:br/>
        <w:t>Ajise, Jose Luis, Manuel Bladimir y Zuñidla Neiba”.</w:t>
        <w:br/>
        <w:br/>
        <w:t>[40]                                                                  Joseph</w:t>
        <w:br/>
        <w:t>Pierre, Selafoi Pierre, Sylvie  Felizor,  Roland  Israel,  Rose  Marie  Dol,</w:t>
        <w:br/>
        <w:t>Josué Maxime,  Michel  Françoise,  Rose-Marie  Petit-Homme/Estilien,  Sonide</w:t>
        <w:br/>
        <w:t>Nora, Alphonse Oremis, Renaud  Timat,  Honorio  Winique  y  Joseph  Devraine</w:t>
        <w:br/>
        <w:t>(expediente de fondo, tomo I, folio 34).</w:t>
        <w:br/>
        <w:br/>
        <w:t>[41]                                                                Amarilis</w:t>
        <w:br/>
        <w:t>Mercedes, Carmen Rosa, Jose Leonel y Jose  Radhames  (expediente  de  fondo,</w:t>
        <w:br/>
        <w:t>tomo I, folio 194).</w:t>
        <w:br/>
        <w:br/>
        <w:t>[42]                                                                    Rose</w:t>
        <w:br/>
        <w:t>Fortilus (expediente de fondo, tomo I, folio 194).</w:t>
        <w:br/>
        <w:br/>
        <w:t>[43]</w:t>
        <w:br/>
        <w:t>Antoniette Sainphar (expediente de fondo, tomo I, folio 194).</w:t>
        <w:br/>
        <w:br/>
        <w:t>[44]                                                                Caso  de</w:t>
        <w:br/>
        <w:t>las Niñas Yean y Bosico Vs. República Dominicana. Excepciones  Preliminares,</w:t>
        <w:br/>
        <w:t>Fondo, Reparaciones y Costas. Sentencia de 8 de septiembre de 2005. Serie  C</w:t>
        <w:br/>
        <w:t>No. 130, párr. 109.1.</w:t>
        <w:br/>
        <w:br/>
        <w:t>[45]   Crf. Informe Nacional presentado de conformidad con el párrafo 14  A)</w:t>
        <w:br/>
        <w:t>del anexo a la Resolución 5/1  del  Consejo  de  Derechos  Humanos,  UN  Doc</w:t>
        <w:br/>
        <w:t>A/HRC/WG.6/6/DOM/1, 27 de agosto de 2009 (expediente de  anexos  al  escrito</w:t>
        <w:br/>
        <w:t>de solicitudes y argumentos, tomo VI, folio 3319).</w:t>
        <w:br/>
        <w:br/>
        <w:t>[46]  Cfr. Informe sobre la cuestión de la  migración  internacional  en  la</w:t>
        <w:br/>
        <w:t>República Dominicana para el año 2011, Observatorio  Migrantes  del  Caribe,</w:t>
        <w:br/>
        <w:t>abril             de             2012.             Disponible             en</w:t>
        <w:br/>
        <w:t>http://www.obmica.org/noticias/resena/b896d7_Informe_Anual_Obmica_2011.pdf</w:t>
        <w:br/>
        <w:t>(última consulta el 20 de octubre de 2012).</w:t>
        <w:br/>
        <w:br/>
        <w:t>[47]  Cfr. Caso Yean y Bosico Vs. República Dominicana, supra, párrs.  109.2</w:t>
        <w:br/>
        <w:t>y  109.3.  Ver  también,  Huéspedes  Mal  Recibidos:  Un  Estudio   de   las</w:t>
        <w:br/>
        <w:t>Expulsiones de Haitianos y Dominicanos de Origen Haitiano  de  la  República</w:t>
        <w:br/>
        <w:t>Dominicana a Haití.  International  Human  Rights  Law  Clinic,  Boalt  Hall</w:t>
        <w:br/>
        <w:t>School of Law, University of California at  Berkeley,  2002  (expediente  de</w:t>
        <w:br/>
        <w:t>anexos al escrito de solicitudes y argumentos, tomo VI, folio 3500).</w:t>
        <w:br/>
        <w:br/>
        <w:t>[48]                                                                    Cfr.</w:t>
        <w:br/>
        <w:t>Declaración testimonial de Sylvie Felizor rendida el  22  de  septiembre  de</w:t>
        <w:br/>
        <w:t>2007 (expediente de anexos al  informe  de  fondo,  tomo  II,  folio  1584);</w:t>
        <w:br/>
        <w:t>declaración testimonial de Rose Marie Dol rendida el  22  de  septiembre  de</w:t>
        <w:br/>
        <w:t>2007 (expediente de anexos al  informe  de  fondo,  tomo  II,  folio  1585);</w:t>
        <w:br/>
        <w:t>declaración testimonial de Renaud Tima rendida el 21 de septiembre  de  2007</w:t>
        <w:br/>
        <w:t>(expediente  de  anexos  al  informe  de  fondo,  tomo  II,   folio   1586);</w:t>
        <w:br/>
        <w:t>declaración testimonial de Selafoi Pierre rendida el  22  de  septiembre  de</w:t>
        <w:br/>
        <w:t>2007 (expediente de anexos al  informe  de  fondo,  tomo  II,  folio  1587);</w:t>
        <w:br/>
        <w:t>declaración testimonial de Joseph Pierre rendida  el  22  de  septiembre  de</w:t>
        <w:br/>
        <w:t>2007 (expediente de anexos al  informe  de  fondo,  tomo  II,  folio  1588);</w:t>
        <w:br/>
        <w:t>declaración rendida ante fedatario público por Joseph Pierre el 14 de  junio</w:t>
        <w:br/>
        <w:t>de 2012 (expediente de fondo, tomo II,  folio  564)  y  declaración  rendida</w:t>
        <w:br/>
        <w:t>ante fedatario  público  por  Joseph  Desravine  el  14  de  junio  de  2012</w:t>
        <w:br/>
        <w:t>(expediente de fondo, tomo II, folio 567).</w:t>
        <w:br/>
        <w:br/>
        <w:t>[49]                                                                    Cfr.</w:t>
        <w:br/>
        <w:t>Declaración testimonial de Sylvie Felizor, supra,  folio  1584;  declaración</w:t>
        <w:br/>
        <w:t>testimonial de Rose Marie Dol, supra, folio  1585;  declaración  testimonial</w:t>
        <w:br/>
        <w:t>de Renaud Tima, supra, folio 1586,  y  declaración  testimonial  de  Selafoi</w:t>
        <w:br/>
        <w:t>Pierre, supra, folio 1587.</w:t>
        <w:br/>
        <w:br/>
        <w:t>[50]                                                                    Cfr.</w:t>
        <w:br/>
        <w:t>Interrogatorio de Bernardo de Aza Núñez el 19 de junio de  2000  (expediente</w:t>
        <w:br/>
        <w:t>de anexos al informe de fondo,  tomo  II,  folio  1659);  interrogatorio  de</w:t>
        <w:br/>
        <w:t>Wilkins Siri Tejeda el 19 de junio de 2000 (expediente de anexos al  informe</w:t>
        <w:br/>
        <w:t>de fondo, tomo II, folio 1672); interrogatorio de  Ferison  LaGrange  Vargas</w:t>
        <w:br/>
        <w:t>el 19 de junio de 2000 (expediente de anexos al informe de fondo,  tomo  II,</w:t>
        <w:br/>
        <w:t>folio 1653); interrogatorio de Santiago Florentino Casilla el  19  de  junio</w:t>
        <w:br/>
        <w:t>de 2000 (expediente de anexos al informe de fondo, tomo II,  folio  1668)  e</w:t>
        <w:br/>
        <w:t>interrogatorio  de  Pedro  María  Peña  Santos  el  17  de  julio  de   2000</w:t>
        <w:br/>
        <w:t>(expediente de anexos al informe de fondo, tomo II, folio 1699).</w:t>
        <w:br/>
        <w:br/>
        <w:t>[51]                                                                    Cfr.</w:t>
        <w:br/>
        <w:t>Declaración rendida ante fedatario público por Félix Antonio Núñez  Peña  el</w:t>
        <w:br/>
        <w:t>15 de abril de 2009 (expediente de anexos al  informe  de  fondo,  tomo  II,</w:t>
        <w:br/>
        <w:t>folio 1549) e interrogatorio de Félix Antonio Núñez Peña el 17 de  julio  de</w:t>
        <w:br/>
        <w:t>2000 (expediente de anexos al informe de fondo, tomo II, folio 1572).</w:t>
        <w:br/>
        <w:br/>
        <w:t>[52]</w:t>
        <w:br/>
        <w:t>Comunicación del Procurador General de las Fuerzas Armadas al Secretario  de</w:t>
        <w:br/>
        <w:t>Estado de las Fuerzas Armadas el 24 de mayo de 2007  (expediente  de  anexos</w:t>
        <w:br/>
        <w:t>al informe  de  fondo,  tomo  II,  folio  1592),  y  nota  del  Director  de</w:t>
        <w:br/>
        <w:t>Inteligencia de SEFA de 18 de  junio  del  2000  (expediente  de  anexos  al</w:t>
        <w:br/>
        <w:t>informe de fondo, tomo II, folio 1646).</w:t>
        <w:br/>
        <w:br/>
        <w:t>[53]                                                                    Cfr.</w:t>
        <w:br/>
        <w:t>Nota del Comandante del 10 Batallón de Infantería de 18  de  junio  de  2000</w:t>
        <w:br/>
        <w:t>(expediente de anexos al informe de fondo, tomo II, folio 846).</w:t>
        <w:br/>
        <w:br/>
        <w:t>[54]                                                                    Cfr.</w:t>
        <w:br/>
        <w:t>Declaración testimonial de Sylvie Felizor, supra, folio 1584  y  declaración</w:t>
        <w:br/>
        <w:t>rendida ante fedatario público por Joseph Desravine, supra, folio 567.</w:t>
        <w:br/>
        <w:br/>
        <w:t>[55]                                                                    Cfr.</w:t>
        <w:br/>
        <w:t>Interrogatorio  de  Félix   Antonio   Núñez   Peña,   supra,   folio   1573;</w:t>
        <w:br/>
        <w:t>interrogatorio  de  Michel  Françoise,  supra,  folio   1581);   declaración</w:t>
        <w:br/>
        <w:t>testimonial de Sylvie Felizor, supra, folio  1584;  declaración  testimonial</w:t>
        <w:br/>
        <w:t>de Rose Marie Dol, supra, folio  1585;  declaración  testimonial  de  Renaud</w:t>
        <w:br/>
        <w:t>Tima, supra, folio 1586; declaración testimonial de Selafoi  Pierre,  supra,</w:t>
        <w:br/>
        <w:t>folio 1587; declaración testimonial de Joseph  Pierre,  supra,  folio  1588;</w:t>
        <w:br/>
        <w:t>declaración testimonial de Rose-Marie Petit-Homme (expediente de  anexos  al</w:t>
        <w:br/>
        <w:t>informe de fondo, tomo II, folio 1639); declaración rendida  ante  fedatario</w:t>
        <w:br/>
        <w:t>público por Joseph  Pierre,  supra,  folio  564;  declaración  rendida  ante</w:t>
        <w:br/>
        <w:t>fedatario público por Joseph Desravine, supra,  folio  567;  declaración  de</w:t>
        <w:br/>
        <w:t>Sonide Nora (expediente de fondo,  tomo  II,  folio  571),  y  declaraciones</w:t>
        <w:br/>
        <w:t>rendidas por  Noclair  Florvilien  y  Josier  Maxime  durante  la  Audiencia</w:t>
        <w:br/>
        <w:t>Pública del presente caso celebrada el 21 de junio de 2012.</w:t>
        <w:br/>
        <w:br/>
        <w:t>[56]                                                                    Cfr.</w:t>
        <w:br/>
        <w:t>Declaración testimonial de Sylvie Felizor, supra,  folio  1584;  declaración</w:t>
        <w:br/>
        <w:t>testimonial de Selafoi Pierre, supra, folio 1587, y  declaraciones  rendidas</w:t>
        <w:br/>
        <w:t>por Noclair Florvilien y Josier Maxime durante la Audiencia Pública.</w:t>
        <w:br/>
        <w:br/>
        <w:t>[57]                                                                    Cfr.</w:t>
        <w:br/>
        <w:t>Interrogatorio de Johannes Paul Franco  Camacho  el  18  de  julio  de  2000</w:t>
        <w:br/>
        <w:t>(expediente  de  anexos  al  informe  de  fondo,  tomo  II,   folio   1568);</w:t>
        <w:br/>
        <w:t>interrogatorio de Johannes Paul Franco  Camacho  el  19  de  junio  de  2000</w:t>
        <w:br/>
        <w:t>(expediente  de  anexos  al  informe  de  fondo,  tomo  II,   folio   1664);</w:t>
        <w:br/>
        <w:t>interrogatorio de Bernardo de Aza Núñez el 19 de julio de  2000  (expediente</w:t>
        <w:br/>
        <w:t>de anexos al informe de fondo,  tomo  II,  folio  1576);  interrogatorio  de</w:t>
        <w:br/>
        <w:t>Wilkins Siri Tejeda el 17 de julio de 2000 (expediente de anexos al  informe</w:t>
        <w:br/>
        <w:t>de fondo, tomo II, folio 1636); interrogatorio de Wilkins Siri Tejeda el  19</w:t>
        <w:br/>
        <w:t>de junio de 2000, supra, folio  1672;  interrogatorio  de  Ferison  LaGrange</w:t>
        <w:br/>
        <w:t>Vargas el 19 de junio de 2000, supra, folio 1653; interrogatorio de  Ferison</w:t>
        <w:br/>
        <w:t>LaGrange Vargas el 17 de julio de 2000 (expediente de anexos al  informe  de</w:t>
        <w:br/>
        <w:t>fondo, tomo II, folio 2691); interrogatorio de Santiago  Florentino  Casilla</w:t>
        <w:br/>
        <w:t>el 19 de junio de 2000, supra, folio 1668; interrogatorio de  Félix  Antonio</w:t>
        <w:br/>
        <w:t>Núñez Peña el 17 de julio de 2000,  supra,  folio  1572;  interrogatorio  de</w:t>
        <w:br/>
        <w:t>Michel Françoise, supra, folio 1581; declaración testimonial de  Rose  Marie</w:t>
        <w:br/>
        <w:t>Dol, supra, folio 1585;  declaración  testimonial  de  Renaud  Tima,  supra,</w:t>
        <w:br/>
        <w:t>folio  1586;  declaración  rendida  ante  fedatario   público   por   Joseph</w:t>
        <w:br/>
        <w:t>Desravine, supra, folio 567 y declaración rendida por Josier Maxime  durante</w:t>
        <w:br/>
        <w:t>la Audiencia Pública.</w:t>
        <w:br/>
        <w:br/>
        <w:t>[58]                                                                    Cfr.</w:t>
        <w:br/>
        <w:t>Interrogatorio de Johannes Paul  Franco  Camachoel  18  de  julio  de  2000,</w:t>
        <w:br/>
        <w:t>supra, folio 1568; interrogatorio de Johannes Paul Franco Camacho el  19  de</w:t>
        <w:br/>
        <w:t>junio de 2000, supra, folio 1664; interrogatorio de Bernardo  de  Aza  Núñez</w:t>
        <w:br/>
        <w:t>el 19 de julio de 2000, supra, folio 1576;  interrogatorio  de  Bernardo  de</w:t>
        <w:br/>
        <w:t>Aza Núñez el 19 de junio de  2000,  supra,  folio  1659;  interrogatorio  de</w:t>
        <w:br/>
        <w:t>Wilkins  Siri  Tejeda  el  17  de  julio  de  2000,   supra,   folio   1636;</w:t>
        <w:br/>
        <w:t>interrogatorio de Wilkins Siri Tejeda el 19 de junio de 2000,  supra,  folio</w:t>
        <w:br/>
        <w:t>1672; interrogatorio de Ferison LaGrange Vargas el  19  de  junio  de  2000,</w:t>
        <w:br/>
        <w:t>supra, folio 1653; interrogatorio de Ferison LaGrange Vargas el 17 de  julio</w:t>
        <w:br/>
        <w:t>de 2000, supra, folio 2691, y interrogatorio de Santiago Florentino  Casilla</w:t>
        <w:br/>
        <w:t>el 19 de junio de 2000, supra, folio 1668.</w:t>
        <w:br/>
        <w:br/>
        <w:t>[59]                                                                    Cfr.</w:t>
        <w:br/>
        <w:t>Interrogatorio de  Johannes  Paul  Franco  Camacho,  18  de  julio  de  2000</w:t>
        <w:br/>
        <w:t>(expediente  de  anexos  al  informe  de  fondo,  tomo  II,   folio   1569);</w:t>
        <w:br/>
        <w:t>interrogatorio de  Johannes  Paul  Franco  Camacho,  19  de  junio  de  2000</w:t>
        <w:br/>
        <w:t>(expediente  de  anexos  al  informe  de  fondo,  tomo  II,   folio   1665);</w:t>
        <w:br/>
        <w:t>interrogatorio de Bernardo de Aza Núñez, 19 de julio de 2000 (expediente  de</w:t>
        <w:br/>
        <w:t>anexos al  informe  de  fondo,  tomo  II,  folio  1577);  interrogatorio  de</w:t>
        <w:br/>
        <w:t>Bernardo de Aza Núñez, 19 de junio de 2000 (expediente de anexos al  informe</w:t>
        <w:br/>
        <w:t>de fondo, tomo II, folio 1660); interrogatorio de Wilkins  Siri  Tejeda,  17</w:t>
        <w:br/>
        <w:t>de julio de 2000 (expediente de anexos al informe de fondo, tomo  II,  folio</w:t>
        <w:br/>
        <w:t>1636);  interrogatorio  de  Wilkins  Siri  Tejeda  19  de  junio   de   2000</w:t>
        <w:br/>
        <w:t>(expediente  de  anexos  al  informe  de  fondo,  tomo  II,   folio   1672);</w:t>
        <w:br/>
        <w:t>interrogatorio de Ferison LaGrange Vargas, 19 de junio de  2000  (expediente</w:t>
        <w:br/>
        <w:t>de anexos al informe de fondo, tomo II,  folio  1653)  e  interrogatorio  de</w:t>
        <w:br/>
        <w:t>Ferison LaGrange Vargas, 17 de  julio  de  2000  (expediente  de  anexos  al</w:t>
        <w:br/>
        <w:t>informe de fondo, tomo II, folio 2692).</w:t>
        <w:br/>
        <w:br/>
        <w:t>[60]                                                                    Cfr.</w:t>
        <w:br/>
        <w:t>Interrogatorio de Johannes Paul  Franco  Camachoel  18  de  julio  de  2000,</w:t>
        <w:br/>
        <w:t>supra, folio 1569; interrogatorio de Johannes Paul Franco Camacho el  19  de</w:t>
        <w:br/>
        <w:t>junio de 2000, supra, folio 1664; interrogatorio de Bernardo  de  Aza  Núñez</w:t>
        <w:br/>
        <w:t>el 19 de julio de 2000, supra, folio 1577;  interrogatorio  de  Bernardo  de</w:t>
        <w:br/>
        <w:t>Aza Núñez el 19 de junio de 2000, supra, folios 1659 y 1660;  interrogatorio</w:t>
        <w:br/>
        <w:t>de Wilkins  Siri  Tejeda  el  17  de  julio  de  2000,  supra,  folio  1636;</w:t>
        <w:br/>
        <w:t>interrogatorio de Wilkins Siri Tejeda el 19 de junio de 2000,  supra,  folio</w:t>
        <w:br/>
        <w:t>1672; interrogatorio de Ferison LaGrange Vargas el  19  de  junio  de  2000,</w:t>
        <w:br/>
        <w:t>supra, folio 1653; interrogatorio de Ferison LaGrange Vargas el 17 de  julio</w:t>
        <w:br/>
        <w:t>de 2000, supra, folio 2692; interrogatorio de  Santiago  Florentino  Casilla</w:t>
        <w:br/>
        <w:t>el 19 de  junio  de  2000,  supra,  folio  1668;  declaración  rendida  ante</w:t>
        <w:br/>
        <w:t>fedatario  público  por  Félix  Antonio  Núñez  Peña,  supra,  folio   1549;</w:t>
        <w:br/>
        <w:t>interrogatorio  de  Félix   Antonio   Núñez   Peña,   supra,   folio   1572;</w:t>
        <w:br/>
        <w:t>interrogatorio  de  Michel  Françoise,  supra,   folio   1581;   declaración</w:t>
        <w:br/>
        <w:t>testimonial de Sylvie Felizor, supra, folio  1584;  declaración  testimonial</w:t>
        <w:br/>
        <w:t>de Rose Marie Dol, supra, folio  1585;  declaración  testimonial  de  Renaud</w:t>
        <w:br/>
        <w:t>Tima, supra, folio 1586; declaración testimonial de Selafoi  Pierre,  supra,</w:t>
        <w:br/>
        <w:t>folio 1587; declaración testimonial de Joseph  Pierre,  supra,  folio  1588;</w:t>
        <w:br/>
        <w:t>declaración  testimonial  de  Rose-Marie  Petit-Homme,  supra,  folio  1639;</w:t>
        <w:br/>
        <w:t>declaración rendida ante fedatario público por Joseph Pierre,  supra,  folio</w:t>
        <w:br/>
        <w:t>564; declaración  rendida  ante  fedatario  público  por  Joseph  Desravine,</w:t>
        <w:br/>
        <w:t>supra, folio 567 y 568;  declaración  rendida  ante  fedatario  público  por</w:t>
        <w:br/>
        <w:t>Sonide  Nora,  supra,  folio  571  y  declaraciones  rendidas  por   Noclair</w:t>
        <w:br/>
        <w:t>Florvilien y Josier Maxime durante la Audiencia Pública.</w:t>
        <w:br/>
        <w:br/>
        <w:t>[61]                                                                    Cfr.</w:t>
        <w:br/>
        <w:t>Providencia Calificativa del Juzgado de Instrucción del  Consejo  de  Guerra</w:t>
        <w:br/>
        <w:t>de Primera Instancia Mixto de las Fuerzas Armadas y de la  Policía  Nacional</w:t>
        <w:br/>
        <w:t>de 24 de julio de 2000 (expediente de anexos al informe de fondo,  tomo  II,</w:t>
        <w:br/>
        <w:t>folio 1559).</w:t>
        <w:br/>
        <w:br/>
        <w:t>[62]                                                                    Cfr.</w:t>
        <w:br/>
        <w:t>Interrogatorio de Félix Antonio Núñez Peña el 19 de junio  de  2000,  supra,</w:t>
        <w:br/>
        <w:t>folio 2666.</w:t>
        <w:br/>
        <w:br/>
        <w:t>[63]                                                                    Cfr.</w:t>
        <w:br/>
        <w:t>Interrogatorio de Johannes Paul Franco Camacho  el  18  de  julio  de  2000,</w:t>
        <w:br/>
        <w:t>supra, folio 1569; interrogatorio de Johannes Paul Franco Camacho el  19  de</w:t>
        <w:br/>
        <w:t>junio de 2000, supra, folio 1664; interrogatorio de Bernardo  de  Aza  Núñez</w:t>
        <w:br/>
        <w:t>el 19 de julio de 2000, supra, folio 1577;  interrogatorio  de  Bernardo  de</w:t>
        <w:br/>
        <w:t>Aza Núñez el 19 de junio de  2000,  supra,  folio  1660;  interrogatorio  de</w:t>
        <w:br/>
        <w:t>Wilkins  Siri  Tejeda  el  17  de  julio  de  2000,   supra,   folio   1636;</w:t>
        <w:br/>
        <w:t>interrogatorio de Wilkins Siri Tejeda el 19 de junio de 2000,  supra,  folio</w:t>
        <w:br/>
        <w:t>1672; interrogatorio de Ferison LaGrange Vargas el  19  de  junio  de  2000,</w:t>
        <w:br/>
        <w:t>supra, folio 1653; interrogatorio de Ferison LaGrange Vargas el 17 de  julio</w:t>
        <w:br/>
        <w:t>de 2000, supra, folio 2692, e interrogatorio de Santiago Florentino  Casilla</w:t>
        <w:br/>
        <w:t>el 19 de junio de 2000, supra, folio 1668.</w:t>
        <w:br/>
        <w:br/>
        <w:t>[64]                                                                    Cfr.</w:t>
        <w:br/>
        <w:t>Declaración rendida ante fedatario público por  Félix  Antonio  Núñez  Peña,</w:t>
        <w:br/>
        <w:t>supra, folio 1549; interrogatorio de Félix Antonio Núñez Peña, supra,  folio</w:t>
        <w:br/>
        <w:t>1573; interrogatorio de Michel Françoise,  supra,  folio  1581;  declaración</w:t>
        <w:br/>
        <w:t>testimonial de Sylvie Felizor, supra, folio  1584;  declaración  testimonial</w:t>
        <w:br/>
        <w:t>de Rose-Marie Petit-Homme,  supra,  folio  1639;  declaración  rendida  ante</w:t>
        <w:br/>
        <w:t>fedatario público por Joseph Pierre, supra, folio 564;  declaración  rendida</w:t>
        <w:br/>
        <w:t>ante fedatario público por Joseph Desravine, supra, folio  568;  declaración</w:t>
        <w:br/>
        <w:t>rendida ante  fedatario  público  por  Sonide  Nora,  supra,  folio  571,  y</w:t>
        <w:br/>
        <w:t>declaraciones rendidas por Noclair Florvilien y  Josier  Maxime  durante  la</w:t>
        <w:br/>
        <w:t>Audiencia Pública. Asimismo, ver Providencia  Calificativa  del  Juzgado  de</w:t>
        <w:br/>
        <w:t>Instrucción, supra, folio 1559.</w:t>
        <w:br/>
        <w:br/>
        <w:t>[65]                                                                    Cfr.</w:t>
        <w:br/>
        <w:t>Interrogatorio de Johannes Paul Franco Camacho  el  18  de  julio  de  2000,</w:t>
        <w:br/>
        <w:t>supra, folio 1569; interrogatorio de Johannes Paul Franco Camacho el  19  de</w:t>
        <w:br/>
        <w:t>junio de 2000, supra, folios 1665 y 1666; interrogatorio de Bernardo de  Aza</w:t>
        <w:br/>
        <w:t>Núñez el 19 de julio de 2000, supra, folio 1577; interrogatorio de  Bernardo</w:t>
        <w:br/>
        <w:t>de  Aza  Núñez  el  19  de  junio  de  2000,  supra,  folios  1661  y  1662;</w:t>
        <w:br/>
        <w:t>interrogatorio de Wilkins Siri Tejeda el 17 de julio de 2000,  supra,  folio</w:t>
        <w:br/>
        <w:t>1636; interrogatorio de Wilkins Siri Tejeda el 19 de junio de  2000,  supra,</w:t>
        <w:br/>
        <w:t>folios 1673; interrogatorio de Ferison LaGrange Vargas el  19  de  junio  de</w:t>
        <w:br/>
        <w:t>2000, supra, folio 1655 e interrogatorio de Ferison LaGrange  Vargas  el  17</w:t>
        <w:br/>
        <w:t>de julio de 2000, supra, folio 2692.</w:t>
        <w:br/>
        <w:br/>
        <w:t>[66]                                                                    Cfr.</w:t>
        <w:br/>
        <w:t>Interrogatorio de Bernardo de Aza Núñez el  19  de  julio  de  2000,  supra,</w:t>
        <w:br/>
        <w:t>folio 1577; interrogatorio de Wilkins Siri Tejeda el 17 de  julio  de  2000,</w:t>
        <w:br/>
        <w:t>supra, folio 1636; interrogatorio de Ferison LaGrange Vargas el 19 de  junio</w:t>
        <w:br/>
        <w:t>de 2000, supra, folio 1654; interrogatorio de Ferison LaGrange Vargas el  17</w:t>
        <w:br/>
        <w:t>de julio de 2000, supra, folio 2692;  interrogatorio  de  Michel  Françoise,</w:t>
        <w:br/>
        <w:t>supra, folio 1581; declaración testimonial de Sylvie Felizor,  supra,  folio</w:t>
        <w:br/>
        <w:t>1584; declaración testimonial  de  Renaud  Tima  (expediente  de  anexos  al</w:t>
        <w:br/>
        <w:t>informe de fondo, tomo II, folio 1586; declaración  testimonial  de  Selafoi</w:t>
        <w:br/>
        <w:t>Pierre, supra, folio 1587; declaración testimonial de Joseph Pierre,  supra,</w:t>
        <w:br/>
        <w:t>folio 1588; declaración rendida ante fedatario público  por  Joseph  Pierre,</w:t>
        <w:br/>
        <w:t>supra, folio 564 y declaración rendida ante  fedatario  público  por  Joseph</w:t>
        <w:br/>
        <w:t>Desravine, supra, folio 568.</w:t>
        <w:br/>
        <w:br/>
        <w:t>[67]                                                                    Cfr.</w:t>
        <w:br/>
        <w:t>Interrogatorio de Félix Antonio Núñez Peña el 17 de julio  de  2000,  supra,</w:t>
        <w:br/>
        <w:t>folio 1573.</w:t>
        <w:br/>
        <w:br/>
        <w:t>[68]                                                                    Cfr.</w:t>
        <w:br/>
        <w:t>Interrogatorio de Johannes Paul Franco Camacho  el  19  de  junio  de  2000,</w:t>
        <w:br/>
        <w:t>supra, folio 1665; interrogatorio de Bernardo de Aza Núñez el  19  de  junio</w:t>
        <w:br/>
        <w:t>de 2000, supra, folio 1660; interrogatorio de Wilkins Siri Tejeda el  19  de</w:t>
        <w:br/>
        <w:t>junio de 2000,  supra,  folios  1673;  interrogatorio  de  Ferison  LaGrange</w:t>
        <w:br/>
        <w:t>Vargas el 19 de junio de 2000, supra, folio 1654; interrogatorio de  Ferison</w:t>
        <w:br/>
        <w:t>LaGrange Vargas el 17 de julio de 2000, supra,  folio  2692;  interrogatorio</w:t>
        <w:br/>
        <w:t>de Santiago Florentino Casilla el 19 de junio de 2000, supra, folio 1668.</w:t>
        <w:br/>
        <w:br/>
        <w:t>[69]                                                                    Cfr.</w:t>
        <w:br/>
        <w:t>Declaración rendida ante fedatario público por  Félix  Antonio  Núñez  Peña,</w:t>
        <w:br/>
        <w:t>supra, folio 1549; interrogatorio de Félix Antonio Núñez Peña, supra,  folio</w:t>
        <w:br/>
        <w:t>1573; interrogatorio de Michel Françoise,  supra,  folio  1581;  declaración</w:t>
        <w:br/>
        <w:t>testimonial de Sylvie Felizor, supra, folio  1584;  declaración  testimonial</w:t>
        <w:br/>
        <w:t>de Rose Marie Dol, supra, folio  1585;  declaración  testimonial  de  Renaud</w:t>
        <w:br/>
        <w:t>Timad, supra, folio 1586; declaración rendida  ante  fedatario  público  por</w:t>
        <w:br/>
        <w:t>Joseph Pierre, supra, folio 564; declaración rendida ante fedatario  público</w:t>
        <w:br/>
        <w:t>por Joseph Desravine, supra, folio 568; declaración rendida  ante  fedatario</w:t>
        <w:br/>
        <w:t>público por Sonide Nora, supra, folio 571 y declaración rendida por  Noclair</w:t>
        <w:br/>
        <w:t>Florvilien durante la Audiencia Pública.</w:t>
        <w:br/>
        <w:br/>
        <w:t>[70]</w:t>
        <w:br/>
        <w:t>Declaración rendida ante fedatario público por  Félix  Antonio  Núñez  Peña,</w:t>
        <w:br/>
        <w:t>supra,  folio  1549.  Asimismo,  crf.  declaración  rendida  ante  fedatario</w:t>
        <w:br/>
        <w:t>público por Joseph Desravine, supra, folio  568;  declaración  rendida  ante</w:t>
        <w:br/>
        <w:t>fedatario público por Sonide Nora, supra, folio 571  y  declaración  rendida</w:t>
        <w:br/>
        <w:t>por Noclair Florvilien durante la Audiencia Pública.</w:t>
        <w:br/>
        <w:br/>
        <w:t>[71]                                                                    Cfr.</w:t>
        <w:br/>
        <w:t>Interrogatorio de Johannes Paul Franco Camacho  el  19  de  junio  de  2000,</w:t>
        <w:br/>
        <w:t>supra, folio 1665; interrogatorio de Ferison LaGrange Vargas el 17 de  julio</w:t>
        <w:br/>
        <w:t>de 2000, supra, folio 2692 e interrogatorio de Santiago  Florentino  Casilla</w:t>
        <w:br/>
        <w:t>el 19 de junio de 2000, supra, folio 1669.</w:t>
        <w:br/>
        <w:br/>
        <w:t>[72]                                                                    Cfr.</w:t>
        <w:br/>
        <w:t>Informe preliminar de experticia médico legal de Fritz Alce rendido  por  el</w:t>
        <w:br/>
        <w:t>Instituto Regional de Patología Forense el 20 de junio de  2000  (expediente</w:t>
        <w:br/>
        <w:t>de anexos al informe de fondo, tomo II, folios 1612  y  1613):  Fritz  Alce:</w:t>
        <w:br/>
        <w:t>“Presenta un orificio de entrada de proyectil de arma  de  fuego  en  región</w:t>
        <w:br/>
        <w:t>temporal izquierda y salida en región  occipital  posterior  derecha.  Donde</w:t>
        <w:br/>
        <w:t>presenta herida abierta amplia, arciforme, con salida  de  masa  encefálica,</w:t>
        <w:br/>
        <w:t>con fractura de múltiples huesos del cráneo. El trayecto es de  izquierda  a</w:t>
        <w:br/>
        <w:t>derecha  y  de  adelante  hacia  atrás,  provocando  hemorragia  cerebral  y</w:t>
        <w:br/>
        <w:t>laceración cerebral difusa. Presenta herida abierta irregular de  3.2cms  en</w:t>
        <w:br/>
        <w:t>región de rama mandibular derecha. Presenta excoriaciones  apergaminadas  en</w:t>
        <w:br/>
        <w:t>hemicara derecha hombro izquierdo y brazo derecho”.</w:t>
        <w:br/>
        <w:br/>
        <w:t>[73]                                                                 Informe</w:t>
        <w:br/>
        <w:t>preliminar de experticia médico legal de Ilfaudia  Dorzema  rendido  por  el</w:t>
        <w:br/>
        <w:t>Instituto Regional de Patología Forense el 20 de junio de  2000  (expediente</w:t>
        <w:br/>
        <w:t>de anexos al informe de fondo, tomo II, folios 1604 y  1605):  “Presenta  un</w:t>
        <w:br/>
        <w:t>orificio de entrada de proyectil de arma de fuego en cara externa  de  brazo</w:t>
        <w:br/>
        <w:t>derecho y salida en región subescapular izquierda. Siguiendo un trayecto  de</w:t>
        <w:br/>
        <w:t>adelante  hacia  atrás,  de  derecha  a  izquierda.  Provocando   laceración</w:t>
        <w:br/>
        <w:t>perforación de ambos pulmones y el corazón,  con  hemotorax.  Presenta  otro</w:t>
        <w:br/>
        <w:t>orificio de entrada en región espalda, izquierda y salida  en  línea  axilar</w:t>
        <w:br/>
        <w:t>posterior con cuarto espacio intercostal izquierdo,  siguiendo  un  trayecto</w:t>
        <w:br/>
        <w:t>de atrás hacia adelante y de derecha a izquierda”.</w:t>
        <w:br/>
        <w:br/>
        <w:t>[74]                                                                 Informe</w:t>
        <w:br/>
        <w:t>preliminar de experticia médico legal  de  Nadege  Dorzema  rendido  por  el</w:t>
        <w:br/>
        <w:t>Instituto Regional de Patología Forense el 20 de junio de  2000  (expediente</w:t>
        <w:br/>
        <w:t>de anexos al informe de fondo, tomo II, folios 1606 y 1607):  “Presenta  dos</w:t>
        <w:br/>
        <w:t>orificios de  entrada  de  proyectiles  de  arma  de  fuego  en  hemiespalda</w:t>
        <w:br/>
        <w:t>derecha.  Presenta  orificio  de  entrada  en  región  posterior  de  hombro</w:t>
        <w:br/>
        <w:t>izquierdo. Presenta un orificio de entrada en  flanco  abdominal  izquierdo.</w:t>
        <w:br/>
        <w:t>Presenta un orificio  de  salida  en  región  glútea  derecha.  Presenta  un</w:t>
        <w:br/>
        <w:t>orificio de salida en región axilar derecha. Presenta un orificio de  salida</w:t>
        <w:br/>
        <w:t>en brazo  derecho.  Presenta  un  orificio  de  salida  en  región  pectoral</w:t>
        <w:br/>
        <w:t>derecho”.</w:t>
        <w:br/>
        <w:br/>
        <w:t>[75]                                                                 Informe</w:t>
        <w:br/>
        <w:t>preliminar de experticia médico legal  de  Máximo  Rubén  de  Jesús  Espinal</w:t>
        <w:br/>
        <w:t>rendido por el Instituto Regional de Patología Forense el  20  de  junio  de</w:t>
        <w:br/>
        <w:t>2000 (expediente de anexos al informe de  fondo,  tomo  II,  folios  1610  y</w:t>
        <w:br/>
        <w:t>1611): “Presenta escoriaciones apergaminadas amplias  en  [ilegible]  hombro</w:t>
        <w:br/>
        <w:t>izquierdo, tórax y abdomen anterior-lateral  izquierdo.  Ambas  extremidades</w:t>
        <w:br/>
        <w:t>inferiores y espalda.  Herida  abierta  irregular  de  9.0  cms  en  rodilla</w:t>
        <w:br/>
        <w:t>derecha. Presenta orificio de entrada de  proyectil  de  arma  de  fuego  en</w:t>
        <w:br/>
        <w:t>región parietal izquierdo, salida en  región  occipital  lateral  izquierdo.</w:t>
        <w:br/>
        <w:t>Trayecto de derecha a izquierda y de adelante hacia atrás”.</w:t>
        <w:br/>
        <w:br/>
        <w:t>[76]                                                                    Cfr.</w:t>
        <w:br/>
        <w:t>Informe preliminar de experticia médico legal de Jacqueline  Maxime  rendido</w:t>
        <w:br/>
        <w:t>por el Instituto Regional de Patología  Forense  el  20  de  Junio  de  2000</w:t>
        <w:br/>
        <w:t>(expediente de anexos al informe de fondo, tomo II, folio  1598):  “Presenta</w:t>
        <w:br/>
        <w:t>fractura  de  múltiples  costillas  bilaterales,   enfisema   subcutáneo   y</w:t>
        <w:br/>
        <w:t>hemotorax.  Presenta  escoriaciones  y  equimosis  en   espalda   [ilegible]</w:t>
        <w:br/>
        <w:t>izquierda y región lateral izquierda del abdomen”.</w:t>
        <w:br/>
        <w:br/>
        <w:t>[77] Cfr. Declaración rendida ante fedatario público por  Joseph  Desravine,</w:t>
        <w:br/>
        <w:t>supra, folio 568; declaración rendida  ante  fedatario  público  por  Sonide</w:t>
        <w:br/>
        <w:t>Nora, supra, folio 571; Informes Preliminares de Experticias Medico  Legales</w:t>
        <w:br/>
        <w:t>del Instituto Regional de Patología Forense de 20 de junio de  2000,  supra,</w:t>
        <w:br/>
        <w:t>folios 1600 a 1613:  Roselene  Thermeus:  “Presenta  orificio  circular  que</w:t>
        <w:br/>
        <w:t>corresponde a orificio de entrada de proyectil de arma de  fuego  en  región</w:t>
        <w:br/>
        <w:t>lumbar media a nivel de columna vertebral. Sin salida, que provoca  fractura</w:t>
        <w:br/>
        <w:t>de vertebras y sección medular. Se recuperaron dos  fragmentos  metálicos  a</w:t>
        <w:br/>
        <w:t>nivel de la columna vertebral”; Pardis Fortilus: “Presenta  un  orificio  de</w:t>
        <w:br/>
        <w:t>entrada de proyectil de arma de fuego en región pectoral  derecho  y  salida</w:t>
        <w:br/>
        <w:t>en región posterior de hombro derecho. Siguiendo  un  trayecto  de  adelante</w:t>
        <w:br/>
        <w:t>hacia atrás, provocando laceración  y  perforación  de  lóbulo  superior  de</w:t>
        <w:br/>
        <w:t>pulmón derecho. Presenta un orificio de entrada en  región  dorsal  de  mano</w:t>
        <w:br/>
        <w:t>derecha y salida  cara  palmar.  Falange  media  dedo  pulgar.  Presenta  un</w:t>
        <w:br/>
        <w:t>orificio entrada en cara interna de antebrazo izquierdo y salida  en  región</w:t>
        <w:br/>
        <w:t>contralateral. Presenta dos heridas irregulares, pequeñas en  tercio  distal</w:t>
        <w:br/>
        <w:t>de muslo derecho. Que llegan hasta planos musculares. En  una  de  ellas  se</w:t>
        <w:br/>
        <w:t>recupero un  fragmento  laminar.  Metálico.  Dorado.  Presenta  un  orificio</w:t>
        <w:br/>
        <w:t>entrada  en  región  vertebro  lumbar  que  provoco  fractura.  Se  recupero</w:t>
        <w:br/>
        <w:t>proyectil  deformado.  Se  estableció   correlación   topográfica   de   las</w:t>
        <w:br/>
        <w:t>perforaciones en vestimenta con las heridas descritas en el tórax”.</w:t>
        <w:br/>
        <w:br/>
        <w:t>[78]                                                                    Cfr.</w:t>
        <w:br/>
        <w:t>Nota  del  Director  de  Inteligencia  de  SEFA  de  18  de  junio  de  2000</w:t>
        <w:br/>
        <w:t>(expediente de anexos al informe de fondo, tomo II, folio  1646)  y  resumen</w:t>
        <w:br/>
        <w:t>de la investigación realizada por la Junta Mixta sobre los hechos  ocurridos</w:t>
        <w:br/>
        <w:t>la madrugada del 18 de junio de 2000, con fecha  de  21  de  junio  de  2000</w:t>
        <w:br/>
        <w:t>(expediente de anexos al informe de fondo, tomo II, folio  1690).  Asimismo,</w:t>
        <w:br/>
        <w:t>Cfr. interrogatorio de Ferison LaGrange Vargas  el  17  de  julio  de  2000,</w:t>
        <w:br/>
        <w:t>supra, folio 2693.</w:t>
        <w:br/>
        <w:br/>
        <w:t>[79]                                                                    Cfr.</w:t>
        <w:br/>
        <w:t>Declaración testimonial de Rose-Marie Petit-Homme, supra, folio 1639.</w:t>
        <w:br/>
        <w:br/>
        <w:t>[80]                                                                    Cfr.</w:t>
        <w:br/>
        <w:t>Certificado médico de Michel Françoise de 23 de junio  de  2000  (expediente</w:t>
        <w:br/>
        <w:t>de anexos del informe de fondo, tomo II, folio 1641); certificado médico  de</w:t>
        <w:br/>
        <w:t>Noclair Florvilien de 9 de julio de 2011 (expediente de  anexos  al  escrito</w:t>
        <w:br/>
        <w:t>de solicitudes y argumentos,  folio  2969);  certificado  médico  de  Joseph</w:t>
        <w:br/>
        <w:t>Desravine (expediente de anexos al  escrito  de  solicitudes  y  argumentos,</w:t>
        <w:br/>
        <w:t>folio 2971); certificado médico de Joseph Pierre (expediente  de  anexos  al</w:t>
        <w:br/>
        <w:t>escrito de solicitudes y argumentos,  folio  2974);  certificado  médico  de</w:t>
        <w:br/>
        <w:t>Renaud Tima (expediente de anexos al escrito de  solicitudes  y  argumentos,</w:t>
        <w:br/>
        <w:t>folio 2976); certificado médico de Selafoi Pierre (expediente de  anexos  al</w:t>
        <w:br/>
        <w:t>escrito de solicitudes y argumentos,  folio  2979);  certificado  médico  de</w:t>
        <w:br/>
        <w:t>Sylvie  Felizor  (expediente  de  anexos  al  escrito   de   solicitudes   y</w:t>
        <w:br/>
        <w:t>argumentos, folio 2980); certificado médico de Josier Maxime (expediente  de</w:t>
        <w:br/>
        <w:t>anexos al escrito de solicitudes y argumentos, folio  2974),  y  declaración</w:t>
        <w:br/>
        <w:t>rendida ante fedatario público por Sonide Nora, supra, folio 572.</w:t>
        <w:br/>
        <w:br/>
        <w:t>[81]                                                                    Cfr.</w:t>
        <w:br/>
        <w:t>Interrogatorios de Johannes Paul Franco Camacho el  18  de  julio  de  2000,</w:t>
        <w:br/>
        <w:t>supra,  folio  1569;  y  el  19  de  junio  de  2000,  supra,  folio   1665;</w:t>
        <w:br/>
        <w:t>interrogatorio de Bernardo de Aza Núñez el  19  de  julio  de  2000,  supra,</w:t>
        <w:br/>
        <w:t>folio 1577; interrogatorio de Wilkins Siri Tejeda el 17 de  julio  de  2000,</w:t>
        <w:br/>
        <w:t>supra, folio 1636; interrogatorios de  Ferison  LaGrange  Vargas  el  19  de</w:t>
        <w:br/>
        <w:t>junio de 2000, supra, folio 1654, y el 17 de julio  de  2000,  supra,  folio</w:t>
        <w:br/>
        <w:t>2692.</w:t>
        <w:br/>
        <w:br/>
        <w:t>[82]                                                                    Cfr.</w:t>
        <w:br/>
        <w:t>Declaración testimonial de  Renaud  Tima,  supra,  folio  1586;  declaración</w:t>
        <w:br/>
        <w:t>testimonial  y  juarada  de  Joseph  Pierre,  supra,  folios  1588  y   564;</w:t>
        <w:br/>
        <w:t>declaración rendida ante fedatario  público  por  Joseph  Desravine,  supra,</w:t>
        <w:br/>
        <w:t>folio 568 y declaración rendida ante  fedatario  público  por  Sonide  Nora,</w:t>
        <w:br/>
        <w:t>supra, folio 571.</w:t>
        <w:br/>
        <w:br/>
        <w:t>[83]                                                                    Cfr.</w:t>
        <w:br/>
        <w:t>Declaración testimonial de Rose Marie Dol, supra,  folio  1585;  declaración</w:t>
        <w:br/>
        <w:t>testimonial de Selafoi Pierre, supra, folio 1587; declaración  rendida  ante</w:t>
        <w:br/>
        <w:t>fedatario público por Joseph Pierre, supra, folio 565;  declaración  rendida</w:t>
        <w:br/>
        <w:t>ante fedatario público por Joseph Desravine, supra, folio 568 y  declaración</w:t>
        <w:br/>
        <w:t>rendida ante fedatario público por Sonide Nora, supra, folio 572.</w:t>
        <w:br/>
        <w:br/>
        <w:t>[84]                                                                    Cfr.</w:t>
        <w:br/>
        <w:t>Declaración rendida ante fedatario  público  por  Joseph  Desravine,  supra,</w:t>
        <w:br/>
        <w:t>folio 569; declaración rendida  ante  fedatario  público  por  Sonide  Nora,</w:t>
        <w:br/>
        <w:t>supra, folio 572), y declaraciones rendidas por Noclair Florvilien y  Josier</w:t>
        <w:br/>
        <w:t>Maxime durante la Audiencia Pública.</w:t>
        <w:br/>
        <w:br/>
        <w:t>[85] Cfr. Nota del Comandante del 10 Batallón de Infantería de 18  de  junio</w:t>
        <w:br/>
        <w:t>de 2000, supra, folio 846; declaración rendida ante  fedatario  público  por</w:t>
        <w:br/>
        <w:t>Joseph Desravine, supra, folio  569;  declaración  de  Sonide  Nora,  supra,</w:t>
        <w:br/>
        <w:t>folio 572; declaraciones rendidas por Noclair  Florvilien  y  Josier  Maxime</w:t>
        <w:br/>
        <w:t>durante la Audiencia Pública, y certificado médico de  Michel  Françoise  de</w:t>
        <w:br/>
        <w:t>23 de junio de 2000 , supra, folio 1641.</w:t>
        <w:br/>
        <w:br/>
        <w:t>[86]                                                                      Al</w:t>
        <w:br/>
        <w:t>respecto, el Director General del Hospital, Ronaldo Baéz García, afirmó  que</w:t>
        <w:br/>
        <w:t>“[los] ciudadanos haitianos no fueron recibidos ni atendidos en [el]  Centro</w:t>
        <w:br/>
        <w:t>Hospitalario”. Nota del Director General  del  Hospital  Jose  Maria  Cabral</w:t>
        <w:br/>
        <w:t>Báez, con fecha de 11 de julio de 2012 (expediente de anexos a los  alegatos</w:t>
        <w:br/>
        <w:t>finales del Estado, folio 4107.1.  Asimismo,  ver  declaración  rendida  por</w:t>
        <w:br/>
        <w:t>Noclair Florvilien durante la Audiencia Pública.</w:t>
        <w:br/>
        <w:br/>
        <w:t>[87]                                                                    Cfr.</w:t>
        <w:br/>
        <w:t>Nota de prensa aparecida en el Diario el Siglo  de  20  de  junio  de  2000,</w:t>
        <w:br/>
        <w:t>titulada “Haitianos acribillados vivían en el país; los sepultan en  Gurabo”</w:t>
        <w:br/>
        <w:t>(expediente de anexos al informe de fondo, tomo II, folio 1630)  y  nota  de</w:t>
        <w:br/>
        <w:t>prensa aparecida en el Diario  Le  Nouvelliste  de  22  de  junio  de  2000,</w:t>
        <w:br/>
        <w:t>titulada “Inhumation des 6 haitianes tués” (expediente de anexos al  escrito</w:t>
        <w:br/>
        <w:t>de solicitudes y argumentos, folios 3194 y  3195).  Al  respecto,  la  Corte</w:t>
        <w:br/>
        <w:t>observa que el Estado presentó documentos  en  los  cuales  autoridades  del</w:t>
        <w:br/>
        <w:t>área de salud manifestaron ignorar el destino final de dichos cuerpos.  Cfr.</w:t>
        <w:br/>
        <w:t>Notas del  Director  General  del  Hospital  Jose  Maria  Cabral  Báez,  del</w:t>
        <w:br/>
        <w:t>Director del Instituto Nacional de Ciencias  Forenses  y  de  los  Servicios</w:t>
        <w:br/>
        <w:t>Especializados de Salud del Ministerio de Salud, con fechas de 11,  5  y  12</w:t>
        <w:br/>
        <w:t>de julio de 2012, respectivamente  (expediente  de  anexos  a  los  alegatos</w:t>
        <w:br/>
        <w:t>finales del Estado, folios 4107.1 a 4107.22).</w:t>
        <w:br/>
        <w:br/>
        <w:t>[88]                                                                    Cfr.</w:t>
        <w:br/>
        <w:t>Declaración rendida ante fedatario público por  Sonide  Nora,  supra,  folio</w:t>
        <w:br/>
        <w:t>572; evaluación psicológica del señor  Vivandieu  Dorzema,  emitida  por  el</w:t>
        <w:br/>
        <w:t>psicólogo Jean Evenson Lizaire ante notario público el día 24 de febrero  de</w:t>
        <w:br/>
        <w:t>2011 (expediente de anexos al escrito de solicitudes y argumentos,  tomo  V,</w:t>
        <w:br/>
        <w:t>folio 2995). Asimismo, ver certificaciones  de  enterramiento  emitidas  los</w:t>
        <w:br/>
        <w:t>días 13 y 19 de julio de 2012, respecto de Fritz  Alce,  Roselene  Thermeus,</w:t>
        <w:br/>
        <w:t>Ilfaudia Dorzema, Nadege Dorzema y Jacqueline Maxime (expediente  de  anexos</w:t>
        <w:br/>
        <w:t>a los alegatos finales escritos de los representantes, tomo II, folios  4738</w:t>
        <w:br/>
        <w:t>y 4739).</w:t>
        <w:br/>
        <w:br/>
        <w:t>[89]                                                                Informes</w:t>
        <w:br/>
        <w:t>Preliminares  de  Experticias  Medico  Legales  del  Instituto  Regional  de</w:t>
        <w:br/>
        <w:t>Patología Forense de 20 de junio de 2000, supra, folios 1598 a 1613.</w:t>
        <w:br/>
        <w:br/>
        <w:t>[90]                                                                    Cfr.</w:t>
        <w:br/>
        <w:t>Nota del Director de Inteligencia de SEFA de 18 de  junio  de  2000,  supra,</w:t>
        <w:br/>
        <w:t>folio 1646, y nota del Comandante del 10 Batallón de  Infantería  de  18  de</w:t>
        <w:br/>
        <w:t>junio de 2000, supra, folio 846.</w:t>
        <w:br/>
        <w:br/>
        <w:t>[91]                                                                    Crf.</w:t>
        <w:br/>
        <w:t>Declaración testimonial de Sylvie Felizor, supra,  folio  1584;  declaración</w:t>
        <w:br/>
        <w:t>testimonial de Rose Marie Dol, supra, folio  1585;  declaración  testimonial</w:t>
        <w:br/>
        <w:t>de Selafoi Pierre, supra, folio  1587;  declaración  testimonial  de  Joseph</w:t>
        <w:br/>
        <w:t>Pierre, supra, folio 1588;  declaración  testimonial  de  Rose-Marie  Petit-</w:t>
        <w:br/>
        <w:t>Homme, supra, folio 1639; declaración rendida  ante  fedatario  público  por</w:t>
        <w:br/>
        <w:t>Joseph Pierre, supra, folios 565. Sin embargo, de acuerdo con una  Nota  del</w:t>
        <w:br/>
        <w:t>Comandante del 10 Batallón de  Infantería  de  18  de  junio  de  2000,  las</w:t>
        <w:br/>
        <w:t>personas detenidas fueron enviadas a la oficina de migración  de  la  ciudad</w:t>
        <w:br/>
        <w:t>de Dajabón, para luego ser devueltos a su territorio, supra, folio 846.</w:t>
        <w:br/>
        <w:br/>
        <w:t>[92]                                                                 De   la</w:t>
        <w:br/>
        <w:t>prueba aportada en el expediente, la Corte observa que Sonide Nora y  Josier</w:t>
        <w:br/>
        <w:t>Maxime, quienes  fueron  hospitalizados,  posteriormente  fueron  expulsados</w:t>
        <w:br/>
        <w:t>juntamente con las personas que estuvieron detenidas en el  cuartel  militar</w:t>
        <w:br/>
        <w:t>de Dajabón. Por otra parte, la Corte no tiene información sobre lo  sucedido</w:t>
        <w:br/>
        <w:t>con  los  señores  Alphonse  Oremis  y  Honorio  Winique.  Cfr.  Declaración</w:t>
        <w:br/>
        <w:t>testimonial de Sylvie Felizor, supra, folio  1584;  declaración  testimonial</w:t>
        <w:br/>
        <w:t>de Rose Marie Dol, supra, folio  1585;  declaración  testimonial  de  Renaud</w:t>
        <w:br/>
        <w:t>Tima, supra, folio 1586; declaración testimonial de Selafoi  Pierre,  supra,</w:t>
        <w:br/>
        <w:t>folio 1587; declaración testimonial de Joseph  Pierre,  supra,  folio  1588;</w:t>
        <w:br/>
        <w:t>declaración  testimonial  de  Rose-Marie  Petit-Homme,  supra,  folio  1639,</w:t>
        <w:br/>
        <w:t>declaración rendida ante fedatario público por Joseph Pierre,  supra,  folio</w:t>
        <w:br/>
        <w:t>565; declaración rendida ante fedatario  público  por  Sonide  Nora,  supra,</w:t>
        <w:br/>
        <w:t>folio 572, y declaración rendida por  Josier  Maxime  durante  la  audiencia</w:t>
        <w:br/>
        <w:t>pública. Asimismo, no fue aportada  prueba  en  el  expediente  de  que  los</w:t>
        <w:br/>
        <w:t>señores  Winique  Honorio  y  Alphonse  Oremis  hayan  sido  detenidos   y/o</w:t>
        <w:br/>
        <w:t>expulsados de República Dominicana.</w:t>
        <w:br/>
        <w:br/>
        <w:t>[93]                                                                    Cfr.</w:t>
        <w:br/>
        <w:t>Declaración rendida ante fedatario público por Joseph Pierre,  supra,  folio</w:t>
        <w:br/>
        <w:t>565; declaración  rendida  ante  fedatario  público  por  Joseph  Desravine,</w:t>
        <w:br/>
        <w:t>supra, folio 569 y declaración rendida ante  fedatario  público  por  Sonide</w:t>
        <w:br/>
        <w:t>Nora, supra, folio 572.</w:t>
        <w:br/>
        <w:br/>
        <w:t>[94]                                                                    Cfr.</w:t>
        <w:br/>
        <w:t>Declaración rendida ante fedatario público por Joseph Pierre,  supra,  folio</w:t>
        <w:br/>
        <w:t>565. Con respecto a la detención del conductor del camión,  la  Corte  tiene</w:t>
        <w:br/>
        <w:t>conocimiento de que el señor Núñez Peña fue enviado al Departamento  J-2  de</w:t>
        <w:br/>
        <w:t>la Secretaria de Estado de las Fuerzas Armadas para fines de  investigación.</w:t>
        <w:br/>
        <w:t>Ver Nota del Comandante del 10 Batallón de Infantería  de  18  de  junio  de</w:t>
        <w:br/>
        <w:t>2000, supra, folio 846.</w:t>
        <w:br/>
        <w:br/>
        <w:t>[95]                                                                    Cfr.</w:t>
        <w:br/>
        <w:t>Informe de la Junta Mixta de Oficiales Generales de las Fuerzas  Armadas  de</w:t>
        <w:br/>
        <w:t>23 de junio de 2000 (expediente de trámite ante la Comision, tomo II,  folio</w:t>
        <w:br/>
        <w:t>837).</w:t>
        <w:br/>
        <w:br/>
        <w:t>[96]                                                                    Cfr.</w:t>
        <w:br/>
        <w:t>Informe de la Junta Mixta de Oficiales Generales  de  las  Fuerzas  Armadas,</w:t>
        <w:br/>
        <w:t>supra, folio 841.</w:t>
        <w:br/>
        <w:br/>
        <w:t>[97]                                                                    Cfr.</w:t>
        <w:br/>
        <w:t>Auto Introductivo No. 15/2000 de  la  Fiscalía  del  Consejo  de  Guerra  de</w:t>
        <w:br/>
        <w:t>Primera Instancia Mixto de las Fuerzas Armadas y la Policía Nacional  de  14</w:t>
        <w:br/>
        <w:t>de julio de 2000 (expediente de trámite ante la  Comisión,  tomo  II,  folio</w:t>
        <w:br/>
        <w:t>831). Asimismo, Código Penal de República Dominicana:</w:t>
        <w:br/>
        <w:br/>
        <w:t xml:space="preserve">  Articulo 295.- El que  voluntariamente  mata  a  otro,  se  hace  reo  de</w:t>
        <w:br/>
        <w:t xml:space="preserve">  homicidio.</w:t>
        <w:br/>
        <w:br/>
        <w:t xml:space="preserve">  Artículo 304.- El homicidio se castigará con la pena de treinta  años  de</w:t>
        <w:br/>
        <w:t xml:space="preserve">  trabajos públicos, cuando su  comisión  preceda,  acompañe  o  siga  otro</w:t>
        <w:br/>
        <w:t xml:space="preserve">  crimen. Igual pena se impondrá cuando haya tenido  por  objeto  preparar,</w:t>
        <w:br/>
        <w:t xml:space="preserve">  facilitar o ejecutar un delito, o favorecer la  fuga  de  los  autores  o</w:t>
        <w:br/>
        <w:t xml:space="preserve">  cómplices de ese delito, o asegurar su impunidad. […] El artículo 463  de</w:t>
        <w:br/>
        <w:t xml:space="preserve">  este Código no tiene aplicación a los crímenes previstos en este párrafo;</w:t>
        <w:br/>
        <w:t xml:space="preserve">  y sí son aplicables a éstos las disposiciones de los artículos 107 y 108.</w:t>
        <w:br/>
        <w:t xml:space="preserve">  Párrafo II.- En cualquier  otro  caso,  el  culpable  de  homicidio  será</w:t>
        <w:br/>
        <w:t xml:space="preserve">  castigado con la pena de trabajos públicos.</w:t>
        <w:br/>
        <w:br/>
        <w:t xml:space="preserve">  Articulo 309.- El que  voluntariamente  infiere  heridas,  diere  golpes,</w:t>
        <w:br/>
        <w:t xml:space="preserve">  cometiere actos de violencia o vías de hecho, si de  ellos  resultare  al</w:t>
        <w:br/>
        <w:t xml:space="preserve">  agraviado(a) una enfermedad  o  imposibilidad  de  dedicarse  al  trabajo</w:t>
        <w:br/>
        <w:t xml:space="preserve">  durante más de veinte días, será castigado(a) con la pena de  prisión  de</w:t>
        <w:br/>
        <w:t xml:space="preserve">  seis meses o dos años, y multa de quinientos a  cinco  mil  pesos.  Podrá</w:t>
        <w:br/>
        <w:t xml:space="preserve">  además condenársele a la privación de  los  derechos  mencionados  en  el</w:t>
        <w:br/>
        <w:t xml:space="preserve">  artículo 42, durante un año a lo menos, y cinco  a  lo  más.  Cuando  las</w:t>
        <w:br/>
        <w:t xml:space="preserve">  violencias arriba expresadas hayan  producido  mutilación,  amputación  o</w:t>
        <w:br/>
        <w:t xml:space="preserve">  privación del uso de un miembro, pérdida de la vista, de un ojo, u  otras</w:t>
        <w:br/>
        <w:t xml:space="preserve">  discapacidades, se impondrá al culpable la  pena  de  reclusión.  Si  las</w:t>
        <w:br/>
        <w:t xml:space="preserve">  heridas o los golpes inferidos voluntariamente han ocasionado  la  muerte</w:t>
        <w:br/>
        <w:t xml:space="preserve">  del agraviado(a), la pena será de reclusión, aún cuando la intención  del</w:t>
        <w:br/>
        <w:t xml:space="preserve">  agresor(a) no haya sido causar la muerte de aquél.</w:t>
        <w:br/>
        <w:br/>
        <w:t>[98]                                                                    Cfr.</w:t>
        <w:br/>
        <w:t>Orden de prisión No. 022-2000 de  la  Fiscalía  del  Consejo  de  Guerra  de</w:t>
        <w:br/>
        <w:t>Primera Instancia Mixto de las Fuerzas Armadas y la Policía Nacional  de  14</w:t>
        <w:br/>
        <w:t>de julio de 2000 (expediente de anexos al informe de fondo,  tomo  I,  folio</w:t>
        <w:br/>
        <w:t>832).</w:t>
        <w:br/>
        <w:br/>
        <w:t>[99]                                                                    Cfr.</w:t>
        <w:br/>
        <w:t>Auto de requerimiento definitivo No. 13(2000)  del  Fiscal  del  Consejo  de</w:t>
        <w:br/>
        <w:t>Guerra de Primera Instancia Mixto  de  las  Fuerzas  Armadas  y  la  Policía</w:t>
        <w:br/>
        <w:t>Nacional de 21 de julio de 2000 (expediente de anexos al informe  de  fondo,</w:t>
        <w:br/>
        <w:t>tomo II, folio 826).</w:t>
        <w:br/>
        <w:br/>
        <w:t>[100]                                                                   Cfr.</w:t>
        <w:br/>
        <w:t>Auto de apertura de proceso penal proferido por el  Juzgado  de  Instrucción</w:t>
        <w:br/>
        <w:t>del Consejo de Guerra de Primera Instancia Mixto de las  Fuerzas  Armadas  y</w:t>
        <w:br/>
        <w:t>de la Policía Nacional de 21 de julio de  2000.  (expediente  de  anexos  al</w:t>
        <w:br/>
        <w:t>informe de fondo, tomo I, folio 828).</w:t>
        <w:br/>
        <w:br/>
        <w:t>[101]                                                                   Cfr.</w:t>
        <w:br/>
        <w:t>Providencia Calificativa del Juzgado de Instrucción del  Consejo  de  Guerra</w:t>
        <w:br/>
        <w:t>de Primera Instancia Mixto de las Fuerzas Armadas y la Policía  Nacional  de</w:t>
        <w:br/>
        <w:t>24 de julio de 2000 (expediente  de  anexos  al  escrito  de  solicitudes  y</w:t>
        <w:br/>
        <w:t>argumentos, tomo V, folio 2756). Este  auto  indica  a  los  militares  como</w:t>
        <w:br/>
        <w:t>inculpados de violar los artículos 295 y 304, párrafo  segundo,  del  Código</w:t>
        <w:br/>
        <w:t>Penal Dominicano, y no así del  artículo  309  como  propuesto  en  el  Auto</w:t>
        <w:br/>
        <w:t>Introductivo de la Fiscalía No. 15/2000. Asimismo, el  auto  también  ordenó</w:t>
        <w:br/>
        <w:t>que el mandamiento de prisión contra  los  cuatro  militares  conservara  su</w:t>
        <w:br/>
        <w:t>fuerza ejecutoria hasta tanto sobre  los  mismos  intervenga  una  sentencia</w:t>
        <w:br/>
        <w:t>definitiva.</w:t>
        <w:br/>
        <w:br/>
        <w:t>[102]                                                                   Cfr.</w:t>
        <w:br/>
        <w:t>Acta de Acusación No. 07 de  2000  del  Fiscal  del  Consejo  de  Guerra  de</w:t>
        <w:br/>
        <w:t>Primera Instancia Mixto de las Fuerzas Armadas y la Policía Nacional  de  28</w:t>
        <w:br/>
        <w:t>de julio de 2000 (expediente de anexos al informe de fondo,  tomo  I,  folio</w:t>
        <w:br/>
        <w:t>1722).</w:t>
        <w:br/>
        <w:br/>
        <w:t>[103]                                                                   Cfr.</w:t>
        <w:br/>
        <w:t>Fallo del Consejo de Guerra  de  Primera  Instancia  Mixto  de  las  Fuerzas</w:t>
        <w:br/>
        <w:t>Armadas y de la Policía Nacional de fecha 5 de marzo de 2004 (expediente  de</w:t>
        <w:br/>
        <w:t>anexos al informe de fondo, tomo II, folio 815).</w:t>
        <w:br/>
        <w:br/>
        <w:t>[104]                                                                   Cfr.</w:t>
        <w:br/>
        <w:t>Certificaciones de recursos de apelación de  Santiago  Florentino  Castilla,</w:t>
        <w:br/>
        <w:t>Bernardo Aza Núñez y Ferison Lagrange contra la  sentencia  condenatoria  de</w:t>
        <w:br/>
        <w:t>fecha 5 de marzo de 2004. (expediente de anexos al informe  de  fondo,  tomo</w:t>
        <w:br/>
        <w:t>II, folios 816 a 818).</w:t>
        <w:br/>
        <w:br/>
        <w:t>[105]                                                              El  Fallo</w:t>
        <w:br/>
        <w:t>no contiene fecha, pero el Estado, en sus alegatos finales escritos,  afirmó</w:t>
        <w:br/>
        <w:t>que dicho Fallo fue emitido el 27 de mayo  de  2005  (expediente  de  fondo,</w:t>
        <w:br/>
        <w:t>folio 918).</w:t>
        <w:br/>
        <w:br/>
        <w:t>[106]                                                                   Cfr.</w:t>
        <w:br/>
        <w:t>Fallo del Consejo de Guerra de Apelación Mixto de las Fuerzas Armadas  y  la</w:t>
        <w:br/>
        <w:t>Policía  Nacional  (expediente  de  anexos  al  escrito  de  solicitudes   y</w:t>
        <w:br/>
        <w:t>argumentos, tomo V, folio 2736). Asimismo,  los  artículos  321  y  327  del</w:t>
        <w:br/>
        <w:t>Código Penal de República Dominicana vigentes  al  momento  de  la  referida</w:t>
        <w:br/>
        <w:t>decisión, disponían lo siguiente:</w:t>
        <w:br/>
        <w:br/>
        <w:t xml:space="preserve">  Artículo 321.- El homicidio, las heridas y los golpes son excusables,  si</w:t>
        <w:br/>
        <w:t xml:space="preserve">  de parte del ofendido han precedido inmediatamente provocación,  amenazas</w:t>
        <w:br/>
        <w:t xml:space="preserve">  o violencias graves.</w:t>
        <w:br/>
        <w:br/>
        <w:t xml:space="preserve">  Articulo 327. (Derogado por la Ley 24-97 del 28 de  enero  de  1997  G.O.</w:t>
        <w:br/>
        <w:t xml:space="preserve">  9945).                           [Disponible                           en</w:t>
        <w:br/>
        <w:t xml:space="preserve">  http://www.suprema.gov.do/PDF_2/codigos/Codigo_Penal.pdf (última consulta</w:t>
        <w:br/>
        <w:t xml:space="preserve">  el 20 de octubre de 2012)]</w:t>
        <w:br/>
        <w:br/>
        <w:t>[107]                                                                   Cfr.</w:t>
        <w:br/>
        <w:t>Formal presentación de querella con constitución en parte  civil  presentada</w:t>
        <w:br/>
        <w:t>ante el Juzgado de Instrucción del Distrito Judicial de  Montecristi  de  30</w:t>
        <w:br/>
        <w:t>de septiembre de 2002 (expediente de anexos  al  escrito  de  solicitudes  y</w:t>
        <w:br/>
        <w:t>argumentos, tomo V, folios 2761 a 2766)</w:t>
        <w:br/>
        <w:br/>
        <w:t>[108]                                                                   Cfr.</w:t>
        <w:br/>
        <w:t>Solicitud de Designación de  Jueces  para  el  conocimiento  de  demanda  de</w:t>
        <w:br/>
        <w:t>conflicto positivo de jurisdicción de 12 de marzo  de  2003  (expediente  de</w:t>
        <w:br/>
        <w:t>anexos al escrito de solicitudes y argumentos, tomo V, folios 2741 a 2747).</w:t>
        <w:br/>
        <w:br/>
        <w:t>[109]                                                                   Cfr.</w:t>
        <w:br/>
        <w:t>Resolución No.  25-2005  de  la  Suprema  Corte  de  Justicia  de  Republica</w:t>
        <w:br/>
        <w:t>Dominicana (expediente de anexos al informe de fondo, tomo I, folios  627  a</w:t>
        <w:br/>
        <w:t>630.</w:t>
        <w:br/>
        <w:br/>
        <w:t>[110]                                                                Escrito</w:t>
        <w:br/>
        <w:t>de alegatos finales escritos del Estado (expediente de fondo, folio 919).</w:t>
        <w:br/>
        <w:br/>
        <w:t>[111]                                                                   Cfr.</w:t>
        <w:br/>
        <w:t>Caso de los “Niños de la Calle” (Villagrán Morales y otros)  Vs.  Guatemala.</w:t>
        <w:br/>
        <w:t>Fondo. Sentencia de 19 de noviembre de 1999. Serie C No. 63,  párr.  144,  y</w:t>
        <w:br/>
        <w:t>Caso Uzcátegui y otros Vs. Venezuela, supra, párr. 132.</w:t>
        <w:br/>
        <w:br/>
        <w:t>[112]                                                                   Cfr.</w:t>
        <w:br/>
        <w:t>Caso Zambrano Vélez y otros  Vs.  Ecuador.  Fondo,  Reparaciones  y  Costas.</w:t>
        <w:br/>
        <w:t>Sentencia de 4 de julio de 2007. Serie C No. 166, párrs. 67 y  ss.,  y  Caso</w:t>
        <w:br/>
        <w:t>Uzcátegui y otros Vs. Venezuela, supra, párr. 132.</w:t>
        <w:br/>
        <w:br/>
        <w:t>[113] Principios básicos sobre el empleo de la fuerza  y  de  las  armas  de</w:t>
        <w:br/>
        <w:t>fuego por los funcionarios encargados de cumplir la ley.  Adoptados  por  el</w:t>
        <w:br/>
        <w:t>Octavo Congreso de  las  Naciones  Unidas  sobre  Prevención  del  Delito  y</w:t>
        <w:br/>
        <w:t>Tratamiento del Delincuente celebrado en La Habana, Cuba, del 27  de  agosto</w:t>
        <w:br/>
        <w:t>al 7 de septiembre de 1990; Código de conducta para funcionarios  encargados</w:t>
        <w:br/>
        <w:t>de hacer cumplir la ley, aprobado por la Asamblea General  de  las  Naciones</w:t>
        <w:br/>
        <w:t>Unidas en su resolución 34/169, de 17 de diciembre de 1979.</w:t>
        <w:br/>
        <w:br/>
        <w:t>[114]                                                                   Cfr.</w:t>
        <w:br/>
        <w:t>Principios sobre el empleo de la fuerza. Princípios No. 5, 6, 7, 11,  inciso</w:t>
        <w:br/>
        <w:t>f), 22 y 23 y Código de conducta. Artículos 1 a 8.</w:t>
        <w:br/>
        <w:br/>
        <w:t>[115]                                                                   Cfr.</w:t>
        <w:br/>
        <w:t>Audiencia Pública del presente caso  celebrada  el  21  de  junio  de  2012,</w:t>
        <w:br/>
        <w:t>supra.</w:t>
        <w:br/>
        <w:br/>
        <w:t>[116]                                                               Ley  que</w:t>
        <w:br/>
        <w:t>crea el Código de Justicia de las Fuerzas armadas, No.  3483,  publicada  en</w:t>
        <w:br/>
        <w:t>la Gaceta Oficial del 6 de  marzo  de  1953  (expediente  de  anexos  a  los</w:t>
        <w:br/>
        <w:t>alegatos finales del Estado, tomo VII,  folio  4054  -  4107)  y  Reglamento</w:t>
        <w:br/>
        <w:t>Militar de las Fuerzas Armadas (expediente de anexos a los alegatos  finales</w:t>
        <w:br/>
        <w:t>del Estado, tomo VII, folio 3927 - 3954).</w:t>
        <w:br/>
        <w:br/>
        <w:t>[117]                                                                   Cfr.</w:t>
        <w:br/>
        <w:t>Caso Montero Aranguren y Otros,  (Reten  de  Catia)  Vs.  Venezuela.  Fondo,</w:t>
        <w:br/>
        <w:t>Reparaciones y Costas. Sentencia de 5 de julio de 2006.  Serie  C  No.  150,</w:t>
        <w:br/>
        <w:t>párr. 66, y Caso Familia Barrios Vs. Venezuela, supra, párr. 49.</w:t>
        <w:br/>
        <w:br/>
        <w:t>[118]                                                                   Cfr.</w:t>
        <w:br/>
        <w:t>Caso Montero Aranguren y Otros,  (Reten  de  Catia)  Vs.  Venezuela,  supra,</w:t>
        <w:br/>
        <w:t>párr. 75, y Caso Familia Barrios Vs. Venezuela, supra, párr. 49.</w:t>
        <w:br/>
        <w:br/>
        <w:t>[119]                                                                   Cfr.</w:t>
        <w:br/>
        <w:t>Principios sobre el empleo de la fuerza, Principio No. 2.</w:t>
        <w:br/>
        <w:br/>
        <w:t>[120]                                                                   Cfr.</w:t>
        <w:br/>
        <w:t>Caso del Caracazo Vs. Venezuela. Reparaciones y Costas. Sentencia de  29  de</w:t>
        <w:br/>
        <w:t>agosto de 2002. Serie C No. 95, párr. 143.1.a, y Caso  Montero  Aranguren  y</w:t>
        <w:br/>
        <w:t>Otros (Reten de Catia) Vs. Venezuela, supra, párr.  78.  Ver  también  TEDH,</w:t>
        <w:br/>
        <w:t>Caso McCann y Otros Vs. Reino Unido. No. 18984/91. Gran Sala. Sentencia.  27</w:t>
        <w:br/>
        <w:t>de septiembre de 1995, párr. 151, y TEDH, Caso  Kakoulli  Vs.  Turquía.  No.</w:t>
        <w:br/>
        <w:t>385/97. Sección cuarta. Sentencia, 22 de noviembre de  2005,  párrs.  109  y</w:t>
        <w:br/>
        <w:t>110.</w:t>
        <w:br/>
        <w:br/>
        <w:t>[121] En  relación  con  lo  anterior,  a  la  luz  del  artículo  2  de  la</w:t>
        <w:br/>
        <w:t>Convención, la Corte ha señalado que “[e]l deber general [derivado  de  este</w:t>
        <w:br/>
        <w:t>artículo] implica la adopción de medidas en dos vertientes. Por  una  parte,</w:t>
        <w:br/>
        <w:t>la supresión de las normas y prácticas de cualquier naturaleza que  entrañen</w:t>
        <w:br/>
        <w:t>violación a las garantías previstas  en  la  Convención.  Por  la  otra,  la</w:t>
        <w:br/>
        <w:t>expedición de normas y el desarrollo de prácticas conducentes a la  efectiva</w:t>
        <w:br/>
        <w:t>observancia de dichas garantías”.</w:t>
        <w:br/>
        <w:br/>
        <w:t>[122]                                                                   Cfr.</w:t>
        <w:br/>
        <w:t>Interrogatorio de Johannes Paul Franco Camacho  el  18  de  julio  de  2000,</w:t>
        <w:br/>
        <w:t>supra, folio 1569.</w:t>
        <w:br/>
        <w:br/>
        <w:br/>
        <w:t>[123]                                                                   Cfr.</w:t>
        <w:br/>
        <w:t>Principios sobre el empleo de la fuerza, Principio No. 9.</w:t>
        <w:br/>
        <w:br/>
        <w:t>[124]                                                                   Cfr.</w:t>
        <w:br/>
        <w:t>Principios sobre el empleo de la fuerza, Principios No. 1, 7, 8 y 11.</w:t>
        <w:br/>
        <w:br/>
        <w:t>[125]                                                                   Cfr.</w:t>
        <w:br/>
        <w:t>Principios sobre el empleo de la fuerza, Principio No. 4.</w:t>
        <w:br/>
        <w:br/>
        <w:t>[126]                                                                   Cfr.</w:t>
        <w:br/>
        <w:t>TEDH, Caso Kakoulli Vs. Turquía, supra, párr. 108.</w:t>
        <w:br/>
        <w:br/>
        <w:t>[127]                                                                   Cfr.</w:t>
        <w:br/>
        <w:t>Principios sobre el empleo de la fuerza, Principios No. 5 y 9.</w:t>
        <w:br/>
        <w:br/>
        <w:t>[128]                                                                   Cfr.</w:t>
        <w:br/>
        <w:t>Principios sobre el empleo de la fuerza, Principios No. 2, 4, 5 y 9.</w:t>
        <w:br/>
        <w:br/>
        <w:t>[129]                                                                   Cfr.</w:t>
        <w:br/>
        <w:t>Caso Montero Aranguren y  otros  (Reten  de  Catia)  Vs.  Venezuela,  supra,</w:t>
        <w:br/>
        <w:t>párrs. 67 y 68. En el mismo sentido ver  TEDH.  McCann  y  Otros  vs.  Reino</w:t>
        <w:br/>
        <w:t>Unido, supra, párr. 150  y  Erdogan  y  otros  vs.  Turquía,  No.  19807/02.</w:t>
        <w:br/>
        <w:t>Sección cuarta. 13 de septiembre de 2006, párr. 68.</w:t>
        <w:br/>
        <w:br/>
        <w:t>[130]                                                               A   modo</w:t>
        <w:br/>
        <w:t>de ejemplo, se observan  las  siguientes  regulaciones:  Ley  29166,  de  la</w:t>
        <w:br/>
        <w:t>República del Perú, denominada “Ley que establece reglas  de  empleo  de  la</w:t>
        <w:br/>
        <w:t>fuerza por parte del personal  de  las  Fuerzas  Armadas  en  el  territorio</w:t>
        <w:br/>
        <w:t>nacional” y la “Ley que regula el  uso  de  la  fuerza  de  los  cuerpos  de</w:t>
        <w:br/>
        <w:t>seguridad pública del Distrito Federal”, de los  Estados  Unidos  Mexicanos.</w:t>
        <w:br/>
        <w:t>Asimismo, se pueden observar el “Manual de Normas y Procedimientos  del  Uso</w:t>
        <w:br/>
        <w:t>Progresivo  y  Diferenciado  de  la  Fuerza  Policial”   de   la   República</w:t>
        <w:br/>
        <w:t>Bolivariana de Venezuela; “A National Use of Force Framework” de  Canadá;  y</w:t>
        <w:br/>
        <w:t>el “Use of Force by Seattle Police  Officers”,  de  los  Estados  Unidos  de</w:t>
        <w:br/>
        <w:t>América.</w:t>
        <w:br/>
        <w:br/>
        <w:t>[131]                                                                   Cfr.</w:t>
        <w:br/>
        <w:t>Acta de envío de vehículo de fecha  29  de  marzo  de  2000  (expediente  de</w:t>
        <w:br/>
        <w:t>anexos al informe de fondo, tomo I, folios 848 y 849).</w:t>
        <w:br/>
        <w:br/>
        <w:t>[132]                                                                   Cfr.</w:t>
        <w:br/>
        <w:t>Caso Zambrano Vélez Vs. Ecuador. Fondo, Reparaciones y Costas. Sentencia  de</w:t>
        <w:br/>
        <w:t>4 de julio de 2007. Serie C No. 166, párr. 108, y Caso Montero  Aranguren  y</w:t>
        <w:br/>
        <w:t>otros (Retén de Catia) Vs. Venezuela, supra, párr. 80.</w:t>
        <w:br/>
        <w:br/>
        <w:t>[133]                                                                   Cfr.</w:t>
        <w:br/>
        <w:t>TEDH. Caso Makaratzis Vs.  Grecia.  Sentencia,  20  de  diciembre  de  2004,</w:t>
        <w:br/>
        <w:t>párrs. 66 a 70.</w:t>
        <w:br/>
        <w:br/>
        <w:br/>
        <w:t>[134]</w:t>
        <w:br/>
        <w:t>Principios sobre el empleo de la fuerza, Principios No. 4 y 9.</w:t>
        <w:br/>
        <w:br/>
        <w:t>[135]                                                                   Cfr.</w:t>
        <w:br/>
        <w:t>Caso Familia Barrios Vs. Venezuela, supra, párr. 49.</w:t>
        <w:br/>
        <w:br/>
        <w:t>[136]                                                                   Cfr.</w:t>
        <w:br/>
        <w:t>Informes Preliminares de Experticias Medico Legales del  Instituto  Regional</w:t>
        <w:br/>
        <w:t>de Patología Forense de 20 de junio de 2000, supra, folios 1600 a 1613.</w:t>
        <w:br/>
        <w:br/>
        <w:t>[137]                                                                   Cfr.</w:t>
        <w:br/>
        <w:t>Informe del Relator Especial sobre Ejecuciones Extrajudiciales,  Sumarias  o</w:t>
        <w:br/>
        <w:t>Arbitrarias. UN Doc. A/66/330. 30 de agosto de 2011, párrs. 66 y 67.</w:t>
        <w:br/>
        <w:br/>
        <w:t>[138] Cfr. Expediente de fondo, folio 925.</w:t>
        <w:br/>
        <w:br/>
        <w:br/>
        <w:br/>
        <w:t>[139]                                                                   Cfr.</w:t>
        <w:br/>
        <w:t>Principios sobre el empleo de la fuerza, Principio No. 5, incisos c) y d).</w:t>
        <w:br/>
        <w:br/>
        <w:t>[140]                                                                   Cfr.</w:t>
        <w:br/>
        <w:t>Principios sobre el empleo de la fuerza, Principios No. 6 y 22.</w:t>
        <w:br/>
        <w:br/>
        <w:t>[141]                                                                   Cfr.</w:t>
        <w:br/>
        <w:t>Caso Montero Aranguren y otros (Retén de Catia) Vs. Venezuela, supra,  párr.</w:t>
        <w:br/>
        <w:t>79, y Caso Zambrano Vélez y otros Vs. Ecuador, supra, párr. 88.</w:t>
        <w:br/>
        <w:br/>
        <w:t>[142]                                                                   Cfr.</w:t>
        <w:br/>
        <w:t>Caso de la Masacre de Pueblo Bello Vs. Colombia. Sentencia de  31  de  enero</w:t>
        <w:br/>
        <w:t>de 2006. Sreie C No.  140,  párr.  142,  y  Caso  González  y  Otras  (Campo</w:t>
        <w:br/>
        <w:t>Algodonero) vs México. Excepción Preliminar, Fondo, Reparaciones  y  Costas.</w:t>
        <w:br/>
        <w:t>Sentencia de 16 de noviembre de 2009. Serie C No. 205, párr. 287.</w:t>
        <w:br/>
        <w:br/>
        <w:t>[143]                                                                   Cfr.</w:t>
        <w:br/>
        <w:t>Caso Ximenes Lopes Vs. Brasil. Fondo, Reparaciones y Costas. Sentencia de  4</w:t>
        <w:br/>
        <w:t>de julio de 2006. Serie C No. 149, párr. 148, y Caso Uzcátegui y  Otros  Vs.</w:t>
        <w:br/>
        <w:t>Venezuela, supra, párr. 226.</w:t>
        <w:br/>
        <w:br/>
        <w:t>[144]                                                                   Cfr.</w:t>
        <w:br/>
        <w:t>Caso Zambrano Vélez y otros Vs. Ecuador, supra, párr.  88,  y  Caso  Familia</w:t>
        <w:br/>
        <w:t>Barrios Vs. Venezuela, supra, párr. 49.</w:t>
        <w:br/>
        <w:br/>
        <w:t>[145] Cfr. Caso  Myrna  Mack  Chang  vs  Guatemala.  Fondo,  Reparaciones  y</w:t>
        <w:br/>
        <w:t>Costas. Sentencia de 25 de noviembre de 2003. Serie C No. 101, párr. 156,  y</w:t>
        <w:br/>
        <w:t>Caso Familia Barrios Vs. Venezuela, supra, párr. 176.</w:t>
        <w:br/>
        <w:br/>
        <w:t>[146]                                                               Caso  de</w:t>
        <w:br/>
        <w:t>la Masacre de Pueblo Bello Vs. Colombia, supra, párr.  145  y  Caso  Radilla</w:t>
        <w:br/>
        <w:t>Pacheco Vs. México. Excepciones Preliminares, Fondo, Reparaciones y  Costas.</w:t>
        <w:br/>
        <w:t>Sentencia de 23 de noviembre de 2009. Serie C No. 209, párr. 216.</w:t>
        <w:br/>
        <w:br/>
        <w:t>[147] “La versión oficial de las fuerzas armadas”, Diario  Ultima  Hora,  19</w:t>
        <w:br/>
        <w:t>de junio de 2000 (expediente de anexos al informe de fondo, tomo II,  folio.</w:t>
        <w:br/>
        <w:t>1590).</w:t>
        <w:br/>
        <w:br/>
        <w:t>[148] “Une patrouille de l’armeé dominicaine a mitraillé un  nouveau  camion</w:t>
        <w:br/>
        <w:t>transportant des sans papiers haïtiens”, diario  digital  Infohaití.com,  19</w:t>
        <w:br/>
        <w:t>de enero  de  2001  (expediente  de  anexos  al  escrito  de  solicitudes  y</w:t>
        <w:br/>
        <w:t>argumentos, tomo V, folio 3146).</w:t>
        <w:br/>
        <w:br/>
        <w:t>[149] “Polémique entre la hiérarchie militaire et  le  chancelier  dominican</w:t>
        <w:br/>
        <w:t>sur la question des illégaux haïtiens”, diario digital Infohaití.com, 27  de</w:t>
        <w:br/>
        <w:t>enero de 2001 (expediente de anexos al escrito de solicitudes y  argumentos,</w:t>
        <w:br/>
        <w:t>tomo V, folio 3139); “Le chancelier dominicain promet des sanctions  severes</w:t>
        <w:br/>
        <w:t>contre ceux qui commettent des exces contre les illégaux  haïtiens”,  diario</w:t>
        <w:br/>
        <w:t>digital Infohaití, 21 de enero de 2001 (expediente de anexos al  escrito  de</w:t>
        <w:br/>
        <w:t>solicitudes y argumentos, tomo  V,  folio  3145),  y  “Bulletin  mensual  d’</w:t>
        <w:br/>
        <w:t>informationes du Comité pour la  reconuaissance  des  droitsdes  travailleur</w:t>
        <w:br/>
        <w:t>haïtiens enRépublique Dominicaine”, 5 de mayo de 2005 (expediente de  anexos</w:t>
        <w:br/>
        <w:t>al escrito de solicitudes y argumentos, tomo VI, folio 3227).</w:t>
        <w:br/>
        <w:br/>
        <w:t>[150]</w:t>
        <w:br/>
        <w:t>Declaración rendida ante fedatario público por Pedro Ureña el  16  de  junio</w:t>
        <w:br/>
        <w:t>de 2012 (expediente de fondo, folio 575).</w:t>
        <w:br/>
        <w:br/>
        <w:t>[151]                                                                  Cfr.</w:t>
        <w:br/>
        <w:t>Caso La Cantuta Vs. Perú. Fondo, Reparaciones y Costas. Sentencia de 29  de</w:t>
        <w:br/>
        <w:t>noviembre de 2006. Serie C No. 162, párr. 157, y  Caso  González  Medina  y</w:t>
        <w:br/>
        <w:t>familiares  Vs.  República  Dominicana.  Excepciones  Preliminares,  Fondo,</w:t>
        <w:br/>
        <w:t>Reparaciones y Costas. Sentencia de 27 de febrero de 2012. Serie C No. 240,</w:t>
        <w:br/>
        <w:t>párr. 220.</w:t>
        <w:br/>
        <w:br/>
        <w:t>[152]                                                                   Cfr.</w:t>
        <w:br/>
        <w:t>Caso Blake Vs. Guatemala. Fondo. Sentencia de 24 de enero de 1998.  Serie  C</w:t>
        <w:br/>
        <w:t>No. 36, párr. 114, y Caso Radilla Pacheco Vs. México, supra, párr. 161.</w:t>
        <w:br/>
        <w:br/>
        <w:t>[153]                                                                   Cfr.</w:t>
        <w:br/>
        <w:t>Caso de la Masacre de Mapiripán Vs. Colombia, supra, párr. 146,  y  Caso  de</w:t>
        <w:br/>
        <w:t>la Masacre de las Dos Erres  Vs.  Guatemala.  Excepción  Preliminar,  Fondo,</w:t>
        <w:br/>
        <w:t>Reparaciones y Costas. Senrencia de 24 de noviembre de  2009.  Serie  C  No.</w:t>
        <w:br/>
        <w:t>211, párr. 206.</w:t>
        <w:br/>
        <w:br/>
        <w:t>[154]                                                                   Cfr.</w:t>
        <w:br/>
        <w:t>Caso Blake Vs. Guatemala, supra, párr. 114, y Caso Masacre de Río Negro  Vs.</w:t>
        <w:br/>
        <w:t>Guatemala, supra, párr. 240.</w:t>
        <w:br/>
        <w:br/>
        <w:t>[155]                                                                   Cfr.</w:t>
        <w:br/>
        <w:t>Caso de la Masacre de Las Dos Erres Vs. Guatemala, supra, párrs. 215 y  217.</w:t>
        <w:br/>
        <w:br/>
        <w:br/>
        <w:t>[156] Por su parte el Estado expresó que conforme a  los  hechos  ocurridos,</w:t>
        <w:br/>
        <w:t>las  autoridades  socorrieron  y   brindaron   auxilio   a   las   víctimas,</w:t>
        <w:br/>
        <w:t>trasladándolas hasta el hospital para que las mismas  recibieran  atenciones</w:t>
        <w:br/>
        <w:t>médicas  gratuitas  y  especializadas  con  el  propósito   de   que   éstos</w:t>
        <w:br/>
        <w:t>preservaran su vida y su integridad física (expediente de  fondo,  tomo  II,</w:t>
        <w:br/>
        <w:t>folio 925); sin embargo  se  contradice  con  la  declaración  del  Director</w:t>
        <w:br/>
        <w:t>General del Hospital Regional Universitario Jose  María  Cabral  Báez  quien</w:t>
        <w:br/>
        <w:t>afirmó que “[los] ciudadanos haitianos no fueron recibidos ni  atendidos  en</w:t>
        <w:br/>
        <w:t>[el] Centro Hospitalario”. Nota del Director General del Hospital de  11  de</w:t>
        <w:br/>
        <w:t>julio de 2012, supra, folio 4107.1.</w:t>
        <w:br/>
        <w:br/>
        <w:t>[157] Declaración de Josier Maxime durante la Audiencia Pública.</w:t>
        <w:br/>
        <w:br/>
        <w:t>[158] Declaración de Noclair Florvilien durante la Audiencia Pública.</w:t>
        <w:br/>
        <w:br/>
        <w:t>[159] Cfr. Resolución 1509 de  la  Asamblea  Parlamentaria  del  Consejo  de</w:t>
        <w:br/>
        <w:t>Europa, párr. 13.2.</w:t>
        <w:br/>
        <w:br/>
        <w:t>[160] Cfr. Organización Mundial de la Salud. Migración  Internacional  Salud</w:t>
        <w:br/>
        <w:t>y Derechos Humanos. No. 4, diciembre 2003.</w:t>
        <w:br/>
        <w:br/>
        <w:t>[161] Según la declaración de la víctima Noclair Florvilien  al  momento  de</w:t>
        <w:br/>
        <w:t>encontrarse en el hospital un amigo suyo fue a buscarlo  para  llevarlo  con</w:t>
        <w:br/>
        <w:t>un médico que le brindaría primero auxilios, sin  que  nadie  registrara  su</w:t>
        <w:br/>
        <w:t>salida, en razón de que éste no fue  atendido  al  momento  de  ingresar  al</w:t>
        <w:br/>
        <w:t>centro de salud. Cfr. Declaración rendida por Noclair Florvilien durante  la</w:t>
        <w:br/>
        <w:t>Audiencia Pública. En ese mismo sentido Joseph Desravine señaló que una  vez</w:t>
        <w:br/>
        <w:t>que se encontraba en el hospital decidió escapar por una rendijilla para  ir</w:t>
        <w:br/>
        <w:t>en busca de sus familiares. Declaración rendida ante fedatario  público  por</w:t>
        <w:br/>
        <w:t>Joseph Desravine, supra, folio 567.</w:t>
        <w:br/>
        <w:br/>
        <w:t>[162] Con motivo de las preguntas de  la  Corte  en  audiencia  pública,  el</w:t>
        <w:br/>
        <w:t>Estado se refirió al artículo 34 del Reglamento General de Hospitales de  la</w:t>
        <w:br/>
        <w:t>República  Dominica  (Decreto  No.  351-99),  el  cual  establece  que  todo</w:t>
        <w:br/>
        <w:t>hospital debe contar con un sistema de información y registro de  pacientes,</w:t>
        <w:br/>
        <w:t>que incluye lo  siguiente:  a)  Libro  de  registro  diario  de  ingresos  y</w:t>
        <w:br/>
        <w:t>egresos; b) Historia clínica del paciente; c) Registro  de  fallecidos,  con</w:t>
        <w:br/>
        <w:t>especificación de diagnostico de ingreso y del diagnostico de defunción;  d)</w:t>
        <w:br/>
        <w:t>Registro de admisión;  e)  Registro  de  transferencias  y  egresos  (altas)</w:t>
        <w:br/>
        <w:t>(escrito de alegatos finales  escritos  del  Estado,  expediente  de  fondo,</w:t>
        <w:br/>
        <w:t>folio 959).</w:t>
        <w:br/>
        <w:br/>
        <w:t>[163] Cfr. Declaración rendida  ante  fedatario  público  por  Pedro  Ureña,</w:t>
        <w:br/>
        <w:t>supra, folio 575.</w:t>
        <w:br/>
        <w:br/>
        <w:t>[164] Cfr. Declaración testimonial rendida por Rose Marie Dol, supra,  folio</w:t>
        <w:br/>
        <w:t>1585.</w:t>
        <w:br/>
        <w:br/>
        <w:t>[165] Cfr. Declaración rendida ante fedatario público por Joseph  Desravine,</w:t>
        <w:br/>
        <w:t>supra, folio 568.</w:t>
        <w:br/>
        <w:br/>
        <w:t>[166] Cfr. Expediente de anexos al  escrito  de  solicitudes  y  argumentos,</w:t>
        <w:br/>
        <w:t>tomo IV, folios 2542 a 2548.</w:t>
        <w:br/>
        <w:br/>
        <w:t>[167] Cfr. Declaración rendida  ante  fedatario  público  por  Sonide  Nora,</w:t>
        <w:br/>
        <w:t>supra, folio 572.</w:t>
        <w:br/>
        <w:br/>
        <w:t>[168] Cfr. Declaración rendida por Vivandieu Dorzema  ante  notario  público</w:t>
        <w:br/>
        <w:t>el 24 de febrero de 2011 (expediente de anexos al escrito de  solicitudes  y</w:t>
        <w:br/>
        <w:t>argumentos, tomo V, folio 2995).</w:t>
        <w:br/>
        <w:br/>
        <w:t>[169]                                                                   Cfr.</w:t>
        <w:br/>
        <w:t>Certificado  de  enterramiento.  Fritz  Alce,  Roselene  Thermeus,  Ilfaudia</w:t>
        <w:br/>
        <w:t>Dorzema, Nadege Dorzema, Jacqueline Maxime, supra, folios 4738 a 4755.</w:t>
        <w:br/>
        <w:br/>
        <w:t>[170]                                                                     El</w:t>
        <w:br/>
        <w:t>Estado  dentro  de  los  anexos  a  sus   alegatos   finales,   adjuntó   la</w:t>
        <w:br/>
        <w:t>manifestación del Director de los  Servicios  Especializados  de  Salud  del</w:t>
        <w:br/>
        <w:t>Ministerio  de  Salud  Pública  el   cual   indicó   que:   “[…]durante   la</w:t>
        <w:br/>
        <w:t>investigación logra[ron] varios documentos que descargan la  responsabilidad</w:t>
        <w:br/>
        <w:t>del Hospital Universitario José María Cabral y Báez,  pero  que  comprometen</w:t>
        <w:br/>
        <w:t>al  Instituto  Nacional  de  Ciencias  Forenses,  que   corresponde   a   la</w:t>
        <w:br/>
        <w:t>Procuraduría General de la República, ya que tienen registrados del  día  18</w:t>
        <w:br/>
        <w:t>de junio del 2000, el total de siete personas donde  aparecen  las  personas</w:t>
        <w:br/>
        <w:t>reclamadas en el  informe  pero  que  los  expedientes  correspondientes  se</w:t>
        <w:br/>
        <w:t>dañaron con las inundaciones que padeció la Provincia  de  Santiago  de  los</w:t>
        <w:br/>
        <w:t>Caballeros  y  además  desconocen  el  destino  final  de  los   cadáveres”.</w:t>
        <w:br/>
        <w:t>(expediente de anexos a los alegatos finales del  Estado,  tomo  VII,  folio</w:t>
        <w:br/>
        <w:t>4107.22.)</w:t>
        <w:br/>
        <w:br/>
        <w:t>[171] Cfr. Caso de la Masacre de Las Dos Erres Vs. Guatemala,  supra,  párr.</w:t>
        <w:br/>
        <w:t>245, y Caso Pacheco Teruel  Vs.  Honduras.  Fondo,  Reparaciones  y  Costas.</w:t>
        <w:br/>
        <w:t>Sentencia de 27 de abril de 2012. Seie C No. 241, párr. 73.</w:t>
        <w:br/>
        <w:br/>
        <w:t>[172] Cfr. Caso González y otras (“Campo  Algodonero”)  Vs.  México,  supra,</w:t>
        <w:br/>
        <w:t>párr. 318 y Caso Pacheco Teruel Vs. Honduras, supra, párr. 73.</w:t>
        <w:br/>
        <w:br/>
        <w:t>[173] Por otra parte, la Comisión alegó la violación  de  las  garantías  de</w:t>
        <w:br/>
        <w:t>los artículos 8 y 25 de la Convención Americana, en relación a las  alegadas</w:t>
        <w:br/>
        <w:t>detención y expulsión arbitrarias. Asimismo, los representantes alegaron  la</w:t>
        <w:br/>
        <w:t>vulneración de dicho artículo en razón de que “[e]l carácter  expeditivo  de</w:t>
        <w:br/>
        <w:t>la expulsión […] pone de manifiesto, la imposibilidad fáctica  de  presentar</w:t>
        <w:br/>
        <w:t>un habeas corpus, una solicitud de estatus de refugiado, asilo  o  cualquier</w:t>
        <w:br/>
        <w:t>otra medida de protección […], es decir, ejercer sus derechos al respeto  de</w:t>
        <w:br/>
        <w:t>las garantías judiciales y a la protección judicial”. Al respecto, la  Corte</w:t>
        <w:br/>
        <w:t>reitera que los artículos 7.6, 8 y 25 de la  Convención  abarcan  diferentes</w:t>
        <w:br/>
        <w:t>ámbitos de protección. Específicamente, “el artículo 7.6  de  la  Convención</w:t>
        <w:br/>
        <w:t>tiene un contenido jurídico propio y  el  principio  de  efectividad  (effet</w:t>
        <w:br/>
        <w:t>utile)  es  transversal  a  la  protección  debida  de  todos  los  derechos</w:t>
        <w:br/>
        <w:t>reconocidos en ese instrumento”, por lo cual el Tribunal  considera  que  no</w:t>
        <w:br/>
        <w:t>procede analizar los hechos de la detención y de la expulsión del caso a  la</w:t>
        <w:br/>
        <w:t>luz del artículo 25 de la Convención. La alegada violación de  los  derechos</w:t>
        <w:br/>
        <w:t>a las garantías y a la protección judicial será  analizada  en  el  capítulo</w:t>
        <w:br/>
        <w:t>VII-3.</w:t>
        <w:br/>
        <w:br/>
        <w:t>[174] En relación con el herido Joseph Desvraine, la  Comisión  observó  que</w:t>
        <w:br/>
        <w:t>“no estaba en el grupo de los que mandaron para Dajabón,” por lo que  estaba</w:t>
        <w:br/>
        <w:t>herido y fue llevado al hospital de donde logró  salirse.  Asimismo,  de  la</w:t>
        <w:br/>
        <w:t>prueba que obra en el expediente surge que Michel Françoise fue  llevado  al</w:t>
        <w:br/>
        <w:t>hospital y brindó declaraciones dentro de la  jurisdicción  militar  en  los</w:t>
        <w:br/>
        <w:t>días posteriores. Por estas razones, la Comisión no  contó  con  información</w:t>
        <w:br/>
        <w:t>suficiente referente a lo que habría sucedido con ambas  personas  luego  de</w:t>
        <w:br/>
        <w:t>ser trasladados al hospital, razón por la cual no se hizo referencia  a  los</w:t>
        <w:br/>
        <w:t>derechos protegidos por los artículos 7, 8 y 25 en relación con ellas.</w:t>
        <w:br/>
        <w:br/>
        <w:t>[175]                                                                   Cfr.</w:t>
        <w:br/>
        <w:t>TEDH, Saadi Vs. Reino Unido. [Gran Sala] Applicación No. 13229/03, de 29  de</w:t>
        <w:br/>
        <w:t>enero de 2008, párrs. 64 a 66;  Comité  de  Derechos  Humanos.  Madafferi  y</w:t>
        <w:br/>
        <w:t>Madafferi Vs. Australia, Comunicación No. 1011/2001, Observaciones de 26  de</w:t>
        <w:br/>
        <w:t>agosto 2004, párr. 9.2.</w:t>
        <w:br/>
        <w:br/>
        <w:t>[176]  Artículo 7. Derecho a la Libertad Personal</w:t>
        <w:br/>
        <w:br/>
        <w:t xml:space="preserve">  1. Toda persona tiene derecho a la libertad y a la seguridad personal.</w:t>
        <w:br/>
        <w:br/>
        <w:t xml:space="preserve">  2. Nadie puede ser privado de su libertad física, salvo por las causas  y</w:t>
        <w:br/>
        <w:t xml:space="preserve">  en las condiciones fijadas de antemano por las  Constituciones  Políticas</w:t>
        <w:br/>
        <w:t xml:space="preserve">  de los Estados Partes o por las leyes dictadas conforme a ellas.</w:t>
        <w:br/>
        <w:br/>
        <w:t xml:space="preserve">  3. Nadie puede ser sometido a detención o encarcelamiento arbitrarios.</w:t>
        <w:br/>
        <w:br/>
        <w:t xml:space="preserve">  4. Toda persona detenida o retenida debe ser informada de las razones  de</w:t>
        <w:br/>
        <w:t xml:space="preserve">  su detención y notificada, sin demora,  del  cargo  o  cargos  formulados</w:t>
        <w:br/>
        <w:t xml:space="preserve">  contra ella.</w:t>
        <w:br/>
        <w:br/>
        <w:t xml:space="preserve">  5. Toda persona detenida o retenida debe ser llevada, sin demora, ante un</w:t>
        <w:br/>
        <w:t xml:space="preserve">  juez u otro funcionario autorizado por  la  ley  para  ejercer  funciones</w:t>
        <w:br/>
        <w:t xml:space="preserve">  judiciales y tendrá derecho a ser juzgada dentro de un plazo razonable  o</w:t>
        <w:br/>
        <w:t xml:space="preserve">  a ser puesta en libertad, sin perjuicio de que continúe  el  proceso.  Su</w:t>
        <w:br/>
        <w:t xml:space="preserve">  libertad  podrá  estar  condicionada  a   garantías   que   aseguren   su</w:t>
        <w:br/>
        <w:t xml:space="preserve">  comparecencia en el juicio.</w:t>
        <w:br/>
        <w:br/>
        <w:t xml:space="preserve">  6. Toda persona privada de libertad tiene derecho a recurrir ante un juez</w:t>
        <w:br/>
        <w:t xml:space="preserve">  o tribunal competente, a fin de que éste decida,  sin  demora,  sobre  la</w:t>
        <w:br/>
        <w:t xml:space="preserve">  legalidad de su arresto o detención y ordene su libertad si el arresto  o</w:t>
        <w:br/>
        <w:t xml:space="preserve">  la detención fueran ilegales. En los Estados Partes  cuyas  leyes  prevén</w:t>
        <w:br/>
        <w:t xml:space="preserve">  que toda persona que se viera amenazada de ser  privada  de  su  libertad</w:t>
        <w:br/>
        <w:t xml:space="preserve">  tiene derecho a recurrir a un juez o tribunal competente  a  fin  de  que</w:t>
        <w:br/>
        <w:t xml:space="preserve">  éste decida sobre la legalidad de tal amenaza, dicho recurso no puede ser</w:t>
        <w:br/>
        <w:t xml:space="preserve">  restringido ni abolido. Los recursos podrán interponerse  por  sí  o  por</w:t>
        <w:br/>
        <w:t xml:space="preserve">  otra persona. […]</w:t>
        <w:br/>
        <w:br/>
        <w:t>[177]                                                                   Cfr.</w:t>
        <w:br/>
        <w:t>Caso Chaparro Álvarez y Lapo Íñiguez Vs. Ecuador. Excepciones  Preliminares,</w:t>
        <w:br/>
        <w:t>Fondo, Reparaciones y Costas. Sentencia de 21 de noviembre de 2007. Serie  C</w:t>
        <w:br/>
        <w:t>No. 170, párr. 51, y Caso Fleury y otros Vs. Haití.  Fondo  y  Reparaciones.</w:t>
        <w:br/>
        <w:t>Sentencia 23 de noviembre de 2011. Serie C No. 236, párr. 53.</w:t>
        <w:br/>
        <w:br/>
        <w:t>[178]                                                                   Caso</w:t>
        <w:br/>
        <w:t>Chaparro Álvarez y Lapo  Íñiguez  Vs.  Ecuador,  supra,  párr.  54,  y  Caso</w:t>
        <w:br/>
        <w:t>Familia Barrios Vs. Venezuela, supra, párr. 54.</w:t>
        <w:br/>
        <w:br/>
        <w:t>[179]                                                                   Cfr.</w:t>
        <w:br/>
        <w:t>Caso Torres Millacura y otros Vs. Argentina, Fondo, Reparaciones  y  Costas.</w:t>
        <w:br/>
        <w:t>Sentencia de 26 de agosto de 2011. Serie C No. 229, párr 76, y Caso  Familia</w:t>
        <w:br/>
        <w:t>Barrios Vs. Venezuela, supra, párr. 75.</w:t>
        <w:br/>
        <w:br/>
        <w:t>[180]                                                                   Caso</w:t>
        <w:br/>
        <w:t>Chaparro Álvarez y Lapo Íñiguez Vs. Ecuador, supra, párr. 57, y Caso  Fleury</w:t>
        <w:br/>
        <w:t>y otros Vs. Haití, supra, párr. 54.</w:t>
        <w:br/>
        <w:br/>
        <w:t>[181]  Constitución  Política  de  República  Dominicana,  1994.  Votada   y</w:t>
        <w:br/>
        <w:t>proclamada por la Asamblea Nacional el 14 de agosto de 1994  (expediente  de</w:t>
        <w:br/>
        <w:t>anexos a los alegatos  finales  de  los  representantes,  tomo  VIII,  folio</w:t>
        <w:br/>
        <w:t>4112).</w:t>
        <w:br/>
        <w:br/>
        <w:t>[182]                                                               Ley   de</w:t>
        <w:br/>
        <w:t>Inmigración, Ley 95 de 14 de abril de 1939. Publicada en la  Gaceta  Oficial</w:t>
        <w:br/>
        <w:t>no.  5299  (expediente  de  anexos   a   los   alegatos   finales   de   los</w:t>
        <w:br/>
        <w:t>representantes, tomo VIII, folio 4240).</w:t>
        <w:br/>
        <w:br/>
        <w:t>[183]                                                               Artículo</w:t>
        <w:br/>
        <w:t>55. El presidente de la República es el jefe de la administración pública  y</w:t>
        <w:br/>
        <w:t>el jefe supremo de todas las fuerzas  armadas  de  la  República  y  de  los</w:t>
        <w:br/>
        <w:t>cuerpos policiales. Corresponde al Presidente de  la  República:  16.  Hacer</w:t>
        <w:br/>
        <w:t>arrestar o expulsar a  los  extranjeros  cuyas  actividades,  a  su  juicio,</w:t>
        <w:br/>
        <w:t>fueren o pudieren  ser  perjudiciales  al  orden  público  o  a  las  buenas</w:t>
        <w:br/>
        <w:t>costumbres.</w:t>
        <w:br/>
        <w:br/>
        <w:t>[184]                                                               Artículo</w:t>
        <w:br/>
        <w:t>10. a. Las siguientes clases de extranjeros serán incluidas  de  entrada  en</w:t>
        <w:br/>
        <w:t>la  República:  1)  Anarquistas  o  personas  que  promuevan   doctrinas   o</w:t>
        <w:br/>
        <w:t>actividades para el subvertimiento del Gobierno Dominicano o contra  la  ley</w:t>
        <w:br/>
        <w:t>y el orden […].</w:t>
        <w:br/>
        <w:br/>
        <w:t>[185]                                                               Artículo</w:t>
        <w:br/>
        <w:t>13. Los  siguientes  extranjeros  serán  arrestados  y  deportados  […]:  3)</w:t>
        <w:br/>
        <w:t>Cualquier extranjero que se mezclare o asociare en actividades tendientes  a</w:t>
        <w:br/>
        <w:t>subvertir el Gobierno Dominicano o traficare con narcóticos en violación  de</w:t>
        <w:br/>
        <w:t>la ley, o se mezclare en otras actividades contrarias al orden  y  seguridad</w:t>
        <w:br/>
        <w:t>públicos.</w:t>
        <w:br/>
        <w:br/>
        <w:t>[186]</w:t>
        <w:br/>
        <w:t>Reglamento de Migración No. 279 del 12 de  mayo  de  1939  publicado  en  la</w:t>
        <w:br/>
        <w:t>Gaceta Oficial No. 5313 (expediente de anexos a los alegatos finales de  los</w:t>
        <w:br/>
        <w:t>representantes, tomo VIII, folio 4351).</w:t>
        <w:br/>
        <w:br/>
        <w:t>[187]                                                                   Cfr.</w:t>
        <w:br/>
        <w:t>Caso Bulacio Vs. Argentina. Fondo, Reparaciones y Costas.  Sentencia  de  18</w:t>
        <w:br/>
        <w:t>de Septiembre de 2003. Serie C No. 100, párr. 132.</w:t>
        <w:br/>
        <w:br/>
        <w:t>[188]                                                                   Cfr.</w:t>
        <w:br/>
        <w:t>Caso  de  la  Panel  Blanca  (Paniagua  Morales  y  otros)  Vs.   Guatemala.</w:t>
        <w:br/>
        <w:t>Reparaciones y Costas. Sentencia de 25 de mayo de  2001.  Serie  C  No.  76,</w:t>
        <w:br/>
        <w:t>párr. 203, y Caso Uzcátegui y otros Vs.  Venezuela.  Fondo  y  Reparaciones.</w:t>
        <w:br/>
        <w:t>Sentencia de 3 de septiembre de 2012 Serie C No. 249, párr 151.</w:t>
        <w:br/>
        <w:br/>
        <w:t>[189]                                                                   Cfr.</w:t>
        <w:br/>
        <w:t>Caso Cabrera García y  Montiel  Flores  Vs.  México.  Excepción  Preliminar,</w:t>
        <w:br/>
        <w:t>Fondo, Reparaciones y Costas. Sentencia de 26 de noviembre de 2010. Serie  C</w:t>
        <w:br/>
        <w:t>No. 220, párr. 106, y Caso Fleury  y  otros  Vs.  Haití,  supra,  párr.  60.</w:t>
        <w:br/>
        <w:t>Asimismo, Cfr. O.N.U., Conjunto de Principios para la  Protección  de  Todas</w:t>
        <w:br/>
        <w:t>las Personas Sometidas a Cualquier Forma de Detención  o  Prisión,  Adoptado</w:t>
        <w:br/>
        <w:t>por la Asamblea General en su resolución 43/173, de 9 de diciembre de  1988,</w:t>
        <w:br/>
        <w:t>Principio 10.</w:t>
        <w:br/>
        <w:br/>
        <w:t>[190]                                                                   Cfr.</w:t>
        <w:br/>
        <w:t>Caso Gangaram Panday Vs. Suriname. Fondo, Reparaciones y  Costas.  Sentencia</w:t>
        <w:br/>
        <w:t>de 21 de enero de 1994. Serie C No. 16, párr. 47, y Caso Fleury y otros  Vs.</w:t>
        <w:br/>
        <w:t>Haití, supra, párr.57.</w:t>
        <w:br/>
        <w:br/>
        <w:t>[191]                                                                   Cfr.</w:t>
        <w:br/>
        <w:t>Caso Chaparro Álvarez y Lapo Íñiguez Vs. Ecuador, supra, párr.  91,  y  Caso</w:t>
        <w:br/>
        <w:t>Fleury y otros Vs. Haití, supra,  párr. 58.</w:t>
        <w:br/>
        <w:br/>
        <w:t>[192]  Caso Chaparro Álvarez y Lapo Íñiguez Vs. Ecuador, supra, párr. 92,  y</w:t>
        <w:br/>
        <w:t>Caso Fleury y otros Vs. Haití, supra,  párr.  58.  Ver  también,  Comité  de</w:t>
        <w:br/>
        <w:t>Derechos Humanos, Caso Albert Womah Mukong  Vs. Camerún, (458/1991),  21  de</w:t>
        <w:br/>
        <w:t>julio de 1994, UN Doc. CCPR/C/51/D/458/1991, párr. 9.8.</w:t>
        <w:br/>
        <w:br/>
        <w:t>[193]                                                               En  este</w:t>
        <w:br/>
        <w:t>sentido, ver Grupo de Trabajo sobre  Detención  Arbitraria,  Conclusiones  y</w:t>
        <w:br/>
        <w:t>Recomendaciones de 15 de diciembre de 2003, UN DOC E/CN.4/2004/3, párr. 86.</w:t>
        <w:br/>
        <w:br/>
        <w:t>[194]                                                                   Cfr.</w:t>
        <w:br/>
        <w:t>Caso Bayarri Vs. Argentina.  Excepción  Preliminar,  Fondo,  Reparaciones  y</w:t>
        <w:br/>
        <w:t>Costas. Sentencia de 30 de octubre de 2008. Serie C No.  187,  párr.  63,  y</w:t>
        <w:br/>
        <w:t>Caso Vélez Loor Vs. Panamá, supra, párr. 105.</w:t>
        <w:br/>
        <w:br/>
        <w:t>[195]                                                                   Cfr.</w:t>
        <w:br/>
        <w:t>Caso Juan  Humberto  Sánchez  Vs.  Honduras.  Excepción  Preliminar,  Fondo,</w:t>
        <w:br/>
        <w:t>Reparaciones y Costas. Sentencia de 7 de junio de  2003.  Serie  C  No.  99,</w:t>
        <w:br/>
        <w:t>párr. 83, y Caso Vélez Loor Vs. Panamá, supra, párr. 105.</w:t>
        <w:br/>
        <w:br/>
        <w:t>[196]                                                                   Cfr.</w:t>
        <w:br/>
        <w:t>Caso Tibi Vs. Ecuador, párr. 118, y  Caso  Vélez  Loor  Vs.  Panamá,  supra,</w:t>
        <w:br/>
        <w:t>párr. 105.</w:t>
        <w:br/>
        <w:br/>
        <w:t>[197]                                                                   Cfr.</w:t>
        <w:br/>
        <w:t>Caso Tibi Vs. Ecuador, supra, párr. 118,  y  Caso  Vélez  Loor  Vs.  Panamá,</w:t>
        <w:br/>
        <w:t>supra, párr. 107.</w:t>
        <w:br/>
        <w:br/>
        <w:t>[198]                                                                   Cfr.</w:t>
        <w:br/>
        <w:t>Caso Bayarri, supra, párr. 67, y Caso Vélez Loor Vs.  Panamá,  supra,  párr.</w:t>
        <w:br/>
        <w:t>107.</w:t>
        <w:br/>
        <w:br/>
        <w:t>[199]                                                              Caso  del</w:t>
        <w:br/>
        <w:t>Tribunal Constitucional Vs. Perú. Fondo, Reparaciones  y  Costas.  Sentencia</w:t>
        <w:br/>
        <w:t>de 31 de enero de 2001. Serie C No. 71, párr. 71,  y  Caso  Vélez  Loor  Vs.</w:t>
        <w:br/>
        <w:t>Panamá, supra, párr. 107.</w:t>
        <w:br/>
        <w:br/>
        <w:t>[200]                                                                   Cfr.</w:t>
        <w:br/>
        <w:t>Caso Bayarri, supra, párr 67, y Caso Vélez Loor  Vs.  Panamá,  supra,  párr.</w:t>
        <w:br/>
        <w:t>108.</w:t>
        <w:br/>
        <w:br/>
        <w:t>[201]                                                                   Caso</w:t>
        <w:br/>
        <w:t>Vélez Loor Vs. Panamá, supra,  párr.  108.  Al  respecto,  ver  Conjunto  de</w:t>
        <w:br/>
        <w:t>Principios para la Protección de Todas las Personas  Sometidas  a  Cualquier</w:t>
        <w:br/>
        <w:t>Forma de Detención o Prisión, Principio 11.</w:t>
        <w:br/>
        <w:br/>
        <w:t>[202]</w:t>
        <w:br/>
        <w:t>Constitución Política de República Dominicana, 1994, supra, folio 4112.</w:t>
        <w:br/>
        <w:br/>
        <w:t>[203]                                                               Cfr.  El</w:t>
        <w:br/>
        <w:t>Hábeas Corpus Bajo Suspensión de Garantías (arts. 27.2, 25.1  y  7.6  de  la</w:t>
        <w:br/>
        <w:t>Convención Americana sobre Derechos  Humanos).  Opinión  Consultiva  OC-8/87</w:t>
        <w:br/>
        <w:t>del 30 de enero de 1987. Serie A No.  8,  párr.  33;  Caso  Vélez  Loor  Vs.</w:t>
        <w:br/>
        <w:t>Panamá, supra, párr. párr.124, y  Caso  Uzcátegui  y  otros  Vs.  Venezuela,</w:t>
        <w:br/>
        <w:t>supra, párr. 158.</w:t>
        <w:br/>
        <w:br/>
        <w:t>[204]                                                                   Cfr.</w:t>
        <w:br/>
        <w:t>Caso Vélez Loor Vs. Panamá, supra, párr. 126.</w:t>
        <w:br/>
        <w:br/>
        <w:t>[205]                                                                   Cfr.</w:t>
        <w:br/>
        <w:t>Caso Acosta Calderón Vs. Ecuador. Fondo, Reparaciones  y  Costas.  Sentencia</w:t>
        <w:br/>
        <w:t>de 24 de junio de 2005. Serie C No. 129, párr. 97  y  Caso  Vélez  Loor  Vs.</w:t>
        <w:br/>
        <w:t>Panamá, supra, párr. 129.</w:t>
        <w:br/>
        <w:br/>
        <w:t>[206]</w:t>
        <w:br/>
        <w:t>Constitución Política de República Dominicana, 1994, supra, folio 4109.</w:t>
        <w:br/>
        <w:br/>
        <w:t>[207] Caso Yvon Neptune Vs. Haití. Fondo, Reparaciones y  Costas.  Sentencia</w:t>
        <w:br/>
        <w:t>de 6 de mayo de 2008. Serie C No. 180, párr. 114, y Caso Uzcátegui  y  otros</w:t>
        <w:br/>
        <w:t>Vs. Venezuela, supra, párr. 158.</w:t>
        <w:br/>
        <w:br/>
        <w:t>[208]                                                                   Cfr.</w:t>
        <w:br/>
        <w:t>Caso Cinco Pensionistas Vs. Perú. Fondo, Reparaciones  y  Costas.  Sentencia</w:t>
        <w:br/>
        <w:t>de 28 de febrero de 2003. Serie C No. 98, párr. 55, y Caso Vélez Restrepo  y</w:t>
        <w:br/>
        <w:t>Familiares  Vs.  Colombia. Excepción  Preliminar,  Fondo,   Reparaciones   y</w:t>
        <w:br/>
        <w:t>Costas. Sentencia de 3 de septiembre de 2012 Serie C No. 248, párr. 47.</w:t>
        <w:br/>
        <w:br/>
        <w:t>[209]                                                                   Cfr.</w:t>
        <w:br/>
        <w:t>Caso de la Masacre de Pueblo  Bello  Vs.  Colombia.  Fondo,  Reparaciones  y</w:t>
        <w:br/>
        <w:t>Costas. Sentencia de 31 de enero de 2006. Serie C  No.  140,  párr.  111,  y</w:t>
        <w:br/>
        <w:t>Caso Pueblo Indígena Kichwa de Sarayaku Vs. Ecuador. Fondo  y  Reparaciones.</w:t>
        <w:br/>
        <w:t>Sentencia de 27 de junio de 2012. Serie C No. 245, párr. 37.</w:t>
        <w:br/>
        <w:br/>
        <w:t>[210]</w:t>
        <w:br/>
        <w:t>Condición Jurídica y  Derechos  de  los  Migrantes  Indocumentados.  Opinión</w:t>
        <w:br/>
        <w:t>Consultiva OC-18/03 del 17 de septiembre de  2003. Serie  A  No.  18,  párr.</w:t>
        <w:br/>
        <w:t>114.</w:t>
        <w:br/>
        <w:br/>
        <w:t>[211]                                                                   Cfr.</w:t>
        <w:br/>
        <w:t>Caso Velez Loor. Vs. Panamá, supra, párr. 98.</w:t>
        <w:br/>
        <w:br/>
        <w:t>[212]                                                                   Cfr.</w:t>
        <w:br/>
        <w:t>Caso Velez  Loor  Vs.  Panamá,  supra,  párr.  98.  Ver  también,  Condición</w:t>
        <w:br/>
        <w:t>Jurídica y Derechos de  los  Migrantes  Indocumentados,  supra,  párr.  112;</w:t>
        <w:br/>
        <w:t>Naciones  Unidas,  Consejo  Económico  y  Social,   Grupos   específicos   e</w:t>
        <w:br/>
        <w:t>individuos. Trabajadores  migrantes.  Derechos  humanos  de  los  migrantes,</w:t>
        <w:br/>
        <w:t>Informe  presentado  por  la  Relatora  Especial,  Sra.  Gabriela  Rodríguez</w:t>
        <w:br/>
        <w:t>Pizarro, de  conformidad  con  la  Resolución  1999/44  de  la  Comisión  de</w:t>
        <w:br/>
        <w:t>Derechos Humanos, E/CN.4/2000/82, 6 de enero de 2000, párr. 73.</w:t>
        <w:br/>
        <w:br/>
        <w:t>[213]                                                                   Cfr.</w:t>
        <w:br/>
        <w:t>Caso Vélez  Loor  Vs.  Panamá,  supra,  párr.  100.  Ver  también  Condición</w:t>
        <w:br/>
        <w:t>Jurídica y Derechos de los Migrantes Indocumentados,  supra,  párrs.  118  y</w:t>
        <w:br/>
        <w:t>119.</w:t>
        <w:br/>
        <w:br/>
        <w:t>[214]                                                                   Cfr.</w:t>
        <w:br/>
        <w:t>Caso del Tribunal Constitucional Vs.  Perú. Fondo,  Reparaciones  y  Costas.</w:t>
        <w:br/>
        <w:t>Sentencia de 31 de enero de 2001. Serie C No. 71, párr.  69,  y  Caso  Vélez</w:t>
        <w:br/>
        <w:t>Loor Vs. Panamá, supra, párr. 142.</w:t>
        <w:br/>
        <w:br/>
        <w:t>[215]                                                                   Cfr.</w:t>
        <w:br/>
        <w:t>Caso del Tribunal Constitucional Vs. Perú, supra, párr.  70,  y  Caso  Vélez</w:t>
        <w:br/>
        <w:t>Loor Vs. Panamá, supra, párr. 142.</w:t>
        <w:br/>
        <w:br/>
        <w:t>[216]                                                                   Cfr.</w:t>
        <w:br/>
        <w:t>Caso Baena  Ricardo  y  otros  Vs.  Panamá. Fondo,  Reparaciones  y  Costas.</w:t>
        <w:br/>
        <w:t>Sentencia de 2 de febrero de 2001. Serie C No. 72, párr. 124.</w:t>
        <w:br/>
        <w:br/>
        <w:t>[217]                                                                     El</w:t>
        <w:br/>
        <w:t>Derecho a la Información sobre la Asistencia Consular en  el  Marco  de  las</w:t>
        <w:br/>
        <w:t>Garantías del Debido Proceso Legal, supra, párr. 119.</w:t>
        <w:br/>
        <w:br/>
        <w:t>[218]                                                                   Cfr.</w:t>
        <w:br/>
        <w:t>Condición jurídica y Derechos de los Migrantes Indocumentados, supra,  párr.</w:t>
        <w:br/>
        <w:t>121.</w:t>
        <w:br/>
        <w:br/>
        <w:t>[219]</w:t>
        <w:br/>
        <w:t>Condición jurídica y Derechos de los Migrantes Indocumentados, supra,  párr.</w:t>
        <w:br/>
        <w:t>122.</w:t>
        <w:br/>
        <w:br/>
        <w:t>[220] Condición jurídica y Derechos de los Migrantes Indocumentados,  supra,</w:t>
        <w:br/>
        <w:t>párr. 122</w:t>
        <w:br/>
        <w:br/>
        <w:t>[221]                                                               Cfr.  El</w:t>
        <w:br/>
        <w:t>Derecho a la Información sobre la Asistencia Consular en  el  Marco  de  las</w:t>
        <w:br/>
        <w:t>Garantías del Debido Proceso Legal, supra, párrs. 117 y 119;  Caso  Hilaire,</w:t>
        <w:br/>
        <w:t>Constantine y Benjamin y otros Vs. Trinidad y Tobago. Fondo, Reparaciones  y</w:t>
        <w:br/>
        <w:t>Costas. Sentencia de 21 de junio de 2002. Serie C No. 94, párr. 146, y  Caso</w:t>
        <w:br/>
        <w:t>Velez Loor Vs. Panamá, supra, párr. 143.</w:t>
        <w:br/>
        <w:br/>
        <w:t>[222]                                                                  Pacto</w:t>
        <w:br/>
        <w:t>Internacional de Derechos Civiles y Políticos, Artículo  13:  El  extranjero</w:t>
        <w:br/>
        <w:t>que se halle legalmente en el territorio de un Estado Parte en  el  presente</w:t>
        <w:br/>
        <w:t>Pacto sólo podrá ser  expulsado  de  él  en  cumplimiento  de  una  decisión</w:t>
        <w:br/>
        <w:t>adoptada conforme a la ley; y, a menos que razones imperiosas  de  seguridad</w:t>
        <w:br/>
        <w:t>nacional se opongan a ello,  se  permitirá  a  tal  extranjero  exponer  las</w:t>
        <w:br/>
        <w:t>razones que lo asistan en contra de su expulsión, así como someter  su  caso</w:t>
        <w:br/>
        <w:t>a revisión ante la autoridad competente o bien ante la  persona  o  personas</w:t>
        <w:br/>
        <w:t>designadas  especialmente  por  dicha  autoridad   competente,   y   hacerse</w:t>
        <w:br/>
        <w:t>representar con tal fin ante ellas.</w:t>
        <w:br/>
        <w:br/>
        <w:t>[223]                                                                 Comité</w:t>
        <w:br/>
        <w:t>de Derechos Humanos. Observación General No. 15 relativa a la  situación  de</w:t>
        <w:br/>
        <w:t>los extranjeros con arreglo al Pacto Internacional  de  Derechos  Civiles  y</w:t>
        <w:br/>
        <w:t>Políticos. Aprobada en el 27 período de sesiones. 1986, párr. 9.</w:t>
        <w:br/>
        <w:br/>
        <w:t>[224]                                                               Comisión</w:t>
        <w:br/>
        <w:t>Africana de Derechos Humanos y de  los  Pueblos,  Comunicación  No.  159/96,</w:t>
        <w:br/>
        <w:t>Sesión Ordinaria No. 22 de 11 de noviembre de 1997, párr. 20.</w:t>
        <w:br/>
        <w:br/>
        <w:t>[225] Cfr. Comisión de  Derecho  Internacional.  Expulsión  de  extranjeros.</w:t>
        <w:br/>
        <w:t>Texto de los proyectos de artículo 1  a  32  aprobados  provisionalmente  en</w:t>
        <w:br/>
        <w:t>primera lectura por el Comité de Redacción en el 64º  periodo  de  sesiones.</w:t>
        <w:br/>
        <w:t>UN Doc. A/CN.4/L.797, 24 de mayo de 2012, artículos 19 y 26.</w:t>
        <w:br/>
        <w:br/>
        <w:t>[226]                                                                   Caso</w:t>
        <w:br/>
        <w:t>Vélez Loor Vs. Panamá, supra, párr. 132.  Asimismo,  ver,  mutatis  mutandi,</w:t>
        <w:br/>
        <w:t>Caso de la Comunidad Indígena Yakye Axa Vs. Paraguay. Fondo, Reparaciones  y</w:t>
        <w:br/>
        <w:t>Costas. Sentencia de 17 de junio de 2005. Serie C No. 125, párrs. 51  y  63,</w:t>
        <w:br/>
        <w:t>y Caso Rosendo Cantú y otra Vs. México, supra, párr. 184.</w:t>
        <w:br/>
        <w:br/>
        <w:t>[227]                                                                   Cfr.</w:t>
        <w:br/>
        <w:t>Caso Barreto Leiva Vs. Venezuela. Fondo, Reparaciones  y  Costas.  Sentencia</w:t>
        <w:br/>
        <w:t>de 17 de noviembre de 2009. Serie C No. 206, párrs. 61 y 62, y Caso  Cabrera</w:t>
        <w:br/>
        <w:t>García y Montiel Flores Vs. México, supra, párr. 155.</w:t>
        <w:br/>
        <w:br/>
        <w:t>[228]                                                                   Cfr.</w:t>
        <w:br/>
        <w:t>Caso Vélez Loor Vs. Panamá, supra, párr. 146.</w:t>
        <w:br/>
        <w:br/>
        <w:t>[229]                                                                   Cfr.</w:t>
        <w:br/>
        <w:t>Caso Vélez Loor Vs. Panamá, supra, párr. 152. Ver también, El Derecho  a  la</w:t>
        <w:br/>
        <w:t>Información sobre la Asistencia Consular en el Marco de  las  Garantías  del</w:t>
        <w:br/>
        <w:t>Debido Proceso Legal, supra, párr. 119, y Condición Jurídica y  Derechos  de</w:t>
        <w:br/>
        <w:t>los Migrantes Indocumentados, supra, párr. 121.</w:t>
        <w:br/>
        <w:br/>
        <w:t>[230]                                                                   Cfr.</w:t>
        <w:br/>
        <w:t>Convención de Viena sobre Relaciones Consulares.  Artículo  36.1.b)  UN  Doc</w:t>
        <w:br/>
        <w:t>A/CONF.25/12 de 24 de abril de 1963, en vigor a partir del 19  de  marzo  de</w:t>
        <w:br/>
        <w:t>1967. Esta notificación le debe ser hecha antes  de  que  rinda  su  primera</w:t>
        <w:br/>
        <w:t>declaración. Ver también, El Derecho a la Información  sobre  la  Asistencia</w:t>
        <w:br/>
        <w:t>Consular en el Marco de las  Garantías  del  Debido  Proceso  Legal,  supra,</w:t>
        <w:br/>
        <w:t>párr. 106; Caso Chaparro Álvarez y Lapo Íñiguez, supra, párr.  164,  y  Caso</w:t>
        <w:br/>
        <w:t>Vélez Loor Vs. Panamá, supra, párr. 153.</w:t>
        <w:br/>
        <w:br/>
        <w:t>[231]                                                                   Cfr.</w:t>
        <w:br/>
        <w:t>Caso Vélez Loor, supra, párr. 153.</w:t>
        <w:br/>
        <w:br/>
        <w:t>[232]                                                               Ley   de</w:t>
        <w:br/>
        <w:t>Inmigración, Ley 95 de 14 de abril de 1939, supra, folio 4240.</w:t>
        <w:br/>
        <w:br/>
        <w:t>[233]</w:t>
        <w:br/>
        <w:t>Reglamento de Migración No. 279 del 12 de mayo de 1939, supra, folio 4340.</w:t>
        <w:br/>
        <w:br/>
        <w:t>[234]</w:t>
        <w:br/>
        <w:t>Protocolo de Entendimiento sobre los Mecanismos  de  Repatriación  entre  la</w:t>
        <w:br/>
        <w:t>República Dominicana y la República de Haití, suscrito el 2 de diciembre  de</w:t>
        <w:br/>
        <w:t>1999 (expediente de anexos a los alegatos  finales  del  Estado,  tomo  VII,</w:t>
        <w:br/>
        <w:t>folio 3916).</w:t>
        <w:br/>
        <w:br/>
        <w:t>[235]                                                                   Cfr.</w:t>
        <w:br/>
        <w:t>Caso Ricardo Canese Vs. Paraguay. Fondo, Reparaciones  y  Costas.  Sentencia</w:t>
        <w:br/>
        <w:t>de 31 de agosto de 2004. Serie C No. 111, párr. 115 y Caso Velez Restrepo  y</w:t>
        <w:br/>
        <w:t>familiares Vs. Colombia, supra, párr. 220.</w:t>
        <w:br/>
        <w:br/>
        <w:t>[236]                                                                   Cfr.</w:t>
        <w:br/>
        <w:t>Protocolo 4 a la Convención Europea para la Protección  de  los  Derechos  y</w:t>
        <w:br/>
        <w:t>Libertades  Fundamentales,  Artículo   4:   “La   expulsión   colectiva   de</w:t>
        <w:br/>
        <w:t>extranjeros es prohibida”; Carta Africana  de  Derechos  Humanos  y  de  los</w:t>
        <w:br/>
        <w:t>Pueblos, Artículo 12.5:  “The  mass  expulsion  of  non-nationals  shall  be</w:t>
        <w:br/>
        <w:t>prohibited. Mass expulsion  shall  be  that  which  is  aimed  at  national,</w:t>
        <w:br/>
        <w:t>racial, ethnic or  religious  groups”;  Carta  Árabe  de  Derechos  Humanos,</w:t>
        <w:br/>
        <w:t>Artículo  26.2:  “[…]  Collective  expulsion   is   prohibited   under   all</w:t>
        <w:br/>
        <w:t>circumstances”;  Convención  internacional  sobre  la  protección   de   los</w:t>
        <w:br/>
        <w:t>derechos  de  todos  los  trabajadores  migratorios  y  de  sus  familiares,</w:t>
        <w:br/>
        <w:t>Artículo 22.1: “Los trabajadores migratorios y sus familiares no podrán  ser</w:t>
        <w:br/>
        <w:t>objeto de medidas de  expulsión  colectiva.  Cada  caso  de  expulsión  será</w:t>
        <w:br/>
        <w:t>examinado y  decidido  individualmente”.  Ver  también  Comité  de  Derechos</w:t>
        <w:br/>
        <w:t>Humanos de Naciones Unidas,  Observación  General  No.  15,  párr.  10:  “El</w:t>
        <w:br/>
        <w:t>artículo 13 regula directamente sólo el procedimiento y no  los  fundamentos</w:t>
        <w:br/>
        <w:t>sustantivos de la expulsión. […] Por otra parte, otorga  a  cada  extranjero</w:t>
        <w:br/>
        <w:t>el derecho a que se adopte una decisión en su propio caso y, por  lo  tanto,</w:t>
        <w:br/>
        <w:t>el  artículo  13  no  se  cumple  con  leyes  o  decisiones  que   dispongan</w:t>
        <w:br/>
        <w:t>expulsiones colectivas  o  en  masa”;  Comité  para  la  Eliminación  de  la</w:t>
        <w:br/>
        <w:t>Discriminación Racial, Observaciones finales sobre República Dominicana,  UN</w:t>
        <w:br/>
        <w:t>DOC. CERD/C/DOM/CO/12, 16 de mayo de 2008, párr. 13: “Al Comité le  preocupa</w:t>
        <w:br/>
        <w:t>la información recibida de que al parecer se  detiene  a  los  migrantes  de</w:t>
        <w:br/>
        <w:t>origen  haitiano,  documentados  o  indocumentados,   y   se   les   deporta</w:t>
        <w:br/>
        <w:t>colectivamente (repatriaciones) a Haití sin que se  respeten  sus  garantías</w:t>
        <w:br/>
        <w:t>procesales (art. 5 a) y 6)”.</w:t>
        <w:br/>
        <w:br/>
        <w:t>[237]                                                                   Cfr.</w:t>
        <w:br/>
        <w:t>TEDH, Andric Vs. Suecia. No. 45917/99. Primera Cámara.  Decisión  de  23  de</w:t>
        <w:br/>
        <w:t>febrero de 1999, párr. 1, Caso Conka Vs.  Bélgica.   No.  51564/99.  Tercera</w:t>
        <w:br/>
        <w:t>Cámara. Sentencia de 5 de febrero de 2002, párr. 59.</w:t>
        <w:br/>
        <w:br/>
        <w:t>[238]                                                                   Cfr.</w:t>
        <w:br/>
        <w:t>TEDH, Hirsi Jamaa Vs. Italia. No 27765/09. Gran Sala.  Sentencia  de  23  de</w:t>
        <w:br/>
        <w:t>febrero de 2012, párr. 184.</w:t>
        <w:br/>
        <w:br/>
        <w:t>[239]                                                                   Cfr.</w:t>
        <w:br/>
        <w:t>Comité para  la  Eliminación  de  la  Discriminación  Racial,  Recomendación</w:t>
        <w:br/>
        <w:t>General No. XXX: Discriminación contra los  no  ciudadanos,  4  de  mayo  de</w:t>
        <w:br/>
        <w:t>2005, párr. 26.</w:t>
        <w:br/>
        <w:br/>
        <w:t>[240]                                                                Oficina</w:t>
        <w:br/>
        <w:t>del Alto Comisionado de las Naciones Unidas para los Derechos Humanos.  “Los</w:t>
        <w:br/>
        <w:t>Derechos de los No Ciudadanos”, 2006, página 20.</w:t>
        <w:br/>
        <w:br/>
        <w:t>[241]                                                                 Comité</w:t>
        <w:br/>
        <w:t>de Derechos Humanos. Observación General No.  15,  supra,  párrs.  9  y  10;</w:t>
        <w:br/>
        <w:t>Comité para  la  Eliminación  de  la  Discriminación  Racial,  Recomendación</w:t>
        <w:br/>
        <w:t>General No. XXX, supra, párr. 25.</w:t>
        <w:br/>
        <w:br/>
        <w:t>[242]                                                                   Cfr.</w:t>
        <w:br/>
        <w:t>Comisión  de  Derecho  Internacional.  Expulsión  de   extranjeros,   supra,</w:t>
        <w:br/>
        <w:t>artículo 26.</w:t>
        <w:br/>
        <w:br/>
        <w:t>[243]                                                                   Cfr.</w:t>
        <w:br/>
        <w:t>Comité de Derechos Humanos, Observación General No.  15,  supra,  párr.  10;</w:t>
        <w:br/>
        <w:t>Comisión Africana de Derechos Humanos y de  los  Pueblos,  Comunicación  No.</w:t>
        <w:br/>
        <w:t>159/96, supra, párr. 20; Comisión de  Derecho  Internacional.  Expulsión  de</w:t>
        <w:br/>
        <w:t>extranjeros, supra, artículo 26.</w:t>
        <w:br/>
        <w:br/>
        <w:t>[244]                                                                   Cfr.</w:t>
        <w:br/>
        <w:t>Convención de  Viena  sobre  Relaciones  Consulares,  Artículo  36.1.b);  El</w:t>
        <w:br/>
        <w:t>Derecho a la Asistencia Consular en el Marco de  las  Garantías  del  Debido</w:t>
        <w:br/>
        <w:t>Proceso  Legal,  supra,  párr.  106;  Comisión  de  Derecho   Internacional.</w:t>
        <w:br/>
        <w:t>Expulsión de extranjeros, supra, artículo 26, y Caso Vélez Loor Vs.  Panamá,</w:t>
        <w:br/>
        <w:t>supra, párrs. 152, 153 y 158.</w:t>
        <w:br/>
        <w:br/>
        <w:t>[245]                                                                   Cfr.</w:t>
        <w:br/>
        <w:t>Condición Jurídica y Derechos de los Migrantes Indocumentados, supra,  párr.</w:t>
        <w:br/>
        <w:t>126, y Caso Vélez Loor Vs. Panamá, supra, párr. 146.</w:t>
        <w:br/>
        <w:br/>
        <w:t>[246]                                                                   Cfr.</w:t>
        <w:br/>
        <w:t>Comisión Africana de Derechos Humanos y de  los  Pueblos,  Comunicación  No.</w:t>
        <w:br/>
        <w:t>159/96, supra; Comisión de Derecho Internacional. Expulsión de  extranjeros,</w:t>
        <w:br/>
        <w:t>supra, artículo 26.</w:t>
        <w:br/>
        <w:br/>
        <w:t>[247]                                                                   Cfr.</w:t>
        <w:br/>
        <w:t>Comité de Derechos Humanos, Observación General No. 15, supra, párr.  10,  y</w:t>
        <w:br/>
        <w:t>Comisión  de  Derecho  Internacional.  Expulsión  de   extranjeros,   supra,</w:t>
        <w:br/>
        <w:t>artículo 26.</w:t>
        <w:br/>
        <w:br/>
        <w:t>[248]                                                                   Cfr.</w:t>
        <w:br/>
        <w:t>Comité de Derechos Humanos, Observación General No. 15, supra, párr.  10,  y</w:t>
        <w:br/>
        <w:t>Comisión  de  Derecho  Internacional.  Expulsión  de   extranjeros,   supra,</w:t>
        <w:br/>
        <w:t>artículo 26.</w:t>
        <w:br/>
        <w:br/>
        <w:t>[249] Supra nota 92.</w:t>
        <w:br/>
        <w:br/>
        <w:t>[250] Informe conjunto del Relator Especial sobre las formas  contemporáneas</w:t>
        <w:br/>
        <w:t>de  racismo,  discriminación  racial,  xenofobia   y   formas   conexas   de</w:t>
        <w:br/>
        <w:t>intolerancia,  y  de  la  Experta  Independiente  sobre  cuestiones  de  las</w:t>
        <w:br/>
        <w:t>minorías.  Consejo  de  Derechos  Humanos.   UN   DOC   A/HRC/7/19/Add.5   y</w:t>
        <w:br/>
        <w:t>A/HRC/7/23/Add.3, 18 de marzo de 2008, p. 19 y 20 (expediente de  anexos  al</w:t>
        <w:br/>
        <w:t>informe de fondo, folios 1494 y 1495).</w:t>
        <w:br/>
        <w:br/>
        <w:t>[251]                                                                   Cfr.</w:t>
        <w:br/>
        <w:t>Caso Vargas Areco Vs. Paraguay. Fondo, Reparaciones y Costas.  Sentencia  de</w:t>
        <w:br/>
        <w:t>26 de Septiembre de 2006. Serie C No. 155, párr. 73, y Caso  Vélez  Restrepo</w:t>
        <w:br/>
        <w:t>y Familiares Vs. Colombia, supra, párr. 126.</w:t>
        <w:br/>
        <w:br/>
        <w:t>[252]                                                                   Cfr.</w:t>
        <w:br/>
        <w:t>Caso Velásquez Rodríguez Vs. Honduras. Fondo, supra, párrs.  166  y  176,  y</w:t>
        <w:br/>
        <w:t>Caso Familia Barrios Vs. Venezuela, supra, párr. 174.</w:t>
        <w:br/>
        <w:br/>
        <w:t>[253]                                                                   Caso</w:t>
        <w:br/>
        <w:t>Velásquez Rodríguez Vs. Honduras. Fondo, supra,  párr.  174,  y  Caso  Vélez</w:t>
        <w:br/>
        <w:t>Restrepo y Familiares Vs. Colombia, supra, párr. 186.</w:t>
        <w:br/>
        <w:br/>
        <w:t>[254]                                                                   Cfr.</w:t>
        <w:br/>
        <w:t>Caso Palamara Iribarne Vs. Chile, supra, párr. 146, y Caso Usón Ramírez  Vs.</w:t>
        <w:br/>
        <w:t>Venezuela, supra, párr. 117.</w:t>
        <w:br/>
        <w:br/>
        <w:t>[255]                                                                   Cfr.</w:t>
        <w:br/>
        <w:t>Caso Durand y Ugarte Vs. Perú. Fondo. Sentencia de 16  de  agosto  de  2000.</w:t>
        <w:br/>
        <w:t>Serie C No. 68. Párr. 117, y Caso Vélez Restrepo y Familiares Vs.  Colombia,</w:t>
        <w:br/>
        <w:t>supra, párr. 240.</w:t>
        <w:br/>
        <w:br/>
        <w:t>[256]                                                                   Cfr.</w:t>
        <w:br/>
        <w:t>Caso La Cantuta Vs.  Perú,  supra,  párr.  142,  y  Caso  Vélez  Restrepo  y</w:t>
        <w:br/>
        <w:t>Familiares Vs. Colombia, supra, párr. 240.</w:t>
        <w:br/>
        <w:br/>
        <w:t>[257]                                                                   Cfr.</w:t>
        <w:br/>
        <w:t>Caso Castillo Petruzzi y Otros Vs. Perú, supra, párr  132,  y  Caso  Cabrera</w:t>
        <w:br/>
        <w:t>García y Montiel Flores Vs. México, supra, párr. 198.</w:t>
        <w:br/>
        <w:br/>
        <w:t>[258]                                                                   Cfr.</w:t>
        <w:br/>
        <w:t>Caso Durand y Ugarte Vs. Perú. Fondo, supra, párr. 125.</w:t>
        <w:br/>
        <w:br/>
        <w:t>[259]                                                                   Cfr.</w:t>
        <w:br/>
        <w:t>Caso Usón Ramírez Vs. Venezuela, supra, párr. 124, y Caso Cabrera  García  y</w:t>
        <w:br/>
        <w:t>Montiel Flores Vs. México, supra, párr. 201.</w:t>
        <w:br/>
        <w:br/>
        <w:t>[260]                                                                   Cfr.</w:t>
        <w:br/>
        <w:t>Caso Carpio Nicolle y otros  Vs.  Chile,  supra,  párrs.  131  y  132;  Caso</w:t>
        <w:br/>
        <w:t>Almonacid Arellano y otros Vs. Chile, supra, párr. 154, y  Caso  Masacre  de</w:t>
        <w:br/>
        <w:t>La Rochela Vs. Colombia, supra, párr. 197.</w:t>
        <w:br/>
        <w:br/>
        <w:t>[261]                                                                   Cfr.</w:t>
        <w:br/>
        <w:t>Caso Almonacid Arellano y otros Vs. Chile, supra, párr. 154.</w:t>
        <w:br/>
        <w:br/>
        <w:t>[262]                                                                   Cfr.</w:t>
        <w:br/>
        <w:t>Caso Carpio Nicolle y otros Vs. Chile, supra, párr. 131,  y  Caso  Almonacid</w:t>
        <w:br/>
        <w:t>Arellano y otros Vs. Chile, supra, párr. 154.</w:t>
        <w:br/>
        <w:br/>
        <w:t>[263]                                                                   Cfr.</w:t>
        <w:br/>
        <w:t>Caso Almonacid Arellano y otros, párr. 154.</w:t>
        <w:br/>
        <w:br/>
        <w:t>[264]                                                                   Cfr.</w:t>
        <w:br/>
        <w:t>Caso de los “Niños de la Calle” (Villagrán Morales y otros)  Vs.  Guatemala,</w:t>
        <w:br/>
        <w:t>supra, párr.  227,  y  Caso  González  Medina  y  familiares  Vs.  República</w:t>
        <w:br/>
        <w:t>Dominicana, supra, párr. 207.</w:t>
        <w:br/>
        <w:br/>
        <w:t>[265] Cfr. Caso Durand y Ugarte Vs. Perú. Fondo, supra, párr.  130,  y  Caso</w:t>
        <w:br/>
        <w:t>González Medina y familiares Vs. República Dominicana, supra, párr. 200.</w:t>
        <w:br/>
        <w:br/>
        <w:t>[266]                                                                   Cfr.</w:t>
        <w:br/>
        <w:t>Caso Radilla Pacheco Vs. México, supra, párr. 275, y Caso Cabrera  García  y</w:t>
        <w:br/>
        <w:t>Montiel Flores Vs. México, supra, párr. 197.</w:t>
        <w:br/>
        <w:br/>
        <w:t>[267]                                                               Ley  No.</w:t>
        <w:br/>
        <w:t>3483, de 1953, supra, folio 4056.</w:t>
        <w:br/>
        <w:br/>
        <w:t>[268]                                                                   Cfr.</w:t>
        <w:br/>
        <w:t>Caso Castillo Petruzzi y otros Vs. Perú, supra, párr. 207, y  Caso  Fornerón</w:t>
        <w:br/>
        <w:t>Vs. Argentina, supra, párr. 131.</w:t>
        <w:br/>
        <w:br/>
        <w:t>[269]                                                                   Caso</w:t>
        <w:br/>
        <w:t>Palamara Iribarne Vs. Chile, supra, párr.  127,  y  Caso  Usón  Ramírez  Vs.</w:t>
        <w:br/>
        <w:t>Venezuela, supra, párr. 110.</w:t>
        <w:br/>
        <w:br/>
        <w:t>[270]  Cfr. Caso Durand y Ugarte Vs. Perú. Fondo, supra, párr. 117,  y  Caso</w:t>
        <w:br/>
        <w:t>Cabrera García y Montiel Vs. México, supra, párr. 206.</w:t>
        <w:br/>
        <w:br/>
        <w:t>[271]                                                               Ley  No.</w:t>
        <w:br/>
        <w:t>834 de 15 de julio de 1978, Art. 28: “Si el litigio está pendiente ante  dos</w:t>
        <w:br/>
        <w:t>jurisdicciones del mismo grado igualmente  competentes  para  conocerlo,  la</w:t>
        <w:br/>
        <w:t>jurisdicción apoderada en segundo lugar debe desapoderarse  en  provecho  de</w:t>
        <w:br/>
        <w:t>la otra si una de las partes lo solicita. En su defecto,  puede  hacerlo  de</w:t>
        <w:br/>
        <w:t>oficio”.</w:t>
        <w:br/>
        <w:br/>
        <w:t>[272]                                                                 Código</w:t>
        <w:br/>
        <w:t>de Procedimiento  Criminal  de  1884,  Art.  382:  “En  materia  criminal  o</w:t>
        <w:br/>
        <w:t>correccional habrá lugar a designación de jueces por  la  Suprema  Corte  de</w:t>
        <w:br/>
        <w:t>Justicia, y en materia de simple  policía  por  los  tribunales  de  primera</w:t>
        <w:br/>
        <w:t>instancia,  cada  vez  que  los  jueces  de  instrucción  y  los  tribunales</w:t>
        <w:br/>
        <w:t>correccionales y criminales,  así  como  los  juzgados  de  policía  que  no</w:t>
        <w:br/>
        <w:t>dependan los unos de los otros,  estén  amparados  del  mismo  delito  o  de</w:t>
        <w:br/>
        <w:t>delitos conexos o de la misma contravención”.</w:t>
        <w:br/>
        <w:br/>
        <w:t>[273]                                                                   Cfr.</w:t>
        <w:br/>
        <w:t>Caso Durand y Ugarte Vs. Perú. Fondo, supra, párrs. 116, 117, 125 y  126,  y</w:t>
        <w:br/>
        <w:t>Caso Vélez Restrepo y Familiares Vs. Colombia, supra, párr. 240.</w:t>
        <w:br/>
        <w:br/>
        <w:t>[274]                                                                   Cfr.</w:t>
        <w:br/>
        <w:t>Caso Castillo Petruzzi y otros Vs. Perú, supra,  párr.  128,  y  Caso  Vélez</w:t>
        <w:br/>
        <w:t>Restrepo y Familiares Vs. Colombia, supra, párr. 240.</w:t>
        <w:br/>
        <w:br/>
        <w:t>[275]                                                                 Código</w:t>
        <w:br/>
        <w:t>Procesal  Penal  Dominicano,  Ley  No.  76/02,  de  19  de  julio  de   2002</w:t>
        <w:br/>
        <w:t>(expediente de anexos a los alegatos finales escritos del Estado, tomo  VII,</w:t>
        <w:br/>
        <w:t>folio 3753). Asimismo, la Corte nota que la  vigencia  del  Código  Procesal</w:t>
        <w:br/>
        <w:t>Penal sólo entró en vigencia 24 meses después de su publicación,  es  decir,</w:t>
        <w:br/>
        <w:t>el 19 de julio de 2004, y solamente  para  los  casos  que  se  iniciaran  a</w:t>
        <w:br/>
        <w:t>partir de la referida  fecha.  Ver  Art.  449.-  Disposiciones  Finales.  i.</w:t>
        <w:br/>
        <w:t>Vigencia. Este código entrará en vigencia plena veinticuatro  meses  después</w:t>
        <w:br/>
        <w:t>de su publicación y se aplicará a todos los casos que se  inicien  a  partir</w:t>
        <w:br/>
        <w:t>del vencimiento de este plazo.</w:t>
        <w:br/>
        <w:br/>
        <w:t>[276] Ley No. 278/04 Sobre la Implementación del  Proceso  Penal  instituido</w:t>
        <w:br/>
        <w:t>por  la  Ley  No.  76-02,  de  23  de  agosto   de   2004.   Disponible   en</w:t>
        <w:br/>
        <w:t>http://www.suprema.gov.do/consultas/leyes/detalle_leyes.aspx?ID=420  (última</w:t>
        <w:br/>
        <w:t>consulta el 20 de octubre de 2012).</w:t>
        <w:br/>
        <w:br/>
        <w:t>[277] Constitución  de República Dominicana. Publicada en la Gaceta  Oficial</w:t>
        <w:br/>
        <w:t>No. 10561, del 26 de enero de 2010 (expediente  de  anexos  a  los  alegatos</w:t>
        <w:br/>
        <w:t>finales escritos de los representantes, folio 4212).</w:t>
        <w:br/>
        <w:br/>
        <w:t>[278]                                                                   Cfr.</w:t>
        <w:br/>
        <w:t>Caso Garrido y Baigorria vs. Argentina. Reparaciones y Costas. Sentencia  de</w:t>
        <w:br/>
        <w:t>27 de agosto de 1998. Serie C No. 39, párrs. 68 y  69,  y  Caso  Fornerón  e</w:t>
        <w:br/>
        <w:t>hija Vs. Argentina, supra, párr. 130.</w:t>
        <w:br/>
        <w:br/>
        <w:t>[279] La sentencia de la Suprema Corte de Justicia No. 4, emitida el  26  de</w:t>
        <w:br/>
        <w:t>diciembre de 2001  (caso  Tyson-Morenito)  es  el  precedente  del  acto  de</w:t>
        <w:br/>
        <w:t>tranferir un caso de Tribunales militares a civiles  (expediente  de  fondo,</w:t>
        <w:br/>
        <w:t>folio 988 y expediente de anexos al escrito  de  solicitudes  y  argumentos,</w:t>
        <w:br/>
        <w:t>tomo V, folios 2784 a 2788).</w:t>
        <w:br/>
        <w:br/>
        <w:t>[280]                                                                   Cfr.</w:t>
        <w:br/>
        <w:t>Propuesta  de  Modificación  a  la  Constitución  Política  de  Costa   Rica</w:t>
        <w:br/>
        <w:t>relacionada con la Naturalización. Opinión  Consultiva  OC-4/84  del  19  de</w:t>
        <w:br/>
        <w:t>enero de 1984. Serie A No. 4, párr 53 y Caso Atala Riffo y Niñas  vs  Chile.</w:t>
        <w:br/>
        <w:t>Fondo, Reparaciones y Costas. Sentencia de 24 de febrero de  2012.  Serie  C</w:t>
        <w:br/>
        <w:t>No. 239, párr. 78.</w:t>
        <w:br/>
        <w:br/>
        <w:t>[281]                                                                   Cfr.</w:t>
        <w:br/>
        <w:t>Condición Jurídica y Derechos de los Migrantes Indocumentados, supra,  párr.</w:t>
        <w:br/>
        <w:t>85.</w:t>
        <w:br/>
        <w:br/>
        <w:t>[282]                                                                   Cfr.</w:t>
        <w:br/>
        <w:t>Condición Jurídica y Derechos de los Migrantes Indocumentados, supra,  párr.</w:t>
        <w:br/>
        <w:t>53,  y  Caso  Comunidad  indígena  Xákmok   Kásek   Vs.   Paraguay.   Fondo,</w:t>
        <w:br/>
        <w:t>Reparaciones y Costas. Sentencia de 24 de agosto de 2010. Serie C  No.  214,</w:t>
        <w:br/>
        <w:t>párr. 268.</w:t>
        <w:br/>
        <w:br/>
        <w:t>[283]                                                                   Cfr.</w:t>
        <w:br/>
        <w:t>Caso Xákmok Kásek Vs. Paraguay, supra, párr. 269. A continuación se  indican</w:t>
        <w:br/>
        <w:t>algunos de estos instrumentos internacionales:</w:t>
        <w:br/>
        <w:t xml:space="preserve">    • Carta de la OEA (artículo 3.l);</w:t>
        <w:br/>
        <w:t xml:space="preserve">    • Declaración Americana de los Derechos y Deberes del  Hombre  (artículo</w:t>
        <w:br/>
        <w:t xml:space="preserve">      II);</w:t>
        <w:br/>
        <w:t xml:space="preserve">    • Convención Americana sobre Derechos Humanos (artículos 1 y 24);</w:t>
        <w:br/>
        <w:t xml:space="preserve">    • Protocolo Adicional a la Convención Americana sobre  Derechos  Humanos</w:t>
        <w:br/>
        <w:t xml:space="preserve">      en Materia de Derechos Económicos, Sociales y  Culturales,  “Protocolo</w:t>
        <w:br/>
        <w:t xml:space="preserve">      de San Salvador” (artículo 3);</w:t>
        <w:br/>
        <w:t xml:space="preserve">    • Convención Interamericana para  Prevenir,  Sancionar  y  Erradicar  la</w:t>
        <w:br/>
        <w:t xml:space="preserve">      Violencia contra la Mujer (artículos 4.f, 6 y 8.b);</w:t>
        <w:br/>
        <w:t xml:space="preserve">    • Convención Interamericana para la Eliminación de Todas las  Formas  de</w:t>
        <w:br/>
        <w:t xml:space="preserve">      Discriminación contra las Personas con Discapacidad (artículos  I.2.a,</w:t>
        <w:br/>
        <w:t xml:space="preserve">      II, III, IV y V);</w:t>
        <w:br/>
        <w:t xml:space="preserve">    • Carta de las Naciones Unidas (artículo 1.3);</w:t>
        <w:br/>
        <w:t xml:space="preserve">    • Declaración Universal de Derechos Humanos (artículos 2 y 7);</w:t>
        <w:br/>
        <w:t xml:space="preserve">    • Pacto Internacional de  Derechos  Económicos,  Sociales  y  Culturales</w:t>
        <w:br/>
        <w:t xml:space="preserve">      (artículos 2.2 y 3);</w:t>
        <w:br/>
        <w:t xml:space="preserve">    • Pacto Internacional de Derechos Civiles y Políticos (artículos  2.1  y</w:t>
        <w:br/>
        <w:t xml:space="preserve">      26);</w:t>
        <w:br/>
        <w:t xml:space="preserve">    • Convención Internacional sobre la Eliminación de todas las  Formas  de</w:t>
        <w:br/>
        <w:t xml:space="preserve">      Discriminación Racial (artículo 2);</w:t>
        <w:br/>
        <w:t xml:space="preserve">    • Convención sobre los Derechos del Niño (artículo 2);</w:t>
        <w:br/>
        <w:t xml:space="preserve">    • Declaración de los Derechos del Niño (Principio 1);</w:t>
        <w:br/>
        <w:t xml:space="preserve">    • Convención Internacional sobre la Protección de los Derechos de  Todos</w:t>
        <w:br/>
        <w:t xml:space="preserve">      los Trabajadores Migratorios y de sus Familiares  (artículos  1.1,  7,</w:t>
        <w:br/>
        <w:t xml:space="preserve">      18.1, 25, 27, 28, 43.1, 43.2, 45.1, 48, 55 y 70);</w:t>
        <w:br/>
        <w:t xml:space="preserve">    • Convención sobre la Eliminación de Todas las Formas de  Discriminación</w:t>
        <w:br/>
        <w:t xml:space="preserve">      contra la Mujer (artículos 2, 3, 5, 7 a 16);</w:t>
        <w:br/>
        <w:t xml:space="preserve">    • Declaración sobre la Eliminación de Todas las Formas de Intolerancia y</w:t>
        <w:br/>
        <w:t xml:space="preserve">      Discriminación Fundadas en la Religión o las Convicciones (artículos 2</w:t>
        <w:br/>
        <w:t xml:space="preserve">      y 4);</w:t>
        <w:br/>
        <w:t xml:space="preserve">    •  Declaración  de  la  Organización  Internacional  del  Trabajo  (OIT)</w:t>
        <w:br/>
        <w:t xml:space="preserve">      relativa a los Principios y Derechos Fundamentales en el Trabajo y  su</w:t>
        <w:br/>
        <w:t xml:space="preserve">      Seguimiento (2.d);</w:t>
        <w:br/>
        <w:t xml:space="preserve">    • Convenio No. 97 de la Organización  Internacional  del  Trabajo  (OIT)</w:t>
        <w:br/>
        <w:t xml:space="preserve">      sobre los Trabajadores Migrantes (revisado) (artículo 6);</w:t>
        <w:br/>
        <w:t xml:space="preserve">    • Convenio No. 111 de la Organización Internacional  del  Trabajo  (OIT)</w:t>
        <w:br/>
        <w:t xml:space="preserve">      relativo  a  la  Discriminación  en  Materia  de  Empleo  y  Ocupación</w:t>
        <w:br/>
        <w:t xml:space="preserve">      (artículos 1 a 3);</w:t>
        <w:br/>
        <w:t xml:space="preserve">    • Convenio No. 143 de la Organización Internacional  del  Trabajo  (OIT)</w:t>
        <w:br/>
        <w:t xml:space="preserve">      sobre  los  Trabajadores  Migrantes  (disposiciones   complementarias)</w:t>
        <w:br/>
        <w:t xml:space="preserve">      (artículos 8 y 10);</w:t>
        <w:br/>
        <w:t xml:space="preserve">    • Convenio No. 168 de la Organización Internacional  del  Trabajo  (OIT)</w:t>
        <w:br/>
        <w:t xml:space="preserve">      sobre el Fomento del  Empleo  y  la  Protección  contra  el  Desempleo</w:t>
        <w:br/>
        <w:t xml:space="preserve">      (artículo 6);</w:t>
        <w:br/>
        <w:t xml:space="preserve">    • Proclamación de Teherán, Conferencia Internacional de Derechos Humanos</w:t>
        <w:br/>
        <w:t xml:space="preserve">      de Teherán, 13 de mayo de 1968 (párrs. 1, 2, 5, 8 y 11);</w:t>
        <w:br/>
        <w:t xml:space="preserve">    • Declaración y Programa de Acción  de  Viena,  Conferencia  Mundial  de</w:t>
        <w:br/>
        <w:t xml:space="preserve">      Derechos Humanos, 14 a 25 de junio de 1993 (I.15;  I.19;  I.27;  I.30;</w:t>
        <w:br/>
        <w:t xml:space="preserve">      II.B.1, artículos 19 a 24; II.B.2, artículos 25 a 27);</w:t>
        <w:br/>
        <w:t xml:space="preserve">    • Declaración sobre  los  Derechos  de  las  Personas  Pertenecientes  a</w:t>
        <w:br/>
        <w:t xml:space="preserve">      Minorías Nacionales o Étnicas, Religiosas y Lingüísticas (artículos 2,</w:t>
        <w:br/>
        <w:t xml:space="preserve">      3, 4.1 y 5);</w:t>
        <w:br/>
        <w:t xml:space="preserve">    • Conferencia Mundial contra el Racismo, la  Discriminación  Racial,  la</w:t>
        <w:br/>
        <w:t xml:space="preserve">      Xenofobia y las Formas Conexas de Intolerancia, Declaración y Programa</w:t>
        <w:br/>
        <w:t xml:space="preserve">      de Acción, (párrafos de la Declaración: 1, 2, 7, 9, 10,  16,  25,  38,</w:t>
        <w:br/>
        <w:t xml:space="preserve">      47, 48, 51, 66 y 104);</w:t>
        <w:br/>
        <w:t xml:space="preserve">    • Convención Relativa a la  Lucha  contra  las  Discriminaciones  en  la</w:t>
        <w:br/>
        <w:t xml:space="preserve">      Esfera de la Enseñanza (artículos 1, 3 y 4);</w:t>
        <w:br/>
        <w:t xml:space="preserve">    • Declaración sobre la Raza y los Prejuicios Raciales (artículos  1,  2,</w:t>
        <w:br/>
        <w:t xml:space="preserve">      3, 4, 5, 6, 7, 8 y 9);</w:t>
        <w:br/>
        <w:t xml:space="preserve">    • Declaración sobre los Derechos Humanos de los Individuos  que  no  son</w:t>
        <w:br/>
        <w:t xml:space="preserve">      Nacionales del País en que Viven (artículo 5.1.b y 5.1.c);</w:t>
        <w:br/>
        <w:t xml:space="preserve">    • Carta de los Derechos Fundamentales de la Unión Europea (artículos  20</w:t>
        <w:br/>
        <w:t xml:space="preserve">      y 21);</w:t>
        <w:br/>
        <w:t xml:space="preserve">    • Convenio Europeo para la Protección de los Derechos Humanos y  de  las</w:t>
        <w:br/>
        <w:t xml:space="preserve">      Libertades Fundamentales (artículo 14);</w:t>
        <w:br/>
        <w:t xml:space="preserve">    • Carta Social Europea (artículo 19.4, 19.5 y 19.7);</w:t>
        <w:br/>
        <w:t xml:space="preserve">    • Protocolo No.12 al Convenio Europeo para la Protección de los Derechos</w:t>
        <w:br/>
        <w:t xml:space="preserve">      Humanos y de las Libertades Fundamentales (artículo 1);</w:t>
        <w:br/>
        <w:t xml:space="preserve">    • Carta Africana de los Derechos Humanos y de  los  Pueblos  (“Carta  de</w:t>
        <w:br/>
        <w:t xml:space="preserve">      Banjul”) (artículos 2 y 3);</w:t>
        <w:br/>
        <w:t xml:space="preserve">    • Carta Árabe sobre Derechos Humanos (artículo 2), y</w:t>
        <w:br/>
        <w:t xml:space="preserve">    • Declaración de El Cairo sobre Derechos Humanos en el  Islam  (artículo</w:t>
        <w:br/>
        <w:t xml:space="preserve">      1).</w:t>
        <w:br/>
        <w:t>[284]                                                                   Cfr.</w:t>
        <w:br/>
        <w:t>Condición Jurídica y Derechos de los Migrantes Indocumentados, supra,  párr.</w:t>
        <w:br/>
        <w:t>101, y Caso Atala Riffo y Niñas Vs. Chile, supra, párr. 79.</w:t>
        <w:br/>
        <w:br/>
        <w:t>[285]</w:t>
        <w:br/>
        <w:t>Propuesta  de  Modificación  a  la  Constitución  Política  de  Costa   Rica</w:t>
        <w:br/>
        <w:t>relacionada con la Naturalización, supra, párrs. 53 y 54, y  Caso  Comunidad</w:t>
        <w:br/>
        <w:t>Indígena Xákmok Kásek Vs. Paraguay, supra, párr. 272.</w:t>
        <w:br/>
        <w:br/>
        <w:br/>
        <w:t>[286]  Cfr.  Caso  Comunidad  Indígena  Sawhoyamaxa  Vs.  Paraguay.   Fondo,</w:t>
        <w:br/>
        <w:t>Reparaciones y Costas. Sentencia de 29 de marzo de 2006. Serie  C  No.  146,</w:t>
        <w:br/>
        <w:t>párr. 188; Caso Bámaca Velásquez Vs. Guatemala. Fondo. Sentencia  de  25  de</w:t>
        <w:br/>
        <w:t>noviembre de 2000, Serie C No. 70, párr. 179;  Caso  de  las  Niñas  Yean  y</w:t>
        <w:br/>
        <w:t>Bosico Vs. República Dominicana, supra, párr. 179;  Caso  Ticona  Estrada  y</w:t>
        <w:br/>
        <w:t>otros  Vs.  Bolivia. Fondo,  Reparaciones  y  Costas.  Sentencia  de  27  de</w:t>
        <w:br/>
        <w:t>noviembre de 2008. Serie C No. 191, párr. 69, y  Caso  Anzualdo  Castro  Vs.</w:t>
        <w:br/>
        <w:t>Perú. Excepción Preliminar, Fondo, Reparaciones y Costas.  Sentencia  de  22</w:t>
        <w:br/>
        <w:t>de septiembre de 2009. Serie C No. 202, párr. 87.</w:t>
        <w:br/>
        <w:br/>
        <w:t>[287] En este sentido, ver Caso González Medina y familiares  Vs.  República</w:t>
        <w:br/>
        <w:t>Dominicana, supra, párr. 132, y TEDH. D.H. y otros Vs. República Checa.  No.</w:t>
        <w:br/>
        <w:t>5735/00. Gran Sala. Sentencia de  13  noviembre  de  2007,  párr.  179.  Ver</w:t>
        <w:br/>
        <w:t>también: Directiva 91/80/CE del Consejo  de  la  Unión  Europea,  de  15  de</w:t>
        <w:br/>
        <w:t>diciembre de 1997, relativa a  la  carga  de  la  prueba  en  los  casos  de</w:t>
        <w:br/>
        <w:t>discriminación por razón de sexo, artículo 4,  y  Directiva  2000/43/CE  del</w:t>
        <w:br/>
        <w:t>Consejo de la Unión  Europea,  de  29  de  junio  de  2000,  relativa  a  la</w:t>
        <w:br/>
        <w:t>aplicación  del  principio  de   igualdad   de   trato   de   las   personas</w:t>
        <w:br/>
        <w:t>independientemente de su  origen racial o étnico, párr. 21.</w:t>
        <w:br/>
        <w:br/>
        <w:t>[288] Convención Internacional sobre  la  Eliminación  de  Todas  Formas  de</w:t>
        <w:br/>
        <w:t>Discrininación Racial, de 4 de enero de 1969, artículo 1.</w:t>
        <w:br/>
        <w:br/>
        <w:t>[289] Entre otros, Cfr. Caso de  las  Niñas  Yean  y  Bosico  Vs.  República</w:t>
        <w:br/>
        <w:t>Dominicana, supra, párrs.  109.1  a  109.3;  Informe  conjunto  del  Relator</w:t>
        <w:br/>
        <w:t>Especial sobre las formas contemporáneas de racismo, discriminación  racial,</w:t>
        <w:br/>
        <w:t>xenofobia y formas conexas de intolerancia, y de  la  Experta  Independiente</w:t>
        <w:br/>
        <w:t>sobre cuestiones de las  minorías.  Consejo  de  Derechos  Humanos.  UN  DOC</w:t>
        <w:br/>
        <w:t>A/HRC/7/19/Add.5 y A/HRC/7/23/Add.3 (en adelante:  “Informe  conjunto”),  18</w:t>
        <w:br/>
        <w:t>de marzo de 2008, p. 8, 19, 20, 24, 26, 30,  32,  33,  44,   (expediente  de</w:t>
        <w:br/>
        <w:t>anexos al informe  de  fondo,  folio  1483);  Huéspedes  Mal  Recibidos:  Un</w:t>
        <w:br/>
        <w:t>Estudio de las Expulsiones de Haitianos y Dominicanos de Origen Haitiano  de</w:t>
        <w:br/>
        <w:t>la República Dominicana a Haití.  International  Human  Rights  Law  Clinic,</w:t>
        <w:br/>
        <w:t>Boalt Hall School  of  Law,  University  of  California  at  Berkeley,  2002</w:t>
        <w:br/>
        <w:t>(expediente de anexos al escrito  de  solicitudes  y  argumentos,  tomo  VI,</w:t>
        <w:br/>
        <w:t>folios 3487, 3498, 3499,  3500,  3513,  3514,  3520  a  3524,  3526,  3542);</w:t>
        <w:br/>
        <w:t>Informe del Relator Especial sobre las  formas  contemporáneas  de  racismo,</w:t>
        <w:br/>
        <w:t>discriminación racial, xenofobia y formas  conexas  de  intolerancia,  Githu</w:t>
        <w:br/>
        <w:t>Muigai. Consejo  de  Derechos  Humanos  de  las  Naciones  Unidas.  UN  Doc.</w:t>
        <w:br/>
        <w:t>A/HCR/14/43/Add.1., 21 de mayo de 2010, párr. 57 (expediente  de  anexos  al</w:t>
        <w:br/>
        <w:t>escrito de solicitudes  y  argumentos,  tomo  IV,  folio  3371);  Comité  de</w:t>
        <w:br/>
        <w:t>Derechos Humanos de las Naciones Unidas. Examen de los informes  presentados</w:t>
        <w:br/>
        <w:t>por los Estados  partes  de  conformidad  con  el  artículo  40  del  Pacto.</w:t>
        <w:br/>
        <w:t>CCPR/CI79/Add.18., 5 de mayo de 1993,  párr.  5  (expediente  de  anexos  al</w:t>
        <w:br/>
        <w:t>informe de fondo, tomo I, folio 1436); Comité de  Derechos  Humanos  de  las</w:t>
        <w:br/>
        <w:t>Naciones Unidas. Examen de los informes presentados por los  Estados  partes</w:t>
        <w:br/>
        <w:t>de conformidad con el artículo 40 del Pacto. CCPR/C0I71/DOM. 26 de abril  de</w:t>
        <w:br/>
        <w:t>2001, párr. 16 (expediente de anexos al informe  de  fondo,  tomo  I,  folio</w:t>
        <w:br/>
        <w:t>1442);  Comisión  Interamericana  de  Derechos  Humanos.  Informe  sobre  la</w:t>
        <w:br/>
        <w:t>situación  de   los   derechos   humanos   en   la   República   Dominicana,</w:t>
        <w:br/>
        <w:t>OEA/Ser.LN/I1.104, Doc. 49 rev. 1, 7 octubre 1999, párr. 328 (expediente  de</w:t>
        <w:br/>
        <w:t>anexos  al  informe  de  fondo,  tomo  I,  folios  1347  y  1348);  Comisión</w:t>
        <w:br/>
        <w:t>Interamericana  de  Derechos  Humanos.  Informe  de   seguimiento   de   las</w:t>
        <w:br/>
        <w:t>recomendaciones de la CIDH sobre la situación de los derechos humanos en  la</w:t>
        <w:br/>
        <w:t>República Dominicana, 2001, párr. 88, 89 y  130  (expediente  de  anexos  al</w:t>
        <w:br/>
        <w:t>informe de fondo, tomo I, folio 1421, 1423 y 1432), y  Human  Rights  Watch,</w:t>
        <w:br/>
        <w:t>"Personas  Ilegales:  Haitianos  y  dominico-haitianos   en   la   República</w:t>
        <w:br/>
        <w:t>Dominicana", vol. 14, no 1(B),  abril  de  2002  (expediente  de  anexos  al</w:t>
        <w:br/>
        <w:t>informe de fondo, tomo I, folio 1524 a 1530). Ver  también  Nota  de  prensa</w:t>
        <w:br/>
        <w:t>aparecida el 27 de enero de  2001  en  el  diario  digital  denominado  Info</w:t>
        <w:br/>
        <w:t>Haïti, titulada “Polémique entre la hiérarchie militaire  et  le  chancelier</w:t>
        <w:br/>
        <w:t>dominicain sur la question des illégaux haïtiens” (expediente de  anexos  al</w:t>
        <w:br/>
        <w:t>escrito de solicitudes, argumentos y pruebas, tomo V, folio 3139);  Nota  de</w:t>
        <w:br/>
        <w:t>prensa aparecida el 21 de enero de 2001  en  el  diario  digital  denominado</w:t>
        <w:br/>
        <w:t>Info Haïti, titulada “Le chancelier dominicain promet des sanctions  sévères</w:t>
        <w:br/>
        <w:t>contre  ceux  qui  commettent  des  excès  contre  les  illégaux   haïtiens”</w:t>
        <w:br/>
        <w:t>(expediente de anexos al escrito de solicitudes y argumentos, tomo V,  folio</w:t>
        <w:br/>
        <w:t>3145), y Nota de prensa aparecida el 19  de  enero  de  2001  en  el  diario</w:t>
        <w:br/>
        <w:t>digital  denominado  Info  Haïti,  titulada  “Une  patrouille   de   l’armée</w:t>
        <w:br/>
        <w:t>dominicaine a mitraillé un nouveau  camion  transportant  des  sans  papiers</w:t>
        <w:br/>
        <w:t>haïtiens” (expediente de anexos al  escrito  de  solicitudes  y  argumentos,</w:t>
        <w:br/>
        <w:t>tomo V, folio 3147).</w:t>
        <w:br/>
        <w:br/>
        <w:t>[290] Cfr. Condición Jurídica y Derechos de  los  Migrantes  Indocumentados,</w:t>
        <w:br/>
        <w:t>supra, párr. 119 y Caso Vélez Loor Vs. Panamá, supra, párr. 248.</w:t>
        <w:br/>
        <w:br/>
        <w:t>[291] Cfr. Condición Jurídica y Derechos de  los  Migrantes  Indocumentados,</w:t>
        <w:br/>
        <w:t>supra, párr. 119.</w:t>
        <w:br/>
        <w:br/>
        <w:t>[292] Cfr. TEDH. D.H. y otros Vs. República Checa, supra, párrs. 179, 184  y</w:t>
        <w:br/>
        <w:t>194. Consejo Europeo; TEDH. Hugh  Jordan  vs  Reino  Unido,  aplicación  No.</w:t>
        <w:br/>
        <w:t>24746/94, 4 de mayo de 2011, párr.  154,  y  TEDH.  Hoogendijk  vs  Holanda,</w:t>
        <w:br/>
        <w:t>aplicación No. 58641/00, 6 de enero de 2005,  s/p.  Ver  también:  Directiva</w:t>
        <w:br/>
        <w:t>2008/0140 del Consejo por la que se  aplica  el  principio  de  igualdad  de</w:t>
        <w:br/>
        <w:t>trato entre las personas independientemente de su religión  o  convicciones,</w:t>
        <w:br/>
        <w:t>discapacidad u orientación sexual. Bruselas, 2 de julio de 2008,  páginas  7</w:t>
        <w:br/>
        <w:t>y 8,  y Directiva 2000/43/CE relativa  a  la  aplicación  del  Principio  de</w:t>
        <w:br/>
        <w:t>igualdad de trato independientemente de su origen racial o étnico.  Bruselas</w:t>
        <w:br/>
        <w:t>29 de junio de 2000, párr.13.</w:t>
        <w:br/>
        <w:br/>
        <w:t>[293]  Cfr.  Comité  de  Derechos   Económicos,   Sociales   y   Culturales,</w:t>
        <w:br/>
        <w:t>Observación General No. 20, La no discriminación y los derechos  económicos,</w:t>
        <w:br/>
        <w:t>sociales y culturales, párr. 10 inciso b).</w:t>
        <w:br/>
        <w:br/>
        <w:t>[294] Cfr. TEDH. Hoogendijk Vs.  Holanda,  No.  58641/00.  Sección  primera.</w:t>
        <w:br/>
        <w:t>Sentencia de 6 de enero de 2005, pág. 18.</w:t>
        <w:br/>
        <w:br/>
        <w:t>[295]</w:t>
        <w:br/>
        <w:t>Condición Jurídica y Derechos de los Migrantes Indocumentados, supra,  párr.</w:t>
        <w:br/>
        <w:t>103, y Caso Atala Riffo y Niñas Vs. Chile, supra, párr. 80.</w:t>
        <w:br/>
        <w:br/>
        <w:t>[296]                                                                   Cfr.</w:t>
        <w:br/>
        <w:t>Condición Jurídica y Derechos de los Migrantes Indocumentados, supra,  párr.</w:t>
        <w:br/>
        <w:t>104, y Caso Atala Riffo y Niñas Vs. Chile, supra, párr. 80.</w:t>
        <w:br/>
        <w:br/>
        <w:t>[297] Cfr. Condición Jurídica y Derechos de  los  Migrantes  Indocumentados,</w:t>
        <w:br/>
        <w:t>supra, párr. 85, y  Caso  Comunidad  Indígena  Xákmok  Kásek  Vs.  Paraguay,</w:t>
        <w:br/>
        <w:t>supra, párr. 268.</w:t>
        <w:br/>
        <w:br/>
        <w:t>[298]                                                                     El</w:t>
        <w:br/>
        <w:t>artículo 63.1 de  la  Convención  dispone  que  “[c]uando  decida  que  hubo</w:t>
        <w:br/>
        <w:t>violación de un derecho o libertad protegidos en [la] Convención,  la  Corte</w:t>
        <w:br/>
        <w:t>dispondrá que se garantice al lesionado en el goce de su derecho o  libertad</w:t>
        <w:br/>
        <w:t>conculcados. Dispondrá asimismo, si ello fuera procedente,  que  se  reparen</w:t>
        <w:br/>
        <w:t>las  consecuencias  de  la  medida  o  situación  que  ha   configurado   la</w:t>
        <w:br/>
        <w:t>vulneración de esos derechos y el pago  de  una  justa  indemnización  a  la</w:t>
        <w:br/>
        <w:t>parte lesionada”.</w:t>
        <w:br/>
        <w:br/>
        <w:t>[299]                                                                   Cfr.</w:t>
        <w:br/>
        <w:t>Caso Velásquez Rodríguez Vs. Honduras. Reparaciones y Costas.  Sentencia  de</w:t>
        <w:br/>
        <w:t>21 de julio de 1989. Serie C No. 7, párr. 25, y Caso Masacres de  Río  Negro</w:t>
        <w:br/>
        <w:t>Vs. Guatemala, supra, párr. 245.</w:t>
        <w:br/>
        <w:br/>
        <w:t>[300]                                                                   Cfr.</w:t>
        <w:br/>
        <w:t>Caso Aloeboetoe y otros Vs. Surinam. Reparaciones y Costas. Sentencia de  10</w:t>
        <w:br/>
        <w:t>de septiembre de 1993. Serie C No. 15, párr. 43,  y  Caso  Masacres  de  Río</w:t>
        <w:br/>
        <w:t>Negro Vs. Guatemala, supra, párr. 245.</w:t>
        <w:br/>
        <w:br/>
        <w:t>[301]                                                                   Cfr.</w:t>
        <w:br/>
        <w:t>Caso Velásquez Rodríguez Vs. Honduras. Reparaciones y Costas, supra,  párrs.</w:t>
        <w:br/>
        <w:t>25 a 27, y Caso Masacres de Río Negro Vs. Guatemala, supra, párr. 246.</w:t>
        <w:br/>
        <w:br/>
        <w:t>[302]                                                                   Cfr.</w:t>
        <w:br/>
        <w:t>Caso Ticona Estrada Vs. Bolivia. Fondo, Reparaciones y Costas. Sentencia  de</w:t>
        <w:br/>
        <w:t>27 de noviembre de 2008. Serie C No. 191, párr. 110, y Caso Masacres de  Río</w:t>
        <w:br/>
        <w:t>Negro Vs. Guatemala, supra, párr. 247.</w:t>
        <w:br/>
        <w:br/>
        <w:t>[303]                                                                   Cfr.</w:t>
        <w:br/>
        <w:t>Caso de la Masacre de Las Dos Erres Vs. Guatemala, supra, párr. 226, y  Caso</w:t>
        <w:br/>
        <w:t>Masacres de Río Negro Vs. Guatemala, supra, párr. 272.</w:t>
        <w:br/>
        <w:br/>
        <w:t>[304]                                                                   Cfr.</w:t>
        <w:br/>
        <w:t>Caso de la Masacre de las Dos Erres Vs. Guatemala, supra, párr. 226, y  Caso</w:t>
        <w:br/>
        <w:t>Masacres de Río Negro Vs. Guatemala, supra, párr. 248.</w:t>
        <w:br/>
        <w:br/>
        <w:t>[305] Cfr. Caso Bámaca Velázquez Vs. Guatemala. Supervisión de  Cumplimiento</w:t>
        <w:br/>
        <w:t>de Sentencia. Resolución de la Corte Interamericana de Derechos  Humanos  de</w:t>
        <w:br/>
        <w:t>18 de noviembre de 2010, Considerando 44:  “cuando  se  trata  de  graves  y</w:t>
        <w:br/>
        <w:t>sistemáticas violaciones a los derechos humanos, […],  la  impunidad  en  la</w:t>
        <w:br/>
        <w:t>que pueden quedar estas conductas por la falta de investigación, genera  una</w:t>
        <w:br/>
        <w:t>afectación bastante alta a los derechos de las víctimas.  La  intensidad  de</w:t>
        <w:br/>
        <w:t>esta afectación no sólo autoriza sino que exige una  excepcional  limitación</w:t>
        <w:br/>
        <w:t>a la garantía de ne bis in idem, a fin de permitir  la  reapertura  de  esas</w:t>
        <w:br/>
        <w:t>investigaciones cuando la decisión que se  alega  como  cosa  juzgada  surge</w:t>
        <w:br/>
        <w:t>como  consecuencia  del  incumplimiento  protuberante  de  los  deberes   de</w:t>
        <w:br/>
        <w:t>investigar  y  sancionar  seriamente  esas  graves  violaciones.  En   estos</w:t>
        <w:br/>
        <w:t>eventos, la  preponderancia  de  los  derechos  de  las  víctimas  sobre  la</w:t>
        <w:br/>
        <w:t>seguridad jurídica y el ne bis in idem es aún más  evidente,  dado  que  las</w:t>
        <w:br/>
        <w:t>víctimas no sólo fueron lesionadas por un  comportamiento  atroz  sino  que,</w:t>
        <w:br/>
        <w:t>además,  deben  soportar  la   indiferencia   del   Estado,   que   incumple</w:t>
        <w:br/>
        <w:t>manifiestamente con su obligación de esclarecer esos actos, sancionar a  los</w:t>
        <w:br/>
        <w:t>responsables y reparar a los afectados. La gravedad de lo ocurrido en  estos</w:t>
        <w:br/>
        <w:t>casos es de tal envergadura que afecta la esencia de la  convivencia  social</w:t>
        <w:br/>
        <w:t>e impide a su vez  cualquier  tipo  de  seguridad  jurídica.  Por  ello,  al</w:t>
        <w:br/>
        <w:t>analizar los recursos judiciales que puedan  interponer  los  imputados  por</w:t>
        <w:br/>
        <w:t>graves  violaciones  de  derechos  humanos,  la  Corte   resalta   que   las</w:t>
        <w:br/>
        <w:t>autoridades judiciales están obligadas a determinar si la desviación  en  el</w:t>
        <w:br/>
        <w:t>uso de una garantía penal puede generar una restricción desproporcionada  de</w:t>
        <w:br/>
        <w:t>los derechos de las víctimas, donde  una  clara  violación  del  derecho  de</w:t>
        <w:br/>
        <w:t>acceso  a  la  justicia,  desdibuja  la  garantía  procesal  penal  de  cosa</w:t>
        <w:br/>
        <w:t>juzgada”.</w:t>
        <w:br/>
        <w:br/>
        <w:t>[306]                                                                   Cfr.</w:t>
        <w:br/>
        <w:t>Caso Carpio Nicolle y Otros Vs. Guatemala, supra, párrs.  131  y  132;  Caso</w:t>
        <w:br/>
        <w:t>Almonacid Arellano y otros Vs. Chile, supra, párr. 154; Caso Masacre  de  La</w:t>
        <w:br/>
        <w:t>Rochela Vs. Colombia. Fondo, Reparaciones y Costas. Sentencia de  11  de  de</w:t>
        <w:br/>
        <w:t>mayo de 2007. Serie C No. 163,  párr.  197,  y  Caso  Guitierrez  Soler  Vs.</w:t>
        <w:br/>
        <w:t>Colombia. Sentencia de 12 de septiembre de 2005. Serie C No. 132, párr. 99.</w:t>
        <w:br/>
        <w:br/>
        <w:t>[307]                                                                   Cfr.</w:t>
        <w:br/>
        <w:t>Caso La Cantuta Vs. Perú, supra, párr. 226, y Caso de la Masacre de las  Dos</w:t>
        <w:br/>
        <w:t>Erres Vs. Guatemala, supra, párr. 240.</w:t>
        <w:br/>
        <w:br/>
        <w:t>[308]                                                                   Cfr.</w:t>
        <w:br/>
        <w:t>Caso Barrios Altos Vs. Perú. Fondo, supra, párrs. 41 a 44  y  Caso  González</w:t>
        <w:br/>
        <w:t>Medida y Familiares Vs. República Dominicana, supra, párr. 285.e).</w:t>
        <w:br/>
        <w:br/>
        <w:t>[309]                                                                   Cfr.</w:t>
        <w:br/>
        <w:t>Caso Contreras y otros  Vs.  El  Salvador.  Fondo,  Reparaciones  y  Costas.</w:t>
        <w:br/>
        <w:t>Sentencia de 31 de Agosto de 2011. Serie C No. 233,  párr.  186.d),  y  Caso</w:t>
        <w:br/>
        <w:t>Masacres de Río Negro Vs. Guatemala, supra, párr. 257.e).</w:t>
        <w:br/>
        <w:br/>
        <w:t>[310]                                                                   Cfr.</w:t>
        <w:br/>
        <w:t>Caso del Caracazo Vs. Venezuela. Reparaciones y Costas. Sentencia de  29  de</w:t>
        <w:br/>
        <w:t>agosto de 2002. Serie C No. 95, párr. 118, y Caso Masacres de Río Negro  Vs.</w:t>
        <w:br/>
        <w:t>Guatemala, supra, párr. 258.</w:t>
        <w:br/>
        <w:br/>
        <w:t>[311]                                                                   Cfr.</w:t>
        <w:br/>
        <w:t>Caso Anzualdo Castro Vs. Perú. Excepción Preliminar, Fondo,  Reparaciones  y</w:t>
        <w:br/>
        <w:t>Costas. Sentencia de 22 de Septiembre de 2009. Serie C No. 202,  párr.  185,</w:t>
        <w:br/>
        <w:t>y Caso Masacres de Río Negro Vs. Guatemala, supra, párr. 270.</w:t>
        <w:br/>
        <w:br/>
        <w:t>[312]                                                                   Cfr.</w:t>
        <w:br/>
        <w:t>Caso El Amparo Vs. Venezuela. Reparaciones y  Costas.  Sentencia  de  14  de</w:t>
        <w:br/>
        <w:t>septiembre de 1996. Serie C No. 28,  párr.  35,  y  Caso  Vélez  Restrepo  y</w:t>
        <w:br/>
        <w:t>Familiares Vs. Colombia, supra, párr. 259.</w:t>
        <w:br/>
        <w:br/>
        <w:t>[313]                                                                   Cfr.</w:t>
        <w:br/>
        <w:t>Caso Cantoral Benavides Vs. Perú. Reparaciones y Costas. Sentencia de  3  de</w:t>
        <w:br/>
        <w:t>diciembre de 2001. Serie C  No.  88,  y  Caso  Masacres  de  Río  Negro  Vs.</w:t>
        <w:br/>
        <w:t>Guatemala, supra, párr. 287.</w:t>
        <w:br/>
        <w:br/>
        <w:t>[314]                                                                   Cfr.</w:t>
        <w:br/>
        <w:t>Caso Barrios Altos Vs. Perú. Reparaciones  y  Costas.  Sentencia  de  30  de</w:t>
        <w:br/>
        <w:t>noviembre de 2001. Serie C No. 87, párr. 42, y Caso Masacres  de  Río  Negro</w:t>
        <w:br/>
        <w:t>Vs. Guatemala, supra, párr. 289.</w:t>
        <w:br/>
        <w:br/>
        <w:t>[315]                                                                   Cfr.</w:t>
        <w:br/>
        <w:t>Caso Manuel Cepeda Vargas Vs. Colombia, supra, párr. 235, y  Caso  Uzcátegui</w:t>
        <w:br/>
        <w:t>y otros Vs. Venezuela, supra, párr. 253.e.</w:t>
        <w:br/>
        <w:br/>
        <w:t>[316]                                                               Cfr.Caso</w:t>
        <w:br/>
        <w:t>de la Masacre  de  Dos  Erres  Vs.  Guatemala,  supra,  párr.  270,  y  Caso</w:t>
        <w:br/>
        <w:t>Uzcátegui y otros Vs. Venezuela, supra, párr. 253.b.</w:t>
        <w:br/>
        <w:br/>
        <w:t>[317]                                                                   Cfr.</w:t>
        <w:br/>
        <w:t>Caso 19 Comerciantes Vs. Colombia. Fondo, Reparaciones y  Costas.  Sentencia</w:t>
        <w:br/>
        <w:t>de 5 de julio de 2004. Serie C No. 109, párr. 278, y Caso Uzcátegui y  otros</w:t>
        <w:br/>
        <w:t>Vs. Venezuela, supra, párr. 253.c.</w:t>
        <w:br/>
        <w:br/>
        <w:t>[318]                                                                   Cfr.</w:t>
        <w:br/>
        <w:t>Caso del Penal Miguel Castro Castro, supra, párr. 450, y Caso Gomes  Lund  y</w:t>
        <w:br/>
        <w:t>otros (Guerrilha do Araguaia) Vs. Brasil. Excepciones  Preliminares,  Fondo,</w:t>
        <w:br/>
        <w:t>Reparaciones y Costas. Sentencia de 24 de noviembre de  2010.  Serie  C  No.</w:t>
        <w:br/>
        <w:t>219, párr. 269.</w:t>
        <w:br/>
        <w:br/>
        <w:t>[319]                                                                   Cfr.</w:t>
        <w:br/>
        <w:t>Caso Cantoral Benavides Vs. Perú. Reparaciones y Costas. Sentencia de  3  de</w:t>
        <w:br/>
        <w:t>diciembre de 2001. Serie C No. 88, párr. 79, y Caso Masacres  de  Río  Negro</w:t>
        <w:br/>
        <w:t>Vs. Guatemala, supra, párr. 287.</w:t>
        <w:br/>
        <w:br/>
        <w:t>[320]                                                                  Cfr.</w:t>
        <w:br/>
        <w:t>Caso Carpio Nicolle y otros, supra, párr. 136, y  Caso  González  Medida  y</w:t>
        <w:br/>
        <w:t>Familiares Vs. República Dominicana, supra, párr. 297.</w:t>
        <w:br/>
        <w:br/>
        <w:t>[321]                                                                  Cfr.</w:t>
        <w:br/>
        <w:t>Caso Kawas Fernández Vs. Honduras, supra, párr. 202, y Caso González Medida</w:t>
        <w:br/>
        <w:t>y Familiares Vs. República Dominicana, supra, párr. 297.</w:t>
        <w:br/>
        <w:br/>
        <w:t>[322]                                                                  Cfr.</w:t>
        <w:br/>
        <w:t>Caso Velásquez Rodríguez. Fondo, supra, párr. 166, y Caso  Pueblo  Indígena</w:t>
        <w:br/>
        <w:t>Kichwa de Sarayaku Vs. Ecuador, supra, párr. 221.</w:t>
        <w:br/>
        <w:br/>
        <w:t>[323]  Cfr. Caso Pacheco Teruel y otros Vs. Honduras, supra, párr. 92.</w:t>
        <w:br/>
        <w:br/>
        <w:t>[324]                                                                   Cfr.</w:t>
        <w:br/>
        <w:t>Caso de la Masacre de las Dos Erres Vs. Guatemala supra, párr. 252.</w:t>
        <w:br/>
        <w:br/>
        <w:t>[325]                                                                   Cfr.</w:t>
        <w:br/>
        <w:t>Caso Radilla Pacheco Vs. México, supra, párr. 346, y Caso  de  las  Masacres</w:t>
        <w:br/>
        <w:t>de Río Negro Vs. Guatemala, supra, párr. 291.</w:t>
        <w:br/>
        <w:br/>
        <w:t>[326]                                                                   Cfr.</w:t>
        <w:br/>
        <w:t>Caso González y otras (“Campo Algodonero”) Vs. México, supra, párr.  541,  y</w:t>
        <w:br/>
        <w:t>Caso Pacheco Teruel y otros Vs. Honduras, supra, párr. 114.</w:t>
        <w:br/>
        <w:br/>
        <w:t>[327]                                                                   Cfr.</w:t>
        <w:br/>
        <w:t>Caso Velázquez Rodríguez Vs. Honduras. Fondo, supra, párr. 166,  y  Caso  de</w:t>
        <w:br/>
        <w:t>las Masacres de Río Negro Vs. Guatemala, supra, párr. 240.</w:t>
        <w:br/>
        <w:br/>
        <w:t>[328]                                                                   Cfr.</w:t>
        <w:br/>
        <w:t>Caso Montero Aranguren y Otros (Retén de Catia) Vs. Venezuela, supra,  párr.</w:t>
        <w:br/>
        <w:t>144.</w:t>
        <w:br/>
        <w:br/>
        <w:t>[329] En relación con el daño emergente, en declaraciones juradas  aportadas</w:t>
        <w:br/>
        <w:t>por  los  representantes,  algunas  víctimas  sobrevivientes  afirmaron  que</w:t>
        <w:br/>
        <w:t>perdieron bienes y dinero durante los hechos  del  caso.  Dichos  montos  se</w:t>
        <w:br/>
        <w:t>detallan de  la  siguiente  forma:  Celafoi  Pierre,  manifestó  que  perdió</w:t>
        <w:br/>
        <w:t>1.500,00 pesos dominicanos (US$ 38,00); Renaud Tima indicó que perdió  4.000</w:t>
        <w:br/>
        <w:t>pesos dominicanos (US$ 101,00); Rose Marie Petit-Homme  declaró  que  perdió</w:t>
        <w:br/>
        <w:t>500 pesos dominicanos (US$ 12,00), y finalmente, Sonide Nora  manifestó  que</w:t>
        <w:br/>
        <w:t>perdió 1.500 pesos dominicanos (US$ 38,00), un anillo con un valor de  2.000</w:t>
        <w:br/>
        <w:t>gourdes haitianos (US$ 50,00) y su ropa, valorada en 3000 gourdes  haitianos</w:t>
        <w:br/>
        <w:t>(US$ 76,00) (expediente de anexos al escrito de  solicitudes  y  argumentos,</w:t>
        <w:br/>
        <w:t>folios 3086 a 3095).</w:t>
        <w:br/>
        <w:br/>
        <w:t>[330] En relación  con  los  familiares  de  las  víctimas  fallecidas,  los</w:t>
        <w:br/>
        <w:t>representantes solicitaron por concepto de daño inmaterial el  pago  de  los</w:t>
        <w:br/>
        <w:t>siguientes montos mínimos: US$ 50.000,00 a cada compañera, hijo/hija,  padre</w:t>
        <w:br/>
        <w:t>y madre; US$ 20.000,00 a cada hermano/hermana de la víctima; US$ 5.000,00  a</w:t>
        <w:br/>
        <w:t>un padrastro o una  madrastra  de  la  víctima  fallecida,  y  US$  5.000,00</w:t>
        <w:br/>
        <w:t>adicionales a cada familiar de las víctimas fallecidas,  por  denegación  de</w:t>
        <w:br/>
        <w:t>justicia.  Asimismo,  en  cuanto  a   los   familiares   de   las   víctimas</w:t>
        <w:br/>
        <w:t>sobrevivientes,  los  representantes  solicitaron  por  concepto   de   daño</w:t>
        <w:br/>
        <w:t>inmaterial el pago de los siguientes montos  mínimos:  US$  5.000,00  a  una</w:t>
        <w:br/>
        <w:t>pareja de una víctima sobreviviente; US$ 5.000,00 a cada hijo/ hija  de  una</w:t>
        <w:br/>
        <w:t>víctima sobreviviente; US$ 15 000,00 a cada  padre/  madre  de  una  víctima</w:t>
        <w:br/>
        <w:t>sobreviviente;  US$   2.000,00   cada   hermano/hermana   de   una   víctima</w:t>
        <w:br/>
        <w:t>sobreviviente,  y  US$  5.000,00   a   cada   familiar   de   las   víctimas</w:t>
        <w:br/>
        <w:t>sobrevivientes por concepto de denegación de justicia. Por otra parte,  como</w:t>
        <w:br/>
        <w:t>sumas  adicionales  a  las  anteriormente  indicadas,   los   representantes</w:t>
        <w:br/>
        <w:t>solicitaron por concepto de  daño  inmaterial  el  pago  de  los  siguientes</w:t>
        <w:br/>
        <w:t>montos mínimos: US$ 2.000,00 a Mélanie Sainvil  Pierre,  pareja  sentimental</w:t>
        <w:br/>
        <w:t>de Joseph Pierre, la  cual  se  encontraba  embarazada  al  momento  de  los</w:t>
        <w:br/>
        <w:t>hechos;  US$5.000,00  a  Ilfaudia  Dorzema  y  Sylvie  Felizor,  quienes  se</w:t>
        <w:br/>
        <w:t>encontraban embarazadas al momento de los hechos, y US$  5.000,00  a  Roland</w:t>
        <w:br/>
        <w:t>Israel por ser menor de edad al momento de los hechos.</w:t>
        <w:br/>
        <w:br/>
        <w:t>[331]                                                                   Cfr.</w:t>
        <w:br/>
        <w:t>Caso Bámaca Velásquez Vs. Guatemala. Reparaciones y Costas. Sentencia de  22</w:t>
        <w:br/>
        <w:t>de febrero de 2002. Serie C No. 91, párr. 43, y Caso Masacres de  Río  Negro</w:t>
        <w:br/>
        <w:t>Vs. Guatemala, supra, párr. 307.</w:t>
        <w:br/>
        <w:br/>
        <w:t>[332]                                                              El  señor</w:t>
        <w:br/>
        <w:t>Fritz Alce se  dedicaba  a  la  agricultura;  las  señoras  Nadege  Dorzema,</w:t>
        <w:br/>
        <w:t>Roselene Thermeus e Ilfaudia Dorzema trabajaban como  empleadas  domésticas;</w:t>
        <w:br/>
        <w:t>el señor  Jacqueline  Maxime  trabajaba  como  mecánico;  la  señora  Pardis</w:t>
        <w:br/>
        <w:t>Fortilus era estudiante, y  finalmente,  el  señor  Máximo  Rubén  de  Jesús</w:t>
        <w:br/>
        <w:t>Espinal  trabajaba  como  cobrador  de  autobús  (escrito  de  argumentos  y</w:t>
        <w:br/>
        <w:t>pruebas, folios 267 y 268).</w:t>
        <w:br/>
        <w:br/>
        <w:t>[333]                                                                   Cfr.</w:t>
        <w:br/>
        <w:t>Caso Usón Ramírez Vs. Venezuela, supra, párr. 180.</w:t>
        <w:br/>
        <w:br/>
        <w:t>[334]                                                                   Cfr.</w:t>
        <w:br/>
        <w:t>Caso El Amparo Vs. Venezuela. Reparaciones y  Costas.  Sentencia  de  14  de</w:t>
        <w:br/>
        <w:t>septiembre de 1996. Serie C No. 28, párr. 28, y Caso Baena Ricardo  y  otros</w:t>
        <w:br/>
        <w:t>Vs. Panamá, supra, párr. 205.</w:t>
        <w:br/>
        <w:br/>
        <w:t>[335]                                                                   Cfr.</w:t>
        <w:br/>
        <w:t>Caso de los “Niños de la Calle” (Villagrán Morales y otros)  Vs.  Guatemala.</w:t>
        <w:br/>
        <w:t>Reparaciones y Costas. Sentencia de 26 de mayo de  2001.  Serie  C  No.  77,</w:t>
        <w:br/>
        <w:t>párr. 84, y Caso Masacres de Río Negro Vs. Guatemala, supra, párr. 307.</w:t>
        <w:br/>
        <w:br/>
        <w:t>[336]                                                                   Cfr.</w:t>
        <w:br/>
        <w:t>Caso 19 Comerciantes Vs. Colombia, supra, párr. 248, y Caso Masacres de  Río</w:t>
        <w:br/>
        <w:t>Negro Vs. Guatemala, supra, párr. 308.</w:t>
        <w:br/>
        <w:br/>
        <w:t>[337]                                                                   Cfr.</w:t>
        <w:br/>
        <w:t>Caso 19 Comerciantes Vs. Colombia, supra, párr. 248, y  Caso  Lysias  Fleury</w:t>
        <w:br/>
        <w:t>Vs. Haití, supra, párr. 143.</w:t>
        <w:br/>
        <w:br/>
        <w:t>[338]                                                                   Cfr.</w:t>
        <w:br/>
        <w:t xml:space="preserve"> Caso   de   la   “Panel   Blanca"   (Paniagua   Morales   y   otros)    Vs.</w:t>
        <w:br/>
        <w:t>Guatemala. Reparaciones y Costas. Sentencia de 25 de mayo de 2001.  Serie  C</w:t>
        <w:br/>
        <w:t>No. 76, párr. 106, y Caso Chitay Nech y otros Vs.  Guatemala,  supra,  párr.</w:t>
        <w:br/>
        <w:t>276.</w:t>
        <w:br/>
        <w:br/>
        <w:t>[339]                                                                   Este</w:t>
        <w:br/>
        <w:t>criterio ha sido sostenido en otros casos,  igualmente  respecto  de  hijas,</w:t>
        <w:br/>
        <w:t>hijos, cónyuge o compañera y compañero, madre y  padre,  entre  otros.  Cfr.</w:t>
        <w:br/>
        <w:t>Caso de la Masacre de Pueblo Bello Vs.  Colombia,  supra,  párr.  257;  Caso</w:t>
        <w:br/>
        <w:t>Goiburú y otros Vs. Paraguay. Fondo, Reparaciones y Costas. Sentencia de  22</w:t>
        <w:br/>
        <w:t>de septiembre de 2006. Serie C No. 153, párr. 159,  y  Caso  Chitay  Nech  y</w:t>
        <w:br/>
        <w:t>otros Vs. Guatemala, supra, párr. 276.</w:t>
        <w:br/>
        <w:br/>
        <w:t>[340]                                                                   Cfr.</w:t>
        <w:br/>
        <w:t>Caso de los “Niños de la Calle” (Villagrán Morales y otros)  Vs.  Guatemala.</w:t>
        <w:br/>
        <w:t>Reparaciones y Costas, supra, párr. 84, y Caso Vélez Restrepo  y  Familiares</w:t>
        <w:br/>
        <w:t>Vs. Colombia, supra, párr. 299.</w:t>
        <w:br/>
        <w:br/>
        <w:br/>
        <w:br/>
        <w:t>[341]                                                                     La</w:t>
        <w:br/>
        <w:t>Clínica Intrnacional de defensa de los derechos humanos presentó gastos  por</w:t>
        <w:br/>
        <w:t>concepto de asistencia jurídica por un monto de US$  135.600,00.  El  Centro</w:t>
        <w:br/>
        <w:t>Cultural Dominico Haitiano, solicitó un total de US$  35.212,00  por  gastos</w:t>
        <w:br/>
        <w:t>procesales  internos,  asistencia  jurídica  y   gastos   de   investigación</w:t>
        <w:br/>
        <w:t>extrajudicial. Por su parte el Grupo de ayuda  a  refugiados  y  repatriados</w:t>
        <w:br/>
        <w:t>presentó un gasto por  US$  42.062,00,  por  apoyo  a  víctimas,  asistencia</w:t>
        <w:br/>
        <w:t>jurídica y gastos de transportación  (expediente  de  anexos  al  escito  de</w:t>
        <w:br/>
        <w:t>solicitudes y argumentos, tomo IV, folios 2590 a 2626).</w:t>
        <w:br/>
        <w:br/>
        <w:t>[342] Tales gastos corresponden a US$  74.570,00  por  asistencia  jurídica,</w:t>
        <w:br/>
        <w:t>US$ 11.880,00 por asistencia de estudiantes, US$771 por gastos de  audiencia</w:t>
        <w:br/>
        <w:t>y US$ 1.326,00 por gastos de oficina (expediente de anexos  a  los  alegatos</w:t>
        <w:br/>
        <w:t>finales de los representantes, tomo IX, folios 4893 a 5080).</w:t>
        <w:br/>
        <w:br/>
        <w:t>[343] Los gastos que en realidad corresponden  a  gastos  posteriores  a  la</w:t>
        <w:br/>
        <w:t>audiencia  pública  ascienden  a  un  monto  aproximado   de   US$   420,00,</w:t>
        <w:br/>
        <w:t>correspondientes a transporte, alojamiento y oficina  (expediente de  anexos</w:t>
        <w:br/>
        <w:t>a los alegatos finales de los representantes, tomo IX, folios 5087 a 5166).</w:t>
        <w:br/>
        <w:br/>
        <w:t>[344] Cantidad que corresponde  US$  16.247,00  por  asistencia  legal,  US$</w:t>
        <w:br/>
        <w:t>846,70  por  gastos  de  documentación,  US$  8.443,00   por   concepto   de</w:t>
        <w:br/>
        <w:t>alojamiento, transporte y comidas  (expediente  de  anexos  a  los  alegatos</w:t>
        <w:br/>
        <w:t>finales de los representantes, tomo IX, folios 5168 a 5170).</w:t>
        <w:br/>
        <w:br/>
        <w:t>[345]                                                                   Cfr.</w:t>
        <w:br/>
        <w:t>Caso Garrido y Baigorria Vs. Argentina. Reparaciones y Costas. Sentencia  de</w:t>
        <w:br/>
        <w:t>27 de agosto de 1998. Serie C No. 39, párr. 79, y Caso de  las  Masacres  de</w:t>
        <w:br/>
        <w:t>Río Negro Vs. Guatemala, supra, párr. 314.</w:t>
        <w:br/>
        <w:br/>
        <w:t>[346]                                                                   Cfr.</w:t>
        <w:br/>
        <w:t>Caso Chaparro Álvarez y Lapo Íñiguez Vs. Ecuador, supra, párr. 275,  y  Caso</w:t>
        <w:br/>
        <w:t>Vélez Restrepo y Familiares Vs. Colombia, supra, párr. 307.</w:t>
        <w:br/>
        <w:br/>
        <w:t>[347]                                                                   Cfr.</w:t>
        <w:br/>
        <w:t>Caso Chaparro Álvarez y Lapo Iñiguez Vs. Ecuador, supra, párr. 277,  y  Caso</w:t>
        <w:br/>
        <w:t>Rosendo Cantú y otra Vs. México, supra, párr. 285.</w:t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